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1.xml" ContentType="application/vnd.openxmlformats-officedocument.theme+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59DFC" w14:textId="77777777" w:rsidR="00950270" w:rsidRDefault="00950270" w:rsidP="0047509A">
      <w:bookmarkStart w:id="0" w:name="_GoBack"/>
      <w:bookmarkEnd w:id="0"/>
    </w:p>
    <w:p w14:paraId="5B3A8C9C" w14:textId="77777777" w:rsidR="00950270" w:rsidRDefault="00950270" w:rsidP="0047509A"/>
    <w:p w14:paraId="7031221F" w14:textId="77777777" w:rsidR="00950270" w:rsidRDefault="00950270" w:rsidP="0047509A"/>
    <w:p w14:paraId="27F6FD38" w14:textId="77777777" w:rsidR="00950270" w:rsidRDefault="00950270" w:rsidP="0047509A"/>
    <w:p w14:paraId="495D0DDB" w14:textId="77777777" w:rsidR="00950270" w:rsidRDefault="00950270" w:rsidP="0047509A"/>
    <w:p w14:paraId="11E97376" w14:textId="77777777" w:rsidR="00950270" w:rsidRDefault="00950270" w:rsidP="0047509A"/>
    <w:p w14:paraId="43FF34BB" w14:textId="77777777" w:rsidR="00B54897" w:rsidRPr="009C1958" w:rsidRDefault="004149A9" w:rsidP="0047509A">
      <w:pPr>
        <w:jc w:val="center"/>
        <w:rPr>
          <w:b/>
          <w:sz w:val="24"/>
        </w:rPr>
      </w:pPr>
      <w:r w:rsidRPr="009C1958">
        <w:rPr>
          <w:b/>
          <w:sz w:val="24"/>
        </w:rPr>
        <w:t>Informe de Consultoría</w:t>
      </w:r>
    </w:p>
    <w:p w14:paraId="3096D2FC" w14:textId="77777777" w:rsidR="00B54897" w:rsidRDefault="00B54897" w:rsidP="0047509A">
      <w:pPr>
        <w:jc w:val="center"/>
      </w:pPr>
    </w:p>
    <w:p w14:paraId="2528DA5A" w14:textId="77777777" w:rsidR="005B6C73" w:rsidRDefault="00B54897" w:rsidP="0047509A">
      <w:pPr>
        <w:jc w:val="center"/>
      </w:pPr>
      <w:r>
        <w:t xml:space="preserve">Evaluación Económica Ex Ante </w:t>
      </w:r>
    </w:p>
    <w:p w14:paraId="225326B3" w14:textId="77777777" w:rsidR="00F11EE2" w:rsidRDefault="00F11EE2" w:rsidP="00F11EE2">
      <w:pPr>
        <w:jc w:val="center"/>
      </w:pPr>
      <w:r>
        <w:t>PROGRAMA DE RESTAURACIÓN DE BOSQUES RESILIENTES AL CLIMA Y SILVICULTURA PARA LA SOSTENIBILIDAD DE LOS SERVICIOS ECOSISTÉMICOS RELACIONADOS CON EL AGUA</w:t>
      </w:r>
    </w:p>
    <w:p w14:paraId="6B006BCE" w14:textId="77777777" w:rsidR="00F11EE2" w:rsidRDefault="00F11EE2" w:rsidP="00F11EE2">
      <w:pPr>
        <w:jc w:val="center"/>
      </w:pPr>
    </w:p>
    <w:p w14:paraId="0A34A252" w14:textId="77777777" w:rsidR="00F11EE2" w:rsidRDefault="00F11EE2" w:rsidP="00F11EE2">
      <w:pPr>
        <w:jc w:val="center"/>
      </w:pPr>
    </w:p>
    <w:p w14:paraId="21799541" w14:textId="2043C73B" w:rsidR="00B54897" w:rsidRDefault="00F11EE2" w:rsidP="00F11EE2">
      <w:pPr>
        <w:jc w:val="center"/>
      </w:pPr>
      <w:r>
        <w:t>HO-L1200/HO-G1252</w:t>
      </w:r>
    </w:p>
    <w:p w14:paraId="505FA951" w14:textId="77777777" w:rsidR="00B54897" w:rsidRDefault="00B54897" w:rsidP="0047509A">
      <w:pPr>
        <w:jc w:val="center"/>
      </w:pPr>
    </w:p>
    <w:p w14:paraId="00EF65F1" w14:textId="77777777" w:rsidR="00B54897" w:rsidRDefault="00B54897" w:rsidP="0047509A">
      <w:pPr>
        <w:jc w:val="center"/>
      </w:pPr>
    </w:p>
    <w:p w14:paraId="7B267609" w14:textId="77777777" w:rsidR="00950270" w:rsidRDefault="00950270" w:rsidP="0047509A">
      <w:pPr>
        <w:jc w:val="center"/>
      </w:pPr>
    </w:p>
    <w:p w14:paraId="0D8B2CE9" w14:textId="77777777" w:rsidR="00950270" w:rsidRDefault="00950270" w:rsidP="0047509A">
      <w:pPr>
        <w:jc w:val="center"/>
      </w:pPr>
    </w:p>
    <w:p w14:paraId="2F46AC67" w14:textId="77777777" w:rsidR="00B54897" w:rsidRDefault="00950270" w:rsidP="0047509A">
      <w:pPr>
        <w:jc w:val="center"/>
      </w:pPr>
      <w:r>
        <w:t>Preparado para el Banco Interamericano de Desarrollo (BID)</w:t>
      </w:r>
    </w:p>
    <w:p w14:paraId="4550C961" w14:textId="77777777" w:rsidR="00B54897" w:rsidRDefault="00B54897" w:rsidP="0047509A"/>
    <w:p w14:paraId="474A5F89" w14:textId="77777777" w:rsidR="00950270" w:rsidRDefault="00950270" w:rsidP="0047509A"/>
    <w:p w14:paraId="0B3FE7AF" w14:textId="77777777" w:rsidR="00950270" w:rsidRDefault="00950270" w:rsidP="0047509A"/>
    <w:p w14:paraId="2DA7E10B" w14:textId="77777777" w:rsidR="00950270" w:rsidRDefault="00950270" w:rsidP="0047509A"/>
    <w:p w14:paraId="1C712CE1" w14:textId="77777777" w:rsidR="00950270" w:rsidRDefault="00950270" w:rsidP="0047509A"/>
    <w:p w14:paraId="3CD36AF6" w14:textId="77777777" w:rsidR="00950270" w:rsidRDefault="00950270" w:rsidP="0047509A"/>
    <w:p w14:paraId="15BB3430" w14:textId="77777777" w:rsidR="00950270" w:rsidRDefault="00950270" w:rsidP="0047509A"/>
    <w:p w14:paraId="49CDE097" w14:textId="77777777" w:rsidR="00950270" w:rsidRDefault="00950270" w:rsidP="0047509A"/>
    <w:p w14:paraId="7A2DE1CF" w14:textId="77777777" w:rsidR="00950270" w:rsidRDefault="00950270" w:rsidP="0047509A"/>
    <w:p w14:paraId="4D3CC40D" w14:textId="77777777" w:rsidR="00950270" w:rsidRDefault="00950270" w:rsidP="0047509A"/>
    <w:p w14:paraId="2F39F852" w14:textId="77777777" w:rsidR="00950270" w:rsidRDefault="00950270" w:rsidP="0047509A"/>
    <w:p w14:paraId="5DF83435" w14:textId="77777777" w:rsidR="00950270" w:rsidRDefault="00950270" w:rsidP="0047509A"/>
    <w:p w14:paraId="15F7CDF7" w14:textId="77777777" w:rsidR="00B54897" w:rsidRDefault="00B54897" w:rsidP="0047509A">
      <w:pPr>
        <w:jc w:val="center"/>
      </w:pPr>
      <w:r>
        <w:t>Consultor: Eduardo Zegarra</w:t>
      </w:r>
    </w:p>
    <w:p w14:paraId="5EA5481B" w14:textId="77777777" w:rsidR="00B54897" w:rsidRDefault="00B54897" w:rsidP="0047509A"/>
    <w:p w14:paraId="05CC29AD" w14:textId="77777777" w:rsidR="00B54897" w:rsidRDefault="00B54897" w:rsidP="0047509A"/>
    <w:p w14:paraId="04677A9D" w14:textId="77777777" w:rsidR="00B54897" w:rsidRDefault="00B54897" w:rsidP="0047509A"/>
    <w:p w14:paraId="3C23E13A" w14:textId="32C1B1B4" w:rsidR="00B54897" w:rsidRDefault="00F11EE2" w:rsidP="0047509A">
      <w:pPr>
        <w:jc w:val="center"/>
      </w:pPr>
      <w:r>
        <w:t>Agosto</w:t>
      </w:r>
      <w:r w:rsidR="00B54897">
        <w:t xml:space="preserve"> 201</w:t>
      </w:r>
      <w:r>
        <w:t>9</w:t>
      </w:r>
    </w:p>
    <w:p w14:paraId="47843EB1" w14:textId="77777777" w:rsidR="00B54897" w:rsidRDefault="00B54897" w:rsidP="0047509A"/>
    <w:p w14:paraId="3765F739" w14:textId="77777777" w:rsidR="00B54897" w:rsidRDefault="00B54897" w:rsidP="0047509A"/>
    <w:sdt>
      <w:sdtPr>
        <w:rPr>
          <w:b/>
          <w:sz w:val="24"/>
          <w:lang w:val="es-ES"/>
        </w:rPr>
        <w:id w:val="935102973"/>
        <w:docPartObj>
          <w:docPartGallery w:val="Table of Contents"/>
          <w:docPartUnique/>
        </w:docPartObj>
      </w:sdtPr>
      <w:sdtEndPr>
        <w:rPr>
          <w:bCs/>
          <w:sz w:val="22"/>
        </w:rPr>
      </w:sdtEndPr>
      <w:sdtContent>
        <w:p w14:paraId="5DCA2743" w14:textId="77777777" w:rsidR="009522BD" w:rsidRPr="009522BD" w:rsidRDefault="009522BD" w:rsidP="009522BD">
          <w:pPr>
            <w:rPr>
              <w:b/>
              <w:sz w:val="24"/>
            </w:rPr>
          </w:pPr>
          <w:r w:rsidRPr="009522BD">
            <w:rPr>
              <w:b/>
              <w:sz w:val="24"/>
              <w:lang w:val="es-ES"/>
            </w:rPr>
            <w:t>Contenido</w:t>
          </w:r>
        </w:p>
        <w:p w14:paraId="08FE7735" w14:textId="77777777" w:rsidR="006C0A74" w:rsidRDefault="009522BD">
          <w:pPr>
            <w:pStyle w:val="TOC1"/>
            <w:rPr>
              <w:rFonts w:asciiTheme="minorHAnsi" w:eastAsiaTheme="minorEastAsia" w:hAnsiTheme="minorHAnsi" w:cstheme="minorBidi"/>
              <w:noProof/>
              <w:szCs w:val="22"/>
              <w:lang w:val="en-US" w:eastAsia="en-US"/>
            </w:rPr>
          </w:pPr>
          <w:r>
            <w:fldChar w:fldCharType="begin"/>
          </w:r>
          <w:r>
            <w:instrText xml:space="preserve"> TOC \o "1-3" \h \z \u </w:instrText>
          </w:r>
          <w:r>
            <w:fldChar w:fldCharType="separate"/>
          </w:r>
          <w:hyperlink w:anchor="_Toc17823737" w:history="1">
            <w:r w:rsidR="006C0A74" w:rsidRPr="00FD4618">
              <w:rPr>
                <w:rStyle w:val="Hyperlink"/>
                <w:noProof/>
              </w:rPr>
              <w:t>Introducción</w:t>
            </w:r>
            <w:r w:rsidR="006C0A74">
              <w:rPr>
                <w:noProof/>
                <w:webHidden/>
              </w:rPr>
              <w:tab/>
            </w:r>
            <w:r w:rsidR="006C0A74">
              <w:rPr>
                <w:noProof/>
                <w:webHidden/>
              </w:rPr>
              <w:fldChar w:fldCharType="begin"/>
            </w:r>
            <w:r w:rsidR="006C0A74">
              <w:rPr>
                <w:noProof/>
                <w:webHidden/>
              </w:rPr>
              <w:instrText xml:space="preserve"> PAGEREF _Toc17823737 \h </w:instrText>
            </w:r>
            <w:r w:rsidR="006C0A74">
              <w:rPr>
                <w:noProof/>
                <w:webHidden/>
              </w:rPr>
            </w:r>
            <w:r w:rsidR="006C0A74">
              <w:rPr>
                <w:noProof/>
                <w:webHidden/>
              </w:rPr>
              <w:fldChar w:fldCharType="separate"/>
            </w:r>
            <w:r w:rsidR="00E36A2B">
              <w:rPr>
                <w:noProof/>
                <w:webHidden/>
              </w:rPr>
              <w:t>3</w:t>
            </w:r>
            <w:r w:rsidR="006C0A74">
              <w:rPr>
                <w:noProof/>
                <w:webHidden/>
              </w:rPr>
              <w:fldChar w:fldCharType="end"/>
            </w:r>
          </w:hyperlink>
        </w:p>
        <w:p w14:paraId="252FF3F6" w14:textId="77777777" w:rsidR="006C0A74" w:rsidRDefault="00457C94">
          <w:pPr>
            <w:pStyle w:val="TOC1"/>
            <w:rPr>
              <w:rFonts w:asciiTheme="minorHAnsi" w:eastAsiaTheme="minorEastAsia" w:hAnsiTheme="minorHAnsi" w:cstheme="minorBidi"/>
              <w:noProof/>
              <w:szCs w:val="22"/>
              <w:lang w:val="en-US" w:eastAsia="en-US"/>
            </w:rPr>
          </w:pPr>
          <w:hyperlink w:anchor="_Toc17823738" w:history="1">
            <w:r w:rsidR="006C0A74" w:rsidRPr="00FD4618">
              <w:rPr>
                <w:rStyle w:val="Hyperlink"/>
                <w:noProof/>
              </w:rPr>
              <w:t>Sección 1.  Descripción del proyecto integrado MSB-FVC</w:t>
            </w:r>
            <w:r w:rsidR="006C0A74">
              <w:rPr>
                <w:noProof/>
                <w:webHidden/>
              </w:rPr>
              <w:tab/>
            </w:r>
            <w:r w:rsidR="006C0A74">
              <w:rPr>
                <w:noProof/>
                <w:webHidden/>
              </w:rPr>
              <w:fldChar w:fldCharType="begin"/>
            </w:r>
            <w:r w:rsidR="006C0A74">
              <w:rPr>
                <w:noProof/>
                <w:webHidden/>
              </w:rPr>
              <w:instrText xml:space="preserve"> PAGEREF _Toc17823738 \h </w:instrText>
            </w:r>
            <w:r w:rsidR="006C0A74">
              <w:rPr>
                <w:noProof/>
                <w:webHidden/>
              </w:rPr>
            </w:r>
            <w:r w:rsidR="006C0A74">
              <w:rPr>
                <w:noProof/>
                <w:webHidden/>
              </w:rPr>
              <w:fldChar w:fldCharType="separate"/>
            </w:r>
            <w:r w:rsidR="00E36A2B">
              <w:rPr>
                <w:noProof/>
                <w:webHidden/>
              </w:rPr>
              <w:t>5</w:t>
            </w:r>
            <w:r w:rsidR="006C0A74">
              <w:rPr>
                <w:noProof/>
                <w:webHidden/>
              </w:rPr>
              <w:fldChar w:fldCharType="end"/>
            </w:r>
          </w:hyperlink>
        </w:p>
        <w:p w14:paraId="3BAEF7B0" w14:textId="77777777" w:rsidR="006C0A74" w:rsidRDefault="00457C94">
          <w:pPr>
            <w:pStyle w:val="TOC1"/>
            <w:rPr>
              <w:rFonts w:asciiTheme="minorHAnsi" w:eastAsiaTheme="minorEastAsia" w:hAnsiTheme="minorHAnsi" w:cstheme="minorBidi"/>
              <w:noProof/>
              <w:szCs w:val="22"/>
              <w:lang w:val="en-US" w:eastAsia="en-US"/>
            </w:rPr>
          </w:pPr>
          <w:hyperlink w:anchor="_Toc17823739" w:history="1">
            <w:r w:rsidR="006C0A74" w:rsidRPr="00FD4618">
              <w:rPr>
                <w:rStyle w:val="Hyperlink"/>
                <w:noProof/>
              </w:rPr>
              <w:t>Sección 2.  Área de intervención y perfil de los beneficiarios</w:t>
            </w:r>
            <w:r w:rsidR="006C0A74">
              <w:rPr>
                <w:noProof/>
                <w:webHidden/>
              </w:rPr>
              <w:tab/>
            </w:r>
            <w:r w:rsidR="006C0A74">
              <w:rPr>
                <w:noProof/>
                <w:webHidden/>
              </w:rPr>
              <w:fldChar w:fldCharType="begin"/>
            </w:r>
            <w:r w:rsidR="006C0A74">
              <w:rPr>
                <w:noProof/>
                <w:webHidden/>
              </w:rPr>
              <w:instrText xml:space="preserve"> PAGEREF _Toc17823739 \h </w:instrText>
            </w:r>
            <w:r w:rsidR="006C0A74">
              <w:rPr>
                <w:noProof/>
                <w:webHidden/>
              </w:rPr>
            </w:r>
            <w:r w:rsidR="006C0A74">
              <w:rPr>
                <w:noProof/>
                <w:webHidden/>
              </w:rPr>
              <w:fldChar w:fldCharType="separate"/>
            </w:r>
            <w:r w:rsidR="00E36A2B">
              <w:rPr>
                <w:noProof/>
                <w:webHidden/>
              </w:rPr>
              <w:t>9</w:t>
            </w:r>
            <w:r w:rsidR="006C0A74">
              <w:rPr>
                <w:noProof/>
                <w:webHidden/>
              </w:rPr>
              <w:fldChar w:fldCharType="end"/>
            </w:r>
          </w:hyperlink>
        </w:p>
        <w:p w14:paraId="4260F42D"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40" w:history="1">
            <w:r w:rsidR="006C0A74" w:rsidRPr="00FD4618">
              <w:rPr>
                <w:rStyle w:val="Hyperlink"/>
                <w:noProof/>
              </w:rPr>
              <w:t>2.1. Ámbito de intervención del proyecto integrado</w:t>
            </w:r>
            <w:r w:rsidR="006C0A74">
              <w:rPr>
                <w:noProof/>
                <w:webHidden/>
              </w:rPr>
              <w:tab/>
            </w:r>
            <w:r w:rsidR="006C0A74">
              <w:rPr>
                <w:noProof/>
                <w:webHidden/>
              </w:rPr>
              <w:fldChar w:fldCharType="begin"/>
            </w:r>
            <w:r w:rsidR="006C0A74">
              <w:rPr>
                <w:noProof/>
                <w:webHidden/>
              </w:rPr>
              <w:instrText xml:space="preserve"> PAGEREF _Toc17823740 \h </w:instrText>
            </w:r>
            <w:r w:rsidR="006C0A74">
              <w:rPr>
                <w:noProof/>
                <w:webHidden/>
              </w:rPr>
            </w:r>
            <w:r w:rsidR="006C0A74">
              <w:rPr>
                <w:noProof/>
                <w:webHidden/>
              </w:rPr>
              <w:fldChar w:fldCharType="separate"/>
            </w:r>
            <w:r w:rsidR="00E36A2B">
              <w:rPr>
                <w:noProof/>
                <w:webHidden/>
              </w:rPr>
              <w:t>9</w:t>
            </w:r>
            <w:r w:rsidR="006C0A74">
              <w:rPr>
                <w:noProof/>
                <w:webHidden/>
              </w:rPr>
              <w:fldChar w:fldCharType="end"/>
            </w:r>
          </w:hyperlink>
        </w:p>
        <w:p w14:paraId="1C844900"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41" w:history="1">
            <w:r w:rsidR="006C0A74" w:rsidRPr="00FD4618">
              <w:rPr>
                <w:rStyle w:val="Hyperlink"/>
                <w:noProof/>
              </w:rPr>
              <w:t>2.3.  Población beneficiaria directa</w:t>
            </w:r>
            <w:r w:rsidR="006C0A74">
              <w:rPr>
                <w:noProof/>
                <w:webHidden/>
              </w:rPr>
              <w:tab/>
            </w:r>
            <w:r w:rsidR="006C0A74">
              <w:rPr>
                <w:noProof/>
                <w:webHidden/>
              </w:rPr>
              <w:fldChar w:fldCharType="begin"/>
            </w:r>
            <w:r w:rsidR="006C0A74">
              <w:rPr>
                <w:noProof/>
                <w:webHidden/>
              </w:rPr>
              <w:instrText xml:space="preserve"> PAGEREF _Toc17823741 \h </w:instrText>
            </w:r>
            <w:r w:rsidR="006C0A74">
              <w:rPr>
                <w:noProof/>
                <w:webHidden/>
              </w:rPr>
            </w:r>
            <w:r w:rsidR="006C0A74">
              <w:rPr>
                <w:noProof/>
                <w:webHidden/>
              </w:rPr>
              <w:fldChar w:fldCharType="separate"/>
            </w:r>
            <w:r w:rsidR="00E36A2B">
              <w:rPr>
                <w:noProof/>
                <w:webHidden/>
              </w:rPr>
              <w:t>12</w:t>
            </w:r>
            <w:r w:rsidR="006C0A74">
              <w:rPr>
                <w:noProof/>
                <w:webHidden/>
              </w:rPr>
              <w:fldChar w:fldCharType="end"/>
            </w:r>
          </w:hyperlink>
        </w:p>
        <w:p w14:paraId="19F158FF"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42" w:history="1">
            <w:r w:rsidR="006C0A74" w:rsidRPr="00FD4618">
              <w:rPr>
                <w:rStyle w:val="Hyperlink"/>
                <w:noProof/>
              </w:rPr>
              <w:t>2.3. Beneficiarios indirectos del proyecto integrado</w:t>
            </w:r>
            <w:r w:rsidR="006C0A74">
              <w:rPr>
                <w:noProof/>
                <w:webHidden/>
              </w:rPr>
              <w:tab/>
            </w:r>
            <w:r w:rsidR="006C0A74">
              <w:rPr>
                <w:noProof/>
                <w:webHidden/>
              </w:rPr>
              <w:fldChar w:fldCharType="begin"/>
            </w:r>
            <w:r w:rsidR="006C0A74">
              <w:rPr>
                <w:noProof/>
                <w:webHidden/>
              </w:rPr>
              <w:instrText xml:space="preserve"> PAGEREF _Toc17823742 \h </w:instrText>
            </w:r>
            <w:r w:rsidR="006C0A74">
              <w:rPr>
                <w:noProof/>
                <w:webHidden/>
              </w:rPr>
            </w:r>
            <w:r w:rsidR="006C0A74">
              <w:rPr>
                <w:noProof/>
                <w:webHidden/>
              </w:rPr>
              <w:fldChar w:fldCharType="separate"/>
            </w:r>
            <w:r w:rsidR="00E36A2B">
              <w:rPr>
                <w:noProof/>
                <w:webHidden/>
              </w:rPr>
              <w:t>14</w:t>
            </w:r>
            <w:r w:rsidR="006C0A74">
              <w:rPr>
                <w:noProof/>
                <w:webHidden/>
              </w:rPr>
              <w:fldChar w:fldCharType="end"/>
            </w:r>
          </w:hyperlink>
        </w:p>
        <w:p w14:paraId="5AEFF9DD" w14:textId="77777777" w:rsidR="006C0A74" w:rsidRDefault="00457C94">
          <w:pPr>
            <w:pStyle w:val="TOC1"/>
            <w:rPr>
              <w:rFonts w:asciiTheme="minorHAnsi" w:eastAsiaTheme="minorEastAsia" w:hAnsiTheme="minorHAnsi" w:cstheme="minorBidi"/>
              <w:noProof/>
              <w:szCs w:val="22"/>
              <w:lang w:val="en-US" w:eastAsia="en-US"/>
            </w:rPr>
          </w:pPr>
          <w:hyperlink w:anchor="_Toc17823743" w:history="1">
            <w:r w:rsidR="006C0A74" w:rsidRPr="00FD4618">
              <w:rPr>
                <w:rStyle w:val="Hyperlink"/>
                <w:noProof/>
              </w:rPr>
              <w:t>Sección 3.  Beneficios esperados del nuevo proyecto</w:t>
            </w:r>
            <w:r w:rsidR="006C0A74">
              <w:rPr>
                <w:noProof/>
                <w:webHidden/>
              </w:rPr>
              <w:tab/>
            </w:r>
            <w:r w:rsidR="006C0A74">
              <w:rPr>
                <w:noProof/>
                <w:webHidden/>
              </w:rPr>
              <w:fldChar w:fldCharType="begin"/>
            </w:r>
            <w:r w:rsidR="006C0A74">
              <w:rPr>
                <w:noProof/>
                <w:webHidden/>
              </w:rPr>
              <w:instrText xml:space="preserve"> PAGEREF _Toc17823743 \h </w:instrText>
            </w:r>
            <w:r w:rsidR="006C0A74">
              <w:rPr>
                <w:noProof/>
                <w:webHidden/>
              </w:rPr>
            </w:r>
            <w:r w:rsidR="006C0A74">
              <w:rPr>
                <w:noProof/>
                <w:webHidden/>
              </w:rPr>
              <w:fldChar w:fldCharType="separate"/>
            </w:r>
            <w:r w:rsidR="00E36A2B">
              <w:rPr>
                <w:noProof/>
                <w:webHidden/>
              </w:rPr>
              <w:t>15</w:t>
            </w:r>
            <w:r w:rsidR="006C0A74">
              <w:rPr>
                <w:noProof/>
                <w:webHidden/>
              </w:rPr>
              <w:fldChar w:fldCharType="end"/>
            </w:r>
          </w:hyperlink>
        </w:p>
        <w:p w14:paraId="43517B36"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44" w:history="1">
            <w:r w:rsidR="006C0A74" w:rsidRPr="00FD4618">
              <w:rPr>
                <w:rStyle w:val="Hyperlink"/>
                <w:noProof/>
              </w:rPr>
              <w:t>3.1.  Beneficios en la cantidad de agua en las subcuencas intervenidas</w:t>
            </w:r>
            <w:r w:rsidR="006C0A74">
              <w:rPr>
                <w:noProof/>
                <w:webHidden/>
              </w:rPr>
              <w:tab/>
            </w:r>
            <w:r w:rsidR="006C0A74">
              <w:rPr>
                <w:noProof/>
                <w:webHidden/>
              </w:rPr>
              <w:fldChar w:fldCharType="begin"/>
            </w:r>
            <w:r w:rsidR="006C0A74">
              <w:rPr>
                <w:noProof/>
                <w:webHidden/>
              </w:rPr>
              <w:instrText xml:space="preserve"> PAGEREF _Toc17823744 \h </w:instrText>
            </w:r>
            <w:r w:rsidR="006C0A74">
              <w:rPr>
                <w:noProof/>
                <w:webHidden/>
              </w:rPr>
            </w:r>
            <w:r w:rsidR="006C0A74">
              <w:rPr>
                <w:noProof/>
                <w:webHidden/>
              </w:rPr>
              <w:fldChar w:fldCharType="separate"/>
            </w:r>
            <w:r w:rsidR="00E36A2B">
              <w:rPr>
                <w:noProof/>
                <w:webHidden/>
              </w:rPr>
              <w:t>15</w:t>
            </w:r>
            <w:r w:rsidR="006C0A74">
              <w:rPr>
                <w:noProof/>
                <w:webHidden/>
              </w:rPr>
              <w:fldChar w:fldCharType="end"/>
            </w:r>
          </w:hyperlink>
        </w:p>
        <w:p w14:paraId="27F09DFC" w14:textId="77777777" w:rsidR="006C0A74" w:rsidRDefault="00457C94">
          <w:pPr>
            <w:pStyle w:val="TOC3"/>
            <w:tabs>
              <w:tab w:val="right" w:leader="dot" w:pos="8494"/>
            </w:tabs>
            <w:rPr>
              <w:rFonts w:asciiTheme="minorHAnsi" w:eastAsiaTheme="minorEastAsia" w:hAnsiTheme="minorHAnsi" w:cstheme="minorBidi"/>
              <w:noProof/>
              <w:szCs w:val="22"/>
              <w:lang w:val="en-US" w:eastAsia="en-US"/>
            </w:rPr>
          </w:pPr>
          <w:hyperlink w:anchor="_Toc17823745" w:history="1">
            <w:r w:rsidR="006C0A74" w:rsidRPr="00FD4618">
              <w:rPr>
                <w:rStyle w:val="Hyperlink"/>
                <w:noProof/>
              </w:rPr>
              <w:t>3.1.a.  Beneficios esperados en las áreas restauradas</w:t>
            </w:r>
            <w:r w:rsidR="006C0A74">
              <w:rPr>
                <w:noProof/>
                <w:webHidden/>
              </w:rPr>
              <w:tab/>
            </w:r>
            <w:r w:rsidR="006C0A74">
              <w:rPr>
                <w:noProof/>
                <w:webHidden/>
              </w:rPr>
              <w:fldChar w:fldCharType="begin"/>
            </w:r>
            <w:r w:rsidR="006C0A74">
              <w:rPr>
                <w:noProof/>
                <w:webHidden/>
              </w:rPr>
              <w:instrText xml:space="preserve"> PAGEREF _Toc17823745 \h </w:instrText>
            </w:r>
            <w:r w:rsidR="006C0A74">
              <w:rPr>
                <w:noProof/>
                <w:webHidden/>
              </w:rPr>
            </w:r>
            <w:r w:rsidR="006C0A74">
              <w:rPr>
                <w:noProof/>
                <w:webHidden/>
              </w:rPr>
              <w:fldChar w:fldCharType="separate"/>
            </w:r>
            <w:r w:rsidR="00E36A2B">
              <w:rPr>
                <w:noProof/>
                <w:webHidden/>
              </w:rPr>
              <w:t>15</w:t>
            </w:r>
            <w:r w:rsidR="006C0A74">
              <w:rPr>
                <w:noProof/>
                <w:webHidden/>
              </w:rPr>
              <w:fldChar w:fldCharType="end"/>
            </w:r>
          </w:hyperlink>
        </w:p>
        <w:p w14:paraId="54E99E71" w14:textId="77777777" w:rsidR="006C0A74" w:rsidRDefault="00457C94">
          <w:pPr>
            <w:pStyle w:val="TOC3"/>
            <w:tabs>
              <w:tab w:val="right" w:leader="dot" w:pos="8494"/>
            </w:tabs>
            <w:rPr>
              <w:rFonts w:asciiTheme="minorHAnsi" w:eastAsiaTheme="minorEastAsia" w:hAnsiTheme="minorHAnsi" w:cstheme="minorBidi"/>
              <w:noProof/>
              <w:szCs w:val="22"/>
              <w:lang w:val="en-US" w:eastAsia="en-US"/>
            </w:rPr>
          </w:pPr>
          <w:hyperlink w:anchor="_Toc17823746" w:history="1">
            <w:r w:rsidR="006C0A74" w:rsidRPr="00FD4618">
              <w:rPr>
                <w:rStyle w:val="Hyperlink"/>
                <w:noProof/>
              </w:rPr>
              <w:t>3.1.b.  Beneficios esperados de agua en áreas no plagadas con MFA</w:t>
            </w:r>
            <w:r w:rsidR="006C0A74">
              <w:rPr>
                <w:noProof/>
                <w:webHidden/>
              </w:rPr>
              <w:tab/>
            </w:r>
            <w:r w:rsidR="006C0A74">
              <w:rPr>
                <w:noProof/>
                <w:webHidden/>
              </w:rPr>
              <w:fldChar w:fldCharType="begin"/>
            </w:r>
            <w:r w:rsidR="006C0A74">
              <w:rPr>
                <w:noProof/>
                <w:webHidden/>
              </w:rPr>
              <w:instrText xml:space="preserve"> PAGEREF _Toc17823746 \h </w:instrText>
            </w:r>
            <w:r w:rsidR="006C0A74">
              <w:rPr>
                <w:noProof/>
                <w:webHidden/>
              </w:rPr>
            </w:r>
            <w:r w:rsidR="006C0A74">
              <w:rPr>
                <w:noProof/>
                <w:webHidden/>
              </w:rPr>
              <w:fldChar w:fldCharType="separate"/>
            </w:r>
            <w:r w:rsidR="00E36A2B">
              <w:rPr>
                <w:noProof/>
                <w:webHidden/>
              </w:rPr>
              <w:t>16</w:t>
            </w:r>
            <w:r w:rsidR="006C0A74">
              <w:rPr>
                <w:noProof/>
                <w:webHidden/>
              </w:rPr>
              <w:fldChar w:fldCharType="end"/>
            </w:r>
          </w:hyperlink>
        </w:p>
        <w:p w14:paraId="21704359" w14:textId="77777777" w:rsidR="006C0A74" w:rsidRDefault="00457C94">
          <w:pPr>
            <w:pStyle w:val="TOC3"/>
            <w:tabs>
              <w:tab w:val="right" w:leader="dot" w:pos="8494"/>
            </w:tabs>
            <w:rPr>
              <w:rFonts w:asciiTheme="minorHAnsi" w:eastAsiaTheme="minorEastAsia" w:hAnsiTheme="minorHAnsi" w:cstheme="minorBidi"/>
              <w:noProof/>
              <w:szCs w:val="22"/>
              <w:lang w:val="en-US" w:eastAsia="en-US"/>
            </w:rPr>
          </w:pPr>
          <w:hyperlink w:anchor="_Toc17823747" w:history="1">
            <w:r w:rsidR="006C0A74" w:rsidRPr="00FD4618">
              <w:rPr>
                <w:rStyle w:val="Hyperlink"/>
                <w:noProof/>
              </w:rPr>
              <w:t>3.1.c. Valoración del agua</w:t>
            </w:r>
            <w:r w:rsidR="006C0A74">
              <w:rPr>
                <w:noProof/>
                <w:webHidden/>
              </w:rPr>
              <w:tab/>
            </w:r>
            <w:r w:rsidR="006C0A74">
              <w:rPr>
                <w:noProof/>
                <w:webHidden/>
              </w:rPr>
              <w:fldChar w:fldCharType="begin"/>
            </w:r>
            <w:r w:rsidR="006C0A74">
              <w:rPr>
                <w:noProof/>
                <w:webHidden/>
              </w:rPr>
              <w:instrText xml:space="preserve"> PAGEREF _Toc17823747 \h </w:instrText>
            </w:r>
            <w:r w:rsidR="006C0A74">
              <w:rPr>
                <w:noProof/>
                <w:webHidden/>
              </w:rPr>
            </w:r>
            <w:r w:rsidR="006C0A74">
              <w:rPr>
                <w:noProof/>
                <w:webHidden/>
              </w:rPr>
              <w:fldChar w:fldCharType="separate"/>
            </w:r>
            <w:r w:rsidR="00E36A2B">
              <w:rPr>
                <w:noProof/>
                <w:webHidden/>
              </w:rPr>
              <w:t>16</w:t>
            </w:r>
            <w:r w:rsidR="006C0A74">
              <w:rPr>
                <w:noProof/>
                <w:webHidden/>
              </w:rPr>
              <w:fldChar w:fldCharType="end"/>
            </w:r>
          </w:hyperlink>
        </w:p>
        <w:p w14:paraId="6AD46F31"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48" w:history="1">
            <w:r w:rsidR="006C0A74" w:rsidRPr="00FD4618">
              <w:rPr>
                <w:rStyle w:val="Hyperlink"/>
                <w:noProof/>
              </w:rPr>
              <w:t>3.2.  Productos forestales y no forestales</w:t>
            </w:r>
            <w:r w:rsidR="006C0A74">
              <w:rPr>
                <w:noProof/>
                <w:webHidden/>
              </w:rPr>
              <w:tab/>
            </w:r>
            <w:r w:rsidR="006C0A74">
              <w:rPr>
                <w:noProof/>
                <w:webHidden/>
              </w:rPr>
              <w:fldChar w:fldCharType="begin"/>
            </w:r>
            <w:r w:rsidR="006C0A74">
              <w:rPr>
                <w:noProof/>
                <w:webHidden/>
              </w:rPr>
              <w:instrText xml:space="preserve"> PAGEREF _Toc17823748 \h </w:instrText>
            </w:r>
            <w:r w:rsidR="006C0A74">
              <w:rPr>
                <w:noProof/>
                <w:webHidden/>
              </w:rPr>
            </w:r>
            <w:r w:rsidR="006C0A74">
              <w:rPr>
                <w:noProof/>
                <w:webHidden/>
              </w:rPr>
              <w:fldChar w:fldCharType="separate"/>
            </w:r>
            <w:r w:rsidR="00E36A2B">
              <w:rPr>
                <w:noProof/>
                <w:webHidden/>
              </w:rPr>
              <w:t>17</w:t>
            </w:r>
            <w:r w:rsidR="006C0A74">
              <w:rPr>
                <w:noProof/>
                <w:webHidden/>
              </w:rPr>
              <w:fldChar w:fldCharType="end"/>
            </w:r>
          </w:hyperlink>
        </w:p>
        <w:p w14:paraId="72BA9E0A"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49" w:history="1">
            <w:r w:rsidR="006C0A74" w:rsidRPr="00FD4618">
              <w:rPr>
                <w:rStyle w:val="Hyperlink"/>
                <w:noProof/>
              </w:rPr>
              <w:t>3.3.  Productos agroforestales</w:t>
            </w:r>
            <w:r w:rsidR="006C0A74">
              <w:rPr>
                <w:noProof/>
                <w:webHidden/>
              </w:rPr>
              <w:tab/>
            </w:r>
            <w:r w:rsidR="006C0A74">
              <w:rPr>
                <w:noProof/>
                <w:webHidden/>
              </w:rPr>
              <w:fldChar w:fldCharType="begin"/>
            </w:r>
            <w:r w:rsidR="006C0A74">
              <w:rPr>
                <w:noProof/>
                <w:webHidden/>
              </w:rPr>
              <w:instrText xml:space="preserve"> PAGEREF _Toc17823749 \h </w:instrText>
            </w:r>
            <w:r w:rsidR="006C0A74">
              <w:rPr>
                <w:noProof/>
                <w:webHidden/>
              </w:rPr>
            </w:r>
            <w:r w:rsidR="006C0A74">
              <w:rPr>
                <w:noProof/>
                <w:webHidden/>
              </w:rPr>
              <w:fldChar w:fldCharType="separate"/>
            </w:r>
            <w:r w:rsidR="00E36A2B">
              <w:rPr>
                <w:noProof/>
                <w:webHidden/>
              </w:rPr>
              <w:t>18</w:t>
            </w:r>
            <w:r w:rsidR="006C0A74">
              <w:rPr>
                <w:noProof/>
                <w:webHidden/>
              </w:rPr>
              <w:fldChar w:fldCharType="end"/>
            </w:r>
          </w:hyperlink>
        </w:p>
        <w:p w14:paraId="7C4DCD8E"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50" w:history="1">
            <w:r w:rsidR="006C0A74" w:rsidRPr="00FD4618">
              <w:rPr>
                <w:rStyle w:val="Hyperlink"/>
                <w:noProof/>
              </w:rPr>
              <w:t>3.4.  Pérdida evitada de bosque</w:t>
            </w:r>
            <w:r w:rsidR="006C0A74">
              <w:rPr>
                <w:noProof/>
                <w:webHidden/>
              </w:rPr>
              <w:tab/>
            </w:r>
            <w:r w:rsidR="006C0A74">
              <w:rPr>
                <w:noProof/>
                <w:webHidden/>
              </w:rPr>
              <w:fldChar w:fldCharType="begin"/>
            </w:r>
            <w:r w:rsidR="006C0A74">
              <w:rPr>
                <w:noProof/>
                <w:webHidden/>
              </w:rPr>
              <w:instrText xml:space="preserve"> PAGEREF _Toc17823750 \h </w:instrText>
            </w:r>
            <w:r w:rsidR="006C0A74">
              <w:rPr>
                <w:noProof/>
                <w:webHidden/>
              </w:rPr>
            </w:r>
            <w:r w:rsidR="006C0A74">
              <w:rPr>
                <w:noProof/>
                <w:webHidden/>
              </w:rPr>
              <w:fldChar w:fldCharType="separate"/>
            </w:r>
            <w:r w:rsidR="00E36A2B">
              <w:rPr>
                <w:noProof/>
                <w:webHidden/>
              </w:rPr>
              <w:t>19</w:t>
            </w:r>
            <w:r w:rsidR="006C0A74">
              <w:rPr>
                <w:noProof/>
                <w:webHidden/>
              </w:rPr>
              <w:fldChar w:fldCharType="end"/>
            </w:r>
          </w:hyperlink>
        </w:p>
        <w:p w14:paraId="4FD3BE64"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51" w:history="1">
            <w:r w:rsidR="006C0A74" w:rsidRPr="00FD4618">
              <w:rPr>
                <w:rStyle w:val="Hyperlink"/>
                <w:noProof/>
              </w:rPr>
              <w:t>3.5.  Matriz de beneficios por tipo de intervención</w:t>
            </w:r>
            <w:r w:rsidR="006C0A74">
              <w:rPr>
                <w:noProof/>
                <w:webHidden/>
              </w:rPr>
              <w:tab/>
            </w:r>
            <w:r w:rsidR="006C0A74">
              <w:rPr>
                <w:noProof/>
                <w:webHidden/>
              </w:rPr>
              <w:fldChar w:fldCharType="begin"/>
            </w:r>
            <w:r w:rsidR="006C0A74">
              <w:rPr>
                <w:noProof/>
                <w:webHidden/>
              </w:rPr>
              <w:instrText xml:space="preserve"> PAGEREF _Toc17823751 \h </w:instrText>
            </w:r>
            <w:r w:rsidR="006C0A74">
              <w:rPr>
                <w:noProof/>
                <w:webHidden/>
              </w:rPr>
            </w:r>
            <w:r w:rsidR="006C0A74">
              <w:rPr>
                <w:noProof/>
                <w:webHidden/>
              </w:rPr>
              <w:fldChar w:fldCharType="separate"/>
            </w:r>
            <w:r w:rsidR="00E36A2B">
              <w:rPr>
                <w:noProof/>
                <w:webHidden/>
              </w:rPr>
              <w:t>20</w:t>
            </w:r>
            <w:r w:rsidR="006C0A74">
              <w:rPr>
                <w:noProof/>
                <w:webHidden/>
              </w:rPr>
              <w:fldChar w:fldCharType="end"/>
            </w:r>
          </w:hyperlink>
        </w:p>
        <w:p w14:paraId="093BDB46" w14:textId="77777777" w:rsidR="006C0A74" w:rsidRDefault="00457C94">
          <w:pPr>
            <w:pStyle w:val="TOC1"/>
            <w:rPr>
              <w:rFonts w:asciiTheme="minorHAnsi" w:eastAsiaTheme="minorEastAsia" w:hAnsiTheme="minorHAnsi" w:cstheme="minorBidi"/>
              <w:noProof/>
              <w:szCs w:val="22"/>
              <w:lang w:val="en-US" w:eastAsia="en-US"/>
            </w:rPr>
          </w:pPr>
          <w:hyperlink w:anchor="_Toc17823752" w:history="1">
            <w:r w:rsidR="006C0A74" w:rsidRPr="00FD4618">
              <w:rPr>
                <w:rStyle w:val="Hyperlink"/>
                <w:noProof/>
              </w:rPr>
              <w:t>Sección 4.  Evolución de los costos del nuevo proyecto</w:t>
            </w:r>
            <w:r w:rsidR="006C0A74">
              <w:rPr>
                <w:noProof/>
                <w:webHidden/>
              </w:rPr>
              <w:tab/>
            </w:r>
            <w:r w:rsidR="006C0A74">
              <w:rPr>
                <w:noProof/>
                <w:webHidden/>
              </w:rPr>
              <w:fldChar w:fldCharType="begin"/>
            </w:r>
            <w:r w:rsidR="006C0A74">
              <w:rPr>
                <w:noProof/>
                <w:webHidden/>
              </w:rPr>
              <w:instrText xml:space="preserve"> PAGEREF _Toc17823752 \h </w:instrText>
            </w:r>
            <w:r w:rsidR="006C0A74">
              <w:rPr>
                <w:noProof/>
                <w:webHidden/>
              </w:rPr>
            </w:r>
            <w:r w:rsidR="006C0A74">
              <w:rPr>
                <w:noProof/>
                <w:webHidden/>
              </w:rPr>
              <w:fldChar w:fldCharType="separate"/>
            </w:r>
            <w:r w:rsidR="00E36A2B">
              <w:rPr>
                <w:noProof/>
                <w:webHidden/>
              </w:rPr>
              <w:t>21</w:t>
            </w:r>
            <w:r w:rsidR="006C0A74">
              <w:rPr>
                <w:noProof/>
                <w:webHidden/>
              </w:rPr>
              <w:fldChar w:fldCharType="end"/>
            </w:r>
          </w:hyperlink>
        </w:p>
        <w:p w14:paraId="5857B0D8" w14:textId="77777777" w:rsidR="006C0A74" w:rsidRDefault="00457C94">
          <w:pPr>
            <w:pStyle w:val="TOC1"/>
            <w:rPr>
              <w:rFonts w:asciiTheme="minorHAnsi" w:eastAsiaTheme="minorEastAsia" w:hAnsiTheme="minorHAnsi" w:cstheme="minorBidi"/>
              <w:noProof/>
              <w:szCs w:val="22"/>
              <w:lang w:val="en-US" w:eastAsia="en-US"/>
            </w:rPr>
          </w:pPr>
          <w:hyperlink w:anchor="_Toc17823753" w:history="1">
            <w:r w:rsidR="006C0A74" w:rsidRPr="00FD4618">
              <w:rPr>
                <w:rStyle w:val="Hyperlink"/>
                <w:noProof/>
              </w:rPr>
              <w:t>Sección 5. Análisis de costo-beneficio del nuevo proyecto</w:t>
            </w:r>
            <w:r w:rsidR="006C0A74">
              <w:rPr>
                <w:noProof/>
                <w:webHidden/>
              </w:rPr>
              <w:tab/>
            </w:r>
            <w:r w:rsidR="006C0A74">
              <w:rPr>
                <w:noProof/>
                <w:webHidden/>
              </w:rPr>
              <w:fldChar w:fldCharType="begin"/>
            </w:r>
            <w:r w:rsidR="006C0A74">
              <w:rPr>
                <w:noProof/>
                <w:webHidden/>
              </w:rPr>
              <w:instrText xml:space="preserve"> PAGEREF _Toc17823753 \h </w:instrText>
            </w:r>
            <w:r w:rsidR="006C0A74">
              <w:rPr>
                <w:noProof/>
                <w:webHidden/>
              </w:rPr>
            </w:r>
            <w:r w:rsidR="006C0A74">
              <w:rPr>
                <w:noProof/>
                <w:webHidden/>
              </w:rPr>
              <w:fldChar w:fldCharType="separate"/>
            </w:r>
            <w:r w:rsidR="00E36A2B">
              <w:rPr>
                <w:noProof/>
                <w:webHidden/>
              </w:rPr>
              <w:t>23</w:t>
            </w:r>
            <w:r w:rsidR="006C0A74">
              <w:rPr>
                <w:noProof/>
                <w:webHidden/>
              </w:rPr>
              <w:fldChar w:fldCharType="end"/>
            </w:r>
          </w:hyperlink>
        </w:p>
        <w:p w14:paraId="372832F3"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54" w:history="1">
            <w:r w:rsidR="006C0A74" w:rsidRPr="00FD4618">
              <w:rPr>
                <w:rStyle w:val="Hyperlink"/>
                <w:noProof/>
              </w:rPr>
              <w:t>5.1. Supuestos principales del escenario base</w:t>
            </w:r>
            <w:r w:rsidR="006C0A74">
              <w:rPr>
                <w:noProof/>
                <w:webHidden/>
              </w:rPr>
              <w:tab/>
            </w:r>
            <w:r w:rsidR="006C0A74">
              <w:rPr>
                <w:noProof/>
                <w:webHidden/>
              </w:rPr>
              <w:fldChar w:fldCharType="begin"/>
            </w:r>
            <w:r w:rsidR="006C0A74">
              <w:rPr>
                <w:noProof/>
                <w:webHidden/>
              </w:rPr>
              <w:instrText xml:space="preserve"> PAGEREF _Toc17823754 \h </w:instrText>
            </w:r>
            <w:r w:rsidR="006C0A74">
              <w:rPr>
                <w:noProof/>
                <w:webHidden/>
              </w:rPr>
            </w:r>
            <w:r w:rsidR="006C0A74">
              <w:rPr>
                <w:noProof/>
                <w:webHidden/>
              </w:rPr>
              <w:fldChar w:fldCharType="separate"/>
            </w:r>
            <w:r w:rsidR="00E36A2B">
              <w:rPr>
                <w:noProof/>
                <w:webHidden/>
              </w:rPr>
              <w:t>23</w:t>
            </w:r>
            <w:r w:rsidR="006C0A74">
              <w:rPr>
                <w:noProof/>
                <w:webHidden/>
              </w:rPr>
              <w:fldChar w:fldCharType="end"/>
            </w:r>
          </w:hyperlink>
        </w:p>
        <w:p w14:paraId="1C375E02"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55" w:history="1">
            <w:r w:rsidR="006C0A74" w:rsidRPr="00FD4618">
              <w:rPr>
                <w:rStyle w:val="Hyperlink"/>
                <w:noProof/>
              </w:rPr>
              <w:t>5.2.  Horizonte del proyecto y tasa de descuento</w:t>
            </w:r>
            <w:r w:rsidR="006C0A74">
              <w:rPr>
                <w:noProof/>
                <w:webHidden/>
              </w:rPr>
              <w:tab/>
            </w:r>
            <w:r w:rsidR="006C0A74">
              <w:rPr>
                <w:noProof/>
                <w:webHidden/>
              </w:rPr>
              <w:fldChar w:fldCharType="begin"/>
            </w:r>
            <w:r w:rsidR="006C0A74">
              <w:rPr>
                <w:noProof/>
                <w:webHidden/>
              </w:rPr>
              <w:instrText xml:space="preserve"> PAGEREF _Toc17823755 \h </w:instrText>
            </w:r>
            <w:r w:rsidR="006C0A74">
              <w:rPr>
                <w:noProof/>
                <w:webHidden/>
              </w:rPr>
            </w:r>
            <w:r w:rsidR="006C0A74">
              <w:rPr>
                <w:noProof/>
                <w:webHidden/>
              </w:rPr>
              <w:fldChar w:fldCharType="separate"/>
            </w:r>
            <w:r w:rsidR="00E36A2B">
              <w:rPr>
                <w:noProof/>
                <w:webHidden/>
              </w:rPr>
              <w:t>24</w:t>
            </w:r>
            <w:r w:rsidR="006C0A74">
              <w:rPr>
                <w:noProof/>
                <w:webHidden/>
              </w:rPr>
              <w:fldChar w:fldCharType="end"/>
            </w:r>
          </w:hyperlink>
        </w:p>
        <w:p w14:paraId="131E4261"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56" w:history="1">
            <w:r w:rsidR="006C0A74" w:rsidRPr="00FD4618">
              <w:rPr>
                <w:rStyle w:val="Hyperlink"/>
                <w:noProof/>
              </w:rPr>
              <w:t>5.3.  Indicadores de costo beneficio del proyecto</w:t>
            </w:r>
            <w:r w:rsidR="006C0A74">
              <w:rPr>
                <w:noProof/>
                <w:webHidden/>
              </w:rPr>
              <w:tab/>
            </w:r>
            <w:r w:rsidR="006C0A74">
              <w:rPr>
                <w:noProof/>
                <w:webHidden/>
              </w:rPr>
              <w:fldChar w:fldCharType="begin"/>
            </w:r>
            <w:r w:rsidR="006C0A74">
              <w:rPr>
                <w:noProof/>
                <w:webHidden/>
              </w:rPr>
              <w:instrText xml:space="preserve"> PAGEREF _Toc17823756 \h </w:instrText>
            </w:r>
            <w:r w:rsidR="006C0A74">
              <w:rPr>
                <w:noProof/>
                <w:webHidden/>
              </w:rPr>
            </w:r>
            <w:r w:rsidR="006C0A74">
              <w:rPr>
                <w:noProof/>
                <w:webHidden/>
              </w:rPr>
              <w:fldChar w:fldCharType="separate"/>
            </w:r>
            <w:r w:rsidR="00E36A2B">
              <w:rPr>
                <w:noProof/>
                <w:webHidden/>
              </w:rPr>
              <w:t>24</w:t>
            </w:r>
            <w:r w:rsidR="006C0A74">
              <w:rPr>
                <w:noProof/>
                <w:webHidden/>
              </w:rPr>
              <w:fldChar w:fldCharType="end"/>
            </w:r>
          </w:hyperlink>
        </w:p>
        <w:p w14:paraId="0AE539F1" w14:textId="77777777" w:rsidR="006C0A74" w:rsidRDefault="00457C94">
          <w:pPr>
            <w:pStyle w:val="TOC1"/>
            <w:rPr>
              <w:rFonts w:asciiTheme="minorHAnsi" w:eastAsiaTheme="minorEastAsia" w:hAnsiTheme="minorHAnsi" w:cstheme="minorBidi"/>
              <w:noProof/>
              <w:szCs w:val="22"/>
              <w:lang w:val="en-US" w:eastAsia="en-US"/>
            </w:rPr>
          </w:pPr>
          <w:hyperlink w:anchor="_Toc17823757" w:history="1">
            <w:r w:rsidR="006C0A74" w:rsidRPr="00FD4618">
              <w:rPr>
                <w:rStyle w:val="Hyperlink"/>
                <w:noProof/>
              </w:rPr>
              <w:t>Sección 6. Análisis de Sensibilidad</w:t>
            </w:r>
            <w:r w:rsidR="006C0A74">
              <w:rPr>
                <w:noProof/>
                <w:webHidden/>
              </w:rPr>
              <w:tab/>
            </w:r>
            <w:r w:rsidR="006C0A74">
              <w:rPr>
                <w:noProof/>
                <w:webHidden/>
              </w:rPr>
              <w:fldChar w:fldCharType="begin"/>
            </w:r>
            <w:r w:rsidR="006C0A74">
              <w:rPr>
                <w:noProof/>
                <w:webHidden/>
              </w:rPr>
              <w:instrText xml:space="preserve"> PAGEREF _Toc17823757 \h </w:instrText>
            </w:r>
            <w:r w:rsidR="006C0A74">
              <w:rPr>
                <w:noProof/>
                <w:webHidden/>
              </w:rPr>
            </w:r>
            <w:r w:rsidR="006C0A74">
              <w:rPr>
                <w:noProof/>
                <w:webHidden/>
              </w:rPr>
              <w:fldChar w:fldCharType="separate"/>
            </w:r>
            <w:r w:rsidR="00E36A2B">
              <w:rPr>
                <w:noProof/>
                <w:webHidden/>
              </w:rPr>
              <w:t>26</w:t>
            </w:r>
            <w:r w:rsidR="006C0A74">
              <w:rPr>
                <w:noProof/>
                <w:webHidden/>
              </w:rPr>
              <w:fldChar w:fldCharType="end"/>
            </w:r>
          </w:hyperlink>
        </w:p>
        <w:p w14:paraId="16EC7698"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58" w:history="1">
            <w:r w:rsidR="006C0A74" w:rsidRPr="00FD4618">
              <w:rPr>
                <w:rStyle w:val="Hyperlink"/>
                <w:noProof/>
              </w:rPr>
              <w:t>6.1.  Variaciones en el precio del agua</w:t>
            </w:r>
            <w:r w:rsidR="006C0A74">
              <w:rPr>
                <w:noProof/>
                <w:webHidden/>
              </w:rPr>
              <w:tab/>
            </w:r>
            <w:r w:rsidR="006C0A74">
              <w:rPr>
                <w:noProof/>
                <w:webHidden/>
              </w:rPr>
              <w:fldChar w:fldCharType="begin"/>
            </w:r>
            <w:r w:rsidR="006C0A74">
              <w:rPr>
                <w:noProof/>
                <w:webHidden/>
              </w:rPr>
              <w:instrText xml:space="preserve"> PAGEREF _Toc17823758 \h </w:instrText>
            </w:r>
            <w:r w:rsidR="006C0A74">
              <w:rPr>
                <w:noProof/>
                <w:webHidden/>
              </w:rPr>
            </w:r>
            <w:r w:rsidR="006C0A74">
              <w:rPr>
                <w:noProof/>
                <w:webHidden/>
              </w:rPr>
              <w:fldChar w:fldCharType="separate"/>
            </w:r>
            <w:r w:rsidR="00E36A2B">
              <w:rPr>
                <w:noProof/>
                <w:webHidden/>
              </w:rPr>
              <w:t>26</w:t>
            </w:r>
            <w:r w:rsidR="006C0A74">
              <w:rPr>
                <w:noProof/>
                <w:webHidden/>
              </w:rPr>
              <w:fldChar w:fldCharType="end"/>
            </w:r>
          </w:hyperlink>
        </w:p>
        <w:p w14:paraId="088E66DC"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59" w:history="1">
            <w:r w:rsidR="006C0A74" w:rsidRPr="00FD4618">
              <w:rPr>
                <w:rStyle w:val="Hyperlink"/>
                <w:noProof/>
              </w:rPr>
              <w:t>6.2. Variaciones en el precio de los bienes forestales</w:t>
            </w:r>
            <w:r w:rsidR="006C0A74">
              <w:rPr>
                <w:noProof/>
                <w:webHidden/>
              </w:rPr>
              <w:tab/>
            </w:r>
            <w:r w:rsidR="006C0A74">
              <w:rPr>
                <w:noProof/>
                <w:webHidden/>
              </w:rPr>
              <w:fldChar w:fldCharType="begin"/>
            </w:r>
            <w:r w:rsidR="006C0A74">
              <w:rPr>
                <w:noProof/>
                <w:webHidden/>
              </w:rPr>
              <w:instrText xml:space="preserve"> PAGEREF _Toc17823759 \h </w:instrText>
            </w:r>
            <w:r w:rsidR="006C0A74">
              <w:rPr>
                <w:noProof/>
                <w:webHidden/>
              </w:rPr>
            </w:r>
            <w:r w:rsidR="006C0A74">
              <w:rPr>
                <w:noProof/>
                <w:webHidden/>
              </w:rPr>
              <w:fldChar w:fldCharType="separate"/>
            </w:r>
            <w:r w:rsidR="00E36A2B">
              <w:rPr>
                <w:noProof/>
                <w:webHidden/>
              </w:rPr>
              <w:t>27</w:t>
            </w:r>
            <w:r w:rsidR="006C0A74">
              <w:rPr>
                <w:noProof/>
                <w:webHidden/>
              </w:rPr>
              <w:fldChar w:fldCharType="end"/>
            </w:r>
          </w:hyperlink>
        </w:p>
        <w:p w14:paraId="5A0CBDE4"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60" w:history="1">
            <w:r w:rsidR="006C0A74" w:rsidRPr="00FD4618">
              <w:rPr>
                <w:rStyle w:val="Hyperlink"/>
                <w:noProof/>
              </w:rPr>
              <w:t>6.3.  Variación en la rentabilidad de SAF</w:t>
            </w:r>
            <w:r w:rsidR="006C0A74">
              <w:rPr>
                <w:noProof/>
                <w:webHidden/>
              </w:rPr>
              <w:tab/>
            </w:r>
            <w:r w:rsidR="006C0A74">
              <w:rPr>
                <w:noProof/>
                <w:webHidden/>
              </w:rPr>
              <w:fldChar w:fldCharType="begin"/>
            </w:r>
            <w:r w:rsidR="006C0A74">
              <w:rPr>
                <w:noProof/>
                <w:webHidden/>
              </w:rPr>
              <w:instrText xml:space="preserve"> PAGEREF _Toc17823760 \h </w:instrText>
            </w:r>
            <w:r w:rsidR="006C0A74">
              <w:rPr>
                <w:noProof/>
                <w:webHidden/>
              </w:rPr>
            </w:r>
            <w:r w:rsidR="006C0A74">
              <w:rPr>
                <w:noProof/>
                <w:webHidden/>
              </w:rPr>
              <w:fldChar w:fldCharType="separate"/>
            </w:r>
            <w:r w:rsidR="00E36A2B">
              <w:rPr>
                <w:noProof/>
                <w:webHidden/>
              </w:rPr>
              <w:t>27</w:t>
            </w:r>
            <w:r w:rsidR="006C0A74">
              <w:rPr>
                <w:noProof/>
                <w:webHidden/>
              </w:rPr>
              <w:fldChar w:fldCharType="end"/>
            </w:r>
          </w:hyperlink>
        </w:p>
        <w:p w14:paraId="35DDC7F8"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61" w:history="1">
            <w:r w:rsidR="006C0A74" w:rsidRPr="00FD4618">
              <w:rPr>
                <w:rStyle w:val="Hyperlink"/>
                <w:noProof/>
              </w:rPr>
              <w:t>6.4.  Variación en el precio del carbono</w:t>
            </w:r>
            <w:r w:rsidR="006C0A74">
              <w:rPr>
                <w:noProof/>
                <w:webHidden/>
              </w:rPr>
              <w:tab/>
            </w:r>
            <w:r w:rsidR="006C0A74">
              <w:rPr>
                <w:noProof/>
                <w:webHidden/>
              </w:rPr>
              <w:fldChar w:fldCharType="begin"/>
            </w:r>
            <w:r w:rsidR="006C0A74">
              <w:rPr>
                <w:noProof/>
                <w:webHidden/>
              </w:rPr>
              <w:instrText xml:space="preserve"> PAGEREF _Toc17823761 \h </w:instrText>
            </w:r>
            <w:r w:rsidR="006C0A74">
              <w:rPr>
                <w:noProof/>
                <w:webHidden/>
              </w:rPr>
            </w:r>
            <w:r w:rsidR="006C0A74">
              <w:rPr>
                <w:noProof/>
                <w:webHidden/>
              </w:rPr>
              <w:fldChar w:fldCharType="separate"/>
            </w:r>
            <w:r w:rsidR="00E36A2B">
              <w:rPr>
                <w:noProof/>
                <w:webHidden/>
              </w:rPr>
              <w:t>28</w:t>
            </w:r>
            <w:r w:rsidR="006C0A74">
              <w:rPr>
                <w:noProof/>
                <w:webHidden/>
              </w:rPr>
              <w:fldChar w:fldCharType="end"/>
            </w:r>
          </w:hyperlink>
        </w:p>
        <w:p w14:paraId="184D3D67" w14:textId="77777777" w:rsidR="006C0A74" w:rsidRDefault="00457C94">
          <w:pPr>
            <w:pStyle w:val="TOC2"/>
            <w:tabs>
              <w:tab w:val="right" w:leader="dot" w:pos="8494"/>
            </w:tabs>
            <w:rPr>
              <w:rFonts w:asciiTheme="minorHAnsi" w:eastAsiaTheme="minorEastAsia" w:hAnsiTheme="minorHAnsi" w:cstheme="minorBidi"/>
              <w:noProof/>
              <w:szCs w:val="22"/>
              <w:lang w:val="en-US" w:eastAsia="en-US"/>
            </w:rPr>
          </w:pPr>
          <w:hyperlink w:anchor="_Toc17823762" w:history="1">
            <w:r w:rsidR="006C0A74" w:rsidRPr="00FD4618">
              <w:rPr>
                <w:rStyle w:val="Hyperlink"/>
                <w:noProof/>
              </w:rPr>
              <w:t>6.5.  Cambios en la tasa de descuento</w:t>
            </w:r>
            <w:r w:rsidR="006C0A74">
              <w:rPr>
                <w:noProof/>
                <w:webHidden/>
              </w:rPr>
              <w:tab/>
            </w:r>
            <w:r w:rsidR="006C0A74">
              <w:rPr>
                <w:noProof/>
                <w:webHidden/>
              </w:rPr>
              <w:fldChar w:fldCharType="begin"/>
            </w:r>
            <w:r w:rsidR="006C0A74">
              <w:rPr>
                <w:noProof/>
                <w:webHidden/>
              </w:rPr>
              <w:instrText xml:space="preserve"> PAGEREF _Toc17823762 \h </w:instrText>
            </w:r>
            <w:r w:rsidR="006C0A74">
              <w:rPr>
                <w:noProof/>
                <w:webHidden/>
              </w:rPr>
            </w:r>
            <w:r w:rsidR="006C0A74">
              <w:rPr>
                <w:noProof/>
                <w:webHidden/>
              </w:rPr>
              <w:fldChar w:fldCharType="separate"/>
            </w:r>
            <w:r w:rsidR="00E36A2B">
              <w:rPr>
                <w:noProof/>
                <w:webHidden/>
              </w:rPr>
              <w:t>28</w:t>
            </w:r>
            <w:r w:rsidR="006C0A74">
              <w:rPr>
                <w:noProof/>
                <w:webHidden/>
              </w:rPr>
              <w:fldChar w:fldCharType="end"/>
            </w:r>
          </w:hyperlink>
        </w:p>
        <w:p w14:paraId="663956C2" w14:textId="77777777" w:rsidR="006C0A74" w:rsidRDefault="00457C94">
          <w:pPr>
            <w:pStyle w:val="TOC1"/>
            <w:rPr>
              <w:rFonts w:asciiTheme="minorHAnsi" w:eastAsiaTheme="minorEastAsia" w:hAnsiTheme="minorHAnsi" w:cstheme="minorBidi"/>
              <w:noProof/>
              <w:szCs w:val="22"/>
              <w:lang w:val="en-US" w:eastAsia="en-US"/>
            </w:rPr>
          </w:pPr>
          <w:hyperlink w:anchor="_Toc17823763" w:history="1">
            <w:r w:rsidR="006C0A74" w:rsidRPr="00FD4618">
              <w:rPr>
                <w:rStyle w:val="Hyperlink"/>
                <w:noProof/>
              </w:rPr>
              <w:t>Sección 7.  Conclusiones</w:t>
            </w:r>
            <w:r w:rsidR="006C0A74">
              <w:rPr>
                <w:noProof/>
                <w:webHidden/>
              </w:rPr>
              <w:tab/>
            </w:r>
            <w:r w:rsidR="006C0A74">
              <w:rPr>
                <w:noProof/>
                <w:webHidden/>
              </w:rPr>
              <w:fldChar w:fldCharType="begin"/>
            </w:r>
            <w:r w:rsidR="006C0A74">
              <w:rPr>
                <w:noProof/>
                <w:webHidden/>
              </w:rPr>
              <w:instrText xml:space="preserve"> PAGEREF _Toc17823763 \h </w:instrText>
            </w:r>
            <w:r w:rsidR="006C0A74">
              <w:rPr>
                <w:noProof/>
                <w:webHidden/>
              </w:rPr>
            </w:r>
            <w:r w:rsidR="006C0A74">
              <w:rPr>
                <w:noProof/>
                <w:webHidden/>
              </w:rPr>
              <w:fldChar w:fldCharType="separate"/>
            </w:r>
            <w:r w:rsidR="00E36A2B">
              <w:rPr>
                <w:noProof/>
                <w:webHidden/>
              </w:rPr>
              <w:t>29</w:t>
            </w:r>
            <w:r w:rsidR="006C0A74">
              <w:rPr>
                <w:noProof/>
                <w:webHidden/>
              </w:rPr>
              <w:fldChar w:fldCharType="end"/>
            </w:r>
          </w:hyperlink>
        </w:p>
        <w:p w14:paraId="40C22F1C" w14:textId="77777777" w:rsidR="006C0A74" w:rsidRDefault="00457C94">
          <w:pPr>
            <w:pStyle w:val="TOC1"/>
            <w:rPr>
              <w:rFonts w:asciiTheme="minorHAnsi" w:eastAsiaTheme="minorEastAsia" w:hAnsiTheme="minorHAnsi" w:cstheme="minorBidi"/>
              <w:noProof/>
              <w:szCs w:val="22"/>
              <w:lang w:val="en-US" w:eastAsia="en-US"/>
            </w:rPr>
          </w:pPr>
          <w:hyperlink w:anchor="_Toc17823764" w:history="1">
            <w:r w:rsidR="006C0A74" w:rsidRPr="00FD4618">
              <w:rPr>
                <w:rStyle w:val="Hyperlink"/>
                <w:noProof/>
              </w:rPr>
              <w:t>Referencias</w:t>
            </w:r>
            <w:r w:rsidR="006C0A74">
              <w:rPr>
                <w:noProof/>
                <w:webHidden/>
              </w:rPr>
              <w:tab/>
            </w:r>
            <w:r w:rsidR="006C0A74">
              <w:rPr>
                <w:noProof/>
                <w:webHidden/>
              </w:rPr>
              <w:fldChar w:fldCharType="begin"/>
            </w:r>
            <w:r w:rsidR="006C0A74">
              <w:rPr>
                <w:noProof/>
                <w:webHidden/>
              </w:rPr>
              <w:instrText xml:space="preserve"> PAGEREF _Toc17823764 \h </w:instrText>
            </w:r>
            <w:r w:rsidR="006C0A74">
              <w:rPr>
                <w:noProof/>
                <w:webHidden/>
              </w:rPr>
            </w:r>
            <w:r w:rsidR="006C0A74">
              <w:rPr>
                <w:noProof/>
                <w:webHidden/>
              </w:rPr>
              <w:fldChar w:fldCharType="separate"/>
            </w:r>
            <w:r w:rsidR="00E36A2B">
              <w:rPr>
                <w:noProof/>
                <w:webHidden/>
              </w:rPr>
              <w:t>30</w:t>
            </w:r>
            <w:r w:rsidR="006C0A74">
              <w:rPr>
                <w:noProof/>
                <w:webHidden/>
              </w:rPr>
              <w:fldChar w:fldCharType="end"/>
            </w:r>
          </w:hyperlink>
        </w:p>
        <w:p w14:paraId="4380F23C" w14:textId="77777777" w:rsidR="009522BD" w:rsidRDefault="009522BD">
          <w:r>
            <w:rPr>
              <w:b/>
              <w:bCs/>
              <w:lang w:val="es-ES"/>
            </w:rPr>
            <w:fldChar w:fldCharType="end"/>
          </w:r>
        </w:p>
      </w:sdtContent>
    </w:sdt>
    <w:p w14:paraId="44D9C29C" w14:textId="77777777" w:rsidR="009522BD" w:rsidRDefault="009522BD">
      <w:pPr>
        <w:spacing w:after="160" w:line="259" w:lineRule="auto"/>
        <w:jc w:val="left"/>
        <w:rPr>
          <w:b/>
          <w:lang w:val="es-ES"/>
        </w:rPr>
      </w:pPr>
      <w:r>
        <w:br w:type="page"/>
      </w:r>
    </w:p>
    <w:p w14:paraId="710BBA34" w14:textId="77777777" w:rsidR="00B54897" w:rsidRPr="00BB3A3B" w:rsidRDefault="00C94803" w:rsidP="00BB3A3B">
      <w:pPr>
        <w:pStyle w:val="Heading1"/>
      </w:pPr>
      <w:bookmarkStart w:id="1" w:name="_Toc17823737"/>
      <w:r w:rsidRPr="00BB3A3B">
        <w:lastRenderedPageBreak/>
        <w:t>Introducción</w:t>
      </w:r>
      <w:bookmarkEnd w:id="1"/>
    </w:p>
    <w:p w14:paraId="69F34D6E" w14:textId="77777777" w:rsidR="0047509A" w:rsidRPr="00E50285" w:rsidRDefault="00B54897" w:rsidP="00854EFC">
      <w:pPr>
        <w:pStyle w:val="parrafonumerado"/>
        <w:rPr>
          <w:lang w:eastAsia="en-US"/>
        </w:rPr>
      </w:pPr>
      <w:r w:rsidRPr="00E50285">
        <w:rPr>
          <w:lang w:eastAsia="en-US"/>
        </w:rPr>
        <w:t xml:space="preserve">Honduras es el país centroamericano con mayor cobertura de bosque, con 5.4 millones de Ha. (Mapa Forestal </w:t>
      </w:r>
      <w:r w:rsidR="002E3F3A" w:rsidRPr="00E50285">
        <w:rPr>
          <w:lang w:eastAsia="en-US"/>
        </w:rPr>
        <w:t xml:space="preserve">del </w:t>
      </w:r>
      <w:r w:rsidRPr="00E50285">
        <w:rPr>
          <w:lang w:eastAsia="en-US"/>
        </w:rPr>
        <w:t>ICF, 2014</w:t>
      </w:r>
      <w:r w:rsidR="002E3F3A" w:rsidRPr="00E50285">
        <w:rPr>
          <w:lang w:eastAsia="en-US"/>
        </w:rPr>
        <w:footnoteReference w:id="1"/>
      </w:r>
      <w:r w:rsidRPr="00E50285">
        <w:rPr>
          <w:lang w:eastAsia="en-US"/>
        </w:rPr>
        <w:t xml:space="preserve">), que equivale al 48% del territorio nacional. </w:t>
      </w:r>
      <w:r w:rsidR="0047509A" w:rsidRPr="00E50285">
        <w:rPr>
          <w:lang w:eastAsia="en-US"/>
        </w:rPr>
        <w:t>Dentro de esta cobertura, el bosque de conífera (37% del área forestal) adquiere importancia estratégica por su ubicación y capacidad para generar servicios ecosistémicos claves como la seguridad hídrica, la protección de la biodiversidad y provisión de diversos servicios paisajísticos, ya que representa la cobertura forestal principal en las cuencas abastecedoras de agua que benefician a la mayor parte de la población de Honduras.</w:t>
      </w:r>
    </w:p>
    <w:p w14:paraId="35EE6E92" w14:textId="77777777" w:rsidR="0047509A" w:rsidRPr="00E50285" w:rsidRDefault="0047509A" w:rsidP="00854EFC">
      <w:pPr>
        <w:pStyle w:val="parrafonumerado"/>
        <w:rPr>
          <w:lang w:eastAsia="en-US"/>
        </w:rPr>
      </w:pPr>
      <w:r w:rsidRPr="00E50285">
        <w:rPr>
          <w:lang w:eastAsia="en-US"/>
        </w:rPr>
        <w:t>El bosque de conífera hondureño se ha visto seriamente afectado en los últimos cinco años por la acción de la plaga del gorgojo descortezador (</w:t>
      </w:r>
      <w:proofErr w:type="spellStart"/>
      <w:r w:rsidRPr="00E50285">
        <w:rPr>
          <w:lang w:eastAsia="en-US"/>
        </w:rPr>
        <w:t>Dendroctonus</w:t>
      </w:r>
      <w:proofErr w:type="spellEnd"/>
      <w:r w:rsidRPr="00E50285">
        <w:rPr>
          <w:lang w:eastAsia="en-US"/>
        </w:rPr>
        <w:t xml:space="preserve"> </w:t>
      </w:r>
      <w:proofErr w:type="spellStart"/>
      <w:r w:rsidRPr="00E50285">
        <w:rPr>
          <w:lang w:eastAsia="en-US"/>
        </w:rPr>
        <w:t>frontalis</w:t>
      </w:r>
      <w:proofErr w:type="spellEnd"/>
      <w:r w:rsidRPr="00E50285">
        <w:rPr>
          <w:lang w:eastAsia="en-US"/>
        </w:rPr>
        <w:t xml:space="preserve">).  </w:t>
      </w:r>
      <w:bookmarkStart w:id="2" w:name="_Ref465710678"/>
      <w:r w:rsidRPr="00E50285">
        <w:rPr>
          <w:lang w:eastAsia="en-US"/>
        </w:rPr>
        <w:t>Entre el 201</w:t>
      </w:r>
      <w:r w:rsidR="008B7036" w:rsidRPr="00E50285">
        <w:rPr>
          <w:lang w:eastAsia="en-US"/>
        </w:rPr>
        <w:t>3</w:t>
      </w:r>
      <w:r w:rsidRPr="00E50285">
        <w:rPr>
          <w:lang w:eastAsia="en-US"/>
        </w:rPr>
        <w:t xml:space="preserve"> al 201</w:t>
      </w:r>
      <w:r w:rsidR="008B7036" w:rsidRPr="00E50285">
        <w:rPr>
          <w:lang w:eastAsia="en-US"/>
        </w:rPr>
        <w:t>6</w:t>
      </w:r>
      <w:r w:rsidRPr="00E50285">
        <w:rPr>
          <w:lang w:eastAsia="en-US"/>
        </w:rPr>
        <w:t xml:space="preserve"> se produjo la afectación más destructiva de las últimas 5 décadas, la cual fue influenciada por una reducción significativa en la precipitación por efecto Fenómeno del Niño durante este período. Se estima que los impactos en términos de pérdida de servicios ecosistémicos vinculados al bosque afectaron al 71% (5.9 millones) de la población del país.  La plaga generó una pérdida de 488.111 Ha. de bosque de pino, que equivale a la pérdida por deforestación (acción humana) de bosque que hubiera ocurrido en 110 años de acuerdo a las tasas de pérdida previas a la epidemia.  </w:t>
      </w:r>
      <w:bookmarkEnd w:id="2"/>
      <w:r w:rsidRPr="00E50285">
        <w:rPr>
          <w:lang w:eastAsia="en-US"/>
        </w:rPr>
        <w:t xml:space="preserve">Este evento ha develado una alta vulnerabilidad de Honduras a la pérdida de bosque de pino por plaga del gorgojo. De no tomarse medidas, se proyecta que esta vulnerabilidad se incrementará aún más en los próximos años por efectos del Cambio Climático.  Esto es crítico considerando que Honduras tiene uno de los mayores índices de riesgo climático a nivel mundial. </w:t>
      </w:r>
    </w:p>
    <w:p w14:paraId="1714A950" w14:textId="77777777" w:rsidR="0047509A" w:rsidRPr="00E50285" w:rsidRDefault="0047509A" w:rsidP="00854EFC">
      <w:pPr>
        <w:pStyle w:val="parrafonumerado"/>
        <w:rPr>
          <w:lang w:eastAsia="en-US"/>
        </w:rPr>
      </w:pPr>
      <w:r w:rsidRPr="00E50285">
        <w:rPr>
          <w:lang w:eastAsia="en-US"/>
        </w:rPr>
        <w:t xml:space="preserve">Uno de los efectos más preocupantes de este proceso es la creciente vulnerabilidad de la población hondureña en cuanto al acceso al agua.  Una gran proporción del agua que abastece a las ciudades y zonas rurales se origina en ecosistemas en los cuales la cobertura forestal de pino juega un rol crucial.  Por ejemplo, para un conjunto de 29 subcuencas críticas donde predomina el bosque de pino y situadas en las zonas más pobladas del país (incluye a Tegucigalpa), las proyecciones de oferta y demanda hídrica para el año 2020 evidencian que la demanda de agua superará la oferta en los meses secos (enero-abril) en por lo menos 10 subcuencas, y para el 2050 en no menos de 14 subcuencas.  Entre 2020 y 2050, el déficit hídrico total en dichos meses secos aumentará en 100%.  </w:t>
      </w:r>
    </w:p>
    <w:p w14:paraId="0EB0267A" w14:textId="1F698C76" w:rsidR="00062B1E" w:rsidRPr="00E50285" w:rsidRDefault="0047509A" w:rsidP="00854EFC">
      <w:pPr>
        <w:pStyle w:val="parrafonumerado"/>
        <w:rPr>
          <w:lang w:eastAsia="en-US"/>
        </w:rPr>
      </w:pPr>
      <w:r w:rsidRPr="00E50285">
        <w:rPr>
          <w:lang w:eastAsia="en-US"/>
        </w:rPr>
        <w:t xml:space="preserve">Actualmente las autoridades de Honduras han definido como una prioridad intervenir sobre la alta vulnerabilidad del bosque de pino ante el Cambio Climático para lograr objetivos sociales, ambientales y de desarrollo de largo plazo.  </w:t>
      </w:r>
      <w:r w:rsidR="00B54897" w:rsidRPr="00E50285">
        <w:rPr>
          <w:lang w:eastAsia="en-US"/>
        </w:rPr>
        <w:t xml:space="preserve">Para poder enfrentar estos retos, el gobierno de Honduras solicitó el apoyo del BID para diseñar un proyecto de “Manejo Sostenible de Bosques - MSB”, el que fue aprobado por un monto de US$ 25 millones en 2017 y está en fase de inicio en 2018.  El diagnóstico y la visión del proyecto MSB son una base importante para la solicitud de fondos </w:t>
      </w:r>
      <w:r w:rsidRPr="00E50285">
        <w:rPr>
          <w:lang w:eastAsia="en-US"/>
        </w:rPr>
        <w:t xml:space="preserve">adicionales </w:t>
      </w:r>
      <w:r w:rsidR="00B54897" w:rsidRPr="00E50285">
        <w:rPr>
          <w:lang w:eastAsia="en-US"/>
        </w:rPr>
        <w:t>al F</w:t>
      </w:r>
      <w:r w:rsidRPr="00E50285">
        <w:rPr>
          <w:lang w:eastAsia="en-US"/>
        </w:rPr>
        <w:t xml:space="preserve">ondo </w:t>
      </w:r>
      <w:r w:rsidR="00B54897" w:rsidRPr="00E50285">
        <w:rPr>
          <w:lang w:eastAsia="en-US"/>
        </w:rPr>
        <w:t>V</w:t>
      </w:r>
      <w:r w:rsidRPr="00E50285">
        <w:rPr>
          <w:lang w:eastAsia="en-US"/>
        </w:rPr>
        <w:t xml:space="preserve">erde del </w:t>
      </w:r>
      <w:r w:rsidR="00B54897" w:rsidRPr="00E50285">
        <w:rPr>
          <w:lang w:eastAsia="en-US"/>
        </w:rPr>
        <w:t>C</w:t>
      </w:r>
      <w:r w:rsidRPr="00E50285">
        <w:rPr>
          <w:lang w:eastAsia="en-US"/>
        </w:rPr>
        <w:t>lima (FVC)</w:t>
      </w:r>
      <w:r w:rsidR="00B54897" w:rsidRPr="00E50285">
        <w:rPr>
          <w:lang w:eastAsia="en-US"/>
        </w:rPr>
        <w:t xml:space="preserve"> con el objetivo de diseñar y consolidar un nuevo modelo de gobernanza forestal que incremente en forma sostenida y sostenible la resiliencia del bosque y por lo tanto de la población hondureña ante los efectos del cambio climático. </w:t>
      </w:r>
      <w:r w:rsidR="00F11EE2" w:rsidRPr="00E50285">
        <w:rPr>
          <w:lang w:eastAsia="en-US"/>
        </w:rPr>
        <w:t xml:space="preserve"> Dicha solicitud ya fue aprobada por el FVC y ahora el proyecto debe también ser aprobado por el directorio del BID.  La presente evaluación económica ex ante se realiza para este propósito.</w:t>
      </w:r>
    </w:p>
    <w:p w14:paraId="27485B26" w14:textId="1D607C03" w:rsidR="00F11EE2" w:rsidRPr="00E50285" w:rsidRDefault="00F11EE2" w:rsidP="00854EFC">
      <w:pPr>
        <w:pStyle w:val="parrafonumerado"/>
        <w:rPr>
          <w:lang w:eastAsia="en-US"/>
        </w:rPr>
      </w:pPr>
      <w:r w:rsidRPr="00E50285">
        <w:rPr>
          <w:lang w:eastAsia="en-US"/>
        </w:rPr>
        <w:t xml:space="preserve">Esta operación se basa en la propuesta aprobada por el Fondo Verde del Clima (FVC), la cual considera complementariedades y sinergias con HO-L1179 y la Cooperación Técnica “Manejo Agroforestal Sostenible y Agroforestería en Cuencas Críticas para el </w:t>
      </w:r>
      <w:r w:rsidRPr="00E50285">
        <w:rPr>
          <w:lang w:eastAsia="en-US"/>
        </w:rPr>
        <w:lastRenderedPageBreak/>
        <w:t xml:space="preserve">Abastecimiento de Agua de Honduras” (HO-T1286; ATN/AG-16963-HO). Específicamente, se logrará un enfoque integral y sostenible al combinar dentro de una misma área geográfica actividades de restauración y conservación de diversos tipos de bosques: HO-L1179 con restauración de bosque de coníferas afectado por el gorgojo; mientras este programa incluye todo tipo de bosque, proporcionando además apoyo para SAF y Manejo Forestal Adaptativo (MAF). Asimismo, este programa abarca la sostenibilidad en el manejo forestal iniciado con HO-L1179 y HO-T1286 a través de financiamiento a largo plazo mediante esquemas de fondos de agua. </w:t>
      </w:r>
    </w:p>
    <w:p w14:paraId="16C0C394" w14:textId="7EFE60AA" w:rsidR="0047509A" w:rsidRPr="00E50285" w:rsidRDefault="0047509A" w:rsidP="00854EFC">
      <w:pPr>
        <w:pStyle w:val="parrafonumerado"/>
        <w:rPr>
          <w:lang w:eastAsia="en-US"/>
        </w:rPr>
      </w:pPr>
      <w:r w:rsidRPr="00E50285">
        <w:rPr>
          <w:lang w:eastAsia="en-US"/>
        </w:rPr>
        <w:t xml:space="preserve">El proyecto se orienta a </w:t>
      </w:r>
      <w:r w:rsidR="004149A9" w:rsidRPr="00E50285">
        <w:rPr>
          <w:lang w:eastAsia="en-US"/>
        </w:rPr>
        <w:t xml:space="preserve">reducir </w:t>
      </w:r>
      <w:r w:rsidRPr="00E50285">
        <w:rPr>
          <w:lang w:eastAsia="en-US"/>
        </w:rPr>
        <w:t xml:space="preserve">la </w:t>
      </w:r>
      <w:r w:rsidR="004149A9" w:rsidRPr="00E50285">
        <w:rPr>
          <w:lang w:eastAsia="en-US"/>
        </w:rPr>
        <w:t>vulnerabilidad</w:t>
      </w:r>
      <w:r w:rsidRPr="00E50285">
        <w:rPr>
          <w:lang w:eastAsia="en-US"/>
        </w:rPr>
        <w:t xml:space="preserve"> climática de la población de Honduras mediante el incremento sostenible de la resiliencia del bosque de pino ante el Cambio Climático en áreas críticas para la provisión del servicio ecosistémico de agua hacia la población.  La intervención está orientada a eliminar barreras que afectan la </w:t>
      </w:r>
      <w:r w:rsidR="002E3F3A" w:rsidRPr="00E50285">
        <w:rPr>
          <w:lang w:eastAsia="en-US"/>
        </w:rPr>
        <w:t>resiliencia</w:t>
      </w:r>
      <w:r w:rsidRPr="00E50285">
        <w:rPr>
          <w:lang w:eastAsia="en-US"/>
        </w:rPr>
        <w:t xml:space="preserve"> del bosque como la limitada adopción del manejo </w:t>
      </w:r>
      <w:r w:rsidR="00F11EE2" w:rsidRPr="00E50285">
        <w:rPr>
          <w:lang w:eastAsia="en-US"/>
        </w:rPr>
        <w:t xml:space="preserve">forestal </w:t>
      </w:r>
      <w:r w:rsidR="008B7036" w:rsidRPr="00E50285">
        <w:rPr>
          <w:lang w:eastAsia="en-US"/>
        </w:rPr>
        <w:t>adaptativo</w:t>
      </w:r>
      <w:r w:rsidRPr="00E50285">
        <w:rPr>
          <w:lang w:eastAsia="en-US"/>
        </w:rPr>
        <w:t>-M</w:t>
      </w:r>
      <w:r w:rsidR="00F11EE2" w:rsidRPr="00E50285">
        <w:rPr>
          <w:lang w:eastAsia="en-US"/>
        </w:rPr>
        <w:t xml:space="preserve">FA </w:t>
      </w:r>
      <w:r w:rsidRPr="00E50285">
        <w:rPr>
          <w:lang w:eastAsia="en-US"/>
        </w:rPr>
        <w:t xml:space="preserve">y de sistemas agroforestales-SAF adaptados al cambio climático. Además, el proyecto enfrentará barreras de gobernanza, culturales, tecnológicas y financieras mediante el uso de instrumentos financieros diseñados para garantizar la sostenibilidad de largo plazo del modelo propuesto. </w:t>
      </w:r>
    </w:p>
    <w:p w14:paraId="7C1BD383" w14:textId="602443E3" w:rsidR="008B7036" w:rsidRDefault="0047509A" w:rsidP="00854EFC">
      <w:pPr>
        <w:pStyle w:val="parrafonumerado"/>
        <w:rPr>
          <w:lang w:eastAsia="en-US"/>
        </w:rPr>
      </w:pPr>
      <w:r w:rsidRPr="0047509A">
        <w:rPr>
          <w:lang w:eastAsia="en-US"/>
        </w:rPr>
        <w:t xml:space="preserve">El área de intervención del proyecto </w:t>
      </w:r>
      <w:r w:rsidR="008B7036">
        <w:rPr>
          <w:lang w:eastAsia="en-US"/>
        </w:rPr>
        <w:t>se</w:t>
      </w:r>
      <w:r w:rsidRPr="0047509A">
        <w:rPr>
          <w:lang w:eastAsia="en-US"/>
        </w:rPr>
        <w:t xml:space="preserve"> ubica en la zona central de Honduras</w:t>
      </w:r>
      <w:r w:rsidR="008B7036">
        <w:rPr>
          <w:lang w:eastAsia="en-US"/>
        </w:rPr>
        <w:t>, ampliando la cobertura del proyecto MSB.  Con el proyecto FVC se a</w:t>
      </w:r>
      <w:r w:rsidR="005B6C73">
        <w:rPr>
          <w:lang w:eastAsia="en-US"/>
        </w:rPr>
        <w:t xml:space="preserve">umentan las subcuencas </w:t>
      </w:r>
      <w:r w:rsidR="008B7036">
        <w:rPr>
          <w:lang w:eastAsia="en-US"/>
        </w:rPr>
        <w:t xml:space="preserve">de 23 a </w:t>
      </w:r>
      <w:r w:rsidR="005B6C73">
        <w:rPr>
          <w:lang w:eastAsia="en-US"/>
        </w:rPr>
        <w:t xml:space="preserve">un total de </w:t>
      </w:r>
      <w:r w:rsidR="008B7036">
        <w:rPr>
          <w:lang w:eastAsia="en-US"/>
        </w:rPr>
        <w:t xml:space="preserve">29, ubicadas en zonas en las que el </w:t>
      </w:r>
      <w:r w:rsidRPr="0047509A">
        <w:rPr>
          <w:lang w:eastAsia="en-US"/>
        </w:rPr>
        <w:t xml:space="preserve">Cambio Climático </w:t>
      </w:r>
      <w:r w:rsidR="005B6C73">
        <w:rPr>
          <w:lang w:eastAsia="en-US"/>
        </w:rPr>
        <w:t xml:space="preserve">viene </w:t>
      </w:r>
      <w:r w:rsidR="008B7036">
        <w:rPr>
          <w:lang w:eastAsia="en-US"/>
        </w:rPr>
        <w:t>ten</w:t>
      </w:r>
      <w:r w:rsidR="005B6C73">
        <w:rPr>
          <w:lang w:eastAsia="en-US"/>
        </w:rPr>
        <w:t>iendo el</w:t>
      </w:r>
      <w:r w:rsidR="008B7036">
        <w:rPr>
          <w:lang w:eastAsia="en-US"/>
        </w:rPr>
        <w:t xml:space="preserve"> mayor impacto </w:t>
      </w:r>
      <w:r w:rsidRPr="0047509A">
        <w:rPr>
          <w:lang w:eastAsia="en-US"/>
        </w:rPr>
        <w:t>en el aumento de la escasez hídrica</w:t>
      </w:r>
      <w:r w:rsidR="008B7036">
        <w:rPr>
          <w:lang w:eastAsia="en-US"/>
        </w:rPr>
        <w:t>, tanto</w:t>
      </w:r>
      <w:r w:rsidRPr="0047509A">
        <w:rPr>
          <w:lang w:eastAsia="en-US"/>
        </w:rPr>
        <w:t xml:space="preserve"> por </w:t>
      </w:r>
      <w:r w:rsidR="008B7036">
        <w:rPr>
          <w:lang w:eastAsia="en-US"/>
        </w:rPr>
        <w:t>la ubicación del bosque</w:t>
      </w:r>
      <w:r w:rsidR="005B6C73">
        <w:rPr>
          <w:lang w:eastAsia="en-US"/>
        </w:rPr>
        <w:t xml:space="preserve"> y</w:t>
      </w:r>
      <w:r w:rsidR="008B7036">
        <w:rPr>
          <w:lang w:eastAsia="en-US"/>
        </w:rPr>
        <w:t xml:space="preserve"> ataque de la plaga </w:t>
      </w:r>
      <w:r w:rsidR="005B6C73">
        <w:rPr>
          <w:lang w:eastAsia="en-US"/>
        </w:rPr>
        <w:t>como por</w:t>
      </w:r>
      <w:r w:rsidR="008B7036">
        <w:rPr>
          <w:lang w:eastAsia="en-US"/>
        </w:rPr>
        <w:t xml:space="preserve"> la alta</w:t>
      </w:r>
      <w:r w:rsidRPr="0047509A">
        <w:rPr>
          <w:lang w:eastAsia="en-US"/>
        </w:rPr>
        <w:t xml:space="preserve"> densidad poblacional. </w:t>
      </w:r>
      <w:r w:rsidR="008B7036">
        <w:rPr>
          <w:lang w:eastAsia="en-US"/>
        </w:rPr>
        <w:t xml:space="preserve">El proyecto </w:t>
      </w:r>
      <w:r w:rsidR="00F11EE2">
        <w:rPr>
          <w:lang w:eastAsia="en-US"/>
        </w:rPr>
        <w:t>e</w:t>
      </w:r>
      <w:r w:rsidR="008B7036">
        <w:rPr>
          <w:lang w:eastAsia="en-US"/>
        </w:rPr>
        <w:t xml:space="preserve">stá orientado a restaurar 10,664 Ha de bosque de manejo privado, </w:t>
      </w:r>
      <w:r w:rsidR="005B6C73">
        <w:rPr>
          <w:lang w:eastAsia="en-US"/>
        </w:rPr>
        <w:t xml:space="preserve">a </w:t>
      </w:r>
      <w:r w:rsidR="008B7036">
        <w:rPr>
          <w:lang w:eastAsia="en-US"/>
        </w:rPr>
        <w:t xml:space="preserve">promover 30,000 Ha. de sistemas agroforestales, y a la adopción de manejo adaptativo del bosque en 187,000 Ha. de bosque no plagado.  </w:t>
      </w:r>
    </w:p>
    <w:p w14:paraId="528E451F" w14:textId="7FCF4C9F" w:rsidR="0047509A" w:rsidRPr="0047509A" w:rsidRDefault="005B6C73" w:rsidP="00854EFC">
      <w:pPr>
        <w:pStyle w:val="parrafonumerado"/>
        <w:rPr>
          <w:lang w:eastAsia="en-US"/>
        </w:rPr>
      </w:pPr>
      <w:r>
        <w:rPr>
          <w:lang w:eastAsia="en-US"/>
        </w:rPr>
        <w:t xml:space="preserve">Sumando las intervenciones del MSB y FVC </w:t>
      </w:r>
      <w:r w:rsidR="0047509A" w:rsidRPr="0047509A">
        <w:rPr>
          <w:lang w:eastAsia="en-US"/>
        </w:rPr>
        <w:t xml:space="preserve">el área de intervención </w:t>
      </w:r>
      <w:r>
        <w:rPr>
          <w:lang w:eastAsia="en-US"/>
        </w:rPr>
        <w:t>abarca a</w:t>
      </w:r>
      <w:r w:rsidR="0047509A" w:rsidRPr="0047509A">
        <w:rPr>
          <w:lang w:eastAsia="en-US"/>
        </w:rPr>
        <w:t xml:space="preserve"> 1.09 millón de Ha., y de este total, el proyecto </w:t>
      </w:r>
      <w:r>
        <w:rPr>
          <w:lang w:eastAsia="en-US"/>
        </w:rPr>
        <w:t xml:space="preserve">integrado </w:t>
      </w:r>
      <w:r w:rsidR="0047509A" w:rsidRPr="0047509A">
        <w:rPr>
          <w:lang w:eastAsia="en-US"/>
        </w:rPr>
        <w:t xml:space="preserve">intervendrá en </w:t>
      </w:r>
      <w:r w:rsidR="008B7036">
        <w:rPr>
          <w:lang w:eastAsia="en-US"/>
        </w:rPr>
        <w:t>270,000</w:t>
      </w:r>
      <w:r w:rsidR="004149A9">
        <w:rPr>
          <w:lang w:eastAsia="en-US"/>
        </w:rPr>
        <w:t xml:space="preserve"> </w:t>
      </w:r>
      <w:r w:rsidR="0047509A" w:rsidRPr="0047509A">
        <w:rPr>
          <w:lang w:eastAsia="en-US"/>
        </w:rPr>
        <w:t xml:space="preserve">Ha. </w:t>
      </w:r>
      <w:r w:rsidR="00593A07">
        <w:rPr>
          <w:lang w:eastAsia="en-US"/>
        </w:rPr>
        <w:t>(</w:t>
      </w:r>
      <w:r w:rsidR="008B7036">
        <w:rPr>
          <w:lang w:eastAsia="en-US"/>
        </w:rPr>
        <w:t>2</w:t>
      </w:r>
      <w:r w:rsidR="006A0893">
        <w:rPr>
          <w:lang w:eastAsia="en-US"/>
        </w:rPr>
        <w:t>7</w:t>
      </w:r>
      <w:r w:rsidR="0047509A" w:rsidRPr="0047509A">
        <w:rPr>
          <w:lang w:eastAsia="en-US"/>
        </w:rPr>
        <w:t>%</w:t>
      </w:r>
      <w:r w:rsidR="004149A9">
        <w:rPr>
          <w:lang w:eastAsia="en-US"/>
        </w:rPr>
        <w:t xml:space="preserve"> del área en el ámbito de influencia</w:t>
      </w:r>
      <w:r w:rsidR="0047509A" w:rsidRPr="0047509A">
        <w:rPr>
          <w:lang w:eastAsia="en-US"/>
        </w:rPr>
        <w:t>).  E</w:t>
      </w:r>
      <w:r>
        <w:rPr>
          <w:lang w:eastAsia="en-US"/>
        </w:rPr>
        <w:t>n total se</w:t>
      </w:r>
      <w:r w:rsidR="0047509A" w:rsidRPr="0047509A">
        <w:rPr>
          <w:lang w:eastAsia="en-US"/>
        </w:rPr>
        <w:t xml:space="preserve"> apoyará la restauración de </w:t>
      </w:r>
      <w:r w:rsidR="001F2664">
        <w:rPr>
          <w:lang w:eastAsia="en-US"/>
        </w:rPr>
        <w:t>5</w:t>
      </w:r>
      <w:r>
        <w:rPr>
          <w:lang w:eastAsia="en-US"/>
        </w:rPr>
        <w:t>2</w:t>
      </w:r>
      <w:r w:rsidR="006A0893">
        <w:rPr>
          <w:lang w:eastAsia="en-US"/>
        </w:rPr>
        <w:t>,</w:t>
      </w:r>
      <w:r>
        <w:rPr>
          <w:lang w:eastAsia="en-US"/>
        </w:rPr>
        <w:t>000</w:t>
      </w:r>
      <w:r w:rsidR="006A0893">
        <w:rPr>
          <w:lang w:eastAsia="en-US"/>
        </w:rPr>
        <w:t xml:space="preserve"> </w:t>
      </w:r>
      <w:r w:rsidR="0047509A" w:rsidRPr="0047509A">
        <w:rPr>
          <w:lang w:eastAsia="en-US"/>
        </w:rPr>
        <w:t xml:space="preserve">Ha. de bosque de pino. Adicionalmente, </w:t>
      </w:r>
      <w:r>
        <w:rPr>
          <w:lang w:eastAsia="en-US"/>
        </w:rPr>
        <w:t xml:space="preserve">se </w:t>
      </w:r>
      <w:r w:rsidR="0047509A" w:rsidRPr="0047509A">
        <w:rPr>
          <w:lang w:eastAsia="en-US"/>
        </w:rPr>
        <w:t>promoverá sistemas agroforestales (SAF) en 30,000 Ha.</w:t>
      </w:r>
      <w:r>
        <w:rPr>
          <w:lang w:eastAsia="en-US"/>
        </w:rPr>
        <w:t xml:space="preserve">, lo que </w:t>
      </w:r>
      <w:r w:rsidR="0047509A" w:rsidRPr="0047509A">
        <w:rPr>
          <w:lang w:eastAsia="en-US"/>
        </w:rPr>
        <w:t xml:space="preserve">implica </w:t>
      </w:r>
      <w:r w:rsidR="001F2664">
        <w:rPr>
          <w:lang w:eastAsia="en-US"/>
        </w:rPr>
        <w:t>8</w:t>
      </w:r>
      <w:r>
        <w:rPr>
          <w:lang w:eastAsia="en-US"/>
        </w:rPr>
        <w:t>2</w:t>
      </w:r>
      <w:r w:rsidR="001F2664">
        <w:rPr>
          <w:lang w:eastAsia="en-US"/>
        </w:rPr>
        <w:t>,</w:t>
      </w:r>
      <w:r>
        <w:rPr>
          <w:lang w:eastAsia="en-US"/>
        </w:rPr>
        <w:t>000</w:t>
      </w:r>
      <w:r w:rsidR="006A0893">
        <w:rPr>
          <w:lang w:eastAsia="en-US"/>
        </w:rPr>
        <w:t xml:space="preserve"> </w:t>
      </w:r>
      <w:r w:rsidR="0047509A" w:rsidRPr="0047509A">
        <w:rPr>
          <w:lang w:eastAsia="en-US"/>
        </w:rPr>
        <w:t xml:space="preserve">Ha. de restauración, que representan el </w:t>
      </w:r>
      <w:r w:rsidR="001F2664">
        <w:rPr>
          <w:lang w:eastAsia="en-US"/>
        </w:rPr>
        <w:t>8</w:t>
      </w:r>
      <w:r>
        <w:rPr>
          <w:lang w:eastAsia="en-US"/>
        </w:rPr>
        <w:t>.2</w:t>
      </w:r>
      <w:r w:rsidR="0047509A" w:rsidRPr="0047509A">
        <w:rPr>
          <w:lang w:eastAsia="en-US"/>
        </w:rPr>
        <w:t>% del compromiso de 1 millón de Ha. de área restaurada al 2030 planteado por Honduras ante la Convención de las Naciones Unidas sobre Cambio Climático (CMNUCC)</w:t>
      </w:r>
      <w:r w:rsidR="004C5620">
        <w:rPr>
          <w:lang w:eastAsia="en-US"/>
        </w:rPr>
        <w:t xml:space="preserve"> (Gobierno de Honduras, 2017)</w:t>
      </w:r>
      <w:r w:rsidR="0047509A" w:rsidRPr="0047509A">
        <w:rPr>
          <w:lang w:eastAsia="en-US"/>
        </w:rPr>
        <w:t xml:space="preserve">. </w:t>
      </w:r>
    </w:p>
    <w:p w14:paraId="36FE8BE8" w14:textId="28C10D6A" w:rsidR="00B54897" w:rsidRPr="00C94803" w:rsidRDefault="00C94803" w:rsidP="00854EFC">
      <w:pPr>
        <w:pStyle w:val="parrafonumerado"/>
      </w:pPr>
      <w:r w:rsidRPr="00C94803">
        <w:t xml:space="preserve">En el presente informe se </w:t>
      </w:r>
      <w:r w:rsidR="004149A9">
        <w:t>presenta</w:t>
      </w:r>
      <w:r w:rsidRPr="00C94803">
        <w:t xml:space="preserve"> la evaluación económica ex ante de</w:t>
      </w:r>
      <w:r w:rsidR="005B6C73">
        <w:t xml:space="preserve"> </w:t>
      </w:r>
      <w:r w:rsidRPr="00C94803">
        <w:t>l</w:t>
      </w:r>
      <w:r w:rsidR="005B6C73">
        <w:t>a</w:t>
      </w:r>
      <w:r w:rsidRPr="00C94803">
        <w:t xml:space="preserve"> operación</w:t>
      </w:r>
      <w:r w:rsidR="004149A9">
        <w:t xml:space="preserve"> </w:t>
      </w:r>
      <w:r w:rsidR="00F11EE2">
        <w:t>ya aprobada por el</w:t>
      </w:r>
      <w:r w:rsidR="004149A9">
        <w:t xml:space="preserve"> FVC</w:t>
      </w:r>
      <w:r w:rsidR="005B6C73">
        <w:rPr>
          <w:rStyle w:val="FootnoteReference"/>
        </w:rPr>
        <w:footnoteReference w:id="2"/>
      </w:r>
      <w:r>
        <w:t xml:space="preserve">, tomando en cuenta </w:t>
      </w:r>
      <w:r w:rsidR="00ED7DFE">
        <w:t>todos los</w:t>
      </w:r>
      <w:r>
        <w:t xml:space="preserve"> costos y beneficios esperados del proyecto.  El documento consta de </w:t>
      </w:r>
      <w:r w:rsidR="004149A9">
        <w:t xml:space="preserve">seis </w:t>
      </w:r>
      <w:r>
        <w:t xml:space="preserve">secciones.  En la </w:t>
      </w:r>
      <w:r w:rsidRPr="00BB3F5C">
        <w:rPr>
          <w:b/>
        </w:rPr>
        <w:t>primera sección</w:t>
      </w:r>
      <w:r>
        <w:t xml:space="preserve"> </w:t>
      </w:r>
      <w:r w:rsidR="00DE2184">
        <w:t>se describe la lógica y componentes del proyecto</w:t>
      </w:r>
      <w:r w:rsidR="004149A9">
        <w:t xml:space="preserve"> </w:t>
      </w:r>
      <w:r w:rsidR="005B6C73">
        <w:t>integrado</w:t>
      </w:r>
      <w:r w:rsidR="00DE2184">
        <w:t xml:space="preserve">.  En la </w:t>
      </w:r>
      <w:r w:rsidR="00DE2184" w:rsidRPr="00BB3F5C">
        <w:rPr>
          <w:b/>
        </w:rPr>
        <w:t>segunda</w:t>
      </w:r>
      <w:r w:rsidR="00DE2184">
        <w:t xml:space="preserve"> </w:t>
      </w:r>
      <w:r>
        <w:t>se identifica el ámbito de intervención y el perfil de los potenciales beneficiarios directos e indirectos</w:t>
      </w:r>
      <w:r w:rsidR="00ED7DFE">
        <w:t xml:space="preserve"> del</w:t>
      </w:r>
      <w:r w:rsidR="008A20A7">
        <w:t xml:space="preserve"> proyecto</w:t>
      </w:r>
      <w:r w:rsidR="005B6C73">
        <w:t xml:space="preserve"> integrado</w:t>
      </w:r>
      <w:r>
        <w:t xml:space="preserve">.  La </w:t>
      </w:r>
      <w:r w:rsidRPr="00BB3F5C">
        <w:rPr>
          <w:b/>
        </w:rPr>
        <w:t>tercera sección</w:t>
      </w:r>
      <w:r>
        <w:t xml:space="preserve"> identifica los principales beneficios económicos </w:t>
      </w:r>
      <w:r w:rsidR="00DE2184">
        <w:t xml:space="preserve">esperados </w:t>
      </w:r>
      <w:r>
        <w:t xml:space="preserve">que serán medidos para la </w:t>
      </w:r>
      <w:r w:rsidR="004149A9">
        <w:t xml:space="preserve">presente </w:t>
      </w:r>
      <w:r>
        <w:t>evaluación económica ex ante</w:t>
      </w:r>
      <w:r w:rsidR="005B6C73">
        <w:t xml:space="preserve"> del </w:t>
      </w:r>
      <w:r w:rsidR="00F11EE2">
        <w:t xml:space="preserve">nuevo </w:t>
      </w:r>
      <w:r w:rsidR="005B6C73">
        <w:t>proyecto</w:t>
      </w:r>
      <w:r w:rsidR="00F11EE2">
        <w:t>.</w:t>
      </w:r>
      <w:r>
        <w:t xml:space="preserve">  La </w:t>
      </w:r>
      <w:r w:rsidRPr="00BB3F5C">
        <w:rPr>
          <w:b/>
        </w:rPr>
        <w:t>cuarta sección</w:t>
      </w:r>
      <w:r>
        <w:t xml:space="preserve"> está abocada a d</w:t>
      </w:r>
      <w:r w:rsidR="00ED7DFE">
        <w:t xml:space="preserve">escribir los costos </w:t>
      </w:r>
      <w:r w:rsidR="00BB3F5C">
        <w:t>y evolución en el tiempo</w:t>
      </w:r>
      <w:r w:rsidR="00F11EE2">
        <w:t xml:space="preserve"> de éste</w:t>
      </w:r>
      <w:r>
        <w:t xml:space="preserve">.  La </w:t>
      </w:r>
      <w:r w:rsidRPr="00BB3F5C">
        <w:rPr>
          <w:b/>
        </w:rPr>
        <w:t>quinta sección</w:t>
      </w:r>
      <w:r>
        <w:t xml:space="preserve">, por su parte, presenta los resultados del análisis de costo-beneficio del escenario base </w:t>
      </w:r>
      <w:r w:rsidR="005B6C73">
        <w:t xml:space="preserve">del proyecto </w:t>
      </w:r>
      <w:r>
        <w:t xml:space="preserve">y la </w:t>
      </w:r>
      <w:r w:rsidRPr="00BB3F5C">
        <w:rPr>
          <w:b/>
        </w:rPr>
        <w:t>sexta sección</w:t>
      </w:r>
      <w:r>
        <w:t xml:space="preserve"> </w:t>
      </w:r>
      <w:r w:rsidR="00BB3F5C">
        <w:t>contiene</w:t>
      </w:r>
      <w:r>
        <w:t xml:space="preserve"> el análisis de sensibilidad ante </w:t>
      </w:r>
      <w:r>
        <w:lastRenderedPageBreak/>
        <w:t>variaciones en algunos de los parámetros claves que influyen en</w:t>
      </w:r>
      <w:r w:rsidR="004149A9">
        <w:t xml:space="preserve"> la rentabilidad económica esperada</w:t>
      </w:r>
      <w:r>
        <w:t xml:space="preserve">.  La </w:t>
      </w:r>
      <w:r w:rsidRPr="00BB3F5C">
        <w:rPr>
          <w:b/>
        </w:rPr>
        <w:t>sétima sección</w:t>
      </w:r>
      <w:r>
        <w:t xml:space="preserve"> presenta l</w:t>
      </w:r>
      <w:r w:rsidR="000E0B48">
        <w:t>a</w:t>
      </w:r>
      <w:r>
        <w:t xml:space="preserve">s </w:t>
      </w:r>
      <w:r w:rsidR="000E0B48">
        <w:t>conclusiones</w:t>
      </w:r>
      <w:r>
        <w:t xml:space="preserve"> del análisis desarrollado.</w:t>
      </w:r>
    </w:p>
    <w:p w14:paraId="7F334D42" w14:textId="51185250" w:rsidR="00DE2184" w:rsidRPr="004149A9" w:rsidRDefault="00DE2184" w:rsidP="00BB3A3B">
      <w:pPr>
        <w:pStyle w:val="Heading1"/>
      </w:pPr>
      <w:bookmarkStart w:id="3" w:name="_Toc17823738"/>
      <w:r w:rsidRPr="004149A9">
        <w:t>Sección 1.  Descripción del proyecto</w:t>
      </w:r>
      <w:r w:rsidR="001512ED">
        <w:t xml:space="preserve"> </w:t>
      </w:r>
      <w:bookmarkEnd w:id="3"/>
    </w:p>
    <w:p w14:paraId="6E27D250" w14:textId="77777777" w:rsidR="00DE2184" w:rsidRPr="00DE2184" w:rsidRDefault="00DE2184" w:rsidP="00854EFC">
      <w:pPr>
        <w:pStyle w:val="parrafonumerado"/>
      </w:pPr>
      <w:r w:rsidRPr="00DE2184">
        <w:t>La forma en que la plaga del gorgojo es influenciada por el Cambio Climático y, aquella, a su vez, influye en aumentar la vulnerabilidad de la población en el acceso al agua se describe en l</w:t>
      </w:r>
      <w:r>
        <w:t>a</w:t>
      </w:r>
      <w:r w:rsidRPr="00DE2184">
        <w:t xml:space="preserve"> siguiente </w:t>
      </w:r>
      <w:r>
        <w:t xml:space="preserve">figura que presenta el árbol </w:t>
      </w:r>
      <w:r w:rsidRPr="00DE2184">
        <w:t>de causas y efectos</w:t>
      </w:r>
      <w:r>
        <w:t xml:space="preserve"> </w:t>
      </w:r>
      <w:r w:rsidR="004149A9">
        <w:t xml:space="preserve">propuesto </w:t>
      </w:r>
      <w:r>
        <w:t>para el proyecto</w:t>
      </w:r>
      <w:r w:rsidRPr="00DE2184">
        <w:t>.</w:t>
      </w:r>
    </w:p>
    <w:p w14:paraId="08BC324A" w14:textId="77777777" w:rsidR="00DE2184" w:rsidRPr="00DE2184" w:rsidRDefault="004149A9" w:rsidP="004149A9">
      <w:pPr>
        <w:jc w:val="center"/>
      </w:pPr>
      <w:r w:rsidRPr="006B6207">
        <w:rPr>
          <w:noProof/>
          <w:lang w:val="en-US" w:eastAsia="en-US"/>
        </w:rPr>
        <w:drawing>
          <wp:anchor distT="0" distB="0" distL="114300" distR="114300" simplePos="0" relativeHeight="251673600" behindDoc="0" locked="0" layoutInCell="1" allowOverlap="1" wp14:anchorId="15F26AD0" wp14:editId="0FF87AF7">
            <wp:simplePos x="0" y="0"/>
            <wp:positionH relativeFrom="column">
              <wp:posOffset>394970</wp:posOffset>
            </wp:positionH>
            <wp:positionV relativeFrom="paragraph">
              <wp:posOffset>196850</wp:posOffset>
            </wp:positionV>
            <wp:extent cx="4390390" cy="2948305"/>
            <wp:effectExtent l="19050" t="19050" r="10160" b="23495"/>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90390" cy="294830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DE2184">
        <w:t>Figura 1.</w:t>
      </w:r>
    </w:p>
    <w:p w14:paraId="36E1F1A9" w14:textId="77777777" w:rsidR="004149A9" w:rsidRDefault="004149A9" w:rsidP="004149A9"/>
    <w:p w14:paraId="1500C3C1" w14:textId="77777777" w:rsidR="004149A9" w:rsidRPr="004149A9" w:rsidRDefault="00DE2184" w:rsidP="00854EFC">
      <w:pPr>
        <w:pStyle w:val="parrafonumerado"/>
      </w:pPr>
      <w:r w:rsidRPr="00DE2184">
        <w:t xml:space="preserve">El diagrama identifica las barreras más importantes que influyen en la severidad y amplitud de las causas de los problemas detrás de la mayor vulnerabilidad.  </w:t>
      </w:r>
      <w:r w:rsidR="004149A9" w:rsidRPr="004149A9">
        <w:t xml:space="preserve">En el siguiente diagrama se presenta la teoría de cambio para la operación propuesta, orientada a levantar el conjunto de barreras identificadas en el diagrama del árbol de causas y efectos.  </w:t>
      </w:r>
    </w:p>
    <w:p w14:paraId="5962710B" w14:textId="77777777" w:rsidR="004149A9" w:rsidRPr="004149A9" w:rsidRDefault="009C1958" w:rsidP="004149A9">
      <w:pPr>
        <w:jc w:val="center"/>
        <w:rPr>
          <w:lang w:val="es-PE"/>
        </w:rPr>
      </w:pPr>
      <w:r w:rsidRPr="004149A9">
        <w:rPr>
          <w:noProof/>
          <w:lang w:val="en-US" w:eastAsia="en-US"/>
        </w:rPr>
        <w:lastRenderedPageBreak/>
        <w:drawing>
          <wp:anchor distT="0" distB="0" distL="114300" distR="114300" simplePos="0" relativeHeight="251675648" behindDoc="0" locked="0" layoutInCell="1" allowOverlap="1" wp14:anchorId="4A92218F" wp14:editId="631E3DE5">
            <wp:simplePos x="0" y="0"/>
            <wp:positionH relativeFrom="column">
              <wp:posOffset>393700</wp:posOffset>
            </wp:positionH>
            <wp:positionV relativeFrom="paragraph">
              <wp:posOffset>198120</wp:posOffset>
            </wp:positionV>
            <wp:extent cx="4459605" cy="3036570"/>
            <wp:effectExtent l="19050" t="19050" r="17145" b="11430"/>
            <wp:wrapTopAndBottom/>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59605" cy="303657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4149A9">
        <w:rPr>
          <w:lang w:val="es-PE"/>
        </w:rPr>
        <w:t>Figura 2</w:t>
      </w:r>
    </w:p>
    <w:p w14:paraId="30979A19" w14:textId="77777777" w:rsidR="004149A9" w:rsidRDefault="004149A9" w:rsidP="004149A9">
      <w:pPr>
        <w:rPr>
          <w:lang w:val="es-PE"/>
        </w:rPr>
      </w:pPr>
    </w:p>
    <w:p w14:paraId="42FF8886" w14:textId="2D1AACAB" w:rsidR="004149A9" w:rsidRPr="004149A9" w:rsidRDefault="004149A9" w:rsidP="00854EFC">
      <w:pPr>
        <w:pStyle w:val="parrafonumerado"/>
      </w:pPr>
      <w:r w:rsidRPr="004149A9">
        <w:t xml:space="preserve">La operación </w:t>
      </w:r>
      <w:r>
        <w:t>cuenta con los siguientes cuatro</w:t>
      </w:r>
      <w:r w:rsidRPr="004149A9">
        <w:t xml:space="preserve"> componentes:</w:t>
      </w:r>
    </w:p>
    <w:p w14:paraId="151C590D" w14:textId="77777777" w:rsidR="00E53A9A" w:rsidRPr="00BD66A2" w:rsidRDefault="00E53A9A" w:rsidP="00E53A9A">
      <w:r w:rsidRPr="00E53A9A">
        <w:rPr>
          <w:b/>
        </w:rPr>
        <w:t>Componente 1.</w:t>
      </w:r>
      <w:r w:rsidRPr="00547FCC">
        <w:t xml:space="preserve"> Restauración de cobertura forestal en áreas priorizadas para mejorar la resiliencia de los bosques ante el cambio climático.</w:t>
      </w:r>
      <w:r w:rsidRPr="00BD66A2">
        <w:t xml:space="preserve"> Este componente contempla la implementación de actividades forestales enmarcadas en Planes de Manejo en las cuencas hidrográficas prioritarias, así como el establecimiento de </w:t>
      </w:r>
      <w:r>
        <w:t>sistemas agroforestales (</w:t>
      </w:r>
      <w:r w:rsidRPr="00BD66A2">
        <w:t>SAF</w:t>
      </w:r>
      <w:r>
        <w:t>)</w:t>
      </w:r>
      <w:r w:rsidRPr="00BD66A2">
        <w:t xml:space="preserve"> en zonas </w:t>
      </w:r>
      <w:r>
        <w:t xml:space="preserve">adyacentes al bosque en </w:t>
      </w:r>
      <w:r w:rsidRPr="00BD66A2">
        <w:t>dichas cuencas, orientadas a mejorar la resiliencia del bosque ante el cambio climático y a mantener la provisión de servicios ecosistémicos (control de la erosión y regulación hídrica).</w:t>
      </w:r>
    </w:p>
    <w:p w14:paraId="7B9103BD" w14:textId="77777777" w:rsidR="00E53A9A" w:rsidRPr="00E53A9A" w:rsidRDefault="00E53A9A" w:rsidP="00E53A9A">
      <w:pPr>
        <w:rPr>
          <w:b/>
          <w:lang w:val="es-PE"/>
        </w:rPr>
      </w:pPr>
      <w:r w:rsidRPr="00E53A9A">
        <w:rPr>
          <w:b/>
          <w:lang w:val="es-PE"/>
        </w:rPr>
        <w:t>1.a) Restauración de bosques más resilientes al cambio climático.</w:t>
      </w:r>
    </w:p>
    <w:p w14:paraId="05495676" w14:textId="77777777" w:rsidR="00E53A9A" w:rsidRPr="00BD66A2" w:rsidRDefault="00E53A9A" w:rsidP="00E53A9A">
      <w:pPr>
        <w:rPr>
          <w:lang w:val="es-PE"/>
        </w:rPr>
      </w:pPr>
      <w:r w:rsidRPr="00BD66A2">
        <w:rPr>
          <w:lang w:val="es-PE"/>
        </w:rPr>
        <w:t>Esta actividad apunta a la restauración del bosque de las áreas degradadas por efecto de la plaga reciente de gorgojo ap</w:t>
      </w:r>
      <w:r>
        <w:rPr>
          <w:lang w:val="es-PE"/>
        </w:rPr>
        <w:t xml:space="preserve">licando prácticas de manejo forestal adaptativo </w:t>
      </w:r>
      <w:r w:rsidRPr="00BD66A2">
        <w:rPr>
          <w:lang w:val="es-PE"/>
        </w:rPr>
        <w:t>(raleos, control de incendios y diversificación del bosque de coníferas) con el objetivo de hacerlos más resilientes al cambio climático. Estos bosques podrán recuperarse en un plazo mucho más corto de lo que ocurriría en caso de no recibir manejo, y al mismo tiempo tendrán una estructura (densidad, combinación de especies en territorios de tran</w:t>
      </w:r>
      <w:r>
        <w:rPr>
          <w:lang w:val="es-PE"/>
        </w:rPr>
        <w:t>s</w:t>
      </w:r>
      <w:r w:rsidRPr="00BD66A2">
        <w:rPr>
          <w:lang w:val="es-PE"/>
        </w:rPr>
        <w:t>i</w:t>
      </w:r>
      <w:r>
        <w:rPr>
          <w:lang w:val="es-PE"/>
        </w:rPr>
        <w:t>c</w:t>
      </w:r>
      <w:r w:rsidRPr="00BD66A2">
        <w:rPr>
          <w:lang w:val="es-PE"/>
        </w:rPr>
        <w:t>ión) que l</w:t>
      </w:r>
      <w:r>
        <w:rPr>
          <w:lang w:val="es-PE"/>
        </w:rPr>
        <w:t xml:space="preserve">os hará </w:t>
      </w:r>
      <w:r w:rsidRPr="00BD66A2">
        <w:rPr>
          <w:lang w:val="es-PE"/>
        </w:rPr>
        <w:t>más resilientes ante el cambio climático.</w:t>
      </w:r>
    </w:p>
    <w:p w14:paraId="1242D067" w14:textId="77777777" w:rsidR="00E53A9A" w:rsidRPr="00E53A9A" w:rsidRDefault="00E53A9A" w:rsidP="00E53A9A">
      <w:pPr>
        <w:rPr>
          <w:b/>
          <w:lang w:val="es-PE"/>
        </w:rPr>
      </w:pPr>
      <w:r w:rsidRPr="00E53A9A">
        <w:rPr>
          <w:b/>
          <w:lang w:val="es-PE"/>
        </w:rPr>
        <w:t>1.b) Restauración de cobertura forestal mediante SAF para la adaptación al cambio climático.</w:t>
      </w:r>
    </w:p>
    <w:p w14:paraId="2841C2A1" w14:textId="77777777" w:rsidR="00E53A9A" w:rsidRPr="00BD66A2" w:rsidRDefault="00E53A9A" w:rsidP="00E53A9A">
      <w:pPr>
        <w:rPr>
          <w:highlight w:val="yellow"/>
          <w:lang w:val="es-PE"/>
        </w:rPr>
      </w:pPr>
      <w:r w:rsidRPr="00BD66A2">
        <w:rPr>
          <w:lang w:val="es-PE"/>
        </w:rPr>
        <w:t xml:space="preserve">Se cofinanciará la implementación de SAF en 30,000 Ha ubicadas en zonas de vocación forestal adyacentes a los bosques de pino, que antes de la reciente plaga del gorgojo estaban siendo empleadas para actividades agropecuarias. Esto permitirá incrementar la cobertura forestal dentro de las cuencas priorizadas, y al mismo tiempo reducir la presión por cambio de uso del suelo. </w:t>
      </w:r>
    </w:p>
    <w:p w14:paraId="7DD471B4" w14:textId="595B0420" w:rsidR="00E53A9A" w:rsidRPr="00BD66A2" w:rsidRDefault="00E53A9A" w:rsidP="00E53A9A">
      <w:pPr>
        <w:rPr>
          <w:lang w:val="es-PE"/>
        </w:rPr>
      </w:pPr>
      <w:r w:rsidRPr="00BD66A2">
        <w:rPr>
          <w:lang w:val="es-PE"/>
        </w:rPr>
        <w:t>Para evitar inducir el cambio de uso del suelo, esta modalidad se aplicará en áreas sin cobertura forestal antes de la plaga del gorgojo y de acuerdo a la capacidad de uso de la tierra. Los sistemas agroforestales permitirán incorporar el componente forestal</w:t>
      </w:r>
      <w:r>
        <w:rPr>
          <w:lang w:val="es-PE"/>
        </w:rPr>
        <w:t xml:space="preserve"> en zonas agrícolas</w:t>
      </w:r>
      <w:r w:rsidRPr="00BD66A2">
        <w:rPr>
          <w:lang w:val="es-PE"/>
        </w:rPr>
        <w:t xml:space="preserve">, mejorando la capacidad de infiltración de las </w:t>
      </w:r>
      <w:proofErr w:type="gramStart"/>
      <w:r w:rsidRPr="00BD66A2">
        <w:rPr>
          <w:lang w:val="es-PE"/>
        </w:rPr>
        <w:t>parcelas  para</w:t>
      </w:r>
      <w:proofErr w:type="gramEnd"/>
      <w:r w:rsidRPr="00BD66A2">
        <w:rPr>
          <w:lang w:val="es-PE"/>
        </w:rPr>
        <w:t xml:space="preserve"> proveer de productos y subproductos forestales a las familias rurales y servicios ecosistémicos para la población ubicada aguas abajo. Se </w:t>
      </w:r>
      <w:proofErr w:type="gramStart"/>
      <w:r>
        <w:rPr>
          <w:lang w:val="es-PE"/>
        </w:rPr>
        <w:t xml:space="preserve">promoverán </w:t>
      </w:r>
      <w:r w:rsidRPr="00BD66A2">
        <w:rPr>
          <w:lang w:val="es-PE"/>
        </w:rPr>
        <w:t xml:space="preserve"> </w:t>
      </w:r>
      <w:r>
        <w:rPr>
          <w:lang w:val="es-PE"/>
        </w:rPr>
        <w:t>sistemas</w:t>
      </w:r>
      <w:proofErr w:type="gramEnd"/>
      <w:r w:rsidRPr="00BD66A2">
        <w:rPr>
          <w:lang w:val="es-PE"/>
        </w:rPr>
        <w:t xml:space="preserve"> agroforestales Ad-Hoc para las condiciones de cada sitio. Este modelo se basa en experiencias exitosas del BID en la región, como es el caso del proyecto PAGRICC en </w:t>
      </w:r>
      <w:r w:rsidRPr="00BD66A2">
        <w:rPr>
          <w:lang w:val="es-PE"/>
        </w:rPr>
        <w:lastRenderedPageBreak/>
        <w:t>Nicaragua</w:t>
      </w:r>
      <w:r>
        <w:t>, donde se entregaron apoyos directos a los productores de bajos recursos para incentivar la adopción de SAF.</w:t>
      </w:r>
      <w:r w:rsidRPr="00BD66A2">
        <w:rPr>
          <w:lang w:val="es-PE"/>
        </w:rPr>
        <w:t xml:space="preserve"> </w:t>
      </w:r>
    </w:p>
    <w:p w14:paraId="56916CBA" w14:textId="77777777" w:rsidR="00E53A9A" w:rsidRDefault="00E53A9A" w:rsidP="00E53A9A">
      <w:r w:rsidRPr="00E53A9A">
        <w:rPr>
          <w:b/>
        </w:rPr>
        <w:t xml:space="preserve">Componente 2. Fortalecimiento de las capacidades del ICF para promover bosques más resilientes ante el cambio climático. </w:t>
      </w:r>
      <w:r w:rsidRPr="00BD66A2">
        <w:t xml:space="preserve"> </w:t>
      </w:r>
      <w:r>
        <w:t xml:space="preserve">Incluye: </w:t>
      </w:r>
    </w:p>
    <w:p w14:paraId="24050A04" w14:textId="77777777" w:rsidR="00E53A9A" w:rsidRDefault="00E53A9A" w:rsidP="00E53A9A">
      <w:pPr>
        <w:pStyle w:val="ListParagraph"/>
        <w:numPr>
          <w:ilvl w:val="0"/>
          <w:numId w:val="13"/>
        </w:numPr>
      </w:pPr>
      <w:r>
        <w:t>Fortalecimiento del departamento de sanidad forestal del ICF; que incluye: el establecimiento de un sistema de alerta temprana para plagas forestales y el establecimiento de un laboratorio de entomología-fitopatología permanente en las Universidades como apoyo al ICF.</w:t>
      </w:r>
    </w:p>
    <w:p w14:paraId="705E0B40" w14:textId="77777777" w:rsidR="00E53A9A" w:rsidRDefault="00E53A9A" w:rsidP="00E53A9A">
      <w:pPr>
        <w:pStyle w:val="ListParagraph"/>
        <w:numPr>
          <w:ilvl w:val="0"/>
          <w:numId w:val="13"/>
        </w:numPr>
      </w:pPr>
      <w:r>
        <w:t xml:space="preserve">Realización de investigaciones y creación de un banco de germoplasma de especies agroforestales resilientes al cambio climático; Dichas especies serán empleadas para promover la transformación adaptativa del bosque de coníferas. </w:t>
      </w:r>
    </w:p>
    <w:p w14:paraId="62E2813F" w14:textId="77777777" w:rsidR="00E53A9A" w:rsidRDefault="00E53A9A" w:rsidP="00E53A9A">
      <w:pPr>
        <w:pStyle w:val="ListParagraph"/>
        <w:numPr>
          <w:ilvl w:val="0"/>
          <w:numId w:val="13"/>
        </w:numPr>
      </w:pPr>
      <w:r>
        <w:t xml:space="preserve">Fortalecimiento de la de extensión forestal brindada por ICF. </w:t>
      </w:r>
    </w:p>
    <w:p w14:paraId="2685366A" w14:textId="77777777" w:rsidR="00E53A9A" w:rsidRDefault="00E53A9A" w:rsidP="00E53A9A">
      <w:pPr>
        <w:pStyle w:val="ListParagraph"/>
        <w:numPr>
          <w:ilvl w:val="0"/>
          <w:numId w:val="13"/>
        </w:numPr>
      </w:pPr>
      <w:r>
        <w:t>Creación de un diplomado en sanidad forestal con enfoque en adaptación al cambio climático.</w:t>
      </w:r>
    </w:p>
    <w:p w14:paraId="5F8542E5" w14:textId="77777777" w:rsidR="00E53A9A" w:rsidRDefault="00E53A9A" w:rsidP="00E53A9A">
      <w:pPr>
        <w:pStyle w:val="ListParagraph"/>
        <w:numPr>
          <w:ilvl w:val="0"/>
          <w:numId w:val="13"/>
        </w:numPr>
      </w:pPr>
      <w:r>
        <w:t xml:space="preserve">Financiamiento:  Préstamo BID </w:t>
      </w:r>
    </w:p>
    <w:p w14:paraId="1664227C" w14:textId="77777777" w:rsidR="00E53A9A" w:rsidRPr="00BD66A2" w:rsidRDefault="00E53A9A" w:rsidP="00E53A9A">
      <w:r w:rsidRPr="00E53A9A">
        <w:rPr>
          <w:b/>
        </w:rPr>
        <w:t>Componente 3. Gobernanza y sostenibilidad financiera para el incremento de la resiliencia de los bosques ante el CC.</w:t>
      </w:r>
      <w:r w:rsidRPr="00BD66A2">
        <w:t xml:space="preserve"> Este componente apoya al gobierno de Honduras con inversiones dirigidas a:</w:t>
      </w:r>
    </w:p>
    <w:p w14:paraId="1A8BB9FA" w14:textId="77777777" w:rsidR="00E53A9A" w:rsidRDefault="00E53A9A" w:rsidP="00E53A9A">
      <w:pPr>
        <w:pStyle w:val="ListParagraph"/>
        <w:numPr>
          <w:ilvl w:val="0"/>
          <w:numId w:val="14"/>
        </w:numPr>
      </w:pPr>
      <w:r>
        <w:t xml:space="preserve">Creación de condiciones habilitantes para la descentralización de la gestión de los recursos forestales con fines de producción de agua.  Esta actividad incluye: (i) la formalización de 200 Juntas Administradoras de Agua (JAA), con la actualización y aprobación de sus personerías jurídicas, (ii) la creación de 11 comités de cuenca, (iii) la capacitación de las 200 JAA y 53 municipalidades (incluyendo la municipalidad de Tegucigalpa) en administración de fondos y MAB, (iv) la creación de las bases legales (incluyendo reglamentación y mecanismo de gobernanza y la creación de cuentas bancarías) para el establecimiento de 11 FLMC (incluyendo la ciudad de Tegucigalpa, la represa El Cajón y la represa el Coyolar), (v) la elaboración y aprobación por ICF y las municipalidades de planes de manejo para las cuencas que establezcan las actividades prioritarias para la conservación y el manejo del recurso forestal, (vi) mapeo detallado de áreas de manejo forestal en áreas de intervención y (vii) aprobación de un mecanismo de incentivos forestales nacional, en base a los incentivos que establece la Ley Forestal se realizará un análisis para identificar cuáles de estos incentivos son costo-eficientes en términos de contribuir a la conservación y manejo del bosque con fines de producción de agua y se formalizará dicho incentivo por ICF y SEFIN mediante la creación de un mecanismo de incentivos nacional que alimentará los fondos locales. </w:t>
      </w:r>
    </w:p>
    <w:p w14:paraId="7D6A77DE" w14:textId="77777777" w:rsidR="00E53A9A" w:rsidRPr="00A6419C" w:rsidRDefault="00E53A9A" w:rsidP="00E53A9A">
      <w:pPr>
        <w:pStyle w:val="ListParagraph"/>
        <w:numPr>
          <w:ilvl w:val="0"/>
          <w:numId w:val="14"/>
        </w:numPr>
      </w:pPr>
      <w:r w:rsidRPr="00807467">
        <w:t xml:space="preserve">Poner en funcionamiento un sistema de pagos por servicios ecosistémicos (PSE) </w:t>
      </w:r>
      <w:r w:rsidRPr="00AD62BE">
        <w:t>donde los usuarios de recursos hídricos en las partes bajas de cada una de las cuencas priorizadas por el proyecto contribuirán a fina</w:t>
      </w:r>
      <w:r w:rsidRPr="00A6419C">
        <w:t xml:space="preserve">nciar las actividades de manejo forestal de las cuencas altas, donde se generan la mayor parte de los recursos hídricos. </w:t>
      </w:r>
    </w:p>
    <w:p w14:paraId="4E3F6E42" w14:textId="5B147A6A" w:rsidR="002E3F3A" w:rsidRDefault="004149A9" w:rsidP="00854EFC">
      <w:pPr>
        <w:pStyle w:val="parrafonumerado"/>
      </w:pPr>
      <w:r>
        <w:t xml:space="preserve">La </w:t>
      </w:r>
      <w:r w:rsidRPr="00E50285">
        <w:t>estructura</w:t>
      </w:r>
      <w:r>
        <w:t xml:space="preserve"> financiera y fuentes de financiamiento del proyecto se muestran en el cuadro</w:t>
      </w:r>
      <w:r w:rsidR="000E0B48">
        <w:t xml:space="preserve"> de la siguiente página</w:t>
      </w:r>
      <w:r w:rsidR="002E3F3A">
        <w:t>.</w:t>
      </w:r>
      <w:r>
        <w:t xml:space="preserve"> </w:t>
      </w:r>
    </w:p>
    <w:p w14:paraId="7275B22A" w14:textId="3BA90DD3" w:rsidR="004149A9" w:rsidRDefault="00FC75DD" w:rsidP="000141CE">
      <w:pPr>
        <w:jc w:val="center"/>
        <w:rPr>
          <w:lang w:val="es-PE"/>
        </w:rPr>
      </w:pPr>
      <w:r w:rsidRPr="00FC75DD">
        <w:rPr>
          <w:noProof/>
          <w:lang w:val="en-US" w:eastAsia="en-US"/>
        </w:rPr>
        <w:lastRenderedPageBreak/>
        <w:drawing>
          <wp:anchor distT="0" distB="0" distL="114300" distR="114300" simplePos="0" relativeHeight="251687936" behindDoc="0" locked="0" layoutInCell="1" allowOverlap="1" wp14:anchorId="37816EB7" wp14:editId="46DA316A">
            <wp:simplePos x="0" y="0"/>
            <wp:positionH relativeFrom="column">
              <wp:posOffset>-91127</wp:posOffset>
            </wp:positionH>
            <wp:positionV relativeFrom="paragraph">
              <wp:posOffset>204462</wp:posOffset>
            </wp:positionV>
            <wp:extent cx="5423793" cy="5189517"/>
            <wp:effectExtent l="19050" t="19050" r="24765" b="11430"/>
            <wp:wrapTopAndBottom/>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3793" cy="5189517"/>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4149A9">
        <w:rPr>
          <w:lang w:val="es-PE"/>
        </w:rPr>
        <w:t xml:space="preserve">Cuadro 1.  </w:t>
      </w:r>
      <w:r w:rsidR="00360FC3">
        <w:rPr>
          <w:lang w:val="es-PE"/>
        </w:rPr>
        <w:t>Estructura financiera y fuentes de financiamiento del proyecto</w:t>
      </w:r>
    </w:p>
    <w:p w14:paraId="2840ED72" w14:textId="64DDD584" w:rsidR="001512ED" w:rsidRDefault="001512ED" w:rsidP="006F6EDB"/>
    <w:p w14:paraId="5DE1EF60" w14:textId="41A3BF47" w:rsidR="002E3F3A" w:rsidRPr="002E3F3A" w:rsidRDefault="002E3F3A" w:rsidP="00854EFC">
      <w:pPr>
        <w:pStyle w:val="parrafonumerado"/>
        <w:rPr>
          <w:b/>
          <w:lang w:val="es-ES"/>
        </w:rPr>
      </w:pPr>
      <w:r>
        <w:t xml:space="preserve">El costo total del proyecto </w:t>
      </w:r>
      <w:r w:rsidR="00F11EE2">
        <w:t xml:space="preserve">integrado </w:t>
      </w:r>
      <w:r>
        <w:t xml:space="preserve">asciende a US$ </w:t>
      </w:r>
      <w:r w:rsidR="00FC75DD">
        <w:t>79.5</w:t>
      </w:r>
      <w:r>
        <w:t xml:space="preserve"> millones, de los cuales US$ </w:t>
      </w:r>
      <w:r w:rsidR="00FC75DD">
        <w:t>30</w:t>
      </w:r>
      <w:r>
        <w:t>.</w:t>
      </w:r>
      <w:r w:rsidR="00FC75DD">
        <w:t>1</w:t>
      </w:r>
      <w:r>
        <w:t xml:space="preserve"> millones corresponden al Componente 1, US$ 4</w:t>
      </w:r>
      <w:r w:rsidR="00FC75DD">
        <w:t>3</w:t>
      </w:r>
      <w:r>
        <w:t xml:space="preserve"> millones al Componente 3; US$ 3.1 millones al Componente 2 y US$ </w:t>
      </w:r>
      <w:r w:rsidR="00FC75DD">
        <w:t>3</w:t>
      </w:r>
      <w:r>
        <w:t>.2 millones al Componente 4 de administración.</w:t>
      </w:r>
    </w:p>
    <w:p w14:paraId="3FA92239" w14:textId="77777777" w:rsidR="000E0B48" w:rsidRDefault="000E0B48">
      <w:pPr>
        <w:spacing w:before="0" w:after="160" w:line="259" w:lineRule="auto"/>
        <w:jc w:val="left"/>
        <w:rPr>
          <w:b/>
          <w:lang w:val="es-ES"/>
        </w:rPr>
      </w:pPr>
      <w:r>
        <w:br w:type="page"/>
      </w:r>
    </w:p>
    <w:p w14:paraId="5692B135" w14:textId="77777777" w:rsidR="005563E3" w:rsidRPr="004149A9" w:rsidRDefault="003A7F01" w:rsidP="00BB3A3B">
      <w:pPr>
        <w:pStyle w:val="Heading1"/>
      </w:pPr>
      <w:bookmarkStart w:id="4" w:name="_Toc17823739"/>
      <w:r w:rsidRPr="004149A9">
        <w:lastRenderedPageBreak/>
        <w:t xml:space="preserve">Sección </w:t>
      </w:r>
      <w:r w:rsidR="00DE2184" w:rsidRPr="004149A9">
        <w:t>2</w:t>
      </w:r>
      <w:r w:rsidRPr="004149A9">
        <w:t>.  Área de intervención y p</w:t>
      </w:r>
      <w:r w:rsidR="005F12BB" w:rsidRPr="004149A9">
        <w:t xml:space="preserve">erfil de </w:t>
      </w:r>
      <w:r w:rsidRPr="004149A9">
        <w:t>los b</w:t>
      </w:r>
      <w:r w:rsidR="005F12BB" w:rsidRPr="004149A9">
        <w:t>eneficiarios</w:t>
      </w:r>
      <w:bookmarkEnd w:id="4"/>
      <w:r w:rsidR="00114DB8" w:rsidRPr="004149A9">
        <w:t xml:space="preserve"> </w:t>
      </w:r>
    </w:p>
    <w:p w14:paraId="54A5298D" w14:textId="08C92BC8" w:rsidR="00593A07" w:rsidRDefault="00114DB8" w:rsidP="00854EFC">
      <w:pPr>
        <w:pStyle w:val="parrafonumerado"/>
      </w:pPr>
      <w:r>
        <w:t>En est</w:t>
      </w:r>
      <w:r w:rsidR="003A7F01">
        <w:t>a</w:t>
      </w:r>
      <w:r>
        <w:t xml:space="preserve"> </w:t>
      </w:r>
      <w:r w:rsidR="003A7F01">
        <w:t xml:space="preserve">sección identificamos el área de intervención </w:t>
      </w:r>
      <w:r w:rsidR="008A20A7">
        <w:t>del proyecto</w:t>
      </w:r>
      <w:r w:rsidR="001512ED">
        <w:rPr>
          <w:rStyle w:val="FootnoteReference"/>
        </w:rPr>
        <w:footnoteReference w:id="3"/>
      </w:r>
      <w:r w:rsidR="001512ED">
        <w:t xml:space="preserve"> </w:t>
      </w:r>
      <w:r w:rsidR="003A7F01">
        <w:t xml:space="preserve">y </w:t>
      </w:r>
      <w:r>
        <w:t xml:space="preserve">hacemos una caracterización de la población ubicada en </w:t>
      </w:r>
      <w:r w:rsidR="003A7F01">
        <w:t>dicho</w:t>
      </w:r>
      <w:r>
        <w:t xml:space="preserve"> ámbito</w:t>
      </w:r>
      <w:r w:rsidR="003A7F01">
        <w:t>.  Igualmente, se presenta una</w:t>
      </w:r>
      <w:r>
        <w:t xml:space="preserve"> estimación de los </w:t>
      </w:r>
      <w:r w:rsidRPr="00593A07">
        <w:rPr>
          <w:b/>
        </w:rPr>
        <w:t>beneficiarios directos</w:t>
      </w:r>
      <w:r w:rsidR="00593A07" w:rsidRPr="00593A07">
        <w:rPr>
          <w:b/>
        </w:rPr>
        <w:t xml:space="preserve"> e indirectos</w:t>
      </w:r>
      <w:r>
        <w:t xml:space="preserve"> utilizando las </w:t>
      </w:r>
      <w:r w:rsidR="003A7F01">
        <w:t>áreas meta</w:t>
      </w:r>
      <w:r>
        <w:t xml:space="preserve"> del proyecto y </w:t>
      </w:r>
      <w:r w:rsidR="00DE2184">
        <w:t xml:space="preserve">algunas </w:t>
      </w:r>
      <w:r>
        <w:t xml:space="preserve">características de los </w:t>
      </w:r>
      <w:r w:rsidR="00DE2184">
        <w:t xml:space="preserve">grupos de </w:t>
      </w:r>
      <w:r>
        <w:t xml:space="preserve">usuarios del bosque y otros potenciales beneficiarios en el área de intervención.  </w:t>
      </w:r>
    </w:p>
    <w:p w14:paraId="5F37E442" w14:textId="39CFA4DE" w:rsidR="005901A2" w:rsidRPr="00BB3A3B" w:rsidRDefault="00DE2184" w:rsidP="00BB3A3B">
      <w:pPr>
        <w:pStyle w:val="Heading2"/>
      </w:pPr>
      <w:bookmarkStart w:id="5" w:name="_Toc17823740"/>
      <w:r w:rsidRPr="00BB3A3B">
        <w:t>2.</w:t>
      </w:r>
      <w:r w:rsidR="005901A2" w:rsidRPr="00BB3A3B">
        <w:t>1. Ámbito de intervención</w:t>
      </w:r>
      <w:r w:rsidR="00ED7DFE">
        <w:t xml:space="preserve"> de</w:t>
      </w:r>
      <w:r w:rsidR="008A20A7">
        <w:t xml:space="preserve">l </w:t>
      </w:r>
      <w:r w:rsidR="00F11EE2">
        <w:t>p</w:t>
      </w:r>
      <w:r w:rsidR="008A20A7">
        <w:t>royecto</w:t>
      </w:r>
      <w:r w:rsidR="00F11EE2">
        <w:t xml:space="preserve"> integrado</w:t>
      </w:r>
      <w:bookmarkEnd w:id="5"/>
    </w:p>
    <w:p w14:paraId="7E3C903D" w14:textId="77777777" w:rsidR="00DE2184" w:rsidRDefault="00D64E0D" w:rsidP="00854EFC">
      <w:pPr>
        <w:pStyle w:val="parrafonumerado"/>
      </w:pPr>
      <w:r>
        <w:t>Los</w:t>
      </w:r>
      <w:r w:rsidR="00FF759D">
        <w:t xml:space="preserve"> Componente</w:t>
      </w:r>
      <w:r>
        <w:t>s</w:t>
      </w:r>
      <w:r w:rsidR="00FF759D">
        <w:t xml:space="preserve"> 1 </w:t>
      </w:r>
      <w:r>
        <w:t xml:space="preserve">y 3 </w:t>
      </w:r>
      <w:r w:rsidR="00FF759D">
        <w:t>tiene</w:t>
      </w:r>
      <w:r>
        <w:t>n</w:t>
      </w:r>
      <w:r w:rsidR="00FF759D">
        <w:t xml:space="preserve"> un área definida en función a características del bosque de pino y la importancia del déficit del recurso hídrico.  El Componente 2</w:t>
      </w:r>
      <w:r>
        <w:t xml:space="preserve"> (cuyo ámbito se define más adelante)</w:t>
      </w:r>
      <w:r w:rsidR="00FF759D">
        <w:t xml:space="preserve">, </w:t>
      </w:r>
      <w:r>
        <w:t xml:space="preserve">está </w:t>
      </w:r>
      <w:r w:rsidR="00FF759D">
        <w:t>orientado a fortalecer la sanidad forestal del ICF</w:t>
      </w:r>
      <w:r>
        <w:t xml:space="preserve"> y</w:t>
      </w:r>
      <w:r w:rsidR="00FF759D">
        <w:t xml:space="preserve"> es de alcance nacional. Esto implica que existe un área de superposición entre ambos componentes </w:t>
      </w:r>
      <w:r>
        <w:t xml:space="preserve">(que llamaremos C1/C2/C3) </w:t>
      </w:r>
      <w:r w:rsidR="00FF759D">
        <w:t>y un área en la que solamente se tendrá el Componente 2</w:t>
      </w:r>
      <w:r>
        <w:t xml:space="preserve"> (C2)</w:t>
      </w:r>
      <w:r w:rsidR="00FF759D">
        <w:t xml:space="preserve">.  </w:t>
      </w:r>
      <w:r w:rsidR="00DE2184">
        <w:t xml:space="preserve">Para </w:t>
      </w:r>
      <w:r w:rsidR="001E5874">
        <w:t>el ámbito C1/C2</w:t>
      </w:r>
      <w:r>
        <w:t>/C3</w:t>
      </w:r>
      <w:r w:rsidR="001E5874">
        <w:t xml:space="preserve"> </w:t>
      </w:r>
      <w:r w:rsidR="00ED7DFE">
        <w:t xml:space="preserve">del proyecto </w:t>
      </w:r>
      <w:r w:rsidR="00DE2184">
        <w:t>s</w:t>
      </w:r>
      <w:r w:rsidR="00DE2184" w:rsidRPr="00DE2184">
        <w:t xml:space="preserve">e </w:t>
      </w:r>
      <w:r w:rsidR="00593A07">
        <w:t xml:space="preserve">han </w:t>
      </w:r>
      <w:r w:rsidR="00DE2184" w:rsidRPr="00DE2184">
        <w:t>identifica</w:t>
      </w:r>
      <w:r w:rsidR="00593A07">
        <w:t>do</w:t>
      </w:r>
      <w:r w:rsidR="00DE2184" w:rsidRPr="00DE2184">
        <w:t xml:space="preserve"> </w:t>
      </w:r>
      <w:r w:rsidR="00593A07">
        <w:t>a 29</w:t>
      </w:r>
      <w:r w:rsidR="00DE2184" w:rsidRPr="00DE2184">
        <w:t xml:space="preserve"> subcuencas críticas </w:t>
      </w:r>
      <w:r w:rsidR="00593A07" w:rsidRPr="00DE2184">
        <w:t>(</w:t>
      </w:r>
      <w:r w:rsidR="00593A07">
        <w:t>M</w:t>
      </w:r>
      <w:r w:rsidR="00593A07" w:rsidRPr="00DE2184">
        <w:t>apa 1)</w:t>
      </w:r>
      <w:r w:rsidR="00593A07">
        <w:t xml:space="preserve">, definidas como </w:t>
      </w:r>
      <w:r w:rsidR="00DE2184" w:rsidRPr="00DE2184">
        <w:t xml:space="preserve">aquellas donde </w:t>
      </w:r>
      <w:r w:rsidR="00FF759D">
        <w:t xml:space="preserve">existe una cantidad importante de áreas con bosque de pino atacada por el Gorgojo, y en las que </w:t>
      </w:r>
      <w:r w:rsidR="00DE2184" w:rsidRPr="00DE2184">
        <w:t xml:space="preserve">la demanda del recurso hídrico para usos consuntivos </w:t>
      </w:r>
      <w:r w:rsidR="00593A07">
        <w:t xml:space="preserve">tiende a </w:t>
      </w:r>
      <w:r w:rsidR="00DE2184" w:rsidRPr="00DE2184">
        <w:t>supera</w:t>
      </w:r>
      <w:r w:rsidR="00593A07">
        <w:t>r</w:t>
      </w:r>
      <w:r w:rsidR="00DE2184" w:rsidRPr="00DE2184">
        <w:t xml:space="preserve"> </w:t>
      </w:r>
      <w:hyperlink r:id="rId11" w:history="1">
        <w:r w:rsidR="00DE2184" w:rsidRPr="00593A07">
          <w:t>la oferta hídrica</w:t>
        </w:r>
      </w:hyperlink>
      <w:r w:rsidR="00DE2184" w:rsidRPr="00DE2184">
        <w:t xml:space="preserve"> en los meses de estiaje</w:t>
      </w:r>
      <w:r w:rsidR="00593A07">
        <w:t xml:space="preserve"> (normalmente enero a abril)</w:t>
      </w:r>
      <w:r w:rsidR="00DE2184" w:rsidRPr="00DE2184">
        <w:t>, tanto por una alta demanda como por limitada infraestructura hídrica para compensar e</w:t>
      </w:r>
      <w:r w:rsidR="00593A07">
        <w:t>l déficit</w:t>
      </w:r>
      <w:r w:rsidR="00DE2184" w:rsidRPr="00DE2184">
        <w:t xml:space="preserve">. </w:t>
      </w:r>
      <w:r w:rsidR="00593A07">
        <w:t xml:space="preserve"> </w:t>
      </w:r>
    </w:p>
    <w:p w14:paraId="74767350" w14:textId="77777777" w:rsidR="00BA5478" w:rsidRDefault="0030200E" w:rsidP="00593A07">
      <w:pPr>
        <w:jc w:val="center"/>
      </w:pPr>
      <w:r>
        <w:rPr>
          <w:noProof/>
          <w:lang w:val="en-US" w:eastAsia="en-US"/>
        </w:rPr>
        <w:drawing>
          <wp:anchor distT="0" distB="0" distL="114300" distR="114300" simplePos="0" relativeHeight="251659264" behindDoc="0" locked="0" layoutInCell="1" allowOverlap="1" wp14:anchorId="669390E4" wp14:editId="28A88B19">
            <wp:simplePos x="0" y="0"/>
            <wp:positionH relativeFrom="column">
              <wp:posOffset>366561</wp:posOffset>
            </wp:positionH>
            <wp:positionV relativeFrom="paragraph">
              <wp:posOffset>186690</wp:posOffset>
            </wp:positionV>
            <wp:extent cx="4698862" cy="3314030"/>
            <wp:effectExtent l="0" t="0" r="6985" b="127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98862" cy="3314030"/>
                    </a:xfrm>
                    <a:prstGeom prst="rect">
                      <a:avLst/>
                    </a:prstGeom>
                  </pic:spPr>
                </pic:pic>
              </a:graphicData>
            </a:graphic>
            <wp14:sizeRelH relativeFrom="margin">
              <wp14:pctWidth>0</wp14:pctWidth>
            </wp14:sizeRelH>
            <wp14:sizeRelV relativeFrom="margin">
              <wp14:pctHeight>0</wp14:pctHeight>
            </wp14:sizeRelV>
          </wp:anchor>
        </w:drawing>
      </w:r>
      <w:r w:rsidR="00BA5478">
        <w:t xml:space="preserve">Mapa </w:t>
      </w:r>
      <w:r w:rsidR="00DE2184">
        <w:t>1</w:t>
      </w:r>
      <w:r w:rsidR="00BA5478">
        <w:t>.  Área de intervención de</w:t>
      </w:r>
      <w:r w:rsidR="001512ED">
        <w:t>l</w:t>
      </w:r>
      <w:r w:rsidR="00ED7DFE">
        <w:t xml:space="preserve"> </w:t>
      </w:r>
      <w:r w:rsidR="00BA5478">
        <w:t>proyecto</w:t>
      </w:r>
      <w:r w:rsidR="001512ED">
        <w:t xml:space="preserve"> MSB-FVC</w:t>
      </w:r>
      <w:r w:rsidR="00D64E0D">
        <w:t xml:space="preserve"> en C1/C2/C3</w:t>
      </w:r>
    </w:p>
    <w:p w14:paraId="7F32A757" w14:textId="77777777" w:rsidR="00593A07" w:rsidRDefault="00593A07" w:rsidP="00854EFC">
      <w:pPr>
        <w:pStyle w:val="parrafonumerado"/>
      </w:pPr>
      <w:r w:rsidRPr="00DE2184">
        <w:t xml:space="preserve">Dentro del área </w:t>
      </w:r>
      <w:r w:rsidR="00D64E0D">
        <w:t>de C1/C2/C3</w:t>
      </w:r>
      <w:r w:rsidRPr="00DE2184">
        <w:t xml:space="preserve"> existen 219,186 ha declaradas como áreas protegidas, que incluyen tres Parques Nacionales (85,446 ha), cinco Reservas Biológicas (33,822 ha), dos Refugios de Vida Silvestre (10,493 ha), y tres Zonas Productoras de Agua (79,425 ha).</w:t>
      </w:r>
      <w:r>
        <w:t xml:space="preserve">  </w:t>
      </w:r>
      <w:r w:rsidRPr="00DE2184">
        <w:t>Debido al brote de plaga de 201</w:t>
      </w:r>
      <w:r w:rsidR="001512ED">
        <w:t>3</w:t>
      </w:r>
      <w:r w:rsidRPr="00DE2184">
        <w:t xml:space="preserve">-2016, en estas subcuencas críticas se ha producido una </w:t>
      </w:r>
      <w:r w:rsidRPr="00DE2184">
        <w:lastRenderedPageBreak/>
        <w:t xml:space="preserve">afectación por el gorgojo de </w:t>
      </w:r>
      <w:r w:rsidR="009D4A5C">
        <w:t xml:space="preserve">un poco más de </w:t>
      </w:r>
      <w:r>
        <w:t>8</w:t>
      </w:r>
      <w:r w:rsidR="001512ED">
        <w:t>2</w:t>
      </w:r>
      <w:r>
        <w:t xml:space="preserve">,000 </w:t>
      </w:r>
      <w:r w:rsidRPr="00DE2184">
        <w:t>hectáreas</w:t>
      </w:r>
      <w:r w:rsidR="009D4A5C">
        <w:t xml:space="preserve"> en dicho ámbito</w:t>
      </w:r>
      <w:r w:rsidRPr="00DE2184">
        <w:t xml:space="preserve">, lo cual </w:t>
      </w:r>
      <w:r w:rsidR="009D4A5C">
        <w:t>g</w:t>
      </w:r>
      <w:r w:rsidRPr="00DE2184">
        <w:t xml:space="preserve">enera impactos negativos </w:t>
      </w:r>
      <w:r w:rsidR="009D4A5C">
        <w:t xml:space="preserve">en </w:t>
      </w:r>
      <w:r w:rsidRPr="00DE2184">
        <w:t>los caudales anuales en la época de estiaje</w:t>
      </w:r>
      <w:r>
        <w:t>.</w:t>
      </w:r>
      <w:r w:rsidRPr="00DE2184">
        <w:t xml:space="preserve"> </w:t>
      </w:r>
    </w:p>
    <w:p w14:paraId="554AA85E" w14:textId="77777777" w:rsidR="00847677" w:rsidRDefault="009D4A5C" w:rsidP="00854EFC">
      <w:pPr>
        <w:pStyle w:val="parrafonumerado"/>
      </w:pPr>
      <w:r>
        <w:t>Como se muestra en el Mapa 1, e</w:t>
      </w:r>
      <w:r w:rsidR="00BA5478">
        <w:t xml:space="preserve">l </w:t>
      </w:r>
      <w:r w:rsidR="00BA5478" w:rsidRPr="00114DB8">
        <w:t>ámbito</w:t>
      </w:r>
      <w:r w:rsidR="00BA5478">
        <w:t xml:space="preserve"> de intervención</w:t>
      </w:r>
      <w:r w:rsidR="00ED7DFE">
        <w:t xml:space="preserve"> </w:t>
      </w:r>
      <w:r w:rsidR="00FF759D">
        <w:t xml:space="preserve">de las 29 subcuencas </w:t>
      </w:r>
      <w:r>
        <w:t>(área naranja)</w:t>
      </w:r>
      <w:r w:rsidR="00BA5478">
        <w:t xml:space="preserve"> tiene superposición con 53 municipios </w:t>
      </w:r>
      <w:r w:rsidR="00FF759D">
        <w:t xml:space="preserve">(áreas verdes) </w:t>
      </w:r>
      <w:r w:rsidR="00BA5478">
        <w:t xml:space="preserve">y con 9 departamentos.  Igualmente, </w:t>
      </w:r>
      <w:r>
        <w:t xml:space="preserve">en el ámbito se ubican </w:t>
      </w:r>
      <w:r w:rsidR="00BA5478">
        <w:t>8 ciudades de más de 10,000 habitantes (</w:t>
      </w:r>
      <w:r>
        <w:t xml:space="preserve">Censo de Población </w:t>
      </w:r>
      <w:r w:rsidR="00BA5478">
        <w:t xml:space="preserve">2013), incluyendo al distrito central en Tegucigalpa, que es la capital del país. </w:t>
      </w:r>
      <w:r w:rsidR="00847677">
        <w:t xml:space="preserve"> Otras ciudades importantes son Comayagua, Siguatepeque, </w:t>
      </w:r>
      <w:proofErr w:type="spellStart"/>
      <w:r w:rsidR="00847677">
        <w:t>Jutigalpa</w:t>
      </w:r>
      <w:proofErr w:type="spellEnd"/>
      <w:r w:rsidR="00847677">
        <w:t>, Talanga, El Paraíso y San Marcos de Colón.</w:t>
      </w:r>
    </w:p>
    <w:p w14:paraId="2C2A106A" w14:textId="77777777" w:rsidR="005F12BB" w:rsidRDefault="00BA5478" w:rsidP="00854EFC">
      <w:pPr>
        <w:pStyle w:val="parrafonumerado"/>
      </w:pPr>
      <w:r>
        <w:t xml:space="preserve">Utilizando datos </w:t>
      </w:r>
      <w:r w:rsidR="00847677">
        <w:t>del Censo de Población (2013)</w:t>
      </w:r>
      <w:r>
        <w:t xml:space="preserve"> y de pobreza </w:t>
      </w:r>
      <w:r w:rsidR="00847677">
        <w:t>tomados de la encuesta de propósitos múltiples (2013) para</w:t>
      </w:r>
      <w:r>
        <w:t xml:space="preserve"> los 53 municipios que se superponen con el área de intervención se tiene el siguiente perfil de toda la población </w:t>
      </w:r>
      <w:r w:rsidR="00847677">
        <w:t>en el ámbito de intervención.</w:t>
      </w:r>
    </w:p>
    <w:p w14:paraId="64C48C6B" w14:textId="77777777" w:rsidR="00847677" w:rsidRPr="001512ED" w:rsidRDefault="00847677" w:rsidP="001512ED">
      <w:pPr>
        <w:pStyle w:val="NoSpacing"/>
      </w:pPr>
      <w:r w:rsidRPr="001512ED">
        <w:t xml:space="preserve">Cuadro </w:t>
      </w:r>
      <w:r w:rsidR="00BB3F5C" w:rsidRPr="001512ED">
        <w:t>1</w:t>
      </w:r>
      <w:r w:rsidRPr="001512ED">
        <w:t>.  Perfil de la población en el ámbito de intervención</w:t>
      </w:r>
      <w:r w:rsidR="00D64E0D">
        <w:t xml:space="preserve"> C1/C2/C3</w:t>
      </w:r>
    </w:p>
    <w:tbl>
      <w:tblPr>
        <w:tblW w:w="4756" w:type="pct"/>
        <w:tblInd w:w="421" w:type="dxa"/>
        <w:tblLayout w:type="fixed"/>
        <w:tblCellMar>
          <w:left w:w="70" w:type="dxa"/>
          <w:right w:w="70" w:type="dxa"/>
        </w:tblCellMar>
        <w:tblLook w:val="04A0" w:firstRow="1" w:lastRow="0" w:firstColumn="1" w:lastColumn="0" w:noHBand="0" w:noVBand="1"/>
      </w:tblPr>
      <w:tblGrid>
        <w:gridCol w:w="1840"/>
        <w:gridCol w:w="1098"/>
        <w:gridCol w:w="1072"/>
        <w:gridCol w:w="961"/>
        <w:gridCol w:w="1066"/>
        <w:gridCol w:w="1081"/>
        <w:gridCol w:w="961"/>
      </w:tblGrid>
      <w:tr w:rsidR="00114DB8" w:rsidRPr="00577A44" w14:paraId="5500DDB6" w14:textId="77777777" w:rsidTr="00D64E0D">
        <w:trPr>
          <w:trHeight w:val="284"/>
        </w:trPr>
        <w:tc>
          <w:tcPr>
            <w:tcW w:w="11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BE3DF" w14:textId="77777777" w:rsidR="00971D1C" w:rsidRPr="00577A44" w:rsidRDefault="00971D1C" w:rsidP="00577A44">
            <w:pPr>
              <w:pStyle w:val="NoSpacing"/>
              <w:rPr>
                <w:sz w:val="20"/>
                <w:lang w:eastAsia="es-PE"/>
              </w:rPr>
            </w:pPr>
            <w:r w:rsidRPr="00577A44">
              <w:rPr>
                <w:sz w:val="20"/>
                <w:lang w:eastAsia="es-PE"/>
              </w:rPr>
              <w:t> </w:t>
            </w:r>
          </w:p>
        </w:tc>
        <w:tc>
          <w:tcPr>
            <w:tcW w:w="679" w:type="pct"/>
            <w:tcBorders>
              <w:top w:val="single" w:sz="4" w:space="0" w:color="auto"/>
              <w:left w:val="nil"/>
              <w:bottom w:val="single" w:sz="4" w:space="0" w:color="auto"/>
              <w:right w:val="single" w:sz="4" w:space="0" w:color="auto"/>
            </w:tcBorders>
            <w:shd w:val="clear" w:color="auto" w:fill="auto"/>
            <w:noWrap/>
            <w:vAlign w:val="center"/>
            <w:hideMark/>
          </w:tcPr>
          <w:p w14:paraId="7171DDA4" w14:textId="77777777" w:rsidR="00971D1C" w:rsidRPr="00577A44" w:rsidRDefault="00971D1C" w:rsidP="00577A44">
            <w:pPr>
              <w:pStyle w:val="NoSpacing"/>
              <w:rPr>
                <w:sz w:val="20"/>
                <w:lang w:eastAsia="es-PE"/>
              </w:rPr>
            </w:pPr>
            <w:r w:rsidRPr="00577A44">
              <w:rPr>
                <w:sz w:val="20"/>
                <w:lang w:eastAsia="es-PE"/>
              </w:rPr>
              <w:t>Municipios</w:t>
            </w:r>
          </w:p>
        </w:tc>
        <w:tc>
          <w:tcPr>
            <w:tcW w:w="663" w:type="pct"/>
            <w:tcBorders>
              <w:top w:val="single" w:sz="4" w:space="0" w:color="auto"/>
              <w:left w:val="nil"/>
              <w:bottom w:val="single" w:sz="4" w:space="0" w:color="auto"/>
              <w:right w:val="single" w:sz="4" w:space="0" w:color="auto"/>
            </w:tcBorders>
            <w:shd w:val="clear" w:color="auto" w:fill="auto"/>
            <w:noWrap/>
            <w:vAlign w:val="center"/>
            <w:hideMark/>
          </w:tcPr>
          <w:p w14:paraId="3850D18B" w14:textId="77777777" w:rsidR="00971D1C" w:rsidRPr="00577A44" w:rsidRDefault="00971D1C" w:rsidP="00577A44">
            <w:pPr>
              <w:pStyle w:val="NoSpacing"/>
              <w:rPr>
                <w:sz w:val="20"/>
                <w:lang w:eastAsia="es-PE"/>
              </w:rPr>
            </w:pPr>
            <w:r w:rsidRPr="00577A44">
              <w:rPr>
                <w:sz w:val="20"/>
                <w:lang w:eastAsia="es-PE"/>
              </w:rPr>
              <w:t>Población</w:t>
            </w:r>
          </w:p>
        </w:tc>
        <w:tc>
          <w:tcPr>
            <w:tcW w:w="595" w:type="pct"/>
            <w:tcBorders>
              <w:top w:val="single" w:sz="4" w:space="0" w:color="auto"/>
              <w:left w:val="nil"/>
              <w:bottom w:val="single" w:sz="4" w:space="0" w:color="auto"/>
              <w:right w:val="single" w:sz="4" w:space="0" w:color="auto"/>
            </w:tcBorders>
            <w:shd w:val="clear" w:color="auto" w:fill="auto"/>
            <w:noWrap/>
            <w:vAlign w:val="center"/>
            <w:hideMark/>
          </w:tcPr>
          <w:p w14:paraId="0F8389CE" w14:textId="77777777" w:rsidR="00971D1C" w:rsidRPr="00577A44" w:rsidRDefault="00971D1C" w:rsidP="00577A44">
            <w:pPr>
              <w:pStyle w:val="NoSpacing"/>
              <w:rPr>
                <w:sz w:val="20"/>
                <w:lang w:eastAsia="es-PE"/>
              </w:rPr>
            </w:pPr>
            <w:r w:rsidRPr="00577A44">
              <w:rPr>
                <w:sz w:val="20"/>
                <w:lang w:eastAsia="es-PE"/>
              </w:rPr>
              <w:t>% Rural</w:t>
            </w:r>
          </w:p>
        </w:tc>
        <w:tc>
          <w:tcPr>
            <w:tcW w:w="660" w:type="pct"/>
            <w:tcBorders>
              <w:top w:val="single" w:sz="4" w:space="0" w:color="auto"/>
              <w:left w:val="nil"/>
              <w:bottom w:val="single" w:sz="4" w:space="0" w:color="auto"/>
              <w:right w:val="single" w:sz="4" w:space="0" w:color="auto"/>
            </w:tcBorders>
            <w:shd w:val="clear" w:color="auto" w:fill="auto"/>
            <w:noWrap/>
            <w:vAlign w:val="center"/>
            <w:hideMark/>
          </w:tcPr>
          <w:p w14:paraId="444A622D" w14:textId="77777777" w:rsidR="00971D1C" w:rsidRPr="00577A44" w:rsidRDefault="00971D1C" w:rsidP="00577A44">
            <w:pPr>
              <w:pStyle w:val="NoSpacing"/>
              <w:rPr>
                <w:sz w:val="20"/>
                <w:lang w:eastAsia="es-PE"/>
              </w:rPr>
            </w:pPr>
            <w:r w:rsidRPr="00577A44">
              <w:rPr>
                <w:sz w:val="20"/>
                <w:lang w:eastAsia="es-PE"/>
              </w:rPr>
              <w:t>% Agrario</w:t>
            </w:r>
          </w:p>
        </w:tc>
        <w:tc>
          <w:tcPr>
            <w:tcW w:w="669" w:type="pct"/>
            <w:tcBorders>
              <w:top w:val="single" w:sz="4" w:space="0" w:color="auto"/>
              <w:left w:val="nil"/>
              <w:bottom w:val="single" w:sz="4" w:space="0" w:color="auto"/>
              <w:right w:val="single" w:sz="4" w:space="0" w:color="auto"/>
            </w:tcBorders>
            <w:shd w:val="clear" w:color="auto" w:fill="auto"/>
            <w:vAlign w:val="center"/>
            <w:hideMark/>
          </w:tcPr>
          <w:p w14:paraId="74A536FB" w14:textId="77777777" w:rsidR="00971D1C" w:rsidRPr="00577A44" w:rsidRDefault="00971D1C" w:rsidP="00577A44">
            <w:pPr>
              <w:pStyle w:val="NoSpacing"/>
              <w:rPr>
                <w:sz w:val="20"/>
                <w:lang w:eastAsia="es-PE"/>
              </w:rPr>
            </w:pPr>
            <w:r w:rsidRPr="00577A44">
              <w:rPr>
                <w:sz w:val="20"/>
                <w:lang w:eastAsia="es-PE"/>
              </w:rPr>
              <w:t>Pobreza Extrema</w:t>
            </w:r>
          </w:p>
        </w:tc>
        <w:tc>
          <w:tcPr>
            <w:tcW w:w="595" w:type="pct"/>
            <w:tcBorders>
              <w:top w:val="single" w:sz="4" w:space="0" w:color="auto"/>
              <w:left w:val="nil"/>
              <w:bottom w:val="single" w:sz="4" w:space="0" w:color="auto"/>
              <w:right w:val="single" w:sz="4" w:space="0" w:color="auto"/>
            </w:tcBorders>
            <w:shd w:val="clear" w:color="auto" w:fill="auto"/>
            <w:noWrap/>
            <w:vAlign w:val="center"/>
            <w:hideMark/>
          </w:tcPr>
          <w:p w14:paraId="013B24D6" w14:textId="77777777" w:rsidR="00971D1C" w:rsidRPr="00577A44" w:rsidRDefault="00971D1C" w:rsidP="00577A44">
            <w:pPr>
              <w:pStyle w:val="NoSpacing"/>
              <w:rPr>
                <w:sz w:val="20"/>
                <w:lang w:eastAsia="es-PE"/>
              </w:rPr>
            </w:pPr>
            <w:r w:rsidRPr="00577A44">
              <w:rPr>
                <w:sz w:val="20"/>
                <w:lang w:eastAsia="es-PE"/>
              </w:rPr>
              <w:t>Pobreza</w:t>
            </w:r>
          </w:p>
        </w:tc>
      </w:tr>
      <w:tr w:rsidR="00114DB8" w:rsidRPr="00577A44" w14:paraId="2C8513F6" w14:textId="77777777" w:rsidTr="00D64E0D">
        <w:trPr>
          <w:trHeight w:val="284"/>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1D468342" w14:textId="77777777" w:rsidR="00971D1C" w:rsidRPr="00577A44" w:rsidRDefault="00971D1C" w:rsidP="00577A44">
            <w:pPr>
              <w:pStyle w:val="NoSpacing"/>
              <w:rPr>
                <w:sz w:val="20"/>
                <w:lang w:eastAsia="es-PE"/>
              </w:rPr>
            </w:pPr>
            <w:r w:rsidRPr="00577A44">
              <w:rPr>
                <w:sz w:val="20"/>
                <w:lang w:eastAsia="es-PE"/>
              </w:rPr>
              <w:t>Choluteca</w:t>
            </w:r>
          </w:p>
        </w:tc>
        <w:tc>
          <w:tcPr>
            <w:tcW w:w="679" w:type="pct"/>
            <w:tcBorders>
              <w:top w:val="nil"/>
              <w:left w:val="nil"/>
              <w:bottom w:val="single" w:sz="4" w:space="0" w:color="auto"/>
              <w:right w:val="single" w:sz="4" w:space="0" w:color="auto"/>
            </w:tcBorders>
            <w:shd w:val="clear" w:color="auto" w:fill="auto"/>
            <w:noWrap/>
            <w:vAlign w:val="bottom"/>
            <w:hideMark/>
          </w:tcPr>
          <w:p w14:paraId="35264EBF" w14:textId="77777777" w:rsidR="00971D1C" w:rsidRPr="00577A44" w:rsidRDefault="00971D1C" w:rsidP="00577A44">
            <w:pPr>
              <w:pStyle w:val="NoSpacing"/>
              <w:rPr>
                <w:sz w:val="20"/>
                <w:lang w:eastAsia="es-PE"/>
              </w:rPr>
            </w:pPr>
            <w:r w:rsidRPr="00577A44">
              <w:rPr>
                <w:sz w:val="20"/>
                <w:lang w:eastAsia="es-PE"/>
              </w:rPr>
              <w:t>3</w:t>
            </w:r>
          </w:p>
        </w:tc>
        <w:tc>
          <w:tcPr>
            <w:tcW w:w="663" w:type="pct"/>
            <w:tcBorders>
              <w:top w:val="nil"/>
              <w:left w:val="nil"/>
              <w:bottom w:val="single" w:sz="4" w:space="0" w:color="auto"/>
              <w:right w:val="single" w:sz="4" w:space="0" w:color="auto"/>
            </w:tcBorders>
            <w:shd w:val="clear" w:color="auto" w:fill="auto"/>
            <w:noWrap/>
            <w:vAlign w:val="bottom"/>
            <w:hideMark/>
          </w:tcPr>
          <w:p w14:paraId="19A7D213" w14:textId="77777777" w:rsidR="00971D1C" w:rsidRPr="00577A44" w:rsidRDefault="00971D1C" w:rsidP="00577A44">
            <w:pPr>
              <w:pStyle w:val="NoSpacing"/>
              <w:rPr>
                <w:sz w:val="20"/>
                <w:lang w:eastAsia="es-PE"/>
              </w:rPr>
            </w:pPr>
            <w:r w:rsidRPr="00577A44">
              <w:rPr>
                <w:sz w:val="20"/>
                <w:lang w:eastAsia="es-PE"/>
              </w:rPr>
              <w:t>33,230</w:t>
            </w:r>
          </w:p>
        </w:tc>
        <w:tc>
          <w:tcPr>
            <w:tcW w:w="595" w:type="pct"/>
            <w:tcBorders>
              <w:top w:val="nil"/>
              <w:left w:val="nil"/>
              <w:bottom w:val="single" w:sz="4" w:space="0" w:color="auto"/>
              <w:right w:val="single" w:sz="4" w:space="0" w:color="auto"/>
            </w:tcBorders>
            <w:shd w:val="clear" w:color="auto" w:fill="auto"/>
            <w:noWrap/>
            <w:vAlign w:val="bottom"/>
            <w:hideMark/>
          </w:tcPr>
          <w:p w14:paraId="5632F0D4" w14:textId="77777777" w:rsidR="00971D1C" w:rsidRPr="00577A44" w:rsidRDefault="00971D1C" w:rsidP="00577A44">
            <w:pPr>
              <w:pStyle w:val="NoSpacing"/>
              <w:rPr>
                <w:sz w:val="20"/>
                <w:lang w:eastAsia="es-PE"/>
              </w:rPr>
            </w:pPr>
            <w:r w:rsidRPr="00577A44">
              <w:rPr>
                <w:sz w:val="20"/>
                <w:lang w:eastAsia="es-PE"/>
              </w:rPr>
              <w:t>70%</w:t>
            </w:r>
          </w:p>
        </w:tc>
        <w:tc>
          <w:tcPr>
            <w:tcW w:w="660" w:type="pct"/>
            <w:tcBorders>
              <w:top w:val="nil"/>
              <w:left w:val="nil"/>
              <w:bottom w:val="single" w:sz="4" w:space="0" w:color="auto"/>
              <w:right w:val="single" w:sz="4" w:space="0" w:color="auto"/>
            </w:tcBorders>
            <w:shd w:val="clear" w:color="auto" w:fill="auto"/>
            <w:noWrap/>
            <w:vAlign w:val="bottom"/>
            <w:hideMark/>
          </w:tcPr>
          <w:p w14:paraId="7B4DCB41" w14:textId="77777777" w:rsidR="00971D1C" w:rsidRPr="00577A44" w:rsidRDefault="00971D1C" w:rsidP="00577A44">
            <w:pPr>
              <w:pStyle w:val="NoSpacing"/>
              <w:rPr>
                <w:sz w:val="20"/>
                <w:lang w:eastAsia="es-PE"/>
              </w:rPr>
            </w:pPr>
            <w:r w:rsidRPr="00577A44">
              <w:rPr>
                <w:sz w:val="20"/>
                <w:lang w:eastAsia="es-PE"/>
              </w:rPr>
              <w:t>66%</w:t>
            </w:r>
          </w:p>
        </w:tc>
        <w:tc>
          <w:tcPr>
            <w:tcW w:w="669" w:type="pct"/>
            <w:tcBorders>
              <w:top w:val="nil"/>
              <w:left w:val="nil"/>
              <w:bottom w:val="single" w:sz="4" w:space="0" w:color="auto"/>
              <w:right w:val="single" w:sz="4" w:space="0" w:color="auto"/>
            </w:tcBorders>
            <w:shd w:val="clear" w:color="auto" w:fill="auto"/>
            <w:noWrap/>
            <w:vAlign w:val="bottom"/>
            <w:hideMark/>
          </w:tcPr>
          <w:p w14:paraId="727B7F6F" w14:textId="77777777" w:rsidR="00971D1C" w:rsidRPr="00577A44" w:rsidRDefault="00971D1C" w:rsidP="00577A44">
            <w:pPr>
              <w:pStyle w:val="NoSpacing"/>
              <w:rPr>
                <w:sz w:val="20"/>
                <w:lang w:eastAsia="es-PE"/>
              </w:rPr>
            </w:pPr>
            <w:r w:rsidRPr="00577A44">
              <w:rPr>
                <w:sz w:val="20"/>
                <w:lang w:eastAsia="es-PE"/>
              </w:rPr>
              <w:t>51%</w:t>
            </w:r>
          </w:p>
        </w:tc>
        <w:tc>
          <w:tcPr>
            <w:tcW w:w="595" w:type="pct"/>
            <w:tcBorders>
              <w:top w:val="nil"/>
              <w:left w:val="nil"/>
              <w:bottom w:val="single" w:sz="4" w:space="0" w:color="auto"/>
              <w:right w:val="single" w:sz="4" w:space="0" w:color="auto"/>
            </w:tcBorders>
            <w:shd w:val="clear" w:color="auto" w:fill="auto"/>
            <w:noWrap/>
            <w:vAlign w:val="bottom"/>
            <w:hideMark/>
          </w:tcPr>
          <w:p w14:paraId="06D4CB3A" w14:textId="77777777" w:rsidR="00971D1C" w:rsidRPr="00577A44" w:rsidRDefault="00971D1C" w:rsidP="00577A44">
            <w:pPr>
              <w:pStyle w:val="NoSpacing"/>
              <w:rPr>
                <w:sz w:val="20"/>
                <w:lang w:eastAsia="es-PE"/>
              </w:rPr>
            </w:pPr>
            <w:r w:rsidRPr="00577A44">
              <w:rPr>
                <w:sz w:val="20"/>
                <w:lang w:eastAsia="es-PE"/>
              </w:rPr>
              <w:t>69%</w:t>
            </w:r>
          </w:p>
        </w:tc>
      </w:tr>
      <w:tr w:rsidR="00114DB8" w:rsidRPr="00577A44" w14:paraId="24825D4E" w14:textId="77777777" w:rsidTr="00D64E0D">
        <w:trPr>
          <w:trHeight w:val="284"/>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085B9E6F" w14:textId="77777777" w:rsidR="00971D1C" w:rsidRPr="00577A44" w:rsidRDefault="00971D1C" w:rsidP="00577A44">
            <w:pPr>
              <w:pStyle w:val="NoSpacing"/>
              <w:rPr>
                <w:sz w:val="20"/>
                <w:lang w:eastAsia="es-PE"/>
              </w:rPr>
            </w:pPr>
            <w:r w:rsidRPr="00577A44">
              <w:rPr>
                <w:sz w:val="20"/>
                <w:lang w:eastAsia="es-PE"/>
              </w:rPr>
              <w:t>Comayagua</w:t>
            </w:r>
          </w:p>
        </w:tc>
        <w:tc>
          <w:tcPr>
            <w:tcW w:w="679" w:type="pct"/>
            <w:tcBorders>
              <w:top w:val="nil"/>
              <w:left w:val="nil"/>
              <w:bottom w:val="single" w:sz="4" w:space="0" w:color="auto"/>
              <w:right w:val="single" w:sz="4" w:space="0" w:color="auto"/>
            </w:tcBorders>
            <w:shd w:val="clear" w:color="auto" w:fill="auto"/>
            <w:noWrap/>
            <w:vAlign w:val="bottom"/>
            <w:hideMark/>
          </w:tcPr>
          <w:p w14:paraId="3DD9C88A" w14:textId="77777777" w:rsidR="00971D1C" w:rsidRPr="00577A44" w:rsidRDefault="00971D1C" w:rsidP="00577A44">
            <w:pPr>
              <w:pStyle w:val="NoSpacing"/>
              <w:rPr>
                <w:sz w:val="20"/>
                <w:lang w:eastAsia="es-PE"/>
              </w:rPr>
            </w:pPr>
            <w:r w:rsidRPr="00577A44">
              <w:rPr>
                <w:sz w:val="20"/>
                <w:lang w:eastAsia="es-PE"/>
              </w:rPr>
              <w:t>15</w:t>
            </w:r>
          </w:p>
        </w:tc>
        <w:tc>
          <w:tcPr>
            <w:tcW w:w="663" w:type="pct"/>
            <w:tcBorders>
              <w:top w:val="nil"/>
              <w:left w:val="nil"/>
              <w:bottom w:val="single" w:sz="4" w:space="0" w:color="auto"/>
              <w:right w:val="single" w:sz="4" w:space="0" w:color="auto"/>
            </w:tcBorders>
            <w:shd w:val="clear" w:color="auto" w:fill="auto"/>
            <w:noWrap/>
            <w:vAlign w:val="bottom"/>
            <w:hideMark/>
          </w:tcPr>
          <w:p w14:paraId="66EF2328" w14:textId="77777777" w:rsidR="00971D1C" w:rsidRPr="00577A44" w:rsidRDefault="00971D1C" w:rsidP="00577A44">
            <w:pPr>
              <w:pStyle w:val="NoSpacing"/>
              <w:rPr>
                <w:sz w:val="20"/>
                <w:lang w:eastAsia="es-PE"/>
              </w:rPr>
            </w:pPr>
            <w:r w:rsidRPr="00577A44">
              <w:rPr>
                <w:sz w:val="20"/>
                <w:lang w:eastAsia="es-PE"/>
              </w:rPr>
              <w:t>383,231</w:t>
            </w:r>
          </w:p>
        </w:tc>
        <w:tc>
          <w:tcPr>
            <w:tcW w:w="595" w:type="pct"/>
            <w:tcBorders>
              <w:top w:val="nil"/>
              <w:left w:val="nil"/>
              <w:bottom w:val="single" w:sz="4" w:space="0" w:color="auto"/>
              <w:right w:val="single" w:sz="4" w:space="0" w:color="auto"/>
            </w:tcBorders>
            <w:shd w:val="clear" w:color="auto" w:fill="auto"/>
            <w:noWrap/>
            <w:vAlign w:val="bottom"/>
            <w:hideMark/>
          </w:tcPr>
          <w:p w14:paraId="7F24AB3D" w14:textId="77777777" w:rsidR="00971D1C" w:rsidRPr="00577A44" w:rsidRDefault="00971D1C" w:rsidP="00577A44">
            <w:pPr>
              <w:pStyle w:val="NoSpacing"/>
              <w:rPr>
                <w:sz w:val="20"/>
                <w:lang w:eastAsia="es-PE"/>
              </w:rPr>
            </w:pPr>
            <w:r w:rsidRPr="00577A44">
              <w:rPr>
                <w:sz w:val="20"/>
                <w:lang w:eastAsia="es-PE"/>
              </w:rPr>
              <w:t>66%</w:t>
            </w:r>
          </w:p>
        </w:tc>
        <w:tc>
          <w:tcPr>
            <w:tcW w:w="660" w:type="pct"/>
            <w:tcBorders>
              <w:top w:val="nil"/>
              <w:left w:val="nil"/>
              <w:bottom w:val="single" w:sz="4" w:space="0" w:color="auto"/>
              <w:right w:val="single" w:sz="4" w:space="0" w:color="auto"/>
            </w:tcBorders>
            <w:shd w:val="clear" w:color="auto" w:fill="auto"/>
            <w:noWrap/>
            <w:vAlign w:val="bottom"/>
            <w:hideMark/>
          </w:tcPr>
          <w:p w14:paraId="3CCA5113" w14:textId="77777777" w:rsidR="00971D1C" w:rsidRPr="00577A44" w:rsidRDefault="00971D1C" w:rsidP="00577A44">
            <w:pPr>
              <w:pStyle w:val="NoSpacing"/>
              <w:rPr>
                <w:sz w:val="20"/>
                <w:lang w:eastAsia="es-PE"/>
              </w:rPr>
            </w:pPr>
            <w:r w:rsidRPr="00577A44">
              <w:rPr>
                <w:sz w:val="20"/>
                <w:lang w:eastAsia="es-PE"/>
              </w:rPr>
              <w:t>56%</w:t>
            </w:r>
          </w:p>
        </w:tc>
        <w:tc>
          <w:tcPr>
            <w:tcW w:w="669" w:type="pct"/>
            <w:tcBorders>
              <w:top w:val="nil"/>
              <w:left w:val="nil"/>
              <w:bottom w:val="single" w:sz="4" w:space="0" w:color="auto"/>
              <w:right w:val="single" w:sz="4" w:space="0" w:color="auto"/>
            </w:tcBorders>
            <w:shd w:val="clear" w:color="auto" w:fill="auto"/>
            <w:noWrap/>
            <w:vAlign w:val="bottom"/>
            <w:hideMark/>
          </w:tcPr>
          <w:p w14:paraId="389520F1" w14:textId="77777777" w:rsidR="00971D1C" w:rsidRPr="00577A44" w:rsidRDefault="00971D1C" w:rsidP="00577A44">
            <w:pPr>
              <w:pStyle w:val="NoSpacing"/>
              <w:rPr>
                <w:sz w:val="20"/>
                <w:lang w:eastAsia="es-PE"/>
              </w:rPr>
            </w:pPr>
            <w:r w:rsidRPr="00577A44">
              <w:rPr>
                <w:sz w:val="20"/>
                <w:lang w:eastAsia="es-PE"/>
              </w:rPr>
              <w:t>55%</w:t>
            </w:r>
          </w:p>
        </w:tc>
        <w:tc>
          <w:tcPr>
            <w:tcW w:w="595" w:type="pct"/>
            <w:tcBorders>
              <w:top w:val="nil"/>
              <w:left w:val="nil"/>
              <w:bottom w:val="single" w:sz="4" w:space="0" w:color="auto"/>
              <w:right w:val="single" w:sz="4" w:space="0" w:color="auto"/>
            </w:tcBorders>
            <w:shd w:val="clear" w:color="auto" w:fill="auto"/>
            <w:noWrap/>
            <w:vAlign w:val="bottom"/>
            <w:hideMark/>
          </w:tcPr>
          <w:p w14:paraId="4C1D8BA0" w14:textId="77777777" w:rsidR="00971D1C" w:rsidRPr="00577A44" w:rsidRDefault="00971D1C" w:rsidP="00577A44">
            <w:pPr>
              <w:pStyle w:val="NoSpacing"/>
              <w:rPr>
                <w:sz w:val="20"/>
                <w:lang w:eastAsia="es-PE"/>
              </w:rPr>
            </w:pPr>
            <w:r w:rsidRPr="00577A44">
              <w:rPr>
                <w:sz w:val="20"/>
                <w:lang w:eastAsia="es-PE"/>
              </w:rPr>
              <w:t>62%</w:t>
            </w:r>
          </w:p>
        </w:tc>
      </w:tr>
      <w:tr w:rsidR="00114DB8" w:rsidRPr="00577A44" w14:paraId="3CF44554" w14:textId="77777777" w:rsidTr="00D64E0D">
        <w:trPr>
          <w:trHeight w:val="284"/>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38424D8E" w14:textId="77777777" w:rsidR="00971D1C" w:rsidRPr="00577A44" w:rsidRDefault="00971D1C" w:rsidP="00577A44">
            <w:pPr>
              <w:pStyle w:val="NoSpacing"/>
              <w:rPr>
                <w:sz w:val="20"/>
                <w:lang w:eastAsia="es-PE"/>
              </w:rPr>
            </w:pPr>
            <w:r w:rsidRPr="00577A44">
              <w:rPr>
                <w:sz w:val="20"/>
                <w:lang w:eastAsia="es-PE"/>
              </w:rPr>
              <w:t>El Paraíso</w:t>
            </w:r>
          </w:p>
        </w:tc>
        <w:tc>
          <w:tcPr>
            <w:tcW w:w="679" w:type="pct"/>
            <w:tcBorders>
              <w:top w:val="nil"/>
              <w:left w:val="nil"/>
              <w:bottom w:val="single" w:sz="4" w:space="0" w:color="auto"/>
              <w:right w:val="single" w:sz="4" w:space="0" w:color="auto"/>
            </w:tcBorders>
            <w:shd w:val="clear" w:color="auto" w:fill="auto"/>
            <w:noWrap/>
            <w:vAlign w:val="bottom"/>
            <w:hideMark/>
          </w:tcPr>
          <w:p w14:paraId="62A620B8" w14:textId="77777777" w:rsidR="00971D1C" w:rsidRPr="00577A44" w:rsidRDefault="00971D1C" w:rsidP="00577A44">
            <w:pPr>
              <w:pStyle w:val="NoSpacing"/>
              <w:rPr>
                <w:sz w:val="20"/>
                <w:lang w:eastAsia="es-PE"/>
              </w:rPr>
            </w:pPr>
            <w:r w:rsidRPr="00577A44">
              <w:rPr>
                <w:sz w:val="20"/>
                <w:lang w:eastAsia="es-PE"/>
              </w:rPr>
              <w:t>14</w:t>
            </w:r>
          </w:p>
        </w:tc>
        <w:tc>
          <w:tcPr>
            <w:tcW w:w="663" w:type="pct"/>
            <w:tcBorders>
              <w:top w:val="nil"/>
              <w:left w:val="nil"/>
              <w:bottom w:val="single" w:sz="4" w:space="0" w:color="auto"/>
              <w:right w:val="single" w:sz="4" w:space="0" w:color="auto"/>
            </w:tcBorders>
            <w:shd w:val="clear" w:color="auto" w:fill="auto"/>
            <w:noWrap/>
            <w:vAlign w:val="bottom"/>
            <w:hideMark/>
          </w:tcPr>
          <w:p w14:paraId="1A420E69" w14:textId="77777777" w:rsidR="00971D1C" w:rsidRPr="00577A44" w:rsidRDefault="00971D1C" w:rsidP="00577A44">
            <w:pPr>
              <w:pStyle w:val="NoSpacing"/>
              <w:rPr>
                <w:sz w:val="20"/>
                <w:lang w:eastAsia="es-PE"/>
              </w:rPr>
            </w:pPr>
            <w:r w:rsidRPr="00577A44">
              <w:rPr>
                <w:sz w:val="20"/>
                <w:lang w:eastAsia="es-PE"/>
              </w:rPr>
              <w:t>343,412</w:t>
            </w:r>
          </w:p>
        </w:tc>
        <w:tc>
          <w:tcPr>
            <w:tcW w:w="595" w:type="pct"/>
            <w:tcBorders>
              <w:top w:val="nil"/>
              <w:left w:val="nil"/>
              <w:bottom w:val="single" w:sz="4" w:space="0" w:color="auto"/>
              <w:right w:val="single" w:sz="4" w:space="0" w:color="auto"/>
            </w:tcBorders>
            <w:shd w:val="clear" w:color="auto" w:fill="auto"/>
            <w:noWrap/>
            <w:vAlign w:val="bottom"/>
            <w:hideMark/>
          </w:tcPr>
          <w:p w14:paraId="732F8445" w14:textId="77777777" w:rsidR="00971D1C" w:rsidRPr="00577A44" w:rsidRDefault="00971D1C" w:rsidP="00577A44">
            <w:pPr>
              <w:pStyle w:val="NoSpacing"/>
              <w:rPr>
                <w:sz w:val="20"/>
                <w:lang w:eastAsia="es-PE"/>
              </w:rPr>
            </w:pPr>
            <w:r w:rsidRPr="00577A44">
              <w:rPr>
                <w:sz w:val="20"/>
                <w:lang w:eastAsia="es-PE"/>
              </w:rPr>
              <w:t>78%</w:t>
            </w:r>
          </w:p>
        </w:tc>
        <w:tc>
          <w:tcPr>
            <w:tcW w:w="660" w:type="pct"/>
            <w:tcBorders>
              <w:top w:val="nil"/>
              <w:left w:val="nil"/>
              <w:bottom w:val="single" w:sz="4" w:space="0" w:color="auto"/>
              <w:right w:val="single" w:sz="4" w:space="0" w:color="auto"/>
            </w:tcBorders>
            <w:shd w:val="clear" w:color="auto" w:fill="auto"/>
            <w:noWrap/>
            <w:vAlign w:val="bottom"/>
            <w:hideMark/>
          </w:tcPr>
          <w:p w14:paraId="00F238C4" w14:textId="77777777" w:rsidR="00971D1C" w:rsidRPr="00577A44" w:rsidRDefault="00971D1C" w:rsidP="00577A44">
            <w:pPr>
              <w:pStyle w:val="NoSpacing"/>
              <w:rPr>
                <w:sz w:val="20"/>
                <w:lang w:eastAsia="es-PE"/>
              </w:rPr>
            </w:pPr>
            <w:r w:rsidRPr="00577A44">
              <w:rPr>
                <w:sz w:val="20"/>
                <w:lang w:eastAsia="es-PE"/>
              </w:rPr>
              <w:t>61%</w:t>
            </w:r>
          </w:p>
        </w:tc>
        <w:tc>
          <w:tcPr>
            <w:tcW w:w="669" w:type="pct"/>
            <w:tcBorders>
              <w:top w:val="nil"/>
              <w:left w:val="nil"/>
              <w:bottom w:val="single" w:sz="4" w:space="0" w:color="auto"/>
              <w:right w:val="single" w:sz="4" w:space="0" w:color="auto"/>
            </w:tcBorders>
            <w:shd w:val="clear" w:color="auto" w:fill="auto"/>
            <w:noWrap/>
            <w:vAlign w:val="bottom"/>
            <w:hideMark/>
          </w:tcPr>
          <w:p w14:paraId="677867AE" w14:textId="77777777" w:rsidR="00971D1C" w:rsidRPr="00577A44" w:rsidRDefault="00971D1C" w:rsidP="00577A44">
            <w:pPr>
              <w:pStyle w:val="NoSpacing"/>
              <w:rPr>
                <w:sz w:val="20"/>
                <w:lang w:eastAsia="es-PE"/>
              </w:rPr>
            </w:pPr>
            <w:r w:rsidRPr="00577A44">
              <w:rPr>
                <w:sz w:val="20"/>
                <w:lang w:eastAsia="es-PE"/>
              </w:rPr>
              <w:t>63%</w:t>
            </w:r>
          </w:p>
        </w:tc>
        <w:tc>
          <w:tcPr>
            <w:tcW w:w="595" w:type="pct"/>
            <w:tcBorders>
              <w:top w:val="nil"/>
              <w:left w:val="nil"/>
              <w:bottom w:val="single" w:sz="4" w:space="0" w:color="auto"/>
              <w:right w:val="single" w:sz="4" w:space="0" w:color="auto"/>
            </w:tcBorders>
            <w:shd w:val="clear" w:color="auto" w:fill="auto"/>
            <w:noWrap/>
            <w:vAlign w:val="bottom"/>
            <w:hideMark/>
          </w:tcPr>
          <w:p w14:paraId="112E6C0F" w14:textId="77777777" w:rsidR="00971D1C" w:rsidRPr="00577A44" w:rsidRDefault="00971D1C" w:rsidP="00577A44">
            <w:pPr>
              <w:pStyle w:val="NoSpacing"/>
              <w:rPr>
                <w:sz w:val="20"/>
                <w:lang w:eastAsia="es-PE"/>
              </w:rPr>
            </w:pPr>
            <w:r w:rsidRPr="00577A44">
              <w:rPr>
                <w:sz w:val="20"/>
                <w:lang w:eastAsia="es-PE"/>
              </w:rPr>
              <w:t>66%</w:t>
            </w:r>
          </w:p>
        </w:tc>
      </w:tr>
      <w:tr w:rsidR="00114DB8" w:rsidRPr="00577A44" w14:paraId="278EA567" w14:textId="77777777" w:rsidTr="00D64E0D">
        <w:trPr>
          <w:trHeight w:val="284"/>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0214851B" w14:textId="77777777" w:rsidR="00971D1C" w:rsidRPr="00577A44" w:rsidRDefault="00971D1C" w:rsidP="00577A44">
            <w:pPr>
              <w:pStyle w:val="NoSpacing"/>
              <w:rPr>
                <w:sz w:val="20"/>
                <w:lang w:eastAsia="es-PE"/>
              </w:rPr>
            </w:pPr>
            <w:r w:rsidRPr="00577A44">
              <w:rPr>
                <w:sz w:val="20"/>
                <w:lang w:eastAsia="es-PE"/>
              </w:rPr>
              <w:t>Distrito Central</w:t>
            </w:r>
          </w:p>
        </w:tc>
        <w:tc>
          <w:tcPr>
            <w:tcW w:w="679" w:type="pct"/>
            <w:tcBorders>
              <w:top w:val="nil"/>
              <w:left w:val="nil"/>
              <w:bottom w:val="single" w:sz="4" w:space="0" w:color="auto"/>
              <w:right w:val="single" w:sz="4" w:space="0" w:color="auto"/>
            </w:tcBorders>
            <w:shd w:val="clear" w:color="auto" w:fill="auto"/>
            <w:noWrap/>
            <w:vAlign w:val="bottom"/>
            <w:hideMark/>
          </w:tcPr>
          <w:p w14:paraId="68430B43" w14:textId="77777777" w:rsidR="00971D1C" w:rsidRPr="00577A44" w:rsidRDefault="00971D1C" w:rsidP="00577A44">
            <w:pPr>
              <w:pStyle w:val="NoSpacing"/>
              <w:rPr>
                <w:sz w:val="20"/>
                <w:lang w:eastAsia="es-PE"/>
              </w:rPr>
            </w:pPr>
            <w:r w:rsidRPr="00577A44">
              <w:rPr>
                <w:sz w:val="20"/>
                <w:lang w:eastAsia="es-PE"/>
              </w:rPr>
              <w:t>1</w:t>
            </w:r>
          </w:p>
        </w:tc>
        <w:tc>
          <w:tcPr>
            <w:tcW w:w="663" w:type="pct"/>
            <w:tcBorders>
              <w:top w:val="nil"/>
              <w:left w:val="nil"/>
              <w:bottom w:val="single" w:sz="4" w:space="0" w:color="auto"/>
              <w:right w:val="single" w:sz="4" w:space="0" w:color="auto"/>
            </w:tcBorders>
            <w:shd w:val="clear" w:color="auto" w:fill="auto"/>
            <w:noWrap/>
            <w:vAlign w:val="bottom"/>
            <w:hideMark/>
          </w:tcPr>
          <w:p w14:paraId="6F13FADB" w14:textId="77777777" w:rsidR="00971D1C" w:rsidRPr="00577A44" w:rsidRDefault="00971D1C" w:rsidP="00577A44">
            <w:pPr>
              <w:pStyle w:val="NoSpacing"/>
              <w:rPr>
                <w:sz w:val="20"/>
                <w:lang w:eastAsia="es-PE"/>
              </w:rPr>
            </w:pPr>
            <w:r w:rsidRPr="00577A44">
              <w:rPr>
                <w:sz w:val="20"/>
                <w:lang w:eastAsia="es-PE"/>
              </w:rPr>
              <w:t>1,014,652</w:t>
            </w:r>
          </w:p>
        </w:tc>
        <w:tc>
          <w:tcPr>
            <w:tcW w:w="595" w:type="pct"/>
            <w:tcBorders>
              <w:top w:val="nil"/>
              <w:left w:val="nil"/>
              <w:bottom w:val="single" w:sz="4" w:space="0" w:color="auto"/>
              <w:right w:val="single" w:sz="4" w:space="0" w:color="auto"/>
            </w:tcBorders>
            <w:shd w:val="clear" w:color="auto" w:fill="auto"/>
            <w:noWrap/>
            <w:vAlign w:val="bottom"/>
            <w:hideMark/>
          </w:tcPr>
          <w:p w14:paraId="6C8B9B84" w14:textId="77777777" w:rsidR="00971D1C" w:rsidRPr="00577A44" w:rsidRDefault="00971D1C" w:rsidP="00577A44">
            <w:pPr>
              <w:pStyle w:val="NoSpacing"/>
              <w:rPr>
                <w:sz w:val="20"/>
                <w:lang w:eastAsia="es-PE"/>
              </w:rPr>
            </w:pPr>
            <w:r w:rsidRPr="00577A44">
              <w:rPr>
                <w:sz w:val="20"/>
                <w:lang w:eastAsia="es-PE"/>
              </w:rPr>
              <w:t>10%</w:t>
            </w:r>
          </w:p>
        </w:tc>
        <w:tc>
          <w:tcPr>
            <w:tcW w:w="660" w:type="pct"/>
            <w:tcBorders>
              <w:top w:val="nil"/>
              <w:left w:val="nil"/>
              <w:bottom w:val="single" w:sz="4" w:space="0" w:color="auto"/>
              <w:right w:val="single" w:sz="4" w:space="0" w:color="auto"/>
            </w:tcBorders>
            <w:shd w:val="clear" w:color="auto" w:fill="auto"/>
            <w:noWrap/>
            <w:vAlign w:val="bottom"/>
            <w:hideMark/>
          </w:tcPr>
          <w:p w14:paraId="42DA0FD0" w14:textId="77777777" w:rsidR="00971D1C" w:rsidRPr="00577A44" w:rsidRDefault="00971D1C" w:rsidP="00577A44">
            <w:pPr>
              <w:pStyle w:val="NoSpacing"/>
              <w:rPr>
                <w:sz w:val="20"/>
                <w:lang w:eastAsia="es-PE"/>
              </w:rPr>
            </w:pPr>
            <w:r w:rsidRPr="00577A44">
              <w:rPr>
                <w:sz w:val="20"/>
                <w:lang w:eastAsia="es-PE"/>
              </w:rPr>
              <w:t>3%</w:t>
            </w:r>
          </w:p>
        </w:tc>
        <w:tc>
          <w:tcPr>
            <w:tcW w:w="669" w:type="pct"/>
            <w:tcBorders>
              <w:top w:val="nil"/>
              <w:left w:val="nil"/>
              <w:bottom w:val="single" w:sz="4" w:space="0" w:color="auto"/>
              <w:right w:val="single" w:sz="4" w:space="0" w:color="auto"/>
            </w:tcBorders>
            <w:shd w:val="clear" w:color="auto" w:fill="auto"/>
            <w:noWrap/>
            <w:vAlign w:val="bottom"/>
            <w:hideMark/>
          </w:tcPr>
          <w:p w14:paraId="429D77F4" w14:textId="77777777" w:rsidR="00971D1C" w:rsidRPr="00577A44" w:rsidRDefault="00971D1C" w:rsidP="00577A44">
            <w:pPr>
              <w:pStyle w:val="NoSpacing"/>
              <w:rPr>
                <w:sz w:val="20"/>
                <w:lang w:eastAsia="es-PE"/>
              </w:rPr>
            </w:pPr>
            <w:r w:rsidRPr="00577A44">
              <w:rPr>
                <w:sz w:val="20"/>
                <w:lang w:eastAsia="es-PE"/>
              </w:rPr>
              <w:t>23%</w:t>
            </w:r>
          </w:p>
        </w:tc>
        <w:tc>
          <w:tcPr>
            <w:tcW w:w="595" w:type="pct"/>
            <w:tcBorders>
              <w:top w:val="nil"/>
              <w:left w:val="nil"/>
              <w:bottom w:val="single" w:sz="4" w:space="0" w:color="auto"/>
              <w:right w:val="single" w:sz="4" w:space="0" w:color="auto"/>
            </w:tcBorders>
            <w:shd w:val="clear" w:color="auto" w:fill="auto"/>
            <w:noWrap/>
            <w:vAlign w:val="bottom"/>
            <w:hideMark/>
          </w:tcPr>
          <w:p w14:paraId="2E0F99DE" w14:textId="77777777" w:rsidR="00971D1C" w:rsidRPr="00577A44" w:rsidRDefault="00971D1C" w:rsidP="00577A44">
            <w:pPr>
              <w:pStyle w:val="NoSpacing"/>
              <w:rPr>
                <w:sz w:val="20"/>
                <w:lang w:eastAsia="es-PE"/>
              </w:rPr>
            </w:pPr>
            <w:r w:rsidRPr="00577A44">
              <w:rPr>
                <w:sz w:val="20"/>
                <w:lang w:eastAsia="es-PE"/>
              </w:rPr>
              <w:t>51%</w:t>
            </w:r>
          </w:p>
        </w:tc>
      </w:tr>
      <w:tr w:rsidR="00114DB8" w:rsidRPr="00577A44" w14:paraId="5EC3AC52" w14:textId="77777777" w:rsidTr="00D64E0D">
        <w:trPr>
          <w:trHeight w:val="284"/>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266C2C66" w14:textId="77777777" w:rsidR="00971D1C" w:rsidRPr="00577A44" w:rsidRDefault="00971D1C" w:rsidP="00577A44">
            <w:pPr>
              <w:pStyle w:val="NoSpacing"/>
              <w:rPr>
                <w:sz w:val="20"/>
                <w:lang w:eastAsia="es-PE"/>
              </w:rPr>
            </w:pPr>
            <w:r w:rsidRPr="00577A44">
              <w:rPr>
                <w:sz w:val="20"/>
                <w:lang w:eastAsia="es-PE"/>
              </w:rPr>
              <w:t>Francisco Morazán (resto)</w:t>
            </w:r>
          </w:p>
        </w:tc>
        <w:tc>
          <w:tcPr>
            <w:tcW w:w="679" w:type="pct"/>
            <w:tcBorders>
              <w:top w:val="nil"/>
              <w:left w:val="nil"/>
              <w:bottom w:val="single" w:sz="4" w:space="0" w:color="auto"/>
              <w:right w:val="single" w:sz="4" w:space="0" w:color="auto"/>
            </w:tcBorders>
            <w:shd w:val="clear" w:color="auto" w:fill="auto"/>
            <w:noWrap/>
            <w:vAlign w:val="bottom"/>
            <w:hideMark/>
          </w:tcPr>
          <w:p w14:paraId="1EEFFF93" w14:textId="77777777" w:rsidR="00971D1C" w:rsidRPr="00577A44" w:rsidRDefault="00971D1C" w:rsidP="00577A44">
            <w:pPr>
              <w:pStyle w:val="NoSpacing"/>
              <w:rPr>
                <w:sz w:val="20"/>
                <w:lang w:eastAsia="es-PE"/>
              </w:rPr>
            </w:pPr>
            <w:r w:rsidRPr="00577A44">
              <w:rPr>
                <w:sz w:val="20"/>
                <w:lang w:eastAsia="es-PE"/>
              </w:rPr>
              <w:t>14</w:t>
            </w:r>
          </w:p>
        </w:tc>
        <w:tc>
          <w:tcPr>
            <w:tcW w:w="663" w:type="pct"/>
            <w:tcBorders>
              <w:top w:val="nil"/>
              <w:left w:val="nil"/>
              <w:bottom w:val="single" w:sz="4" w:space="0" w:color="auto"/>
              <w:right w:val="single" w:sz="4" w:space="0" w:color="auto"/>
            </w:tcBorders>
            <w:shd w:val="clear" w:color="auto" w:fill="auto"/>
            <w:noWrap/>
            <w:vAlign w:val="bottom"/>
            <w:hideMark/>
          </w:tcPr>
          <w:p w14:paraId="782C7EEB" w14:textId="77777777" w:rsidR="00971D1C" w:rsidRPr="00577A44" w:rsidRDefault="00971D1C" w:rsidP="00577A44">
            <w:pPr>
              <w:pStyle w:val="NoSpacing"/>
              <w:rPr>
                <w:sz w:val="20"/>
                <w:lang w:eastAsia="es-PE"/>
              </w:rPr>
            </w:pPr>
            <w:r w:rsidRPr="00577A44">
              <w:rPr>
                <w:sz w:val="20"/>
                <w:lang w:eastAsia="es-PE"/>
              </w:rPr>
              <w:t>196,024</w:t>
            </w:r>
          </w:p>
        </w:tc>
        <w:tc>
          <w:tcPr>
            <w:tcW w:w="595" w:type="pct"/>
            <w:tcBorders>
              <w:top w:val="nil"/>
              <w:left w:val="nil"/>
              <w:bottom w:val="single" w:sz="4" w:space="0" w:color="auto"/>
              <w:right w:val="single" w:sz="4" w:space="0" w:color="auto"/>
            </w:tcBorders>
            <w:shd w:val="clear" w:color="auto" w:fill="auto"/>
            <w:noWrap/>
            <w:vAlign w:val="bottom"/>
            <w:hideMark/>
          </w:tcPr>
          <w:p w14:paraId="5E0DF960" w14:textId="77777777" w:rsidR="00971D1C" w:rsidRPr="00577A44" w:rsidRDefault="00971D1C" w:rsidP="00577A44">
            <w:pPr>
              <w:pStyle w:val="NoSpacing"/>
              <w:rPr>
                <w:sz w:val="20"/>
                <w:lang w:eastAsia="es-PE"/>
              </w:rPr>
            </w:pPr>
            <w:r w:rsidRPr="00577A44">
              <w:rPr>
                <w:sz w:val="20"/>
                <w:lang w:eastAsia="es-PE"/>
              </w:rPr>
              <w:t>67%</w:t>
            </w:r>
          </w:p>
        </w:tc>
        <w:tc>
          <w:tcPr>
            <w:tcW w:w="660" w:type="pct"/>
            <w:tcBorders>
              <w:top w:val="nil"/>
              <w:left w:val="nil"/>
              <w:bottom w:val="single" w:sz="4" w:space="0" w:color="auto"/>
              <w:right w:val="single" w:sz="4" w:space="0" w:color="auto"/>
            </w:tcBorders>
            <w:shd w:val="clear" w:color="auto" w:fill="auto"/>
            <w:noWrap/>
            <w:vAlign w:val="bottom"/>
            <w:hideMark/>
          </w:tcPr>
          <w:p w14:paraId="5924C964" w14:textId="77777777" w:rsidR="00971D1C" w:rsidRPr="00577A44" w:rsidRDefault="00971D1C" w:rsidP="00577A44">
            <w:pPr>
              <w:pStyle w:val="NoSpacing"/>
              <w:rPr>
                <w:sz w:val="20"/>
                <w:lang w:eastAsia="es-PE"/>
              </w:rPr>
            </w:pPr>
            <w:r w:rsidRPr="00577A44">
              <w:rPr>
                <w:sz w:val="20"/>
                <w:lang w:eastAsia="es-PE"/>
              </w:rPr>
              <w:t>42%</w:t>
            </w:r>
          </w:p>
        </w:tc>
        <w:tc>
          <w:tcPr>
            <w:tcW w:w="669" w:type="pct"/>
            <w:tcBorders>
              <w:top w:val="nil"/>
              <w:left w:val="nil"/>
              <w:bottom w:val="single" w:sz="4" w:space="0" w:color="auto"/>
              <w:right w:val="single" w:sz="4" w:space="0" w:color="auto"/>
            </w:tcBorders>
            <w:shd w:val="clear" w:color="auto" w:fill="auto"/>
            <w:noWrap/>
            <w:vAlign w:val="bottom"/>
            <w:hideMark/>
          </w:tcPr>
          <w:p w14:paraId="734EE248" w14:textId="77777777" w:rsidR="00971D1C" w:rsidRPr="00577A44" w:rsidRDefault="00971D1C" w:rsidP="00577A44">
            <w:pPr>
              <w:pStyle w:val="NoSpacing"/>
              <w:rPr>
                <w:sz w:val="20"/>
                <w:lang w:eastAsia="es-PE"/>
              </w:rPr>
            </w:pPr>
            <w:r w:rsidRPr="00577A44">
              <w:rPr>
                <w:sz w:val="20"/>
                <w:lang w:eastAsia="es-PE"/>
              </w:rPr>
              <w:t>41%</w:t>
            </w:r>
          </w:p>
        </w:tc>
        <w:tc>
          <w:tcPr>
            <w:tcW w:w="595" w:type="pct"/>
            <w:tcBorders>
              <w:top w:val="nil"/>
              <w:left w:val="nil"/>
              <w:bottom w:val="single" w:sz="4" w:space="0" w:color="auto"/>
              <w:right w:val="single" w:sz="4" w:space="0" w:color="auto"/>
            </w:tcBorders>
            <w:shd w:val="clear" w:color="auto" w:fill="auto"/>
            <w:noWrap/>
            <w:vAlign w:val="bottom"/>
            <w:hideMark/>
          </w:tcPr>
          <w:p w14:paraId="344BE602" w14:textId="77777777" w:rsidR="00971D1C" w:rsidRPr="00577A44" w:rsidRDefault="00971D1C" w:rsidP="00577A44">
            <w:pPr>
              <w:pStyle w:val="NoSpacing"/>
              <w:rPr>
                <w:sz w:val="20"/>
                <w:lang w:eastAsia="es-PE"/>
              </w:rPr>
            </w:pPr>
            <w:r w:rsidRPr="00577A44">
              <w:rPr>
                <w:sz w:val="20"/>
                <w:lang w:eastAsia="es-PE"/>
              </w:rPr>
              <w:t>67%</w:t>
            </w:r>
          </w:p>
        </w:tc>
      </w:tr>
      <w:tr w:rsidR="00114DB8" w:rsidRPr="00577A44" w14:paraId="04F7EDDC" w14:textId="77777777" w:rsidTr="00D64E0D">
        <w:trPr>
          <w:trHeight w:val="284"/>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13B6BE94" w14:textId="77777777" w:rsidR="00971D1C" w:rsidRPr="00577A44" w:rsidRDefault="00971D1C" w:rsidP="00577A44">
            <w:pPr>
              <w:pStyle w:val="NoSpacing"/>
              <w:rPr>
                <w:sz w:val="20"/>
                <w:lang w:eastAsia="es-PE"/>
              </w:rPr>
            </w:pPr>
            <w:r w:rsidRPr="00577A44">
              <w:rPr>
                <w:sz w:val="20"/>
                <w:lang w:eastAsia="es-PE"/>
              </w:rPr>
              <w:t>Olancho</w:t>
            </w:r>
          </w:p>
        </w:tc>
        <w:tc>
          <w:tcPr>
            <w:tcW w:w="679" w:type="pct"/>
            <w:tcBorders>
              <w:top w:val="nil"/>
              <w:left w:val="nil"/>
              <w:bottom w:val="single" w:sz="4" w:space="0" w:color="auto"/>
              <w:right w:val="single" w:sz="4" w:space="0" w:color="auto"/>
            </w:tcBorders>
            <w:shd w:val="clear" w:color="auto" w:fill="auto"/>
            <w:noWrap/>
            <w:vAlign w:val="bottom"/>
            <w:hideMark/>
          </w:tcPr>
          <w:p w14:paraId="64B9DFBF" w14:textId="77777777" w:rsidR="00971D1C" w:rsidRPr="00577A44" w:rsidRDefault="00971D1C" w:rsidP="00577A44">
            <w:pPr>
              <w:pStyle w:val="NoSpacing"/>
              <w:rPr>
                <w:sz w:val="20"/>
                <w:lang w:eastAsia="es-PE"/>
              </w:rPr>
            </w:pPr>
            <w:r w:rsidRPr="00577A44">
              <w:rPr>
                <w:sz w:val="20"/>
                <w:lang w:eastAsia="es-PE"/>
              </w:rPr>
              <w:t>6</w:t>
            </w:r>
          </w:p>
        </w:tc>
        <w:tc>
          <w:tcPr>
            <w:tcW w:w="663" w:type="pct"/>
            <w:tcBorders>
              <w:top w:val="nil"/>
              <w:left w:val="nil"/>
              <w:bottom w:val="single" w:sz="4" w:space="0" w:color="auto"/>
              <w:right w:val="single" w:sz="4" w:space="0" w:color="auto"/>
            </w:tcBorders>
            <w:shd w:val="clear" w:color="auto" w:fill="auto"/>
            <w:noWrap/>
            <w:vAlign w:val="bottom"/>
            <w:hideMark/>
          </w:tcPr>
          <w:p w14:paraId="49C99421" w14:textId="77777777" w:rsidR="00971D1C" w:rsidRPr="00577A44" w:rsidRDefault="00971D1C" w:rsidP="00577A44">
            <w:pPr>
              <w:pStyle w:val="NoSpacing"/>
              <w:rPr>
                <w:sz w:val="20"/>
                <w:lang w:eastAsia="es-PE"/>
              </w:rPr>
            </w:pPr>
            <w:r w:rsidRPr="00577A44">
              <w:rPr>
                <w:sz w:val="20"/>
                <w:lang w:eastAsia="es-PE"/>
              </w:rPr>
              <w:t>168,558</w:t>
            </w:r>
          </w:p>
        </w:tc>
        <w:tc>
          <w:tcPr>
            <w:tcW w:w="595" w:type="pct"/>
            <w:tcBorders>
              <w:top w:val="nil"/>
              <w:left w:val="nil"/>
              <w:bottom w:val="single" w:sz="4" w:space="0" w:color="auto"/>
              <w:right w:val="single" w:sz="4" w:space="0" w:color="auto"/>
            </w:tcBorders>
            <w:shd w:val="clear" w:color="auto" w:fill="auto"/>
            <w:noWrap/>
            <w:vAlign w:val="bottom"/>
            <w:hideMark/>
          </w:tcPr>
          <w:p w14:paraId="5544857C" w14:textId="77777777" w:rsidR="00971D1C" w:rsidRPr="00577A44" w:rsidRDefault="00971D1C" w:rsidP="00577A44">
            <w:pPr>
              <w:pStyle w:val="NoSpacing"/>
              <w:rPr>
                <w:sz w:val="20"/>
                <w:lang w:eastAsia="es-PE"/>
              </w:rPr>
            </w:pPr>
            <w:r w:rsidRPr="00577A44">
              <w:rPr>
                <w:sz w:val="20"/>
                <w:lang w:eastAsia="es-PE"/>
              </w:rPr>
              <w:t>67%</w:t>
            </w:r>
          </w:p>
        </w:tc>
        <w:tc>
          <w:tcPr>
            <w:tcW w:w="660" w:type="pct"/>
            <w:tcBorders>
              <w:top w:val="nil"/>
              <w:left w:val="nil"/>
              <w:bottom w:val="single" w:sz="4" w:space="0" w:color="auto"/>
              <w:right w:val="single" w:sz="4" w:space="0" w:color="auto"/>
            </w:tcBorders>
            <w:shd w:val="clear" w:color="auto" w:fill="auto"/>
            <w:noWrap/>
            <w:vAlign w:val="bottom"/>
            <w:hideMark/>
          </w:tcPr>
          <w:p w14:paraId="40C1DB89" w14:textId="77777777" w:rsidR="00971D1C" w:rsidRPr="00577A44" w:rsidRDefault="00971D1C" w:rsidP="00577A44">
            <w:pPr>
              <w:pStyle w:val="NoSpacing"/>
              <w:rPr>
                <w:sz w:val="20"/>
                <w:lang w:eastAsia="es-PE"/>
              </w:rPr>
            </w:pPr>
            <w:r w:rsidRPr="00577A44">
              <w:rPr>
                <w:sz w:val="20"/>
                <w:lang w:eastAsia="es-PE"/>
              </w:rPr>
              <w:t>58%</w:t>
            </w:r>
          </w:p>
        </w:tc>
        <w:tc>
          <w:tcPr>
            <w:tcW w:w="669" w:type="pct"/>
            <w:tcBorders>
              <w:top w:val="nil"/>
              <w:left w:val="nil"/>
              <w:bottom w:val="single" w:sz="4" w:space="0" w:color="auto"/>
              <w:right w:val="single" w:sz="4" w:space="0" w:color="auto"/>
            </w:tcBorders>
            <w:shd w:val="clear" w:color="auto" w:fill="auto"/>
            <w:noWrap/>
            <w:vAlign w:val="bottom"/>
            <w:hideMark/>
          </w:tcPr>
          <w:p w14:paraId="680FE96A" w14:textId="77777777" w:rsidR="00971D1C" w:rsidRPr="00577A44" w:rsidRDefault="00971D1C" w:rsidP="00577A44">
            <w:pPr>
              <w:pStyle w:val="NoSpacing"/>
              <w:rPr>
                <w:sz w:val="20"/>
                <w:lang w:eastAsia="es-PE"/>
              </w:rPr>
            </w:pPr>
            <w:r w:rsidRPr="00577A44">
              <w:rPr>
                <w:sz w:val="20"/>
                <w:lang w:eastAsia="es-PE"/>
              </w:rPr>
              <w:t>55%</w:t>
            </w:r>
          </w:p>
        </w:tc>
        <w:tc>
          <w:tcPr>
            <w:tcW w:w="595" w:type="pct"/>
            <w:tcBorders>
              <w:top w:val="nil"/>
              <w:left w:val="nil"/>
              <w:bottom w:val="single" w:sz="4" w:space="0" w:color="auto"/>
              <w:right w:val="single" w:sz="4" w:space="0" w:color="auto"/>
            </w:tcBorders>
            <w:shd w:val="clear" w:color="auto" w:fill="auto"/>
            <w:noWrap/>
            <w:vAlign w:val="bottom"/>
            <w:hideMark/>
          </w:tcPr>
          <w:p w14:paraId="457A6EC2" w14:textId="77777777" w:rsidR="00971D1C" w:rsidRPr="00577A44" w:rsidRDefault="00971D1C" w:rsidP="00577A44">
            <w:pPr>
              <w:pStyle w:val="NoSpacing"/>
              <w:rPr>
                <w:sz w:val="20"/>
                <w:lang w:eastAsia="es-PE"/>
              </w:rPr>
            </w:pPr>
            <w:r w:rsidRPr="00577A44">
              <w:rPr>
                <w:sz w:val="20"/>
                <w:lang w:eastAsia="es-PE"/>
              </w:rPr>
              <w:t>79%</w:t>
            </w:r>
          </w:p>
        </w:tc>
      </w:tr>
      <w:tr w:rsidR="00114DB8" w:rsidRPr="00577A44" w14:paraId="59F28E1A" w14:textId="77777777" w:rsidTr="00D64E0D">
        <w:trPr>
          <w:trHeight w:val="284"/>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366CBB2F" w14:textId="77777777" w:rsidR="00971D1C" w:rsidRPr="00577A44" w:rsidRDefault="00971D1C" w:rsidP="00577A44">
            <w:pPr>
              <w:pStyle w:val="NoSpacing"/>
              <w:rPr>
                <w:sz w:val="20"/>
                <w:lang w:eastAsia="es-PE"/>
              </w:rPr>
            </w:pPr>
            <w:r w:rsidRPr="00577A44">
              <w:rPr>
                <w:sz w:val="20"/>
                <w:lang w:eastAsia="es-PE"/>
              </w:rPr>
              <w:t>Total</w:t>
            </w:r>
          </w:p>
        </w:tc>
        <w:tc>
          <w:tcPr>
            <w:tcW w:w="679" w:type="pct"/>
            <w:tcBorders>
              <w:top w:val="nil"/>
              <w:left w:val="nil"/>
              <w:bottom w:val="single" w:sz="4" w:space="0" w:color="auto"/>
              <w:right w:val="single" w:sz="4" w:space="0" w:color="auto"/>
            </w:tcBorders>
            <w:shd w:val="clear" w:color="auto" w:fill="auto"/>
            <w:noWrap/>
            <w:vAlign w:val="bottom"/>
            <w:hideMark/>
          </w:tcPr>
          <w:p w14:paraId="0455BEA3" w14:textId="77777777" w:rsidR="00971D1C" w:rsidRPr="00577A44" w:rsidRDefault="00971D1C" w:rsidP="00577A44">
            <w:pPr>
              <w:pStyle w:val="NoSpacing"/>
              <w:rPr>
                <w:sz w:val="20"/>
                <w:lang w:eastAsia="es-PE"/>
              </w:rPr>
            </w:pPr>
            <w:r w:rsidRPr="00577A44">
              <w:rPr>
                <w:sz w:val="20"/>
                <w:lang w:eastAsia="es-PE"/>
              </w:rPr>
              <w:t>53</w:t>
            </w:r>
          </w:p>
        </w:tc>
        <w:tc>
          <w:tcPr>
            <w:tcW w:w="663" w:type="pct"/>
            <w:tcBorders>
              <w:top w:val="nil"/>
              <w:left w:val="nil"/>
              <w:bottom w:val="single" w:sz="4" w:space="0" w:color="auto"/>
              <w:right w:val="single" w:sz="4" w:space="0" w:color="auto"/>
            </w:tcBorders>
            <w:shd w:val="clear" w:color="auto" w:fill="auto"/>
            <w:noWrap/>
            <w:vAlign w:val="bottom"/>
            <w:hideMark/>
          </w:tcPr>
          <w:p w14:paraId="687F2E68" w14:textId="77777777" w:rsidR="00971D1C" w:rsidRPr="00577A44" w:rsidRDefault="00971D1C" w:rsidP="00577A44">
            <w:pPr>
              <w:pStyle w:val="NoSpacing"/>
              <w:rPr>
                <w:sz w:val="20"/>
                <w:lang w:eastAsia="es-PE"/>
              </w:rPr>
            </w:pPr>
            <w:r w:rsidRPr="00577A44">
              <w:rPr>
                <w:sz w:val="20"/>
                <w:lang w:eastAsia="es-PE"/>
              </w:rPr>
              <w:t>2,139,107</w:t>
            </w:r>
          </w:p>
        </w:tc>
        <w:tc>
          <w:tcPr>
            <w:tcW w:w="595" w:type="pct"/>
            <w:tcBorders>
              <w:top w:val="nil"/>
              <w:left w:val="nil"/>
              <w:bottom w:val="single" w:sz="4" w:space="0" w:color="auto"/>
              <w:right w:val="single" w:sz="4" w:space="0" w:color="auto"/>
            </w:tcBorders>
            <w:shd w:val="clear" w:color="auto" w:fill="auto"/>
            <w:noWrap/>
            <w:vAlign w:val="bottom"/>
            <w:hideMark/>
          </w:tcPr>
          <w:p w14:paraId="722438A6" w14:textId="77777777" w:rsidR="00971D1C" w:rsidRPr="00577A44" w:rsidRDefault="00971D1C" w:rsidP="00577A44">
            <w:pPr>
              <w:pStyle w:val="NoSpacing"/>
              <w:rPr>
                <w:sz w:val="20"/>
                <w:lang w:eastAsia="es-PE"/>
              </w:rPr>
            </w:pPr>
            <w:r w:rsidRPr="00577A44">
              <w:rPr>
                <w:sz w:val="20"/>
                <w:lang w:eastAsia="es-PE"/>
              </w:rPr>
              <w:t>42%</w:t>
            </w:r>
          </w:p>
        </w:tc>
        <w:tc>
          <w:tcPr>
            <w:tcW w:w="660" w:type="pct"/>
            <w:tcBorders>
              <w:top w:val="nil"/>
              <w:left w:val="nil"/>
              <w:bottom w:val="single" w:sz="4" w:space="0" w:color="auto"/>
              <w:right w:val="single" w:sz="4" w:space="0" w:color="auto"/>
            </w:tcBorders>
            <w:shd w:val="clear" w:color="auto" w:fill="auto"/>
            <w:noWrap/>
            <w:vAlign w:val="bottom"/>
            <w:hideMark/>
          </w:tcPr>
          <w:p w14:paraId="729E3595" w14:textId="77777777" w:rsidR="00971D1C" w:rsidRPr="00577A44" w:rsidRDefault="00971D1C" w:rsidP="00577A44">
            <w:pPr>
              <w:pStyle w:val="NoSpacing"/>
              <w:rPr>
                <w:sz w:val="20"/>
                <w:lang w:eastAsia="es-PE"/>
              </w:rPr>
            </w:pPr>
            <w:r w:rsidRPr="00577A44">
              <w:rPr>
                <w:sz w:val="20"/>
                <w:lang w:eastAsia="es-PE"/>
              </w:rPr>
              <w:t>31%</w:t>
            </w:r>
          </w:p>
        </w:tc>
        <w:tc>
          <w:tcPr>
            <w:tcW w:w="669" w:type="pct"/>
            <w:tcBorders>
              <w:top w:val="nil"/>
              <w:left w:val="nil"/>
              <w:bottom w:val="single" w:sz="4" w:space="0" w:color="auto"/>
              <w:right w:val="single" w:sz="4" w:space="0" w:color="auto"/>
            </w:tcBorders>
            <w:shd w:val="clear" w:color="auto" w:fill="auto"/>
            <w:noWrap/>
            <w:vAlign w:val="bottom"/>
            <w:hideMark/>
          </w:tcPr>
          <w:p w14:paraId="3A7A89F1" w14:textId="77777777" w:rsidR="00971D1C" w:rsidRPr="00577A44" w:rsidRDefault="00971D1C" w:rsidP="00577A44">
            <w:pPr>
              <w:pStyle w:val="NoSpacing"/>
              <w:rPr>
                <w:sz w:val="20"/>
                <w:lang w:eastAsia="es-PE"/>
              </w:rPr>
            </w:pPr>
            <w:r w:rsidRPr="00577A44">
              <w:rPr>
                <w:sz w:val="20"/>
                <w:lang w:eastAsia="es-PE"/>
              </w:rPr>
              <w:t>40%</w:t>
            </w:r>
          </w:p>
        </w:tc>
        <w:tc>
          <w:tcPr>
            <w:tcW w:w="595" w:type="pct"/>
            <w:tcBorders>
              <w:top w:val="nil"/>
              <w:left w:val="nil"/>
              <w:bottom w:val="single" w:sz="4" w:space="0" w:color="auto"/>
              <w:right w:val="single" w:sz="4" w:space="0" w:color="auto"/>
            </w:tcBorders>
            <w:shd w:val="clear" w:color="auto" w:fill="auto"/>
            <w:noWrap/>
            <w:vAlign w:val="bottom"/>
            <w:hideMark/>
          </w:tcPr>
          <w:p w14:paraId="0A0AC349" w14:textId="77777777" w:rsidR="00971D1C" w:rsidRPr="00577A44" w:rsidRDefault="00971D1C" w:rsidP="00577A44">
            <w:pPr>
              <w:pStyle w:val="NoSpacing"/>
              <w:rPr>
                <w:sz w:val="20"/>
                <w:lang w:eastAsia="es-PE"/>
              </w:rPr>
            </w:pPr>
            <w:r w:rsidRPr="00577A44">
              <w:rPr>
                <w:sz w:val="20"/>
                <w:lang w:eastAsia="es-PE"/>
              </w:rPr>
              <w:t>59%</w:t>
            </w:r>
          </w:p>
        </w:tc>
      </w:tr>
    </w:tbl>
    <w:p w14:paraId="49425955" w14:textId="77777777" w:rsidR="00847677" w:rsidRPr="00FF759D" w:rsidRDefault="00847677" w:rsidP="00D64E0D">
      <w:pPr>
        <w:spacing w:before="0" w:after="0"/>
        <w:ind w:firstLine="426"/>
        <w:rPr>
          <w:sz w:val="18"/>
        </w:rPr>
      </w:pPr>
      <w:r w:rsidRPr="00FF759D">
        <w:rPr>
          <w:sz w:val="18"/>
        </w:rPr>
        <w:t xml:space="preserve">Fuentes: Censo 2013, Encuesta </w:t>
      </w:r>
      <w:r w:rsidR="005901A2" w:rsidRPr="00FF759D">
        <w:rPr>
          <w:sz w:val="18"/>
        </w:rPr>
        <w:t xml:space="preserve">Nacional </w:t>
      </w:r>
      <w:r w:rsidRPr="00FF759D">
        <w:rPr>
          <w:sz w:val="18"/>
        </w:rPr>
        <w:t>de Propósitos Múltiples</w:t>
      </w:r>
      <w:r w:rsidR="005901A2" w:rsidRPr="00FF759D">
        <w:rPr>
          <w:sz w:val="18"/>
        </w:rPr>
        <w:t>, ENPM,</w:t>
      </w:r>
      <w:r w:rsidRPr="00FF759D">
        <w:rPr>
          <w:sz w:val="18"/>
        </w:rPr>
        <w:t xml:space="preserve"> 2013. INE</w:t>
      </w:r>
    </w:p>
    <w:p w14:paraId="1169DC36" w14:textId="3C216954" w:rsidR="00847677" w:rsidRDefault="009D4A5C" w:rsidP="00854EFC">
      <w:pPr>
        <w:pStyle w:val="parrafonumerado"/>
      </w:pPr>
      <w:r>
        <w:t>E</w:t>
      </w:r>
      <w:r w:rsidR="00847677">
        <w:t>l ámbito de intervención incluye a 2.1 millones de personas</w:t>
      </w:r>
      <w:r w:rsidR="00D64E0D">
        <w:t xml:space="preserve"> (censo 2013)</w:t>
      </w:r>
      <w:r w:rsidR="00847677">
        <w:t>, de las cuales aproxi</w:t>
      </w:r>
      <w:r w:rsidR="00971D1C">
        <w:t>ma</w:t>
      </w:r>
      <w:r w:rsidR="00847677">
        <w:t>damente la mitad se ubica en el Distrito Central.  El ámbit</w:t>
      </w:r>
      <w:r w:rsidR="00971D1C">
        <w:t xml:space="preserve">o tiene a un 42% de la población rural y un 31% </w:t>
      </w:r>
      <w:r w:rsidR="00577A44">
        <w:t xml:space="preserve">de población </w:t>
      </w:r>
      <w:r w:rsidR="00971D1C">
        <w:t>agraria.  Igualmente, 40% de la población está en pobreza extrema y un 59% en pobreza (en base a la línea de pobreza nacional).  El Distrito Central tiene una menor tasa de pobreza que el resto del ámbito con 51% y 23% de pobreza extrema.</w:t>
      </w:r>
    </w:p>
    <w:p w14:paraId="2531BE4A" w14:textId="77777777" w:rsidR="00971D1C" w:rsidRDefault="00971D1C" w:rsidP="00854EFC">
      <w:pPr>
        <w:pStyle w:val="parrafonumerado"/>
      </w:pPr>
      <w:r>
        <w:t>En base a los datos por distrito</w:t>
      </w:r>
      <w:r w:rsidR="00FB76CE">
        <w:t xml:space="preserve"> de la E</w:t>
      </w:r>
      <w:r w:rsidR="00D64E0D">
        <w:t>ncuesta Nacional de Propósitos Múltiples E</w:t>
      </w:r>
      <w:r w:rsidR="00FB76CE">
        <w:t>NPM (2013)</w:t>
      </w:r>
      <w:r>
        <w:t xml:space="preserve">, se hizo una proyección de tasas de pobreza para cada subcuenca </w:t>
      </w:r>
      <w:r w:rsidR="008162B1">
        <w:t>en el área de</w:t>
      </w:r>
      <w:r>
        <w:t xml:space="preserve"> intervención</w:t>
      </w:r>
      <w:r w:rsidR="008162B1">
        <w:t xml:space="preserve"> (29 subcuencas)</w:t>
      </w:r>
      <w:r>
        <w:t>.</w:t>
      </w:r>
      <w:r w:rsidR="008162B1">
        <w:t xml:space="preserve">  Las tasas promedio estimadas de pueden ver en el gráfico </w:t>
      </w:r>
      <w:r w:rsidR="005901A2">
        <w:t xml:space="preserve">y mapa </w:t>
      </w:r>
      <w:r w:rsidR="008162B1">
        <w:t>siguiente</w:t>
      </w:r>
      <w:r w:rsidR="005901A2">
        <w:t>s.</w:t>
      </w:r>
      <w:r>
        <w:t xml:space="preserve">  </w:t>
      </w:r>
    </w:p>
    <w:p w14:paraId="005DD8FB" w14:textId="77777777" w:rsidR="00971D1C" w:rsidRDefault="00FB76CE" w:rsidP="002E3F3A">
      <w:pPr>
        <w:pStyle w:val="NoSpacing"/>
      </w:pPr>
      <w:r>
        <w:rPr>
          <w:noProof/>
          <w:sz w:val="20"/>
          <w:lang w:val="en-US" w:eastAsia="en-US"/>
        </w:rPr>
        <w:lastRenderedPageBreak/>
        <w:drawing>
          <wp:anchor distT="0" distB="0" distL="114300" distR="114300" simplePos="0" relativeHeight="251663360" behindDoc="0" locked="0" layoutInCell="1" allowOverlap="1" wp14:anchorId="6171F09E" wp14:editId="25326DEC">
            <wp:simplePos x="0" y="0"/>
            <wp:positionH relativeFrom="column">
              <wp:posOffset>719277</wp:posOffset>
            </wp:positionH>
            <wp:positionV relativeFrom="paragraph">
              <wp:posOffset>197485</wp:posOffset>
            </wp:positionV>
            <wp:extent cx="3855085" cy="2425065"/>
            <wp:effectExtent l="0" t="0" r="0" b="0"/>
            <wp:wrapTopAndBottom/>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55085" cy="2425065"/>
                    </a:xfrm>
                    <a:prstGeom prst="rect">
                      <a:avLst/>
                    </a:prstGeom>
                    <a:noFill/>
                  </pic:spPr>
                </pic:pic>
              </a:graphicData>
            </a:graphic>
            <wp14:sizeRelH relativeFrom="page">
              <wp14:pctWidth>0</wp14:pctWidth>
            </wp14:sizeRelH>
            <wp14:sizeRelV relativeFrom="page">
              <wp14:pctHeight>0</wp14:pctHeight>
            </wp14:sizeRelV>
          </wp:anchor>
        </w:drawing>
      </w:r>
      <w:r>
        <w:t xml:space="preserve">Gráfico </w:t>
      </w:r>
      <w:r w:rsidR="00BB3F5C">
        <w:t>1</w:t>
      </w:r>
      <w:r>
        <w:t xml:space="preserve">.  Tasa de pobreza proyectada </w:t>
      </w:r>
      <w:r w:rsidR="005901A2">
        <w:t>por subcuenca</w:t>
      </w:r>
      <w:r w:rsidR="001E5874">
        <w:t xml:space="preserve"> </w:t>
      </w:r>
    </w:p>
    <w:p w14:paraId="2B59BC39" w14:textId="77777777" w:rsidR="005901A2" w:rsidRPr="009D4A5C" w:rsidRDefault="005901A2" w:rsidP="00577A44">
      <w:pPr>
        <w:pStyle w:val="fuente"/>
        <w:ind w:firstLine="1134"/>
      </w:pPr>
      <w:r w:rsidRPr="009D4A5C">
        <w:t>Fuente: ENPM (2013), INE.</w:t>
      </w:r>
    </w:p>
    <w:p w14:paraId="4F5622D1" w14:textId="77777777" w:rsidR="00E50285" w:rsidRDefault="00E50285" w:rsidP="002E3F3A">
      <w:pPr>
        <w:pStyle w:val="NoSpacing"/>
      </w:pPr>
    </w:p>
    <w:p w14:paraId="2C96A28A" w14:textId="77777777" w:rsidR="00BA5478" w:rsidRDefault="008162B1" w:rsidP="002E3F3A">
      <w:pPr>
        <w:pStyle w:val="NoSpacing"/>
      </w:pPr>
      <w:r>
        <w:rPr>
          <w:noProof/>
          <w:lang w:val="en-US" w:eastAsia="en-US"/>
        </w:rPr>
        <w:drawing>
          <wp:anchor distT="0" distB="0" distL="114300" distR="114300" simplePos="0" relativeHeight="251662336" behindDoc="0" locked="0" layoutInCell="1" allowOverlap="1" wp14:anchorId="1804030E" wp14:editId="056278E4">
            <wp:simplePos x="0" y="0"/>
            <wp:positionH relativeFrom="column">
              <wp:posOffset>697230</wp:posOffset>
            </wp:positionH>
            <wp:positionV relativeFrom="paragraph">
              <wp:posOffset>171450</wp:posOffset>
            </wp:positionV>
            <wp:extent cx="3876675" cy="2724785"/>
            <wp:effectExtent l="0" t="0" r="9525" b="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76675" cy="2724785"/>
                    </a:xfrm>
                    <a:prstGeom prst="rect">
                      <a:avLst/>
                    </a:prstGeom>
                  </pic:spPr>
                </pic:pic>
              </a:graphicData>
            </a:graphic>
            <wp14:sizeRelH relativeFrom="margin">
              <wp14:pctWidth>0</wp14:pctWidth>
            </wp14:sizeRelH>
            <wp14:sizeRelV relativeFrom="margin">
              <wp14:pctHeight>0</wp14:pctHeight>
            </wp14:sizeRelV>
          </wp:anchor>
        </w:drawing>
      </w:r>
      <w:r>
        <w:t xml:space="preserve">Mapa </w:t>
      </w:r>
      <w:r w:rsidR="00BB3F5C">
        <w:t>2</w:t>
      </w:r>
      <w:r>
        <w:t xml:space="preserve">.  </w:t>
      </w:r>
      <w:r w:rsidR="005901A2">
        <w:t>Pobreza en subcuencas de intervención</w:t>
      </w:r>
      <w:r w:rsidR="008A20A7">
        <w:t xml:space="preserve"> C1</w:t>
      </w:r>
      <w:r w:rsidR="00D64E0D">
        <w:t>/</w:t>
      </w:r>
      <w:r w:rsidR="008A20A7">
        <w:t>C2</w:t>
      </w:r>
      <w:r w:rsidR="00D64E0D">
        <w:t>/C3</w:t>
      </w:r>
    </w:p>
    <w:p w14:paraId="29E6431A" w14:textId="77777777" w:rsidR="005901A2" w:rsidRPr="009D4A5C" w:rsidRDefault="005901A2" w:rsidP="00577A44">
      <w:pPr>
        <w:pStyle w:val="fuente"/>
        <w:ind w:firstLine="1134"/>
      </w:pPr>
      <w:r w:rsidRPr="009D4A5C">
        <w:t>Fuente: ENPM (2013), INE.</w:t>
      </w:r>
    </w:p>
    <w:p w14:paraId="01A9146A" w14:textId="62971B8D" w:rsidR="005901A2" w:rsidRDefault="005901A2" w:rsidP="00854EFC">
      <w:pPr>
        <w:pStyle w:val="parrafonumerado"/>
      </w:pPr>
      <w:r>
        <w:t xml:space="preserve">La tasa promedio estimada para las subcuencas (sin </w:t>
      </w:r>
      <w:r w:rsidR="00BF1C2D">
        <w:t xml:space="preserve">aplicar </w:t>
      </w:r>
      <w:r>
        <w:t>peso</w:t>
      </w:r>
      <w:r w:rsidR="00BF1C2D">
        <w:t>s</w:t>
      </w:r>
      <w:r>
        <w:t xml:space="preserve"> por población) es de 65%, con amplia variación entre 49 y 92%.  Como se puede ver en el Mapa, </w:t>
      </w:r>
      <w:r w:rsidR="00577A44">
        <w:t>ocho (</w:t>
      </w:r>
      <w:r>
        <w:t>8</w:t>
      </w:r>
      <w:r w:rsidR="00577A44">
        <w:t>)</w:t>
      </w:r>
      <w:r>
        <w:t xml:space="preserve"> </w:t>
      </w:r>
      <w:r w:rsidR="00D64E0D">
        <w:t>s</w:t>
      </w:r>
      <w:r>
        <w:t xml:space="preserve">ubcuencas tienen tasas de pobreza entre 74 y 92%, las que corresponden a las subcuencas en el norte de Comayagua, las de Olancho, y las ubicadas en la zona central de El Paraíso.  Las subcuencas ubicadas en la zona central de Francisco Morazán (en torno al Distrito Central) tienen las tasas más bajas de pobreza entre 49 y 52%.  En general, </w:t>
      </w:r>
      <w:r w:rsidR="00FB76CE">
        <w:t xml:space="preserve">con la excepción de El Paraíso, </w:t>
      </w:r>
      <w:r>
        <w:t xml:space="preserve">la tasa de pobreza es mayor a medida </w:t>
      </w:r>
      <w:r w:rsidR="00FB76CE">
        <w:t>que las zonas están más alejadas de las principales ciudades.</w:t>
      </w:r>
    </w:p>
    <w:p w14:paraId="6F9AE96B" w14:textId="77777777" w:rsidR="008A20A7" w:rsidRPr="008A20A7" w:rsidRDefault="008A20A7" w:rsidP="0047509A">
      <w:pPr>
        <w:rPr>
          <w:b/>
        </w:rPr>
      </w:pPr>
      <w:r w:rsidRPr="008A20A7">
        <w:rPr>
          <w:b/>
        </w:rPr>
        <w:t>2.2. Ámbito de intervención del Componente 2 (no superpuesto a C1</w:t>
      </w:r>
      <w:r w:rsidR="00D64E0D">
        <w:rPr>
          <w:b/>
        </w:rPr>
        <w:t>/</w:t>
      </w:r>
      <w:r w:rsidR="004C5620">
        <w:rPr>
          <w:b/>
        </w:rPr>
        <w:t>C2/</w:t>
      </w:r>
      <w:r w:rsidR="00D64E0D">
        <w:rPr>
          <w:b/>
        </w:rPr>
        <w:t>C3</w:t>
      </w:r>
      <w:r w:rsidRPr="008A20A7">
        <w:rPr>
          <w:b/>
        </w:rPr>
        <w:t>)</w:t>
      </w:r>
    </w:p>
    <w:p w14:paraId="24F9A349" w14:textId="77777777" w:rsidR="008A20A7" w:rsidRDefault="008A20A7" w:rsidP="00854EFC">
      <w:pPr>
        <w:pStyle w:val="parrafonumerado"/>
      </w:pPr>
      <w:r>
        <w:t xml:space="preserve">De otro lado, como el Componente 2 es de alcance nacional, asumiremos un área adicional de intervención sólo con dicho componente en </w:t>
      </w:r>
      <w:r w:rsidR="00BF1C2D">
        <w:t xml:space="preserve">todas </w:t>
      </w:r>
      <w:r>
        <w:t xml:space="preserve">las áreas con bosque de pino </w:t>
      </w:r>
      <w:r w:rsidR="00BF1C2D">
        <w:t xml:space="preserve">en el resto del territorio nacional de Honduras </w:t>
      </w:r>
      <w:r>
        <w:t>no consideradas en el ámbito de influencia de C1</w:t>
      </w:r>
      <w:r w:rsidR="001E5874">
        <w:t>/</w:t>
      </w:r>
      <w:r>
        <w:t>C2</w:t>
      </w:r>
      <w:r w:rsidR="00D64E0D">
        <w:t>/C3</w:t>
      </w:r>
      <w:r>
        <w:t xml:space="preserve">.  De acuerdo a los estimados de área con bosque de pino del Anuario Estadístico </w:t>
      </w:r>
      <w:r>
        <w:lastRenderedPageBreak/>
        <w:t xml:space="preserve">del ICF (2015), el área adicional a considerar con influencia del componente 2 es de 925,878 Ha. </w:t>
      </w:r>
    </w:p>
    <w:p w14:paraId="17F9F346" w14:textId="77777777" w:rsidR="00FB76CE" w:rsidRPr="009D4A5C" w:rsidRDefault="00DE2184" w:rsidP="00BB3A3B">
      <w:pPr>
        <w:pStyle w:val="Heading2"/>
      </w:pPr>
      <w:bookmarkStart w:id="6" w:name="_Toc17823741"/>
      <w:r w:rsidRPr="009D4A5C">
        <w:t>2.</w:t>
      </w:r>
      <w:r w:rsidR="008A20A7">
        <w:t>3</w:t>
      </w:r>
      <w:r w:rsidR="00FB76CE" w:rsidRPr="009D4A5C">
        <w:t>.  Población beneficiaria directa</w:t>
      </w:r>
      <w:bookmarkEnd w:id="6"/>
    </w:p>
    <w:p w14:paraId="6AF69068" w14:textId="77777777" w:rsidR="0090553C" w:rsidRDefault="007F5041" w:rsidP="00854EFC">
      <w:pPr>
        <w:pStyle w:val="parrafonumerado"/>
      </w:pPr>
      <w:r>
        <w:t>E</w:t>
      </w:r>
      <w:r w:rsidR="00E163EF">
        <w:t>n e</w:t>
      </w:r>
      <w:r>
        <w:t xml:space="preserve">l </w:t>
      </w:r>
      <w:r w:rsidR="008A20A7">
        <w:t xml:space="preserve">ámbito </w:t>
      </w:r>
      <w:r w:rsidR="00E163EF">
        <w:t>C1/C2</w:t>
      </w:r>
      <w:r w:rsidR="00D64E0D">
        <w:t>/C3</w:t>
      </w:r>
      <w:r w:rsidR="00E163EF">
        <w:t xml:space="preserve"> se </w:t>
      </w:r>
      <w:r>
        <w:t>atenderá de manera directa</w:t>
      </w:r>
      <w:r w:rsidR="0090553C">
        <w:t xml:space="preserve"> (es decir, recibirán servicios de asistencia técnica, capacitación e incentivos)</w:t>
      </w:r>
      <w:r>
        <w:t xml:space="preserve"> a diversos tipos de</w:t>
      </w:r>
      <w:r w:rsidR="0090553C">
        <w:t xml:space="preserve"> potenciales beneficiarios, que se </w:t>
      </w:r>
      <w:r>
        <w:t xml:space="preserve">pueden clasificar en </w:t>
      </w:r>
      <w:r w:rsidR="0090553C">
        <w:t>los siguientes</w:t>
      </w:r>
      <w:r>
        <w:t>:</w:t>
      </w:r>
      <w:r w:rsidR="00B65AF0">
        <w:t xml:space="preserve"> </w:t>
      </w:r>
      <w:r w:rsidR="009D4A5C">
        <w:t xml:space="preserve">(i) </w:t>
      </w:r>
      <w:r w:rsidR="0090553C">
        <w:t>miembros de organizaciones</w:t>
      </w:r>
      <w:r w:rsidR="00B65AF0">
        <w:t xml:space="preserve"> agroforestales</w:t>
      </w:r>
      <w:r w:rsidR="0090553C">
        <w:t xml:space="preserve"> (cooperativas, asociaciones, etc.)</w:t>
      </w:r>
      <w:r w:rsidR="00B65AF0">
        <w:t xml:space="preserve">; </w:t>
      </w:r>
      <w:r w:rsidR="009D4A5C">
        <w:t xml:space="preserve">(ii) </w:t>
      </w:r>
      <w:r w:rsidR="0090553C">
        <w:t xml:space="preserve">miembros de </w:t>
      </w:r>
      <w:r w:rsidR="00B65AF0">
        <w:t>juntas de agua</w:t>
      </w:r>
      <w:r w:rsidR="009D4A5C">
        <w:t>; (iii)</w:t>
      </w:r>
      <w:r w:rsidR="0090553C">
        <w:t xml:space="preserve"> </w:t>
      </w:r>
      <w:r w:rsidR="00B65AF0">
        <w:t>conductores privados</w:t>
      </w:r>
      <w:r w:rsidR="0090553C">
        <w:t xml:space="preserve"> de bosque; </w:t>
      </w:r>
      <w:r w:rsidR="009D4A5C">
        <w:t xml:space="preserve">(iv) </w:t>
      </w:r>
      <w:r w:rsidR="0090553C">
        <w:t xml:space="preserve">conductores de predios agropecuarios.  Para definir los beneficiarios directos potenciales del proyecto usamos información del Anuario </w:t>
      </w:r>
      <w:r w:rsidR="009D4A5C">
        <w:t>E</w:t>
      </w:r>
      <w:r w:rsidR="0090553C">
        <w:t xml:space="preserve">stadístico Forestal del ICF </w:t>
      </w:r>
      <w:r w:rsidR="004C5620">
        <w:t xml:space="preserve">para el año 2015 </w:t>
      </w:r>
      <w:r w:rsidR="009D4A5C">
        <w:t>(</w:t>
      </w:r>
      <w:r w:rsidR="004C5620">
        <w:t xml:space="preserve">ICF, </w:t>
      </w:r>
      <w:r w:rsidR="009D4A5C">
        <w:t>201</w:t>
      </w:r>
      <w:r w:rsidR="004C5620">
        <w:t>6</w:t>
      </w:r>
      <w:r w:rsidR="009D4A5C">
        <w:t xml:space="preserve">) </w:t>
      </w:r>
      <w:r w:rsidR="0090553C">
        <w:t xml:space="preserve">sobre características de los </w:t>
      </w:r>
      <w:r w:rsidR="00EC0C25">
        <w:t>do</w:t>
      </w:r>
      <w:r w:rsidR="0090553C">
        <w:t>s primeros tipos de beneficiarios</w:t>
      </w:r>
      <w:r w:rsidR="00EC0C25">
        <w:t xml:space="preserve"> (tamaño promedio de los miembros, área cubierta por las organizaciones y microcuencas)</w:t>
      </w:r>
      <w:r w:rsidR="0090553C">
        <w:t>, y haremos supuesto</w:t>
      </w:r>
      <w:r w:rsidR="00EC0C25">
        <w:t>s</w:t>
      </w:r>
      <w:r w:rsidR="0090553C">
        <w:t xml:space="preserve"> sobre los conductores de </w:t>
      </w:r>
      <w:r w:rsidR="00EC0C25">
        <w:t xml:space="preserve">bosque privado y de </w:t>
      </w:r>
      <w:r w:rsidR="0090553C">
        <w:t>predios agropecuarios.</w:t>
      </w:r>
    </w:p>
    <w:p w14:paraId="100EC6AB" w14:textId="77777777" w:rsidR="0090553C" w:rsidRDefault="00EC0C25" w:rsidP="00854EFC">
      <w:pPr>
        <w:pStyle w:val="parrafonumerado"/>
      </w:pPr>
      <w:r>
        <w:t xml:space="preserve">Adicionalmente a esta información, usaremos las metas </w:t>
      </w:r>
      <w:r w:rsidR="00ED7DFE">
        <w:t>de</w:t>
      </w:r>
      <w:r>
        <w:t xml:space="preserve"> áreas a intervenir</w:t>
      </w:r>
      <w:r w:rsidR="0090553C">
        <w:t xml:space="preserve"> por tipo de intervención: (i) restauración en área </w:t>
      </w:r>
      <w:r w:rsidR="009D4A5C">
        <w:t xml:space="preserve">de protección; (ii) </w:t>
      </w:r>
      <w:r w:rsidR="0090553C">
        <w:t xml:space="preserve">restauración área pública </w:t>
      </w:r>
      <w:r w:rsidR="009D4A5C">
        <w:t xml:space="preserve">de bosque con producción; (iii) </w:t>
      </w:r>
      <w:r w:rsidR="0090553C">
        <w:t>restauración en área privada</w:t>
      </w:r>
      <w:r w:rsidR="009D4A5C">
        <w:t xml:space="preserve"> de bosque con producción</w:t>
      </w:r>
      <w:r w:rsidR="0090553C">
        <w:t>; (iv) Manejo Forestal Sostenible</w:t>
      </w:r>
      <w:r w:rsidR="00ED7DFE">
        <w:t>-MFS</w:t>
      </w:r>
      <w:r w:rsidR="009D4A5C">
        <w:t xml:space="preserve"> en área no plagada</w:t>
      </w:r>
      <w:r w:rsidR="0090553C">
        <w:t xml:space="preserve">; y (v) </w:t>
      </w:r>
      <w:r w:rsidR="009D4A5C">
        <w:t>Sis</w:t>
      </w:r>
      <w:r w:rsidR="00ED7DFE">
        <w:t>t</w:t>
      </w:r>
      <w:r w:rsidR="009D4A5C">
        <w:t>emas A</w:t>
      </w:r>
      <w:r w:rsidR="0090553C">
        <w:t>groforest</w:t>
      </w:r>
      <w:r w:rsidR="009D4A5C">
        <w:t>ales-SAF</w:t>
      </w:r>
      <w:r w:rsidR="0090553C">
        <w:t xml:space="preserve">.  </w:t>
      </w:r>
      <w:r>
        <w:t>Estas áreas para los cuatro departamentos con intervención se muestran en el cuadro siguiente por departamento.</w:t>
      </w:r>
    </w:p>
    <w:p w14:paraId="21E83C5B" w14:textId="2C3CFD8F" w:rsidR="00EC0C25" w:rsidRDefault="00EC0C25" w:rsidP="00D64E0D">
      <w:pPr>
        <w:pStyle w:val="NoSpacing"/>
      </w:pPr>
      <w:r>
        <w:t xml:space="preserve">Cuadro </w:t>
      </w:r>
      <w:r w:rsidR="00BB3F5C">
        <w:t>2</w:t>
      </w:r>
      <w:r>
        <w:t xml:space="preserve">.  </w:t>
      </w:r>
      <w:proofErr w:type="gramStart"/>
      <w:r>
        <w:t>Áreas a intervenir</w:t>
      </w:r>
      <w:proofErr w:type="gramEnd"/>
      <w:r>
        <w:t xml:space="preserve"> en </w:t>
      </w:r>
      <w:r w:rsidR="001E5874">
        <w:t>C1/C2</w:t>
      </w:r>
      <w:r w:rsidR="00D64E0D">
        <w:t>/C3</w:t>
      </w:r>
      <w:r w:rsidR="001E5874">
        <w:t xml:space="preserve"> </w:t>
      </w:r>
      <w:r>
        <w:t>por departamento</w:t>
      </w:r>
      <w:r w:rsidR="004D1792">
        <w:t xml:space="preserve"> (Ha.)</w:t>
      </w:r>
    </w:p>
    <w:tbl>
      <w:tblPr>
        <w:tblW w:w="4756" w:type="pct"/>
        <w:tblInd w:w="416" w:type="dxa"/>
        <w:tblLayout w:type="fixed"/>
        <w:tblCellMar>
          <w:left w:w="70" w:type="dxa"/>
          <w:right w:w="70" w:type="dxa"/>
        </w:tblCellMar>
        <w:tblLook w:val="04A0" w:firstRow="1" w:lastRow="0" w:firstColumn="1" w:lastColumn="0" w:noHBand="0" w:noVBand="1"/>
      </w:tblPr>
      <w:tblGrid>
        <w:gridCol w:w="2270"/>
        <w:gridCol w:w="1273"/>
        <w:gridCol w:w="1136"/>
        <w:gridCol w:w="1272"/>
        <w:gridCol w:w="1175"/>
        <w:gridCol w:w="944"/>
      </w:tblGrid>
      <w:tr w:rsidR="00D6653E" w:rsidRPr="009375A4" w14:paraId="15727D6B" w14:textId="77777777" w:rsidTr="004D1792">
        <w:trPr>
          <w:trHeight w:val="525"/>
        </w:trPr>
        <w:tc>
          <w:tcPr>
            <w:tcW w:w="1406"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560254E" w14:textId="77777777" w:rsidR="00D6653E" w:rsidRPr="009375A4" w:rsidRDefault="00D6653E" w:rsidP="009375A4">
            <w:pPr>
              <w:spacing w:before="0" w:after="0"/>
              <w:jc w:val="left"/>
              <w:rPr>
                <w:b/>
                <w:bCs/>
                <w:color w:val="000000"/>
                <w:sz w:val="20"/>
                <w:szCs w:val="20"/>
                <w:lang w:val="es-PE" w:eastAsia="es-PE"/>
              </w:rPr>
            </w:pPr>
            <w:r w:rsidRPr="009375A4">
              <w:rPr>
                <w:b/>
                <w:bCs/>
                <w:color w:val="000000"/>
                <w:sz w:val="20"/>
                <w:szCs w:val="20"/>
                <w:lang w:val="es-PE" w:eastAsia="es-PE"/>
              </w:rPr>
              <w:t> </w:t>
            </w:r>
          </w:p>
        </w:tc>
        <w:tc>
          <w:tcPr>
            <w:tcW w:w="789" w:type="pct"/>
            <w:tcBorders>
              <w:top w:val="single" w:sz="8" w:space="0" w:color="auto"/>
              <w:left w:val="nil"/>
              <w:bottom w:val="single" w:sz="8" w:space="0" w:color="auto"/>
              <w:right w:val="single" w:sz="4" w:space="0" w:color="auto"/>
            </w:tcBorders>
            <w:shd w:val="clear" w:color="auto" w:fill="auto"/>
            <w:noWrap/>
            <w:vAlign w:val="center"/>
            <w:hideMark/>
          </w:tcPr>
          <w:p w14:paraId="34840EA8" w14:textId="1F8FC859" w:rsidR="00D6653E" w:rsidRPr="009375A4" w:rsidRDefault="00D6653E" w:rsidP="004D1792">
            <w:pPr>
              <w:spacing w:before="0" w:after="0"/>
              <w:jc w:val="center"/>
              <w:rPr>
                <w:b/>
                <w:bCs/>
                <w:color w:val="000000"/>
                <w:sz w:val="20"/>
                <w:szCs w:val="20"/>
                <w:lang w:val="es-PE" w:eastAsia="es-PE"/>
              </w:rPr>
            </w:pPr>
            <w:r w:rsidRPr="009375A4">
              <w:rPr>
                <w:b/>
                <w:bCs/>
                <w:color w:val="000000"/>
                <w:sz w:val="20"/>
                <w:szCs w:val="20"/>
                <w:lang w:val="es-PE" w:eastAsia="es-PE"/>
              </w:rPr>
              <w:t>C</w:t>
            </w:r>
            <w:r w:rsidR="004D1792">
              <w:rPr>
                <w:b/>
                <w:bCs/>
                <w:color w:val="000000"/>
                <w:sz w:val="20"/>
                <w:szCs w:val="20"/>
                <w:lang w:val="es-PE" w:eastAsia="es-PE"/>
              </w:rPr>
              <w:t>omayagua</w:t>
            </w:r>
          </w:p>
        </w:tc>
        <w:tc>
          <w:tcPr>
            <w:tcW w:w="704" w:type="pct"/>
            <w:tcBorders>
              <w:top w:val="single" w:sz="8" w:space="0" w:color="auto"/>
              <w:left w:val="nil"/>
              <w:bottom w:val="single" w:sz="8" w:space="0" w:color="auto"/>
              <w:right w:val="single" w:sz="4" w:space="0" w:color="auto"/>
            </w:tcBorders>
            <w:shd w:val="clear" w:color="auto" w:fill="auto"/>
            <w:noWrap/>
            <w:vAlign w:val="center"/>
            <w:hideMark/>
          </w:tcPr>
          <w:p w14:paraId="49331D65" w14:textId="02F94FFC" w:rsidR="00D6653E" w:rsidRPr="009375A4" w:rsidRDefault="00D6653E" w:rsidP="004D1792">
            <w:pPr>
              <w:spacing w:before="0" w:after="0"/>
              <w:jc w:val="center"/>
              <w:rPr>
                <w:b/>
                <w:bCs/>
                <w:color w:val="000000"/>
                <w:sz w:val="20"/>
                <w:szCs w:val="20"/>
                <w:lang w:val="es-PE" w:eastAsia="es-PE"/>
              </w:rPr>
            </w:pPr>
            <w:r w:rsidRPr="009375A4">
              <w:rPr>
                <w:b/>
                <w:bCs/>
                <w:color w:val="000000"/>
                <w:sz w:val="20"/>
                <w:szCs w:val="20"/>
                <w:lang w:val="es-PE" w:eastAsia="es-PE"/>
              </w:rPr>
              <w:t>E</w:t>
            </w:r>
            <w:r w:rsidR="004D1792">
              <w:rPr>
                <w:b/>
                <w:bCs/>
                <w:color w:val="000000"/>
                <w:sz w:val="20"/>
                <w:szCs w:val="20"/>
                <w:lang w:val="es-PE" w:eastAsia="es-PE"/>
              </w:rPr>
              <w:t>l Paraíso</w:t>
            </w:r>
            <w:r w:rsidRPr="009375A4">
              <w:rPr>
                <w:b/>
                <w:bCs/>
                <w:color w:val="000000"/>
                <w:sz w:val="20"/>
                <w:szCs w:val="20"/>
                <w:lang w:val="es-PE" w:eastAsia="es-PE"/>
              </w:rPr>
              <w:t xml:space="preserve"> </w:t>
            </w:r>
          </w:p>
        </w:tc>
        <w:tc>
          <w:tcPr>
            <w:tcW w:w="788" w:type="pct"/>
            <w:tcBorders>
              <w:top w:val="single" w:sz="8" w:space="0" w:color="auto"/>
              <w:left w:val="nil"/>
              <w:bottom w:val="single" w:sz="8" w:space="0" w:color="auto"/>
              <w:right w:val="single" w:sz="4" w:space="0" w:color="auto"/>
            </w:tcBorders>
            <w:shd w:val="clear" w:color="auto" w:fill="auto"/>
            <w:vAlign w:val="center"/>
            <w:hideMark/>
          </w:tcPr>
          <w:p w14:paraId="48FB87C7" w14:textId="7B9D4FAE" w:rsidR="00D6653E" w:rsidRPr="009375A4" w:rsidRDefault="00D6653E" w:rsidP="004D1792">
            <w:pPr>
              <w:spacing w:before="0" w:after="0"/>
              <w:jc w:val="center"/>
              <w:rPr>
                <w:b/>
                <w:bCs/>
                <w:color w:val="000000"/>
                <w:sz w:val="20"/>
                <w:szCs w:val="20"/>
                <w:lang w:val="es-PE" w:eastAsia="es-PE"/>
              </w:rPr>
            </w:pPr>
            <w:r w:rsidRPr="009375A4">
              <w:rPr>
                <w:b/>
                <w:bCs/>
                <w:color w:val="000000"/>
                <w:sz w:val="20"/>
                <w:szCs w:val="20"/>
                <w:lang w:val="es-PE" w:eastAsia="es-PE"/>
              </w:rPr>
              <w:t>F</w:t>
            </w:r>
            <w:r w:rsidR="004D1792">
              <w:rPr>
                <w:b/>
                <w:bCs/>
                <w:color w:val="000000"/>
                <w:sz w:val="20"/>
                <w:szCs w:val="20"/>
                <w:lang w:val="es-PE" w:eastAsia="es-PE"/>
              </w:rPr>
              <w:t>rancisco</w:t>
            </w:r>
            <w:r w:rsidRPr="009375A4">
              <w:rPr>
                <w:b/>
                <w:bCs/>
                <w:color w:val="000000"/>
                <w:sz w:val="20"/>
                <w:szCs w:val="20"/>
                <w:lang w:val="es-PE" w:eastAsia="es-PE"/>
              </w:rPr>
              <w:t xml:space="preserve"> M</w:t>
            </w:r>
            <w:r w:rsidR="004D1792">
              <w:rPr>
                <w:b/>
                <w:bCs/>
                <w:color w:val="000000"/>
                <w:sz w:val="20"/>
                <w:szCs w:val="20"/>
                <w:lang w:val="es-PE" w:eastAsia="es-PE"/>
              </w:rPr>
              <w:t>orazán</w:t>
            </w:r>
          </w:p>
        </w:tc>
        <w:tc>
          <w:tcPr>
            <w:tcW w:w="728" w:type="pct"/>
            <w:tcBorders>
              <w:top w:val="single" w:sz="8" w:space="0" w:color="auto"/>
              <w:left w:val="nil"/>
              <w:bottom w:val="single" w:sz="8" w:space="0" w:color="auto"/>
              <w:right w:val="single" w:sz="4" w:space="0" w:color="auto"/>
            </w:tcBorders>
            <w:shd w:val="clear" w:color="auto" w:fill="auto"/>
            <w:noWrap/>
            <w:vAlign w:val="center"/>
            <w:hideMark/>
          </w:tcPr>
          <w:p w14:paraId="7494C032" w14:textId="00BC6CF7" w:rsidR="00D6653E" w:rsidRPr="009375A4" w:rsidRDefault="00D6653E" w:rsidP="004D1792">
            <w:pPr>
              <w:spacing w:before="0" w:after="0"/>
              <w:jc w:val="center"/>
              <w:rPr>
                <w:b/>
                <w:bCs/>
                <w:color w:val="000000"/>
                <w:sz w:val="20"/>
                <w:szCs w:val="20"/>
                <w:lang w:val="es-PE" w:eastAsia="es-PE"/>
              </w:rPr>
            </w:pPr>
            <w:r w:rsidRPr="009375A4">
              <w:rPr>
                <w:b/>
                <w:bCs/>
                <w:color w:val="000000"/>
                <w:sz w:val="20"/>
                <w:szCs w:val="20"/>
                <w:lang w:val="es-PE" w:eastAsia="es-PE"/>
              </w:rPr>
              <w:t>O</w:t>
            </w:r>
            <w:r w:rsidR="004D1792">
              <w:rPr>
                <w:b/>
                <w:bCs/>
                <w:color w:val="000000"/>
                <w:sz w:val="20"/>
                <w:szCs w:val="20"/>
                <w:lang w:val="es-PE" w:eastAsia="es-PE"/>
              </w:rPr>
              <w:t>lancho</w:t>
            </w:r>
          </w:p>
        </w:tc>
        <w:tc>
          <w:tcPr>
            <w:tcW w:w="585" w:type="pct"/>
            <w:tcBorders>
              <w:top w:val="single" w:sz="8" w:space="0" w:color="auto"/>
              <w:left w:val="nil"/>
              <w:bottom w:val="single" w:sz="8" w:space="0" w:color="auto"/>
              <w:right w:val="single" w:sz="8" w:space="0" w:color="auto"/>
            </w:tcBorders>
            <w:shd w:val="clear" w:color="auto" w:fill="auto"/>
            <w:noWrap/>
            <w:vAlign w:val="center"/>
            <w:hideMark/>
          </w:tcPr>
          <w:p w14:paraId="099E3561" w14:textId="23C734B0" w:rsidR="00D6653E" w:rsidRPr="009375A4" w:rsidRDefault="00D6653E" w:rsidP="004D1792">
            <w:pPr>
              <w:spacing w:before="0" w:after="0"/>
              <w:jc w:val="center"/>
              <w:rPr>
                <w:b/>
                <w:bCs/>
                <w:color w:val="000000"/>
                <w:sz w:val="20"/>
                <w:szCs w:val="20"/>
                <w:lang w:val="es-PE" w:eastAsia="es-PE"/>
              </w:rPr>
            </w:pPr>
            <w:r w:rsidRPr="009375A4">
              <w:rPr>
                <w:b/>
                <w:bCs/>
                <w:color w:val="000000"/>
                <w:sz w:val="20"/>
                <w:szCs w:val="20"/>
                <w:lang w:val="es-PE" w:eastAsia="es-PE"/>
              </w:rPr>
              <w:t>T</w:t>
            </w:r>
            <w:r w:rsidR="004D1792">
              <w:rPr>
                <w:b/>
                <w:bCs/>
                <w:color w:val="000000"/>
                <w:sz w:val="20"/>
                <w:szCs w:val="20"/>
                <w:lang w:val="es-PE" w:eastAsia="es-PE"/>
              </w:rPr>
              <w:t>otal</w:t>
            </w:r>
          </w:p>
        </w:tc>
      </w:tr>
      <w:tr w:rsidR="00D6653E" w:rsidRPr="009375A4" w14:paraId="6F6142B9" w14:textId="77777777" w:rsidTr="004D1792">
        <w:trPr>
          <w:trHeight w:val="420"/>
        </w:trPr>
        <w:tc>
          <w:tcPr>
            <w:tcW w:w="1406" w:type="pct"/>
            <w:tcBorders>
              <w:top w:val="nil"/>
              <w:left w:val="single" w:sz="8" w:space="0" w:color="auto"/>
              <w:bottom w:val="single" w:sz="4" w:space="0" w:color="auto"/>
              <w:right w:val="single" w:sz="4" w:space="0" w:color="auto"/>
            </w:tcBorders>
            <w:shd w:val="clear" w:color="auto" w:fill="auto"/>
            <w:noWrap/>
            <w:vAlign w:val="center"/>
          </w:tcPr>
          <w:p w14:paraId="644227AB" w14:textId="673A97F7" w:rsidR="00D6653E" w:rsidRPr="009375A4" w:rsidRDefault="00577A44" w:rsidP="00577A44">
            <w:pPr>
              <w:spacing w:before="0" w:after="0"/>
              <w:jc w:val="left"/>
              <w:rPr>
                <w:color w:val="000000"/>
                <w:sz w:val="20"/>
                <w:szCs w:val="20"/>
                <w:lang w:val="es-PE" w:eastAsia="es-PE"/>
              </w:rPr>
            </w:pPr>
            <w:r>
              <w:rPr>
                <w:color w:val="000000"/>
                <w:sz w:val="20"/>
                <w:szCs w:val="20"/>
                <w:lang w:val="es-PE" w:eastAsia="es-PE"/>
              </w:rPr>
              <w:t>Restauración Protección</w:t>
            </w:r>
          </w:p>
        </w:tc>
        <w:tc>
          <w:tcPr>
            <w:tcW w:w="789" w:type="pct"/>
            <w:tcBorders>
              <w:top w:val="nil"/>
              <w:left w:val="nil"/>
              <w:bottom w:val="single" w:sz="4" w:space="0" w:color="auto"/>
              <w:right w:val="single" w:sz="4" w:space="0" w:color="auto"/>
            </w:tcBorders>
            <w:shd w:val="clear" w:color="auto" w:fill="auto"/>
            <w:noWrap/>
            <w:vAlign w:val="center"/>
            <w:hideMark/>
          </w:tcPr>
          <w:p w14:paraId="58F8B4FE"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3,802</w:t>
            </w:r>
          </w:p>
        </w:tc>
        <w:tc>
          <w:tcPr>
            <w:tcW w:w="704" w:type="pct"/>
            <w:tcBorders>
              <w:top w:val="nil"/>
              <w:left w:val="nil"/>
              <w:bottom w:val="single" w:sz="4" w:space="0" w:color="auto"/>
              <w:right w:val="single" w:sz="4" w:space="0" w:color="auto"/>
            </w:tcBorders>
            <w:shd w:val="clear" w:color="auto" w:fill="auto"/>
            <w:noWrap/>
            <w:vAlign w:val="center"/>
            <w:hideMark/>
          </w:tcPr>
          <w:p w14:paraId="5844675D"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2,330</w:t>
            </w:r>
          </w:p>
        </w:tc>
        <w:tc>
          <w:tcPr>
            <w:tcW w:w="788" w:type="pct"/>
            <w:tcBorders>
              <w:top w:val="nil"/>
              <w:left w:val="nil"/>
              <w:bottom w:val="single" w:sz="4" w:space="0" w:color="auto"/>
              <w:right w:val="single" w:sz="4" w:space="0" w:color="auto"/>
            </w:tcBorders>
            <w:shd w:val="clear" w:color="auto" w:fill="auto"/>
            <w:noWrap/>
            <w:vAlign w:val="center"/>
            <w:hideMark/>
          </w:tcPr>
          <w:p w14:paraId="533E34A0"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2,633</w:t>
            </w:r>
          </w:p>
        </w:tc>
        <w:tc>
          <w:tcPr>
            <w:tcW w:w="728" w:type="pct"/>
            <w:tcBorders>
              <w:top w:val="nil"/>
              <w:left w:val="nil"/>
              <w:bottom w:val="single" w:sz="4" w:space="0" w:color="auto"/>
              <w:right w:val="single" w:sz="4" w:space="0" w:color="auto"/>
            </w:tcBorders>
            <w:shd w:val="clear" w:color="auto" w:fill="auto"/>
            <w:noWrap/>
            <w:vAlign w:val="center"/>
            <w:hideMark/>
          </w:tcPr>
          <w:p w14:paraId="1475AFCD"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4,992</w:t>
            </w:r>
          </w:p>
        </w:tc>
        <w:tc>
          <w:tcPr>
            <w:tcW w:w="585" w:type="pct"/>
            <w:tcBorders>
              <w:top w:val="nil"/>
              <w:left w:val="nil"/>
              <w:bottom w:val="single" w:sz="4" w:space="0" w:color="auto"/>
              <w:right w:val="single" w:sz="8" w:space="0" w:color="auto"/>
            </w:tcBorders>
            <w:shd w:val="clear" w:color="auto" w:fill="auto"/>
            <w:noWrap/>
            <w:vAlign w:val="center"/>
            <w:hideMark/>
          </w:tcPr>
          <w:p w14:paraId="01E5FE81"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13,756</w:t>
            </w:r>
          </w:p>
        </w:tc>
      </w:tr>
      <w:tr w:rsidR="00D6653E" w:rsidRPr="009375A4" w14:paraId="7A8E1764" w14:textId="77777777" w:rsidTr="004D1792">
        <w:trPr>
          <w:trHeight w:val="420"/>
        </w:trPr>
        <w:tc>
          <w:tcPr>
            <w:tcW w:w="1406" w:type="pct"/>
            <w:tcBorders>
              <w:top w:val="nil"/>
              <w:left w:val="single" w:sz="8" w:space="0" w:color="auto"/>
              <w:bottom w:val="single" w:sz="4" w:space="0" w:color="auto"/>
              <w:right w:val="single" w:sz="4" w:space="0" w:color="auto"/>
            </w:tcBorders>
            <w:shd w:val="clear" w:color="auto" w:fill="auto"/>
            <w:noWrap/>
            <w:vAlign w:val="center"/>
            <w:hideMark/>
          </w:tcPr>
          <w:p w14:paraId="0149A554" w14:textId="4940EBB4" w:rsidR="00D6653E" w:rsidRPr="009375A4" w:rsidRDefault="00577A44" w:rsidP="00577A44">
            <w:pPr>
              <w:spacing w:before="0" w:after="0"/>
              <w:jc w:val="left"/>
              <w:rPr>
                <w:color w:val="000000"/>
                <w:sz w:val="20"/>
                <w:szCs w:val="20"/>
                <w:lang w:val="es-PE" w:eastAsia="es-PE"/>
              </w:rPr>
            </w:pPr>
            <w:r>
              <w:rPr>
                <w:color w:val="000000"/>
                <w:sz w:val="20"/>
                <w:szCs w:val="20"/>
                <w:lang w:val="es-PE" w:eastAsia="es-PE"/>
              </w:rPr>
              <w:t>Restauración Producción Pública</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84423"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5,960</w:t>
            </w:r>
          </w:p>
        </w:tc>
        <w:tc>
          <w:tcPr>
            <w:tcW w:w="704" w:type="pct"/>
            <w:tcBorders>
              <w:top w:val="single" w:sz="4" w:space="0" w:color="auto"/>
              <w:left w:val="nil"/>
              <w:bottom w:val="single" w:sz="4" w:space="0" w:color="auto"/>
              <w:right w:val="single" w:sz="4" w:space="0" w:color="auto"/>
            </w:tcBorders>
            <w:shd w:val="clear" w:color="auto" w:fill="auto"/>
            <w:noWrap/>
            <w:vAlign w:val="center"/>
            <w:hideMark/>
          </w:tcPr>
          <w:p w14:paraId="323AA42B"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3,652</w:t>
            </w:r>
          </w:p>
        </w:tc>
        <w:tc>
          <w:tcPr>
            <w:tcW w:w="788" w:type="pct"/>
            <w:tcBorders>
              <w:top w:val="single" w:sz="4" w:space="0" w:color="auto"/>
              <w:left w:val="nil"/>
              <w:bottom w:val="single" w:sz="4" w:space="0" w:color="auto"/>
              <w:right w:val="single" w:sz="4" w:space="0" w:color="auto"/>
            </w:tcBorders>
            <w:shd w:val="clear" w:color="auto" w:fill="auto"/>
            <w:noWrap/>
            <w:vAlign w:val="center"/>
            <w:hideMark/>
          </w:tcPr>
          <w:p w14:paraId="0EB8E678"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4,127</w:t>
            </w:r>
          </w:p>
        </w:tc>
        <w:tc>
          <w:tcPr>
            <w:tcW w:w="728" w:type="pct"/>
            <w:tcBorders>
              <w:top w:val="single" w:sz="4" w:space="0" w:color="auto"/>
              <w:left w:val="nil"/>
              <w:bottom w:val="single" w:sz="4" w:space="0" w:color="auto"/>
              <w:right w:val="single" w:sz="4" w:space="0" w:color="auto"/>
            </w:tcBorders>
            <w:shd w:val="clear" w:color="auto" w:fill="auto"/>
            <w:noWrap/>
            <w:vAlign w:val="center"/>
            <w:hideMark/>
          </w:tcPr>
          <w:p w14:paraId="666E3071"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7,826</w:t>
            </w:r>
          </w:p>
        </w:tc>
        <w:tc>
          <w:tcPr>
            <w:tcW w:w="585" w:type="pct"/>
            <w:tcBorders>
              <w:top w:val="nil"/>
              <w:left w:val="single" w:sz="4" w:space="0" w:color="auto"/>
              <w:bottom w:val="single" w:sz="4" w:space="0" w:color="auto"/>
              <w:right w:val="single" w:sz="8" w:space="0" w:color="auto"/>
            </w:tcBorders>
            <w:shd w:val="clear" w:color="auto" w:fill="auto"/>
            <w:noWrap/>
            <w:vAlign w:val="center"/>
            <w:hideMark/>
          </w:tcPr>
          <w:p w14:paraId="2C455301"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21,566</w:t>
            </w:r>
          </w:p>
        </w:tc>
      </w:tr>
      <w:tr w:rsidR="00D6653E" w:rsidRPr="009375A4" w14:paraId="1E2D2CCE" w14:textId="77777777" w:rsidTr="004D1792">
        <w:trPr>
          <w:trHeight w:val="420"/>
        </w:trPr>
        <w:tc>
          <w:tcPr>
            <w:tcW w:w="1406" w:type="pct"/>
            <w:tcBorders>
              <w:top w:val="nil"/>
              <w:left w:val="single" w:sz="8" w:space="0" w:color="auto"/>
              <w:bottom w:val="single" w:sz="4" w:space="0" w:color="auto"/>
              <w:right w:val="single" w:sz="4" w:space="0" w:color="auto"/>
            </w:tcBorders>
            <w:shd w:val="clear" w:color="auto" w:fill="auto"/>
            <w:noWrap/>
            <w:vAlign w:val="center"/>
            <w:hideMark/>
          </w:tcPr>
          <w:p w14:paraId="382442DA" w14:textId="0E21FDEA" w:rsidR="00D6653E" w:rsidRPr="009375A4" w:rsidRDefault="00577A44" w:rsidP="009375A4">
            <w:pPr>
              <w:spacing w:before="0" w:after="0"/>
              <w:jc w:val="left"/>
              <w:rPr>
                <w:color w:val="000000"/>
                <w:sz w:val="20"/>
                <w:szCs w:val="20"/>
                <w:lang w:val="es-PE" w:eastAsia="es-PE"/>
              </w:rPr>
            </w:pPr>
            <w:r>
              <w:rPr>
                <w:color w:val="000000"/>
                <w:sz w:val="20"/>
                <w:szCs w:val="20"/>
                <w:lang w:val="es-PE" w:eastAsia="es-PE"/>
              </w:rPr>
              <w:t>Restauración Producción Privada</w:t>
            </w:r>
          </w:p>
        </w:tc>
        <w:tc>
          <w:tcPr>
            <w:tcW w:w="789" w:type="pct"/>
            <w:tcBorders>
              <w:top w:val="nil"/>
              <w:left w:val="single" w:sz="4" w:space="0" w:color="auto"/>
              <w:bottom w:val="single" w:sz="4" w:space="0" w:color="auto"/>
              <w:right w:val="single" w:sz="4" w:space="0" w:color="auto"/>
            </w:tcBorders>
            <w:shd w:val="clear" w:color="auto" w:fill="auto"/>
            <w:noWrap/>
            <w:vAlign w:val="center"/>
            <w:hideMark/>
          </w:tcPr>
          <w:p w14:paraId="622571D8"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4,943</w:t>
            </w:r>
          </w:p>
        </w:tc>
        <w:tc>
          <w:tcPr>
            <w:tcW w:w="704" w:type="pct"/>
            <w:tcBorders>
              <w:top w:val="nil"/>
              <w:left w:val="nil"/>
              <w:bottom w:val="single" w:sz="4" w:space="0" w:color="auto"/>
              <w:right w:val="single" w:sz="4" w:space="0" w:color="auto"/>
            </w:tcBorders>
            <w:shd w:val="clear" w:color="auto" w:fill="auto"/>
            <w:noWrap/>
            <w:vAlign w:val="center"/>
            <w:hideMark/>
          </w:tcPr>
          <w:p w14:paraId="518D64B4"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3,029</w:t>
            </w:r>
          </w:p>
        </w:tc>
        <w:tc>
          <w:tcPr>
            <w:tcW w:w="788" w:type="pct"/>
            <w:tcBorders>
              <w:top w:val="nil"/>
              <w:left w:val="nil"/>
              <w:bottom w:val="single" w:sz="4" w:space="0" w:color="auto"/>
              <w:right w:val="single" w:sz="4" w:space="0" w:color="auto"/>
            </w:tcBorders>
            <w:shd w:val="clear" w:color="auto" w:fill="auto"/>
            <w:noWrap/>
            <w:vAlign w:val="center"/>
            <w:hideMark/>
          </w:tcPr>
          <w:p w14:paraId="385D232F"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3,423</w:t>
            </w:r>
          </w:p>
        </w:tc>
        <w:tc>
          <w:tcPr>
            <w:tcW w:w="728" w:type="pct"/>
            <w:tcBorders>
              <w:top w:val="nil"/>
              <w:left w:val="nil"/>
              <w:bottom w:val="single" w:sz="4" w:space="0" w:color="auto"/>
              <w:right w:val="single" w:sz="4" w:space="0" w:color="auto"/>
            </w:tcBorders>
            <w:shd w:val="clear" w:color="auto" w:fill="auto"/>
            <w:noWrap/>
            <w:vAlign w:val="center"/>
            <w:hideMark/>
          </w:tcPr>
          <w:p w14:paraId="681B9B16"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6,491</w:t>
            </w:r>
          </w:p>
        </w:tc>
        <w:tc>
          <w:tcPr>
            <w:tcW w:w="585" w:type="pct"/>
            <w:tcBorders>
              <w:top w:val="nil"/>
              <w:left w:val="single" w:sz="4" w:space="0" w:color="auto"/>
              <w:bottom w:val="single" w:sz="4" w:space="0" w:color="auto"/>
              <w:right w:val="single" w:sz="8" w:space="0" w:color="auto"/>
            </w:tcBorders>
            <w:shd w:val="clear" w:color="auto" w:fill="auto"/>
            <w:noWrap/>
            <w:vAlign w:val="center"/>
            <w:hideMark/>
          </w:tcPr>
          <w:p w14:paraId="0619931B"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17,887</w:t>
            </w:r>
          </w:p>
        </w:tc>
      </w:tr>
      <w:tr w:rsidR="00D6653E" w:rsidRPr="009375A4" w14:paraId="1A4B7C94" w14:textId="77777777" w:rsidTr="004D1792">
        <w:trPr>
          <w:trHeight w:val="420"/>
        </w:trPr>
        <w:tc>
          <w:tcPr>
            <w:tcW w:w="1406" w:type="pct"/>
            <w:tcBorders>
              <w:top w:val="nil"/>
              <w:left w:val="single" w:sz="8" w:space="0" w:color="auto"/>
              <w:bottom w:val="single" w:sz="4" w:space="0" w:color="auto"/>
              <w:right w:val="single" w:sz="4" w:space="0" w:color="auto"/>
            </w:tcBorders>
            <w:shd w:val="clear" w:color="auto" w:fill="auto"/>
            <w:noWrap/>
            <w:vAlign w:val="center"/>
            <w:hideMark/>
          </w:tcPr>
          <w:p w14:paraId="461CA4F1" w14:textId="4B23B707" w:rsidR="00D6653E" w:rsidRPr="009375A4" w:rsidRDefault="00D6653E" w:rsidP="00577A44">
            <w:pPr>
              <w:spacing w:before="0" w:after="0"/>
              <w:jc w:val="left"/>
              <w:rPr>
                <w:color w:val="000000"/>
                <w:sz w:val="20"/>
                <w:szCs w:val="20"/>
                <w:lang w:val="es-PE" w:eastAsia="es-PE"/>
              </w:rPr>
            </w:pPr>
            <w:r w:rsidRPr="009375A4">
              <w:rPr>
                <w:color w:val="000000"/>
                <w:sz w:val="20"/>
                <w:szCs w:val="20"/>
                <w:lang w:val="es-PE" w:eastAsia="es-PE"/>
              </w:rPr>
              <w:t>M</w:t>
            </w:r>
            <w:r w:rsidR="00577A44">
              <w:rPr>
                <w:color w:val="000000"/>
                <w:sz w:val="20"/>
                <w:szCs w:val="20"/>
                <w:lang w:val="es-PE" w:eastAsia="es-PE"/>
              </w:rPr>
              <w:t>anejo Adaptativo del Bosque no plagado</w:t>
            </w:r>
          </w:p>
        </w:tc>
        <w:tc>
          <w:tcPr>
            <w:tcW w:w="789" w:type="pct"/>
            <w:tcBorders>
              <w:top w:val="nil"/>
              <w:left w:val="single" w:sz="4" w:space="0" w:color="auto"/>
              <w:bottom w:val="single" w:sz="4" w:space="0" w:color="auto"/>
              <w:right w:val="single" w:sz="4" w:space="0" w:color="auto"/>
            </w:tcBorders>
            <w:shd w:val="clear" w:color="auto" w:fill="auto"/>
            <w:noWrap/>
            <w:vAlign w:val="center"/>
            <w:hideMark/>
          </w:tcPr>
          <w:p w14:paraId="53F07DAD"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31,427</w:t>
            </w:r>
          </w:p>
        </w:tc>
        <w:tc>
          <w:tcPr>
            <w:tcW w:w="704" w:type="pct"/>
            <w:tcBorders>
              <w:top w:val="nil"/>
              <w:left w:val="nil"/>
              <w:bottom w:val="single" w:sz="4" w:space="0" w:color="auto"/>
              <w:right w:val="single" w:sz="4" w:space="0" w:color="auto"/>
            </w:tcBorders>
            <w:shd w:val="clear" w:color="auto" w:fill="auto"/>
            <w:noWrap/>
            <w:vAlign w:val="center"/>
            <w:hideMark/>
          </w:tcPr>
          <w:p w14:paraId="4C1244AB"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19,259</w:t>
            </w:r>
          </w:p>
        </w:tc>
        <w:tc>
          <w:tcPr>
            <w:tcW w:w="788" w:type="pct"/>
            <w:tcBorders>
              <w:top w:val="nil"/>
              <w:left w:val="nil"/>
              <w:bottom w:val="single" w:sz="4" w:space="0" w:color="auto"/>
              <w:right w:val="single" w:sz="4" w:space="0" w:color="auto"/>
            </w:tcBorders>
            <w:shd w:val="clear" w:color="auto" w:fill="auto"/>
            <w:noWrap/>
            <w:vAlign w:val="center"/>
            <w:hideMark/>
          </w:tcPr>
          <w:p w14:paraId="73E12065"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21,762</w:t>
            </w:r>
          </w:p>
        </w:tc>
        <w:tc>
          <w:tcPr>
            <w:tcW w:w="728" w:type="pct"/>
            <w:tcBorders>
              <w:top w:val="nil"/>
              <w:left w:val="nil"/>
              <w:bottom w:val="single" w:sz="4" w:space="0" w:color="auto"/>
              <w:right w:val="single" w:sz="4" w:space="0" w:color="auto"/>
            </w:tcBorders>
            <w:shd w:val="clear" w:color="auto" w:fill="auto"/>
            <w:noWrap/>
            <w:vAlign w:val="center"/>
            <w:hideMark/>
          </w:tcPr>
          <w:p w14:paraId="1EA4BF73"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41,265</w:t>
            </w:r>
          </w:p>
        </w:tc>
        <w:tc>
          <w:tcPr>
            <w:tcW w:w="585" w:type="pct"/>
            <w:tcBorders>
              <w:top w:val="nil"/>
              <w:left w:val="single" w:sz="4" w:space="0" w:color="auto"/>
              <w:bottom w:val="single" w:sz="4" w:space="0" w:color="auto"/>
              <w:right w:val="single" w:sz="8" w:space="0" w:color="auto"/>
            </w:tcBorders>
            <w:shd w:val="clear" w:color="auto" w:fill="auto"/>
            <w:noWrap/>
            <w:vAlign w:val="center"/>
            <w:hideMark/>
          </w:tcPr>
          <w:p w14:paraId="315162E3"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113,712</w:t>
            </w:r>
          </w:p>
        </w:tc>
      </w:tr>
      <w:tr w:rsidR="00D6653E" w:rsidRPr="009375A4" w14:paraId="27C17E4B" w14:textId="77777777" w:rsidTr="004D1792">
        <w:trPr>
          <w:trHeight w:val="420"/>
        </w:trPr>
        <w:tc>
          <w:tcPr>
            <w:tcW w:w="1406" w:type="pct"/>
            <w:tcBorders>
              <w:top w:val="nil"/>
              <w:left w:val="single" w:sz="8" w:space="0" w:color="auto"/>
              <w:bottom w:val="nil"/>
              <w:right w:val="single" w:sz="4" w:space="0" w:color="auto"/>
            </w:tcBorders>
            <w:shd w:val="clear" w:color="auto" w:fill="auto"/>
            <w:noWrap/>
            <w:vAlign w:val="center"/>
            <w:hideMark/>
          </w:tcPr>
          <w:p w14:paraId="5CF6F2A2" w14:textId="516C3C33" w:rsidR="00D6653E" w:rsidRPr="009375A4" w:rsidRDefault="00577A44" w:rsidP="00577A44">
            <w:pPr>
              <w:spacing w:before="0" w:after="0"/>
              <w:jc w:val="left"/>
              <w:rPr>
                <w:color w:val="000000"/>
                <w:sz w:val="20"/>
                <w:szCs w:val="20"/>
                <w:lang w:val="es-PE" w:eastAsia="es-PE"/>
              </w:rPr>
            </w:pPr>
            <w:r>
              <w:rPr>
                <w:color w:val="000000"/>
                <w:sz w:val="20"/>
                <w:szCs w:val="20"/>
                <w:lang w:val="es-PE" w:eastAsia="es-PE"/>
              </w:rPr>
              <w:t>Sistemas Agroforestales-SAF</w:t>
            </w:r>
          </w:p>
        </w:tc>
        <w:tc>
          <w:tcPr>
            <w:tcW w:w="789" w:type="pct"/>
            <w:tcBorders>
              <w:top w:val="single" w:sz="4" w:space="0" w:color="auto"/>
              <w:left w:val="nil"/>
              <w:bottom w:val="nil"/>
              <w:right w:val="single" w:sz="4" w:space="0" w:color="auto"/>
            </w:tcBorders>
            <w:shd w:val="clear" w:color="auto" w:fill="auto"/>
            <w:noWrap/>
            <w:vAlign w:val="center"/>
            <w:hideMark/>
          </w:tcPr>
          <w:p w14:paraId="08C72BE3"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8,291</w:t>
            </w:r>
          </w:p>
        </w:tc>
        <w:tc>
          <w:tcPr>
            <w:tcW w:w="704" w:type="pct"/>
            <w:tcBorders>
              <w:top w:val="single" w:sz="4" w:space="0" w:color="auto"/>
              <w:left w:val="nil"/>
              <w:bottom w:val="nil"/>
              <w:right w:val="single" w:sz="4" w:space="0" w:color="auto"/>
            </w:tcBorders>
            <w:shd w:val="clear" w:color="auto" w:fill="auto"/>
            <w:noWrap/>
            <w:vAlign w:val="center"/>
            <w:hideMark/>
          </w:tcPr>
          <w:p w14:paraId="5BEB60AE"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5,081</w:t>
            </w:r>
          </w:p>
        </w:tc>
        <w:tc>
          <w:tcPr>
            <w:tcW w:w="788" w:type="pct"/>
            <w:tcBorders>
              <w:top w:val="single" w:sz="4" w:space="0" w:color="auto"/>
              <w:left w:val="nil"/>
              <w:bottom w:val="nil"/>
              <w:right w:val="single" w:sz="4" w:space="0" w:color="auto"/>
            </w:tcBorders>
            <w:shd w:val="clear" w:color="auto" w:fill="auto"/>
            <w:noWrap/>
            <w:vAlign w:val="center"/>
            <w:hideMark/>
          </w:tcPr>
          <w:p w14:paraId="6FE8DC68"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5,741</w:t>
            </w:r>
          </w:p>
        </w:tc>
        <w:tc>
          <w:tcPr>
            <w:tcW w:w="728" w:type="pct"/>
            <w:tcBorders>
              <w:top w:val="single" w:sz="4" w:space="0" w:color="auto"/>
              <w:left w:val="nil"/>
              <w:bottom w:val="nil"/>
              <w:right w:val="single" w:sz="4" w:space="0" w:color="auto"/>
            </w:tcBorders>
            <w:shd w:val="clear" w:color="auto" w:fill="auto"/>
            <w:noWrap/>
            <w:vAlign w:val="center"/>
            <w:hideMark/>
          </w:tcPr>
          <w:p w14:paraId="535C82E2"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10,887</w:t>
            </w:r>
          </w:p>
        </w:tc>
        <w:tc>
          <w:tcPr>
            <w:tcW w:w="585" w:type="pct"/>
            <w:tcBorders>
              <w:top w:val="nil"/>
              <w:left w:val="nil"/>
              <w:bottom w:val="nil"/>
              <w:right w:val="single" w:sz="8" w:space="0" w:color="auto"/>
            </w:tcBorders>
            <w:shd w:val="clear" w:color="auto" w:fill="auto"/>
            <w:noWrap/>
            <w:vAlign w:val="center"/>
            <w:hideMark/>
          </w:tcPr>
          <w:p w14:paraId="1F15F0BE" w14:textId="77777777" w:rsidR="00D6653E" w:rsidRPr="009375A4" w:rsidRDefault="00D6653E" w:rsidP="009375A4">
            <w:pPr>
              <w:spacing w:before="0" w:after="0"/>
              <w:jc w:val="center"/>
              <w:rPr>
                <w:color w:val="000000"/>
                <w:sz w:val="20"/>
                <w:szCs w:val="20"/>
                <w:lang w:val="es-PE" w:eastAsia="es-PE"/>
              </w:rPr>
            </w:pPr>
            <w:r w:rsidRPr="009375A4">
              <w:rPr>
                <w:color w:val="000000"/>
                <w:sz w:val="20"/>
                <w:szCs w:val="20"/>
                <w:lang w:val="es-PE" w:eastAsia="es-PE"/>
              </w:rPr>
              <w:t>30,000</w:t>
            </w:r>
          </w:p>
        </w:tc>
      </w:tr>
      <w:tr w:rsidR="00D6653E" w:rsidRPr="009375A4" w14:paraId="44F5E83A" w14:textId="77777777" w:rsidTr="004D1792">
        <w:trPr>
          <w:trHeight w:val="420"/>
        </w:trPr>
        <w:tc>
          <w:tcPr>
            <w:tcW w:w="1406"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516D1D9" w14:textId="54B6F216" w:rsidR="00D6653E" w:rsidRPr="009375A4" w:rsidRDefault="00D6653E" w:rsidP="004D1792">
            <w:pPr>
              <w:spacing w:before="0" w:after="0"/>
              <w:jc w:val="left"/>
              <w:rPr>
                <w:b/>
                <w:bCs/>
                <w:color w:val="000000"/>
                <w:sz w:val="20"/>
                <w:szCs w:val="20"/>
                <w:lang w:val="es-PE" w:eastAsia="es-PE"/>
              </w:rPr>
            </w:pPr>
            <w:r w:rsidRPr="009375A4">
              <w:rPr>
                <w:b/>
                <w:bCs/>
                <w:color w:val="000000"/>
                <w:sz w:val="20"/>
                <w:szCs w:val="20"/>
                <w:lang w:val="es-PE" w:eastAsia="es-PE"/>
              </w:rPr>
              <w:t>T</w:t>
            </w:r>
            <w:r w:rsidR="004D1792">
              <w:rPr>
                <w:b/>
                <w:bCs/>
                <w:color w:val="000000"/>
                <w:sz w:val="20"/>
                <w:szCs w:val="20"/>
                <w:lang w:val="es-PE" w:eastAsia="es-PE"/>
              </w:rPr>
              <w:t>otal</w:t>
            </w:r>
          </w:p>
        </w:tc>
        <w:tc>
          <w:tcPr>
            <w:tcW w:w="789" w:type="pct"/>
            <w:tcBorders>
              <w:top w:val="single" w:sz="8" w:space="0" w:color="auto"/>
              <w:left w:val="nil"/>
              <w:bottom w:val="single" w:sz="8" w:space="0" w:color="auto"/>
              <w:right w:val="single" w:sz="4" w:space="0" w:color="auto"/>
            </w:tcBorders>
            <w:shd w:val="clear" w:color="auto" w:fill="auto"/>
            <w:noWrap/>
            <w:vAlign w:val="center"/>
            <w:hideMark/>
          </w:tcPr>
          <w:p w14:paraId="177D3A11" w14:textId="77777777" w:rsidR="00D6653E" w:rsidRPr="009375A4" w:rsidRDefault="00D6653E" w:rsidP="009375A4">
            <w:pPr>
              <w:spacing w:before="0" w:after="0"/>
              <w:jc w:val="center"/>
              <w:rPr>
                <w:b/>
                <w:bCs/>
                <w:color w:val="000000"/>
                <w:sz w:val="20"/>
                <w:szCs w:val="20"/>
                <w:lang w:val="es-PE" w:eastAsia="es-PE"/>
              </w:rPr>
            </w:pPr>
            <w:r w:rsidRPr="009375A4">
              <w:rPr>
                <w:b/>
                <w:bCs/>
                <w:color w:val="000000"/>
                <w:sz w:val="20"/>
                <w:szCs w:val="20"/>
                <w:lang w:val="es-PE" w:eastAsia="es-PE"/>
              </w:rPr>
              <w:t>50,622</w:t>
            </w:r>
          </w:p>
        </w:tc>
        <w:tc>
          <w:tcPr>
            <w:tcW w:w="704" w:type="pct"/>
            <w:tcBorders>
              <w:top w:val="single" w:sz="8" w:space="0" w:color="auto"/>
              <w:left w:val="nil"/>
              <w:bottom w:val="single" w:sz="8" w:space="0" w:color="auto"/>
              <w:right w:val="single" w:sz="4" w:space="0" w:color="auto"/>
            </w:tcBorders>
            <w:shd w:val="clear" w:color="auto" w:fill="auto"/>
            <w:noWrap/>
            <w:vAlign w:val="center"/>
            <w:hideMark/>
          </w:tcPr>
          <w:p w14:paraId="3A29558C" w14:textId="77777777" w:rsidR="00D6653E" w:rsidRPr="009375A4" w:rsidRDefault="00D6653E" w:rsidP="009375A4">
            <w:pPr>
              <w:spacing w:before="0" w:after="0"/>
              <w:jc w:val="center"/>
              <w:rPr>
                <w:b/>
                <w:bCs/>
                <w:color w:val="000000"/>
                <w:sz w:val="20"/>
                <w:szCs w:val="20"/>
                <w:lang w:val="es-PE" w:eastAsia="es-PE"/>
              </w:rPr>
            </w:pPr>
            <w:r w:rsidRPr="009375A4">
              <w:rPr>
                <w:b/>
                <w:bCs/>
                <w:color w:val="000000"/>
                <w:sz w:val="20"/>
                <w:szCs w:val="20"/>
                <w:lang w:val="es-PE" w:eastAsia="es-PE"/>
              </w:rPr>
              <w:t>31,021</w:t>
            </w:r>
          </w:p>
        </w:tc>
        <w:tc>
          <w:tcPr>
            <w:tcW w:w="788" w:type="pct"/>
            <w:tcBorders>
              <w:top w:val="single" w:sz="8" w:space="0" w:color="auto"/>
              <w:left w:val="nil"/>
              <w:bottom w:val="single" w:sz="8" w:space="0" w:color="auto"/>
              <w:right w:val="single" w:sz="4" w:space="0" w:color="auto"/>
            </w:tcBorders>
            <w:shd w:val="clear" w:color="auto" w:fill="auto"/>
            <w:noWrap/>
            <w:vAlign w:val="center"/>
            <w:hideMark/>
          </w:tcPr>
          <w:p w14:paraId="5EC3BE9D" w14:textId="77777777" w:rsidR="00D6653E" w:rsidRPr="009375A4" w:rsidRDefault="00D6653E" w:rsidP="009375A4">
            <w:pPr>
              <w:spacing w:before="0" w:after="0"/>
              <w:jc w:val="center"/>
              <w:rPr>
                <w:b/>
                <w:bCs/>
                <w:color w:val="000000"/>
                <w:sz w:val="20"/>
                <w:szCs w:val="20"/>
                <w:lang w:val="es-PE" w:eastAsia="es-PE"/>
              </w:rPr>
            </w:pPr>
            <w:r w:rsidRPr="009375A4">
              <w:rPr>
                <w:b/>
                <w:bCs/>
                <w:color w:val="000000"/>
                <w:sz w:val="20"/>
                <w:szCs w:val="20"/>
                <w:lang w:val="es-PE" w:eastAsia="es-PE"/>
              </w:rPr>
              <w:t>35,053</w:t>
            </w:r>
          </w:p>
        </w:tc>
        <w:tc>
          <w:tcPr>
            <w:tcW w:w="728" w:type="pct"/>
            <w:tcBorders>
              <w:top w:val="single" w:sz="8" w:space="0" w:color="auto"/>
              <w:left w:val="nil"/>
              <w:bottom w:val="single" w:sz="8" w:space="0" w:color="auto"/>
              <w:right w:val="single" w:sz="4" w:space="0" w:color="auto"/>
            </w:tcBorders>
            <w:shd w:val="clear" w:color="auto" w:fill="auto"/>
            <w:noWrap/>
            <w:vAlign w:val="center"/>
            <w:hideMark/>
          </w:tcPr>
          <w:p w14:paraId="16747650" w14:textId="77777777" w:rsidR="00D6653E" w:rsidRPr="009375A4" w:rsidRDefault="00D6653E" w:rsidP="009375A4">
            <w:pPr>
              <w:spacing w:before="0" w:after="0"/>
              <w:jc w:val="center"/>
              <w:rPr>
                <w:b/>
                <w:bCs/>
                <w:color w:val="000000"/>
                <w:sz w:val="20"/>
                <w:szCs w:val="20"/>
                <w:lang w:val="es-PE" w:eastAsia="es-PE"/>
              </w:rPr>
            </w:pPr>
            <w:r w:rsidRPr="009375A4">
              <w:rPr>
                <w:b/>
                <w:bCs/>
                <w:color w:val="000000"/>
                <w:sz w:val="20"/>
                <w:szCs w:val="20"/>
                <w:lang w:val="es-PE" w:eastAsia="es-PE"/>
              </w:rPr>
              <w:t>66,469</w:t>
            </w:r>
          </w:p>
        </w:tc>
        <w:tc>
          <w:tcPr>
            <w:tcW w:w="585" w:type="pct"/>
            <w:tcBorders>
              <w:top w:val="single" w:sz="8" w:space="0" w:color="auto"/>
              <w:left w:val="nil"/>
              <w:bottom w:val="single" w:sz="8" w:space="0" w:color="auto"/>
              <w:right w:val="single" w:sz="8" w:space="0" w:color="auto"/>
            </w:tcBorders>
            <w:shd w:val="clear" w:color="auto" w:fill="auto"/>
            <w:noWrap/>
            <w:vAlign w:val="center"/>
            <w:hideMark/>
          </w:tcPr>
          <w:p w14:paraId="0CEB9669" w14:textId="77777777" w:rsidR="00D6653E" w:rsidRPr="009375A4" w:rsidRDefault="00D6653E" w:rsidP="009375A4">
            <w:pPr>
              <w:spacing w:before="0" w:after="0"/>
              <w:jc w:val="center"/>
              <w:rPr>
                <w:b/>
                <w:bCs/>
                <w:color w:val="000000"/>
                <w:sz w:val="20"/>
                <w:szCs w:val="20"/>
                <w:lang w:val="es-PE" w:eastAsia="es-PE"/>
              </w:rPr>
            </w:pPr>
            <w:r w:rsidRPr="009375A4">
              <w:rPr>
                <w:b/>
                <w:bCs/>
                <w:color w:val="000000"/>
                <w:sz w:val="20"/>
                <w:szCs w:val="20"/>
                <w:lang w:val="es-PE" w:eastAsia="es-PE"/>
              </w:rPr>
              <w:t>183,165</w:t>
            </w:r>
          </w:p>
        </w:tc>
      </w:tr>
    </w:tbl>
    <w:p w14:paraId="28DAC7BF" w14:textId="77777777" w:rsidR="00EC0C25" w:rsidRPr="00321137" w:rsidRDefault="00EC0C25" w:rsidP="00D6653E">
      <w:pPr>
        <w:pStyle w:val="fuente"/>
        <w:ind w:firstLine="426"/>
      </w:pPr>
      <w:r w:rsidRPr="00321137">
        <w:t>Fuente: Propuesta del Proyecto</w:t>
      </w:r>
    </w:p>
    <w:p w14:paraId="6C2DB995" w14:textId="3AD82493" w:rsidR="00EC0C25" w:rsidRDefault="00EC0C25" w:rsidP="00854EFC">
      <w:pPr>
        <w:pStyle w:val="parrafonumerado"/>
      </w:pPr>
      <w:r>
        <w:t>Igualmente, en el siguiente cuadro se consigna</w:t>
      </w:r>
      <w:r w:rsidR="004D1792">
        <w:t>n</w:t>
      </w:r>
      <w:r>
        <w:t xml:space="preserve"> las principales características de las organizaciones agroforestales y microcuencas </w:t>
      </w:r>
      <w:r w:rsidR="00713DD6">
        <w:t>(</w:t>
      </w:r>
      <w:proofErr w:type="spellStart"/>
      <w:r w:rsidR="00713DD6">
        <w:t>MPAs</w:t>
      </w:r>
      <w:proofErr w:type="spellEnd"/>
      <w:r w:rsidR="00713DD6">
        <w:t xml:space="preserve">) </w:t>
      </w:r>
      <w:r>
        <w:t>en el área intervenida por departamento.</w:t>
      </w:r>
    </w:p>
    <w:p w14:paraId="3135891C" w14:textId="77777777" w:rsidR="00713DD6" w:rsidRDefault="00713DD6" w:rsidP="0047509A"/>
    <w:p w14:paraId="6DD9B3F0" w14:textId="77777777" w:rsidR="00E21C8D" w:rsidRDefault="00E21C8D">
      <w:pPr>
        <w:spacing w:before="0" w:after="160" w:line="259" w:lineRule="auto"/>
        <w:jc w:val="left"/>
      </w:pPr>
      <w:r>
        <w:br w:type="page"/>
      </w:r>
    </w:p>
    <w:p w14:paraId="53D8E3F0" w14:textId="77777777" w:rsidR="00EC0C25" w:rsidRDefault="00EC0C25" w:rsidP="00D64E0D">
      <w:pPr>
        <w:pStyle w:val="NoSpacing"/>
      </w:pPr>
      <w:r>
        <w:lastRenderedPageBreak/>
        <w:t xml:space="preserve">Cuadro </w:t>
      </w:r>
      <w:r w:rsidR="00BB3F5C">
        <w:t>3</w:t>
      </w:r>
      <w:r>
        <w:t>.  Características de organizaciones agroforestales y microcuencas</w:t>
      </w:r>
      <w:r w:rsidR="001E5874">
        <w:t xml:space="preserve"> en C1/C2</w:t>
      </w:r>
    </w:p>
    <w:tbl>
      <w:tblPr>
        <w:tblW w:w="8181" w:type="dxa"/>
        <w:tblInd w:w="132" w:type="dxa"/>
        <w:tblCellMar>
          <w:left w:w="70" w:type="dxa"/>
          <w:right w:w="70" w:type="dxa"/>
        </w:tblCellMar>
        <w:tblLook w:val="04A0" w:firstRow="1" w:lastRow="0" w:firstColumn="1" w:lastColumn="0" w:noHBand="0" w:noVBand="1"/>
      </w:tblPr>
      <w:tblGrid>
        <w:gridCol w:w="2552"/>
        <w:gridCol w:w="1134"/>
        <w:gridCol w:w="1134"/>
        <w:gridCol w:w="1276"/>
        <w:gridCol w:w="1118"/>
        <w:gridCol w:w="967"/>
      </w:tblGrid>
      <w:tr w:rsidR="00713DD6" w:rsidRPr="00713DD6" w14:paraId="5CC9F610" w14:textId="77777777" w:rsidTr="001E5874">
        <w:trPr>
          <w:trHeight w:val="615"/>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2AD61CD" w14:textId="77777777" w:rsidR="00713DD6" w:rsidRPr="00713DD6" w:rsidRDefault="00713DD6" w:rsidP="00713DD6">
            <w:pPr>
              <w:spacing w:after="0"/>
              <w:jc w:val="left"/>
              <w:rPr>
                <w:color w:val="000000"/>
                <w:sz w:val="20"/>
                <w:szCs w:val="22"/>
                <w:lang w:val="es-PE" w:eastAsia="es-PE"/>
              </w:rPr>
            </w:pPr>
            <w:r w:rsidRPr="00713DD6">
              <w:rPr>
                <w:color w:val="000000"/>
                <w:sz w:val="20"/>
                <w:szCs w:val="22"/>
                <w:lang w:val="es-PE" w:eastAsia="es-PE"/>
              </w:rPr>
              <w:t>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14:paraId="108DD9BB" w14:textId="5DEE6691" w:rsidR="00713DD6" w:rsidRPr="00713DD6" w:rsidRDefault="00713DD6" w:rsidP="004D1792">
            <w:pPr>
              <w:spacing w:after="0"/>
              <w:jc w:val="center"/>
              <w:rPr>
                <w:color w:val="000000"/>
                <w:sz w:val="20"/>
                <w:szCs w:val="22"/>
                <w:lang w:val="es-PE" w:eastAsia="es-PE"/>
              </w:rPr>
            </w:pPr>
            <w:r w:rsidRPr="00713DD6">
              <w:rPr>
                <w:color w:val="000000"/>
                <w:sz w:val="20"/>
                <w:szCs w:val="22"/>
                <w:lang w:val="es-PE" w:eastAsia="es-PE"/>
              </w:rPr>
              <w:t>C</w:t>
            </w:r>
            <w:r w:rsidR="004D1792">
              <w:rPr>
                <w:color w:val="000000"/>
                <w:sz w:val="20"/>
                <w:szCs w:val="22"/>
                <w:lang w:val="es-PE" w:eastAsia="es-PE"/>
              </w:rPr>
              <w:t>omayagua</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14:paraId="2CE68FC2" w14:textId="77FE6381" w:rsidR="00713DD6" w:rsidRPr="00713DD6" w:rsidRDefault="00713DD6" w:rsidP="004D1792">
            <w:pPr>
              <w:spacing w:after="0"/>
              <w:jc w:val="center"/>
              <w:rPr>
                <w:color w:val="000000"/>
                <w:sz w:val="20"/>
                <w:szCs w:val="22"/>
                <w:lang w:val="es-PE" w:eastAsia="es-PE"/>
              </w:rPr>
            </w:pPr>
            <w:r w:rsidRPr="00713DD6">
              <w:rPr>
                <w:color w:val="000000"/>
                <w:sz w:val="20"/>
                <w:szCs w:val="22"/>
                <w:lang w:val="es-PE" w:eastAsia="es-PE"/>
              </w:rPr>
              <w:t>E</w:t>
            </w:r>
            <w:r w:rsidR="004D1792">
              <w:rPr>
                <w:color w:val="000000"/>
                <w:sz w:val="20"/>
                <w:szCs w:val="22"/>
                <w:lang w:val="es-PE" w:eastAsia="es-PE"/>
              </w:rPr>
              <w:t>l</w:t>
            </w:r>
            <w:r w:rsidRPr="00713DD6">
              <w:rPr>
                <w:color w:val="000000"/>
                <w:sz w:val="20"/>
                <w:szCs w:val="22"/>
                <w:lang w:val="es-PE" w:eastAsia="es-PE"/>
              </w:rPr>
              <w:t xml:space="preserve"> P</w:t>
            </w:r>
            <w:r w:rsidR="004D1792">
              <w:rPr>
                <w:color w:val="000000"/>
                <w:sz w:val="20"/>
                <w:szCs w:val="22"/>
                <w:lang w:val="es-PE" w:eastAsia="es-PE"/>
              </w:rPr>
              <w:t>araíso</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2425E17E" w14:textId="594615AE" w:rsidR="00713DD6" w:rsidRPr="00713DD6" w:rsidRDefault="00713DD6" w:rsidP="004D1792">
            <w:pPr>
              <w:spacing w:after="0"/>
              <w:jc w:val="center"/>
              <w:rPr>
                <w:color w:val="000000"/>
                <w:sz w:val="20"/>
                <w:szCs w:val="22"/>
                <w:lang w:val="es-PE" w:eastAsia="es-PE"/>
              </w:rPr>
            </w:pPr>
            <w:r w:rsidRPr="00713DD6">
              <w:rPr>
                <w:color w:val="000000"/>
                <w:sz w:val="20"/>
                <w:szCs w:val="22"/>
                <w:lang w:val="es-PE" w:eastAsia="es-PE"/>
              </w:rPr>
              <w:t>F</w:t>
            </w:r>
            <w:r w:rsidR="004D1792">
              <w:rPr>
                <w:color w:val="000000"/>
                <w:sz w:val="20"/>
                <w:szCs w:val="22"/>
                <w:lang w:val="es-PE" w:eastAsia="es-PE"/>
              </w:rPr>
              <w:t>rancisco</w:t>
            </w:r>
            <w:r w:rsidRPr="00713DD6">
              <w:rPr>
                <w:color w:val="000000"/>
                <w:sz w:val="20"/>
                <w:szCs w:val="22"/>
                <w:lang w:val="es-PE" w:eastAsia="es-PE"/>
              </w:rPr>
              <w:t xml:space="preserve"> M</w:t>
            </w:r>
            <w:r w:rsidR="004D1792">
              <w:rPr>
                <w:color w:val="000000"/>
                <w:sz w:val="20"/>
                <w:szCs w:val="22"/>
                <w:lang w:val="es-PE" w:eastAsia="es-PE"/>
              </w:rPr>
              <w:t>orazán</w:t>
            </w:r>
          </w:p>
        </w:tc>
        <w:tc>
          <w:tcPr>
            <w:tcW w:w="1118" w:type="dxa"/>
            <w:tcBorders>
              <w:top w:val="single" w:sz="8" w:space="0" w:color="auto"/>
              <w:left w:val="nil"/>
              <w:bottom w:val="single" w:sz="8" w:space="0" w:color="auto"/>
              <w:right w:val="single" w:sz="4" w:space="0" w:color="auto"/>
            </w:tcBorders>
            <w:shd w:val="clear" w:color="auto" w:fill="auto"/>
            <w:noWrap/>
            <w:vAlign w:val="center"/>
            <w:hideMark/>
          </w:tcPr>
          <w:p w14:paraId="5C485459" w14:textId="28C428BA" w:rsidR="00713DD6" w:rsidRPr="00713DD6" w:rsidRDefault="00713DD6" w:rsidP="004D1792">
            <w:pPr>
              <w:spacing w:after="0"/>
              <w:jc w:val="center"/>
              <w:rPr>
                <w:color w:val="000000"/>
                <w:sz w:val="20"/>
                <w:szCs w:val="22"/>
                <w:lang w:val="es-PE" w:eastAsia="es-PE"/>
              </w:rPr>
            </w:pPr>
            <w:r w:rsidRPr="00713DD6">
              <w:rPr>
                <w:color w:val="000000"/>
                <w:sz w:val="20"/>
                <w:szCs w:val="22"/>
                <w:lang w:val="es-PE" w:eastAsia="es-PE"/>
              </w:rPr>
              <w:t>O</w:t>
            </w:r>
            <w:r w:rsidR="004D1792">
              <w:rPr>
                <w:color w:val="000000"/>
                <w:sz w:val="20"/>
                <w:szCs w:val="22"/>
                <w:lang w:val="es-PE" w:eastAsia="es-PE"/>
              </w:rPr>
              <w:t>lancho</w:t>
            </w:r>
          </w:p>
        </w:tc>
        <w:tc>
          <w:tcPr>
            <w:tcW w:w="967" w:type="dxa"/>
            <w:tcBorders>
              <w:top w:val="single" w:sz="8" w:space="0" w:color="auto"/>
              <w:left w:val="nil"/>
              <w:bottom w:val="single" w:sz="8" w:space="0" w:color="auto"/>
              <w:right w:val="single" w:sz="8" w:space="0" w:color="auto"/>
            </w:tcBorders>
            <w:shd w:val="clear" w:color="auto" w:fill="auto"/>
            <w:noWrap/>
            <w:vAlign w:val="center"/>
            <w:hideMark/>
          </w:tcPr>
          <w:p w14:paraId="5DD8AF4D" w14:textId="02B63043" w:rsidR="00713DD6" w:rsidRPr="00713DD6" w:rsidRDefault="00713DD6" w:rsidP="004D1792">
            <w:pPr>
              <w:spacing w:after="0"/>
              <w:jc w:val="center"/>
              <w:rPr>
                <w:color w:val="000000"/>
                <w:sz w:val="20"/>
                <w:szCs w:val="22"/>
                <w:lang w:val="es-PE" w:eastAsia="es-PE"/>
              </w:rPr>
            </w:pPr>
            <w:r w:rsidRPr="00713DD6">
              <w:rPr>
                <w:color w:val="000000"/>
                <w:sz w:val="20"/>
                <w:szCs w:val="22"/>
                <w:lang w:val="es-PE" w:eastAsia="es-PE"/>
              </w:rPr>
              <w:t>T</w:t>
            </w:r>
            <w:r w:rsidR="004D1792">
              <w:rPr>
                <w:color w:val="000000"/>
                <w:sz w:val="20"/>
                <w:szCs w:val="22"/>
                <w:lang w:val="es-PE" w:eastAsia="es-PE"/>
              </w:rPr>
              <w:t>otal</w:t>
            </w:r>
          </w:p>
        </w:tc>
      </w:tr>
      <w:tr w:rsidR="00713DD6" w:rsidRPr="00713DD6" w14:paraId="01554522"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4AF19C87" w14:textId="77777777" w:rsidR="00713DD6" w:rsidRPr="00713DD6" w:rsidRDefault="00713DD6" w:rsidP="00713DD6">
            <w:pPr>
              <w:spacing w:after="0"/>
              <w:jc w:val="left"/>
              <w:rPr>
                <w:b/>
                <w:bCs/>
                <w:color w:val="000000"/>
                <w:sz w:val="20"/>
                <w:szCs w:val="22"/>
                <w:lang w:val="es-PE" w:eastAsia="es-PE"/>
              </w:rPr>
            </w:pPr>
            <w:r w:rsidRPr="00713DD6">
              <w:rPr>
                <w:b/>
                <w:bCs/>
                <w:color w:val="000000"/>
                <w:sz w:val="20"/>
                <w:szCs w:val="22"/>
                <w:lang w:val="es-PE" w:eastAsia="es-PE"/>
              </w:rPr>
              <w:t>ASOCIACIONES AGROFORESTALES</w:t>
            </w:r>
          </w:p>
        </w:tc>
        <w:tc>
          <w:tcPr>
            <w:tcW w:w="1134" w:type="dxa"/>
            <w:tcBorders>
              <w:top w:val="nil"/>
              <w:left w:val="nil"/>
              <w:bottom w:val="single" w:sz="4" w:space="0" w:color="auto"/>
              <w:right w:val="single" w:sz="4" w:space="0" w:color="auto"/>
            </w:tcBorders>
            <w:shd w:val="clear" w:color="auto" w:fill="auto"/>
            <w:noWrap/>
            <w:vAlign w:val="bottom"/>
            <w:hideMark/>
          </w:tcPr>
          <w:p w14:paraId="320EC348" w14:textId="77777777" w:rsidR="00713DD6" w:rsidRPr="00713DD6" w:rsidRDefault="00713DD6" w:rsidP="00713DD6">
            <w:pPr>
              <w:spacing w:after="0"/>
              <w:jc w:val="left"/>
              <w:rPr>
                <w:color w:val="000000"/>
                <w:sz w:val="20"/>
                <w:szCs w:val="22"/>
                <w:lang w:val="es-PE" w:eastAsia="es-PE"/>
              </w:rPr>
            </w:pPr>
            <w:r w:rsidRPr="00713DD6">
              <w:rPr>
                <w:color w:val="000000"/>
                <w:sz w:val="20"/>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14:paraId="7B666BA2" w14:textId="77777777" w:rsidR="00713DD6" w:rsidRPr="00713DD6" w:rsidRDefault="00713DD6" w:rsidP="00713DD6">
            <w:pPr>
              <w:spacing w:after="0"/>
              <w:jc w:val="left"/>
              <w:rPr>
                <w:color w:val="000000"/>
                <w:sz w:val="20"/>
                <w:szCs w:val="22"/>
                <w:lang w:val="es-PE" w:eastAsia="es-PE"/>
              </w:rPr>
            </w:pPr>
            <w:r w:rsidRPr="00713DD6">
              <w:rPr>
                <w:color w:val="000000"/>
                <w:sz w:val="20"/>
                <w:szCs w:val="22"/>
                <w:lang w:val="es-PE" w:eastAsia="es-PE"/>
              </w:rPr>
              <w:t> </w:t>
            </w:r>
          </w:p>
        </w:tc>
        <w:tc>
          <w:tcPr>
            <w:tcW w:w="1276" w:type="dxa"/>
            <w:tcBorders>
              <w:top w:val="nil"/>
              <w:left w:val="nil"/>
              <w:bottom w:val="single" w:sz="4" w:space="0" w:color="auto"/>
              <w:right w:val="single" w:sz="4" w:space="0" w:color="auto"/>
            </w:tcBorders>
            <w:shd w:val="clear" w:color="auto" w:fill="auto"/>
            <w:noWrap/>
            <w:vAlign w:val="bottom"/>
            <w:hideMark/>
          </w:tcPr>
          <w:p w14:paraId="233C14D3" w14:textId="77777777" w:rsidR="00713DD6" w:rsidRPr="00713DD6" w:rsidRDefault="00713DD6" w:rsidP="00713DD6">
            <w:pPr>
              <w:spacing w:after="0"/>
              <w:jc w:val="left"/>
              <w:rPr>
                <w:color w:val="000000"/>
                <w:sz w:val="20"/>
                <w:szCs w:val="22"/>
                <w:lang w:val="es-PE" w:eastAsia="es-PE"/>
              </w:rPr>
            </w:pPr>
            <w:r w:rsidRPr="00713DD6">
              <w:rPr>
                <w:color w:val="000000"/>
                <w:sz w:val="20"/>
                <w:szCs w:val="22"/>
                <w:lang w:val="es-PE" w:eastAsia="es-PE"/>
              </w:rPr>
              <w:t> </w:t>
            </w:r>
          </w:p>
        </w:tc>
        <w:tc>
          <w:tcPr>
            <w:tcW w:w="1118" w:type="dxa"/>
            <w:tcBorders>
              <w:top w:val="nil"/>
              <w:left w:val="nil"/>
              <w:bottom w:val="single" w:sz="4" w:space="0" w:color="auto"/>
              <w:right w:val="single" w:sz="4" w:space="0" w:color="auto"/>
            </w:tcBorders>
            <w:shd w:val="clear" w:color="auto" w:fill="auto"/>
            <w:noWrap/>
            <w:vAlign w:val="bottom"/>
            <w:hideMark/>
          </w:tcPr>
          <w:p w14:paraId="52F79694" w14:textId="77777777" w:rsidR="00713DD6" w:rsidRPr="00713DD6" w:rsidRDefault="00713DD6" w:rsidP="00713DD6">
            <w:pPr>
              <w:spacing w:after="0"/>
              <w:jc w:val="left"/>
              <w:rPr>
                <w:color w:val="000000"/>
                <w:sz w:val="20"/>
                <w:szCs w:val="22"/>
                <w:lang w:val="es-PE" w:eastAsia="es-PE"/>
              </w:rPr>
            </w:pPr>
            <w:r w:rsidRPr="00713DD6">
              <w:rPr>
                <w:color w:val="000000"/>
                <w:sz w:val="20"/>
                <w:szCs w:val="22"/>
                <w:lang w:val="es-PE" w:eastAsia="es-PE"/>
              </w:rPr>
              <w:t> </w:t>
            </w:r>
          </w:p>
        </w:tc>
        <w:tc>
          <w:tcPr>
            <w:tcW w:w="967" w:type="dxa"/>
            <w:tcBorders>
              <w:top w:val="nil"/>
              <w:left w:val="nil"/>
              <w:bottom w:val="single" w:sz="4" w:space="0" w:color="auto"/>
              <w:right w:val="single" w:sz="8" w:space="0" w:color="auto"/>
            </w:tcBorders>
            <w:shd w:val="clear" w:color="auto" w:fill="auto"/>
            <w:noWrap/>
            <w:vAlign w:val="bottom"/>
            <w:hideMark/>
          </w:tcPr>
          <w:p w14:paraId="7F5880E1" w14:textId="77777777" w:rsidR="00713DD6" w:rsidRPr="00713DD6" w:rsidRDefault="00713DD6" w:rsidP="00713DD6">
            <w:pPr>
              <w:spacing w:after="0"/>
              <w:jc w:val="left"/>
              <w:rPr>
                <w:color w:val="000000"/>
                <w:sz w:val="20"/>
                <w:szCs w:val="22"/>
                <w:lang w:val="es-PE" w:eastAsia="es-PE"/>
              </w:rPr>
            </w:pPr>
            <w:r w:rsidRPr="00713DD6">
              <w:rPr>
                <w:color w:val="000000"/>
                <w:sz w:val="20"/>
                <w:szCs w:val="22"/>
                <w:lang w:val="es-PE" w:eastAsia="es-PE"/>
              </w:rPr>
              <w:t> </w:t>
            </w:r>
          </w:p>
        </w:tc>
      </w:tr>
      <w:tr w:rsidR="00713DD6" w:rsidRPr="00713DD6" w14:paraId="5FAD7D40"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3F49D389" w14:textId="77777777" w:rsidR="00713DD6" w:rsidRPr="00713DD6" w:rsidRDefault="00713DD6" w:rsidP="00713DD6">
            <w:pPr>
              <w:spacing w:after="0"/>
              <w:ind w:firstLineChars="100" w:firstLine="200"/>
              <w:jc w:val="left"/>
              <w:rPr>
                <w:color w:val="000000"/>
                <w:sz w:val="20"/>
                <w:szCs w:val="22"/>
                <w:lang w:val="es-PE" w:eastAsia="es-PE"/>
              </w:rPr>
            </w:pPr>
            <w:r w:rsidRPr="00713DD6">
              <w:rPr>
                <w:color w:val="000000"/>
                <w:sz w:val="20"/>
                <w:szCs w:val="22"/>
                <w:lang w:val="es-PE" w:eastAsia="es-PE"/>
              </w:rPr>
              <w:t>Áreas de organizaciones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512BA"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27,850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AEC345A"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50,130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2A11ED0"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36,434</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14:paraId="1A27DB4B"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65,119</w:t>
            </w:r>
          </w:p>
        </w:tc>
        <w:tc>
          <w:tcPr>
            <w:tcW w:w="967" w:type="dxa"/>
            <w:tcBorders>
              <w:top w:val="nil"/>
              <w:left w:val="single" w:sz="4" w:space="0" w:color="auto"/>
              <w:bottom w:val="single" w:sz="4" w:space="0" w:color="auto"/>
              <w:right w:val="single" w:sz="8" w:space="0" w:color="auto"/>
            </w:tcBorders>
            <w:shd w:val="clear" w:color="auto" w:fill="auto"/>
            <w:noWrap/>
            <w:vAlign w:val="bottom"/>
            <w:hideMark/>
          </w:tcPr>
          <w:p w14:paraId="06149BE6"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179,533</w:t>
            </w:r>
          </w:p>
        </w:tc>
      </w:tr>
      <w:tr w:rsidR="00713DD6" w:rsidRPr="00713DD6" w14:paraId="2375B3C2"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1DAAF105" w14:textId="77777777" w:rsidR="00713DD6" w:rsidRPr="00713DD6" w:rsidRDefault="00713DD6" w:rsidP="00713DD6">
            <w:pPr>
              <w:spacing w:after="0"/>
              <w:ind w:firstLineChars="100" w:firstLine="200"/>
              <w:jc w:val="left"/>
              <w:rPr>
                <w:color w:val="000000"/>
                <w:sz w:val="20"/>
                <w:szCs w:val="22"/>
                <w:lang w:val="es-PE" w:eastAsia="es-PE"/>
              </w:rPr>
            </w:pPr>
            <w:r w:rsidRPr="00713DD6">
              <w:rPr>
                <w:color w:val="000000"/>
                <w:sz w:val="20"/>
                <w:szCs w:val="22"/>
                <w:lang w:val="es-PE" w:eastAsia="es-PE"/>
              </w:rPr>
              <w:t>Organiz</w:t>
            </w:r>
            <w:r>
              <w:rPr>
                <w:color w:val="000000"/>
                <w:sz w:val="20"/>
                <w:szCs w:val="22"/>
                <w:lang w:val="es-PE" w:eastAsia="es-PE"/>
              </w:rPr>
              <w:t>aciones</w:t>
            </w:r>
            <w:r w:rsidRPr="00713DD6">
              <w:rPr>
                <w:color w:val="000000"/>
                <w:sz w:val="20"/>
                <w:szCs w:val="22"/>
                <w:lang w:val="es-PE" w:eastAsia="es-PE"/>
              </w:rPr>
              <w:t xml:space="preserve"> Existentes</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1ED0E74"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15</w:t>
            </w:r>
          </w:p>
        </w:tc>
        <w:tc>
          <w:tcPr>
            <w:tcW w:w="1134" w:type="dxa"/>
            <w:tcBorders>
              <w:top w:val="nil"/>
              <w:left w:val="nil"/>
              <w:bottom w:val="single" w:sz="4" w:space="0" w:color="auto"/>
              <w:right w:val="single" w:sz="4" w:space="0" w:color="auto"/>
            </w:tcBorders>
            <w:shd w:val="clear" w:color="auto" w:fill="auto"/>
            <w:noWrap/>
            <w:vAlign w:val="bottom"/>
            <w:hideMark/>
          </w:tcPr>
          <w:p w14:paraId="3E50567A"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27</w:t>
            </w:r>
          </w:p>
        </w:tc>
        <w:tc>
          <w:tcPr>
            <w:tcW w:w="1276" w:type="dxa"/>
            <w:tcBorders>
              <w:top w:val="nil"/>
              <w:left w:val="nil"/>
              <w:bottom w:val="single" w:sz="4" w:space="0" w:color="auto"/>
              <w:right w:val="single" w:sz="4" w:space="0" w:color="auto"/>
            </w:tcBorders>
            <w:shd w:val="clear" w:color="auto" w:fill="auto"/>
            <w:noWrap/>
            <w:vAlign w:val="bottom"/>
            <w:hideMark/>
          </w:tcPr>
          <w:p w14:paraId="2B125419"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25</w:t>
            </w:r>
          </w:p>
        </w:tc>
        <w:tc>
          <w:tcPr>
            <w:tcW w:w="1118" w:type="dxa"/>
            <w:tcBorders>
              <w:top w:val="nil"/>
              <w:left w:val="nil"/>
              <w:bottom w:val="single" w:sz="4" w:space="0" w:color="auto"/>
              <w:right w:val="single" w:sz="4" w:space="0" w:color="auto"/>
            </w:tcBorders>
            <w:shd w:val="clear" w:color="auto" w:fill="auto"/>
            <w:noWrap/>
            <w:vAlign w:val="bottom"/>
            <w:hideMark/>
          </w:tcPr>
          <w:p w14:paraId="79310B62"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36</w:t>
            </w:r>
          </w:p>
        </w:tc>
        <w:tc>
          <w:tcPr>
            <w:tcW w:w="967" w:type="dxa"/>
            <w:tcBorders>
              <w:top w:val="nil"/>
              <w:left w:val="single" w:sz="4" w:space="0" w:color="auto"/>
              <w:bottom w:val="single" w:sz="4" w:space="0" w:color="auto"/>
              <w:right w:val="single" w:sz="8" w:space="0" w:color="auto"/>
            </w:tcBorders>
            <w:shd w:val="clear" w:color="auto" w:fill="auto"/>
            <w:noWrap/>
            <w:vAlign w:val="bottom"/>
            <w:hideMark/>
          </w:tcPr>
          <w:p w14:paraId="698EB9AB"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103</w:t>
            </w:r>
          </w:p>
        </w:tc>
      </w:tr>
      <w:tr w:rsidR="00713DD6" w:rsidRPr="00713DD6" w14:paraId="426DD43C"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757DDCC2" w14:textId="22662307" w:rsidR="00713DD6" w:rsidRPr="00713DD6" w:rsidRDefault="00713DD6" w:rsidP="00713DD6">
            <w:pPr>
              <w:spacing w:after="0"/>
              <w:ind w:firstLineChars="100" w:firstLine="200"/>
              <w:jc w:val="left"/>
              <w:rPr>
                <w:color w:val="000000"/>
                <w:sz w:val="20"/>
                <w:szCs w:val="22"/>
                <w:lang w:val="es-PE" w:eastAsia="es-PE"/>
              </w:rPr>
            </w:pPr>
            <w:r w:rsidRPr="00713DD6">
              <w:rPr>
                <w:color w:val="000000"/>
                <w:sz w:val="20"/>
                <w:szCs w:val="22"/>
                <w:lang w:val="es-PE" w:eastAsia="es-PE"/>
              </w:rPr>
              <w:t>Área/Organización</w:t>
            </w:r>
            <w:r w:rsidR="004D1792">
              <w:rPr>
                <w:color w:val="000000"/>
                <w:sz w:val="20"/>
                <w:szCs w:val="22"/>
                <w:lang w:val="es-PE" w:eastAsia="es-PE"/>
              </w:rPr>
              <w:t xml:space="preserve"> (Ha.)</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8B0306"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1,857</w:t>
            </w:r>
          </w:p>
        </w:tc>
        <w:tc>
          <w:tcPr>
            <w:tcW w:w="1134" w:type="dxa"/>
            <w:tcBorders>
              <w:top w:val="nil"/>
              <w:left w:val="nil"/>
              <w:bottom w:val="single" w:sz="4" w:space="0" w:color="auto"/>
              <w:right w:val="single" w:sz="4" w:space="0" w:color="auto"/>
            </w:tcBorders>
            <w:shd w:val="clear" w:color="auto" w:fill="auto"/>
            <w:noWrap/>
            <w:vAlign w:val="bottom"/>
            <w:hideMark/>
          </w:tcPr>
          <w:p w14:paraId="07FFE376"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1,857</w:t>
            </w:r>
          </w:p>
        </w:tc>
        <w:tc>
          <w:tcPr>
            <w:tcW w:w="1276" w:type="dxa"/>
            <w:tcBorders>
              <w:top w:val="nil"/>
              <w:left w:val="nil"/>
              <w:bottom w:val="single" w:sz="4" w:space="0" w:color="auto"/>
              <w:right w:val="single" w:sz="4" w:space="0" w:color="auto"/>
            </w:tcBorders>
            <w:shd w:val="clear" w:color="auto" w:fill="auto"/>
            <w:noWrap/>
            <w:vAlign w:val="bottom"/>
            <w:hideMark/>
          </w:tcPr>
          <w:p w14:paraId="7EC5D717"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1,457</w:t>
            </w:r>
          </w:p>
        </w:tc>
        <w:tc>
          <w:tcPr>
            <w:tcW w:w="1118" w:type="dxa"/>
            <w:tcBorders>
              <w:top w:val="nil"/>
              <w:left w:val="nil"/>
              <w:bottom w:val="single" w:sz="4" w:space="0" w:color="auto"/>
              <w:right w:val="single" w:sz="4" w:space="0" w:color="auto"/>
            </w:tcBorders>
            <w:shd w:val="clear" w:color="auto" w:fill="auto"/>
            <w:noWrap/>
            <w:vAlign w:val="bottom"/>
            <w:hideMark/>
          </w:tcPr>
          <w:p w14:paraId="06D99A86"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1,809</w:t>
            </w:r>
          </w:p>
        </w:tc>
        <w:tc>
          <w:tcPr>
            <w:tcW w:w="967" w:type="dxa"/>
            <w:tcBorders>
              <w:top w:val="nil"/>
              <w:left w:val="single" w:sz="4" w:space="0" w:color="auto"/>
              <w:bottom w:val="single" w:sz="4" w:space="0" w:color="auto"/>
              <w:right w:val="single" w:sz="8" w:space="0" w:color="auto"/>
            </w:tcBorders>
            <w:shd w:val="clear" w:color="auto" w:fill="auto"/>
            <w:noWrap/>
            <w:vAlign w:val="bottom"/>
            <w:hideMark/>
          </w:tcPr>
          <w:p w14:paraId="6509C23F"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1,743</w:t>
            </w:r>
          </w:p>
        </w:tc>
      </w:tr>
      <w:tr w:rsidR="00713DD6" w:rsidRPr="00713DD6" w14:paraId="61E05DAD"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0A73EA7A" w14:textId="77777777" w:rsidR="00713DD6" w:rsidRPr="00713DD6" w:rsidRDefault="00713DD6" w:rsidP="00713DD6">
            <w:pPr>
              <w:spacing w:after="0"/>
              <w:ind w:firstLineChars="100" w:firstLine="200"/>
              <w:jc w:val="left"/>
              <w:rPr>
                <w:color w:val="000000"/>
                <w:sz w:val="20"/>
                <w:szCs w:val="22"/>
                <w:lang w:val="es-PE" w:eastAsia="es-PE"/>
              </w:rPr>
            </w:pPr>
            <w:r w:rsidRPr="00713DD6">
              <w:rPr>
                <w:color w:val="000000"/>
                <w:sz w:val="20"/>
                <w:szCs w:val="22"/>
                <w:lang w:val="es-PE" w:eastAsia="es-PE"/>
              </w:rPr>
              <w:t>Miembros x Organización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BF6F448"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75</w:t>
            </w:r>
          </w:p>
        </w:tc>
        <w:tc>
          <w:tcPr>
            <w:tcW w:w="1134" w:type="dxa"/>
            <w:tcBorders>
              <w:top w:val="nil"/>
              <w:left w:val="nil"/>
              <w:bottom w:val="single" w:sz="4" w:space="0" w:color="auto"/>
              <w:right w:val="single" w:sz="4" w:space="0" w:color="auto"/>
            </w:tcBorders>
            <w:shd w:val="clear" w:color="auto" w:fill="auto"/>
            <w:noWrap/>
            <w:vAlign w:val="bottom"/>
            <w:hideMark/>
          </w:tcPr>
          <w:p w14:paraId="6C063D34"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34</w:t>
            </w:r>
          </w:p>
        </w:tc>
        <w:tc>
          <w:tcPr>
            <w:tcW w:w="1276" w:type="dxa"/>
            <w:tcBorders>
              <w:top w:val="nil"/>
              <w:left w:val="nil"/>
              <w:bottom w:val="single" w:sz="4" w:space="0" w:color="auto"/>
              <w:right w:val="single" w:sz="4" w:space="0" w:color="auto"/>
            </w:tcBorders>
            <w:shd w:val="clear" w:color="auto" w:fill="auto"/>
            <w:noWrap/>
            <w:vAlign w:val="bottom"/>
            <w:hideMark/>
          </w:tcPr>
          <w:p w14:paraId="4666E5EE"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111</w:t>
            </w:r>
          </w:p>
        </w:tc>
        <w:tc>
          <w:tcPr>
            <w:tcW w:w="1118" w:type="dxa"/>
            <w:tcBorders>
              <w:top w:val="nil"/>
              <w:left w:val="nil"/>
              <w:bottom w:val="single" w:sz="4" w:space="0" w:color="auto"/>
              <w:right w:val="single" w:sz="4" w:space="0" w:color="auto"/>
            </w:tcBorders>
            <w:shd w:val="clear" w:color="auto" w:fill="auto"/>
            <w:noWrap/>
            <w:vAlign w:val="bottom"/>
            <w:hideMark/>
          </w:tcPr>
          <w:p w14:paraId="748FC6FB"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59</w:t>
            </w:r>
          </w:p>
        </w:tc>
        <w:tc>
          <w:tcPr>
            <w:tcW w:w="967" w:type="dxa"/>
            <w:tcBorders>
              <w:top w:val="nil"/>
              <w:left w:val="single" w:sz="4" w:space="0" w:color="auto"/>
              <w:bottom w:val="single" w:sz="4" w:space="0" w:color="auto"/>
              <w:right w:val="single" w:sz="8" w:space="0" w:color="auto"/>
            </w:tcBorders>
            <w:shd w:val="clear" w:color="auto" w:fill="auto"/>
            <w:noWrap/>
            <w:vAlign w:val="bottom"/>
            <w:hideMark/>
          </w:tcPr>
          <w:p w14:paraId="4AD17E20"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r>
      <w:tr w:rsidR="00713DD6" w:rsidRPr="00713DD6" w14:paraId="005F44D7"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77769DB2" w14:textId="77777777" w:rsidR="00713DD6" w:rsidRPr="00713DD6" w:rsidRDefault="00713DD6" w:rsidP="00713DD6">
            <w:pPr>
              <w:spacing w:after="0"/>
              <w:ind w:firstLineChars="100" w:firstLine="200"/>
              <w:jc w:val="left"/>
              <w:rPr>
                <w:color w:val="000000"/>
                <w:sz w:val="20"/>
                <w:szCs w:val="22"/>
                <w:lang w:val="es-PE" w:eastAsia="es-PE"/>
              </w:rPr>
            </w:pPr>
            <w:r w:rsidRPr="00713DD6">
              <w:rPr>
                <w:color w:val="000000"/>
                <w:sz w:val="20"/>
                <w:szCs w:val="22"/>
                <w:lang w:val="es-PE" w:eastAsia="es-PE"/>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C8CAC6E"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14:paraId="5BBFA7B0"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c>
          <w:tcPr>
            <w:tcW w:w="1276" w:type="dxa"/>
            <w:tcBorders>
              <w:top w:val="nil"/>
              <w:left w:val="nil"/>
              <w:bottom w:val="single" w:sz="4" w:space="0" w:color="auto"/>
              <w:right w:val="single" w:sz="4" w:space="0" w:color="auto"/>
            </w:tcBorders>
            <w:shd w:val="clear" w:color="auto" w:fill="auto"/>
            <w:noWrap/>
            <w:vAlign w:val="bottom"/>
            <w:hideMark/>
          </w:tcPr>
          <w:p w14:paraId="6290FFD3"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c>
          <w:tcPr>
            <w:tcW w:w="1118" w:type="dxa"/>
            <w:tcBorders>
              <w:top w:val="nil"/>
              <w:left w:val="nil"/>
              <w:bottom w:val="single" w:sz="4" w:space="0" w:color="auto"/>
              <w:right w:val="single" w:sz="4" w:space="0" w:color="auto"/>
            </w:tcBorders>
            <w:shd w:val="clear" w:color="auto" w:fill="auto"/>
            <w:noWrap/>
            <w:vAlign w:val="bottom"/>
            <w:hideMark/>
          </w:tcPr>
          <w:p w14:paraId="6FB32947"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c>
          <w:tcPr>
            <w:tcW w:w="967" w:type="dxa"/>
            <w:tcBorders>
              <w:top w:val="nil"/>
              <w:left w:val="single" w:sz="4" w:space="0" w:color="auto"/>
              <w:bottom w:val="single" w:sz="4" w:space="0" w:color="auto"/>
              <w:right w:val="single" w:sz="8" w:space="0" w:color="auto"/>
            </w:tcBorders>
            <w:shd w:val="clear" w:color="auto" w:fill="auto"/>
            <w:noWrap/>
            <w:vAlign w:val="bottom"/>
            <w:hideMark/>
          </w:tcPr>
          <w:p w14:paraId="47436AA6"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r>
      <w:tr w:rsidR="00713DD6" w:rsidRPr="00713DD6" w14:paraId="5FC277A6"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61E09A1C" w14:textId="77777777" w:rsidR="00713DD6" w:rsidRPr="00713DD6" w:rsidRDefault="00713DD6" w:rsidP="00713DD6">
            <w:pPr>
              <w:spacing w:after="0"/>
              <w:jc w:val="left"/>
              <w:rPr>
                <w:b/>
                <w:bCs/>
                <w:color w:val="000000"/>
                <w:sz w:val="20"/>
                <w:szCs w:val="22"/>
                <w:lang w:val="es-PE" w:eastAsia="es-PE"/>
              </w:rPr>
            </w:pPr>
            <w:proofErr w:type="spellStart"/>
            <w:r w:rsidRPr="00713DD6">
              <w:rPr>
                <w:b/>
                <w:bCs/>
                <w:color w:val="000000"/>
                <w:sz w:val="20"/>
                <w:szCs w:val="22"/>
                <w:lang w:val="es-PE" w:eastAsia="es-PE"/>
              </w:rPr>
              <w:t>MPAs</w:t>
            </w:r>
            <w:proofErr w:type="spellEnd"/>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085123F"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C19B63C"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70C9E1"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c>
          <w:tcPr>
            <w:tcW w:w="1118" w:type="dxa"/>
            <w:tcBorders>
              <w:top w:val="nil"/>
              <w:left w:val="nil"/>
              <w:bottom w:val="single" w:sz="4" w:space="0" w:color="auto"/>
              <w:right w:val="single" w:sz="4" w:space="0" w:color="auto"/>
            </w:tcBorders>
            <w:shd w:val="clear" w:color="auto" w:fill="auto"/>
            <w:noWrap/>
            <w:vAlign w:val="bottom"/>
            <w:hideMark/>
          </w:tcPr>
          <w:p w14:paraId="6EFD96E9"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c>
          <w:tcPr>
            <w:tcW w:w="967" w:type="dxa"/>
            <w:tcBorders>
              <w:top w:val="nil"/>
              <w:left w:val="single" w:sz="4" w:space="0" w:color="auto"/>
              <w:bottom w:val="single" w:sz="4" w:space="0" w:color="auto"/>
              <w:right w:val="single" w:sz="8" w:space="0" w:color="auto"/>
            </w:tcBorders>
            <w:shd w:val="clear" w:color="auto" w:fill="auto"/>
            <w:noWrap/>
            <w:vAlign w:val="bottom"/>
            <w:hideMark/>
          </w:tcPr>
          <w:p w14:paraId="11936CD2"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r>
      <w:tr w:rsidR="00713DD6" w:rsidRPr="00713DD6" w14:paraId="21E3602F"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42750075" w14:textId="77777777" w:rsidR="00713DD6" w:rsidRPr="00713DD6" w:rsidRDefault="00713DD6" w:rsidP="00713DD6">
            <w:pPr>
              <w:spacing w:after="0"/>
              <w:ind w:firstLineChars="100" w:firstLine="200"/>
              <w:jc w:val="left"/>
              <w:rPr>
                <w:color w:val="000000"/>
                <w:sz w:val="20"/>
                <w:szCs w:val="22"/>
                <w:lang w:val="es-PE" w:eastAsia="es-PE"/>
              </w:rPr>
            </w:pPr>
            <w:r w:rsidRPr="00713DD6">
              <w:rPr>
                <w:color w:val="000000"/>
                <w:sz w:val="20"/>
                <w:szCs w:val="22"/>
                <w:lang w:val="es-PE" w:eastAsia="es-PE"/>
              </w:rPr>
              <w:t xml:space="preserve">Áreas con </w:t>
            </w:r>
            <w:proofErr w:type="spellStart"/>
            <w:r w:rsidRPr="00713DD6">
              <w:rPr>
                <w:color w:val="000000"/>
                <w:sz w:val="20"/>
                <w:szCs w:val="22"/>
                <w:lang w:val="es-PE" w:eastAsia="es-PE"/>
              </w:rPr>
              <w:t>MPAs</w:t>
            </w:r>
            <w:proofErr w:type="spellEnd"/>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D9F6A96"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35,445</w:t>
            </w:r>
          </w:p>
        </w:tc>
        <w:tc>
          <w:tcPr>
            <w:tcW w:w="1134" w:type="dxa"/>
            <w:tcBorders>
              <w:top w:val="nil"/>
              <w:left w:val="nil"/>
              <w:bottom w:val="single" w:sz="4" w:space="0" w:color="auto"/>
              <w:right w:val="single" w:sz="4" w:space="0" w:color="auto"/>
            </w:tcBorders>
            <w:shd w:val="clear" w:color="auto" w:fill="auto"/>
            <w:noWrap/>
            <w:vAlign w:val="bottom"/>
            <w:hideMark/>
          </w:tcPr>
          <w:p w14:paraId="07C8CD6B"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9,911</w:t>
            </w:r>
          </w:p>
        </w:tc>
        <w:tc>
          <w:tcPr>
            <w:tcW w:w="1276" w:type="dxa"/>
            <w:tcBorders>
              <w:top w:val="nil"/>
              <w:left w:val="nil"/>
              <w:bottom w:val="single" w:sz="4" w:space="0" w:color="auto"/>
              <w:right w:val="single" w:sz="4" w:space="0" w:color="auto"/>
            </w:tcBorders>
            <w:shd w:val="clear" w:color="auto" w:fill="auto"/>
            <w:noWrap/>
            <w:vAlign w:val="bottom"/>
            <w:hideMark/>
          </w:tcPr>
          <w:p w14:paraId="3D7D3BF1"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8,483</w:t>
            </w:r>
          </w:p>
        </w:tc>
        <w:tc>
          <w:tcPr>
            <w:tcW w:w="1118" w:type="dxa"/>
            <w:tcBorders>
              <w:top w:val="nil"/>
              <w:left w:val="nil"/>
              <w:bottom w:val="single" w:sz="4" w:space="0" w:color="auto"/>
              <w:right w:val="single" w:sz="4" w:space="0" w:color="auto"/>
            </w:tcBorders>
            <w:shd w:val="clear" w:color="auto" w:fill="auto"/>
            <w:noWrap/>
            <w:vAlign w:val="bottom"/>
            <w:hideMark/>
          </w:tcPr>
          <w:p w14:paraId="08715DA0"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89,829</w:t>
            </w:r>
          </w:p>
        </w:tc>
        <w:tc>
          <w:tcPr>
            <w:tcW w:w="967" w:type="dxa"/>
            <w:tcBorders>
              <w:top w:val="nil"/>
              <w:left w:val="single" w:sz="4" w:space="0" w:color="auto"/>
              <w:bottom w:val="single" w:sz="4" w:space="0" w:color="auto"/>
              <w:right w:val="single" w:sz="8" w:space="0" w:color="auto"/>
            </w:tcBorders>
            <w:shd w:val="clear" w:color="auto" w:fill="auto"/>
            <w:noWrap/>
            <w:vAlign w:val="bottom"/>
            <w:hideMark/>
          </w:tcPr>
          <w:p w14:paraId="00218B23"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143,668</w:t>
            </w:r>
          </w:p>
        </w:tc>
      </w:tr>
      <w:tr w:rsidR="00713DD6" w:rsidRPr="00713DD6" w14:paraId="041EBE33"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2AEDB3D5" w14:textId="77777777" w:rsidR="00713DD6" w:rsidRPr="00713DD6" w:rsidRDefault="00713DD6" w:rsidP="00713DD6">
            <w:pPr>
              <w:spacing w:after="0"/>
              <w:ind w:firstLineChars="100" w:firstLine="200"/>
              <w:jc w:val="left"/>
              <w:rPr>
                <w:color w:val="000000"/>
                <w:sz w:val="20"/>
                <w:szCs w:val="22"/>
                <w:lang w:val="es-PE" w:eastAsia="es-PE"/>
              </w:rPr>
            </w:pPr>
            <w:proofErr w:type="spellStart"/>
            <w:r w:rsidRPr="00713DD6">
              <w:rPr>
                <w:color w:val="000000"/>
                <w:sz w:val="20"/>
                <w:szCs w:val="22"/>
                <w:lang w:val="es-PE" w:eastAsia="es-PE"/>
              </w:rPr>
              <w:t>MPAs</w:t>
            </w:r>
            <w:proofErr w:type="spellEnd"/>
            <w:r w:rsidRPr="00713DD6">
              <w:rPr>
                <w:color w:val="000000"/>
                <w:sz w:val="20"/>
                <w:szCs w:val="22"/>
                <w:lang w:val="es-PE" w:eastAsia="es-PE"/>
              </w:rPr>
              <w:t xml:space="preserve"> existentes</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C18C28D"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77</w:t>
            </w:r>
          </w:p>
        </w:tc>
        <w:tc>
          <w:tcPr>
            <w:tcW w:w="1134" w:type="dxa"/>
            <w:tcBorders>
              <w:top w:val="nil"/>
              <w:left w:val="nil"/>
              <w:bottom w:val="single" w:sz="4" w:space="0" w:color="auto"/>
              <w:right w:val="single" w:sz="4" w:space="0" w:color="auto"/>
            </w:tcBorders>
            <w:shd w:val="clear" w:color="auto" w:fill="auto"/>
            <w:noWrap/>
            <w:vAlign w:val="bottom"/>
            <w:hideMark/>
          </w:tcPr>
          <w:p w14:paraId="5CEC82B2"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28</w:t>
            </w:r>
          </w:p>
        </w:tc>
        <w:tc>
          <w:tcPr>
            <w:tcW w:w="1276" w:type="dxa"/>
            <w:tcBorders>
              <w:top w:val="nil"/>
              <w:left w:val="nil"/>
              <w:bottom w:val="single" w:sz="4" w:space="0" w:color="auto"/>
              <w:right w:val="single" w:sz="4" w:space="0" w:color="auto"/>
            </w:tcBorders>
            <w:shd w:val="clear" w:color="auto" w:fill="auto"/>
            <w:noWrap/>
            <w:vAlign w:val="bottom"/>
            <w:hideMark/>
          </w:tcPr>
          <w:p w14:paraId="785EE105"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30</w:t>
            </w:r>
          </w:p>
        </w:tc>
        <w:tc>
          <w:tcPr>
            <w:tcW w:w="1118" w:type="dxa"/>
            <w:tcBorders>
              <w:top w:val="nil"/>
              <w:left w:val="nil"/>
              <w:bottom w:val="single" w:sz="4" w:space="0" w:color="auto"/>
              <w:right w:val="single" w:sz="4" w:space="0" w:color="auto"/>
            </w:tcBorders>
            <w:shd w:val="clear" w:color="auto" w:fill="auto"/>
            <w:noWrap/>
            <w:vAlign w:val="bottom"/>
            <w:hideMark/>
          </w:tcPr>
          <w:p w14:paraId="6AEB6E68"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171</w:t>
            </w:r>
          </w:p>
        </w:tc>
        <w:tc>
          <w:tcPr>
            <w:tcW w:w="967" w:type="dxa"/>
            <w:tcBorders>
              <w:top w:val="nil"/>
              <w:left w:val="single" w:sz="4" w:space="0" w:color="auto"/>
              <w:bottom w:val="single" w:sz="4" w:space="0" w:color="auto"/>
              <w:right w:val="single" w:sz="8" w:space="0" w:color="auto"/>
            </w:tcBorders>
            <w:shd w:val="clear" w:color="auto" w:fill="auto"/>
            <w:noWrap/>
            <w:vAlign w:val="bottom"/>
            <w:hideMark/>
          </w:tcPr>
          <w:p w14:paraId="64F773B4"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306</w:t>
            </w:r>
          </w:p>
        </w:tc>
      </w:tr>
      <w:tr w:rsidR="00713DD6" w:rsidRPr="00713DD6" w14:paraId="6FEF4455" w14:textId="77777777" w:rsidTr="001E5874">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2A735D08" w14:textId="77777777" w:rsidR="00713DD6" w:rsidRPr="00713DD6" w:rsidRDefault="00713DD6" w:rsidP="00713DD6">
            <w:pPr>
              <w:spacing w:after="0"/>
              <w:ind w:firstLineChars="100" w:firstLine="200"/>
              <w:jc w:val="left"/>
              <w:rPr>
                <w:color w:val="000000"/>
                <w:sz w:val="20"/>
                <w:szCs w:val="22"/>
                <w:lang w:val="es-PE" w:eastAsia="es-PE"/>
              </w:rPr>
            </w:pPr>
            <w:r w:rsidRPr="00713DD6">
              <w:rPr>
                <w:color w:val="000000"/>
                <w:sz w:val="20"/>
                <w:szCs w:val="22"/>
                <w:lang w:val="es-PE" w:eastAsia="es-PE"/>
              </w:rPr>
              <w:t>Área/MPA</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6C4BFB8"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460</w:t>
            </w:r>
          </w:p>
        </w:tc>
        <w:tc>
          <w:tcPr>
            <w:tcW w:w="1134" w:type="dxa"/>
            <w:tcBorders>
              <w:top w:val="nil"/>
              <w:left w:val="nil"/>
              <w:bottom w:val="single" w:sz="4" w:space="0" w:color="auto"/>
              <w:right w:val="single" w:sz="4" w:space="0" w:color="auto"/>
            </w:tcBorders>
            <w:shd w:val="clear" w:color="auto" w:fill="auto"/>
            <w:noWrap/>
            <w:vAlign w:val="bottom"/>
            <w:hideMark/>
          </w:tcPr>
          <w:p w14:paraId="64FBB814"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354</w:t>
            </w:r>
          </w:p>
        </w:tc>
        <w:tc>
          <w:tcPr>
            <w:tcW w:w="1276" w:type="dxa"/>
            <w:tcBorders>
              <w:top w:val="nil"/>
              <w:left w:val="nil"/>
              <w:bottom w:val="single" w:sz="4" w:space="0" w:color="auto"/>
              <w:right w:val="single" w:sz="4" w:space="0" w:color="auto"/>
            </w:tcBorders>
            <w:shd w:val="clear" w:color="auto" w:fill="auto"/>
            <w:noWrap/>
            <w:vAlign w:val="bottom"/>
            <w:hideMark/>
          </w:tcPr>
          <w:p w14:paraId="27D1C6FC"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283</w:t>
            </w:r>
          </w:p>
        </w:tc>
        <w:tc>
          <w:tcPr>
            <w:tcW w:w="1118" w:type="dxa"/>
            <w:tcBorders>
              <w:top w:val="nil"/>
              <w:left w:val="nil"/>
              <w:bottom w:val="single" w:sz="4" w:space="0" w:color="auto"/>
              <w:right w:val="single" w:sz="4" w:space="0" w:color="auto"/>
            </w:tcBorders>
            <w:shd w:val="clear" w:color="auto" w:fill="auto"/>
            <w:noWrap/>
            <w:vAlign w:val="bottom"/>
            <w:hideMark/>
          </w:tcPr>
          <w:p w14:paraId="35CB84B8"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525</w:t>
            </w:r>
          </w:p>
        </w:tc>
        <w:tc>
          <w:tcPr>
            <w:tcW w:w="967" w:type="dxa"/>
            <w:tcBorders>
              <w:top w:val="nil"/>
              <w:left w:val="single" w:sz="4" w:space="0" w:color="auto"/>
              <w:bottom w:val="single" w:sz="4" w:space="0" w:color="auto"/>
              <w:right w:val="single" w:sz="8" w:space="0" w:color="auto"/>
            </w:tcBorders>
            <w:shd w:val="clear" w:color="auto" w:fill="auto"/>
            <w:noWrap/>
            <w:vAlign w:val="bottom"/>
            <w:hideMark/>
          </w:tcPr>
          <w:p w14:paraId="5BAF5225"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1,622</w:t>
            </w:r>
          </w:p>
        </w:tc>
      </w:tr>
      <w:tr w:rsidR="00713DD6" w:rsidRPr="00713DD6" w14:paraId="30C1589D" w14:textId="77777777" w:rsidTr="001E5874">
        <w:trPr>
          <w:trHeight w:val="315"/>
        </w:trPr>
        <w:tc>
          <w:tcPr>
            <w:tcW w:w="2552" w:type="dxa"/>
            <w:tcBorders>
              <w:top w:val="nil"/>
              <w:left w:val="single" w:sz="8" w:space="0" w:color="auto"/>
              <w:bottom w:val="single" w:sz="8" w:space="0" w:color="auto"/>
              <w:right w:val="single" w:sz="4" w:space="0" w:color="auto"/>
            </w:tcBorders>
            <w:shd w:val="clear" w:color="auto" w:fill="auto"/>
            <w:noWrap/>
            <w:vAlign w:val="bottom"/>
            <w:hideMark/>
          </w:tcPr>
          <w:p w14:paraId="491D6A7D" w14:textId="77777777" w:rsidR="00713DD6" w:rsidRPr="00713DD6" w:rsidRDefault="00713DD6" w:rsidP="00713DD6">
            <w:pPr>
              <w:spacing w:after="0"/>
              <w:ind w:firstLineChars="100" w:firstLine="200"/>
              <w:jc w:val="left"/>
              <w:rPr>
                <w:color w:val="000000"/>
                <w:sz w:val="20"/>
                <w:szCs w:val="22"/>
                <w:lang w:val="es-PE" w:eastAsia="es-PE"/>
              </w:rPr>
            </w:pPr>
            <w:r w:rsidRPr="00713DD6">
              <w:rPr>
                <w:color w:val="000000"/>
                <w:sz w:val="20"/>
                <w:szCs w:val="22"/>
                <w:lang w:val="es-PE" w:eastAsia="es-PE"/>
              </w:rPr>
              <w:t>Miembros x MPA</w:t>
            </w:r>
          </w:p>
        </w:tc>
        <w:tc>
          <w:tcPr>
            <w:tcW w:w="1134" w:type="dxa"/>
            <w:tcBorders>
              <w:top w:val="single" w:sz="4" w:space="0" w:color="auto"/>
              <w:left w:val="nil"/>
              <w:bottom w:val="single" w:sz="8" w:space="0" w:color="auto"/>
              <w:right w:val="single" w:sz="4" w:space="0" w:color="auto"/>
            </w:tcBorders>
            <w:shd w:val="clear" w:color="auto" w:fill="auto"/>
            <w:noWrap/>
            <w:vAlign w:val="bottom"/>
            <w:hideMark/>
          </w:tcPr>
          <w:p w14:paraId="088B0FC3"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153</w:t>
            </w:r>
          </w:p>
        </w:tc>
        <w:tc>
          <w:tcPr>
            <w:tcW w:w="1134" w:type="dxa"/>
            <w:tcBorders>
              <w:top w:val="single" w:sz="4" w:space="0" w:color="auto"/>
              <w:left w:val="nil"/>
              <w:bottom w:val="single" w:sz="8" w:space="0" w:color="auto"/>
              <w:right w:val="single" w:sz="4" w:space="0" w:color="auto"/>
            </w:tcBorders>
            <w:shd w:val="clear" w:color="auto" w:fill="auto"/>
            <w:noWrap/>
            <w:vAlign w:val="bottom"/>
            <w:hideMark/>
          </w:tcPr>
          <w:p w14:paraId="59E850DA"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153</w:t>
            </w:r>
          </w:p>
        </w:tc>
        <w:tc>
          <w:tcPr>
            <w:tcW w:w="1276" w:type="dxa"/>
            <w:tcBorders>
              <w:top w:val="single" w:sz="4" w:space="0" w:color="auto"/>
              <w:left w:val="nil"/>
              <w:bottom w:val="single" w:sz="8" w:space="0" w:color="auto"/>
              <w:right w:val="single" w:sz="4" w:space="0" w:color="auto"/>
            </w:tcBorders>
            <w:shd w:val="clear" w:color="auto" w:fill="auto"/>
            <w:noWrap/>
            <w:vAlign w:val="bottom"/>
            <w:hideMark/>
          </w:tcPr>
          <w:p w14:paraId="4072B10F"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1,025</w:t>
            </w:r>
          </w:p>
        </w:tc>
        <w:tc>
          <w:tcPr>
            <w:tcW w:w="1118" w:type="dxa"/>
            <w:tcBorders>
              <w:top w:val="single" w:sz="4" w:space="0" w:color="auto"/>
              <w:left w:val="nil"/>
              <w:bottom w:val="single" w:sz="8" w:space="0" w:color="auto"/>
              <w:right w:val="single" w:sz="4" w:space="0" w:color="auto"/>
            </w:tcBorders>
            <w:shd w:val="clear" w:color="auto" w:fill="auto"/>
            <w:noWrap/>
            <w:vAlign w:val="bottom"/>
            <w:hideMark/>
          </w:tcPr>
          <w:p w14:paraId="0AFF5B94"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56</w:t>
            </w:r>
          </w:p>
        </w:tc>
        <w:tc>
          <w:tcPr>
            <w:tcW w:w="967" w:type="dxa"/>
            <w:tcBorders>
              <w:top w:val="nil"/>
              <w:left w:val="nil"/>
              <w:bottom w:val="single" w:sz="8" w:space="0" w:color="auto"/>
              <w:right w:val="single" w:sz="8" w:space="0" w:color="auto"/>
            </w:tcBorders>
            <w:shd w:val="clear" w:color="auto" w:fill="auto"/>
            <w:noWrap/>
            <w:vAlign w:val="bottom"/>
            <w:hideMark/>
          </w:tcPr>
          <w:p w14:paraId="0168E90D" w14:textId="77777777" w:rsidR="00713DD6" w:rsidRPr="00713DD6" w:rsidRDefault="00713DD6" w:rsidP="00713DD6">
            <w:pPr>
              <w:spacing w:after="0"/>
              <w:jc w:val="center"/>
              <w:rPr>
                <w:color w:val="000000"/>
                <w:sz w:val="20"/>
                <w:szCs w:val="22"/>
                <w:lang w:val="es-PE" w:eastAsia="es-PE"/>
              </w:rPr>
            </w:pPr>
            <w:r w:rsidRPr="00713DD6">
              <w:rPr>
                <w:color w:val="000000"/>
                <w:sz w:val="20"/>
                <w:szCs w:val="22"/>
                <w:lang w:val="es-PE" w:eastAsia="es-PE"/>
              </w:rPr>
              <w:t> </w:t>
            </w:r>
          </w:p>
        </w:tc>
      </w:tr>
    </w:tbl>
    <w:p w14:paraId="04713E0E" w14:textId="77777777" w:rsidR="0090553C" w:rsidRPr="00321137" w:rsidRDefault="00EC0C25" w:rsidP="00D6653E">
      <w:pPr>
        <w:pStyle w:val="fuente"/>
        <w:ind w:firstLine="142"/>
      </w:pPr>
      <w:r w:rsidRPr="00321137">
        <w:t>Fuente: Anuario Estadístico Forestal 2015, IFC.</w:t>
      </w:r>
    </w:p>
    <w:p w14:paraId="076654DA" w14:textId="77777777" w:rsidR="00EC0C25" w:rsidRDefault="00376BEB" w:rsidP="00854EFC">
      <w:pPr>
        <w:pStyle w:val="parrafonumerado"/>
      </w:pPr>
      <w:r>
        <w:t xml:space="preserve">Para los usuarios privados del bosque y los conductores de predios agropecuarios asumiremos un tamaño promedio de 120 Ha. de bosque para los primeros, y de 5 Ha. de agroforestería con beneficios del proyecto para los segundos.  Para la distribución entre beneficiarios hombres y mujeres usaremos </w:t>
      </w:r>
      <w:proofErr w:type="gramStart"/>
      <w:r>
        <w:t>el ratio</w:t>
      </w:r>
      <w:proofErr w:type="gramEnd"/>
      <w:r>
        <w:t xml:space="preserve"> de género de 4 a 1 obtenido en las organizaciones forestales en el ámbito de intervención (80% hombres y 20% mujeres). En base a esta información se tiene el siguiente estimado de beneficiarios del proyecto.</w:t>
      </w:r>
    </w:p>
    <w:p w14:paraId="5A62D0F7" w14:textId="7EAC0647" w:rsidR="004D1792" w:rsidRDefault="00376BEB" w:rsidP="004D1792">
      <w:pPr>
        <w:pStyle w:val="NoSpacing"/>
        <w:ind w:firstLine="993"/>
      </w:pPr>
      <w:r>
        <w:t xml:space="preserve">Cuadro </w:t>
      </w:r>
      <w:r w:rsidR="00BB3F5C">
        <w:t>4</w:t>
      </w:r>
      <w:r>
        <w:t xml:space="preserve">.  Estimado de beneficiarios </w:t>
      </w:r>
      <w:r w:rsidR="004D1792">
        <w:t xml:space="preserve">directos </w:t>
      </w:r>
      <w:r w:rsidR="001E5874">
        <w:t>de C1/C2</w:t>
      </w:r>
      <w:r w:rsidR="00D64E0D">
        <w:t>/C3</w:t>
      </w:r>
      <w:r w:rsidR="001E5874">
        <w:t xml:space="preserve"> </w:t>
      </w:r>
    </w:p>
    <w:p w14:paraId="7BD1DC09" w14:textId="1BF770B8" w:rsidR="00376BEB" w:rsidRDefault="00376BEB" w:rsidP="004D1792">
      <w:pPr>
        <w:pStyle w:val="NoSpacing"/>
        <w:ind w:firstLine="993"/>
      </w:pPr>
      <w:r>
        <w:t>por tipo de intervención y departamento</w:t>
      </w:r>
    </w:p>
    <w:tbl>
      <w:tblPr>
        <w:tblW w:w="7796" w:type="dxa"/>
        <w:tblInd w:w="416" w:type="dxa"/>
        <w:tblCellMar>
          <w:left w:w="70" w:type="dxa"/>
          <w:right w:w="70" w:type="dxa"/>
        </w:tblCellMar>
        <w:tblLook w:val="04A0" w:firstRow="1" w:lastRow="0" w:firstColumn="1" w:lastColumn="0" w:noHBand="0" w:noVBand="1"/>
      </w:tblPr>
      <w:tblGrid>
        <w:gridCol w:w="2123"/>
        <w:gridCol w:w="1163"/>
        <w:gridCol w:w="1250"/>
        <w:gridCol w:w="1275"/>
        <w:gridCol w:w="993"/>
        <w:gridCol w:w="992"/>
      </w:tblGrid>
      <w:tr w:rsidR="00D64E0D" w:rsidRPr="00D64E0D" w14:paraId="1A62B347" w14:textId="77777777" w:rsidTr="004D1792">
        <w:trPr>
          <w:trHeight w:val="525"/>
        </w:trPr>
        <w:tc>
          <w:tcPr>
            <w:tcW w:w="212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CF34D9A" w14:textId="77777777" w:rsidR="00D64E0D" w:rsidRPr="00D64E0D" w:rsidRDefault="00D64E0D" w:rsidP="00D64E0D">
            <w:pPr>
              <w:spacing w:before="0" w:after="0"/>
              <w:jc w:val="left"/>
              <w:rPr>
                <w:b/>
                <w:bCs/>
                <w:color w:val="000000"/>
                <w:sz w:val="20"/>
                <w:szCs w:val="20"/>
                <w:lang w:val="es-PE" w:eastAsia="es-PE"/>
              </w:rPr>
            </w:pPr>
            <w:r w:rsidRPr="00D64E0D">
              <w:rPr>
                <w:b/>
                <w:bCs/>
                <w:color w:val="000000"/>
                <w:sz w:val="20"/>
                <w:szCs w:val="20"/>
                <w:lang w:val="es-PE" w:eastAsia="es-PE"/>
              </w:rPr>
              <w:t> </w:t>
            </w:r>
          </w:p>
        </w:tc>
        <w:tc>
          <w:tcPr>
            <w:tcW w:w="1163" w:type="dxa"/>
            <w:tcBorders>
              <w:top w:val="single" w:sz="8" w:space="0" w:color="auto"/>
              <w:left w:val="nil"/>
              <w:bottom w:val="single" w:sz="8" w:space="0" w:color="auto"/>
              <w:right w:val="single" w:sz="4" w:space="0" w:color="auto"/>
            </w:tcBorders>
            <w:shd w:val="clear" w:color="auto" w:fill="auto"/>
            <w:noWrap/>
            <w:vAlign w:val="center"/>
            <w:hideMark/>
          </w:tcPr>
          <w:p w14:paraId="5CF4E6A2" w14:textId="5B1B26A9" w:rsidR="00D64E0D" w:rsidRPr="00D64E0D" w:rsidRDefault="00D64E0D" w:rsidP="004D1792">
            <w:pPr>
              <w:spacing w:before="0" w:after="0"/>
              <w:jc w:val="center"/>
              <w:rPr>
                <w:b/>
                <w:bCs/>
                <w:color w:val="000000"/>
                <w:sz w:val="20"/>
                <w:szCs w:val="20"/>
                <w:lang w:val="es-PE" w:eastAsia="es-PE"/>
              </w:rPr>
            </w:pPr>
            <w:r w:rsidRPr="00D64E0D">
              <w:rPr>
                <w:b/>
                <w:bCs/>
                <w:color w:val="000000"/>
                <w:sz w:val="20"/>
                <w:szCs w:val="20"/>
                <w:lang w:val="es-PE" w:eastAsia="es-PE"/>
              </w:rPr>
              <w:t>C</w:t>
            </w:r>
            <w:r w:rsidR="004D1792">
              <w:rPr>
                <w:b/>
                <w:bCs/>
                <w:color w:val="000000"/>
                <w:sz w:val="20"/>
                <w:szCs w:val="20"/>
                <w:lang w:val="es-PE" w:eastAsia="es-PE"/>
              </w:rPr>
              <w:t>omayagua</w:t>
            </w:r>
          </w:p>
        </w:tc>
        <w:tc>
          <w:tcPr>
            <w:tcW w:w="1250" w:type="dxa"/>
            <w:tcBorders>
              <w:top w:val="single" w:sz="8" w:space="0" w:color="auto"/>
              <w:left w:val="nil"/>
              <w:bottom w:val="single" w:sz="8" w:space="0" w:color="auto"/>
              <w:right w:val="single" w:sz="4" w:space="0" w:color="auto"/>
            </w:tcBorders>
            <w:shd w:val="clear" w:color="auto" w:fill="auto"/>
            <w:noWrap/>
            <w:vAlign w:val="center"/>
            <w:hideMark/>
          </w:tcPr>
          <w:p w14:paraId="3A40BEF3" w14:textId="3BB19F5A" w:rsidR="00D64E0D" w:rsidRPr="00D64E0D" w:rsidRDefault="00D64E0D" w:rsidP="004D1792">
            <w:pPr>
              <w:spacing w:before="0" w:after="0"/>
              <w:jc w:val="center"/>
              <w:rPr>
                <w:b/>
                <w:bCs/>
                <w:color w:val="000000"/>
                <w:sz w:val="20"/>
                <w:szCs w:val="20"/>
                <w:lang w:val="es-PE" w:eastAsia="es-PE"/>
              </w:rPr>
            </w:pPr>
            <w:r w:rsidRPr="00D64E0D">
              <w:rPr>
                <w:b/>
                <w:bCs/>
                <w:color w:val="000000"/>
                <w:sz w:val="20"/>
                <w:szCs w:val="20"/>
                <w:lang w:val="es-PE" w:eastAsia="es-PE"/>
              </w:rPr>
              <w:t>E</w:t>
            </w:r>
            <w:r w:rsidR="004D1792">
              <w:rPr>
                <w:b/>
                <w:bCs/>
                <w:color w:val="000000"/>
                <w:sz w:val="20"/>
                <w:szCs w:val="20"/>
                <w:lang w:val="es-PE" w:eastAsia="es-PE"/>
              </w:rPr>
              <w:t>l</w:t>
            </w:r>
            <w:r w:rsidRPr="00D64E0D">
              <w:rPr>
                <w:b/>
                <w:bCs/>
                <w:color w:val="000000"/>
                <w:sz w:val="20"/>
                <w:szCs w:val="20"/>
                <w:lang w:val="es-PE" w:eastAsia="es-PE"/>
              </w:rPr>
              <w:t xml:space="preserve"> P</w:t>
            </w:r>
            <w:r w:rsidR="004D1792">
              <w:rPr>
                <w:b/>
                <w:bCs/>
                <w:color w:val="000000"/>
                <w:sz w:val="20"/>
                <w:szCs w:val="20"/>
                <w:lang w:val="es-PE" w:eastAsia="es-PE"/>
              </w:rPr>
              <w:t>araíso</w:t>
            </w:r>
          </w:p>
        </w:tc>
        <w:tc>
          <w:tcPr>
            <w:tcW w:w="1275" w:type="dxa"/>
            <w:tcBorders>
              <w:top w:val="single" w:sz="8" w:space="0" w:color="auto"/>
              <w:left w:val="nil"/>
              <w:bottom w:val="single" w:sz="8" w:space="0" w:color="auto"/>
              <w:right w:val="single" w:sz="4" w:space="0" w:color="auto"/>
            </w:tcBorders>
            <w:shd w:val="clear" w:color="auto" w:fill="auto"/>
            <w:vAlign w:val="center"/>
            <w:hideMark/>
          </w:tcPr>
          <w:p w14:paraId="60EA51E8" w14:textId="6138DFCC" w:rsidR="00D64E0D" w:rsidRPr="00D64E0D" w:rsidRDefault="00D64E0D" w:rsidP="004D1792">
            <w:pPr>
              <w:spacing w:before="0" w:after="0"/>
              <w:jc w:val="center"/>
              <w:rPr>
                <w:b/>
                <w:bCs/>
                <w:color w:val="000000"/>
                <w:sz w:val="20"/>
                <w:szCs w:val="20"/>
                <w:lang w:val="es-PE" w:eastAsia="es-PE"/>
              </w:rPr>
            </w:pPr>
            <w:r w:rsidRPr="00D64E0D">
              <w:rPr>
                <w:b/>
                <w:bCs/>
                <w:color w:val="000000"/>
                <w:sz w:val="20"/>
                <w:szCs w:val="20"/>
                <w:lang w:val="es-PE" w:eastAsia="es-PE"/>
              </w:rPr>
              <w:t>F</w:t>
            </w:r>
            <w:r w:rsidR="004D1792">
              <w:rPr>
                <w:b/>
                <w:bCs/>
                <w:color w:val="000000"/>
                <w:sz w:val="20"/>
                <w:szCs w:val="20"/>
                <w:lang w:val="es-PE" w:eastAsia="es-PE"/>
              </w:rPr>
              <w:t>rancisco Morazán</w:t>
            </w:r>
          </w:p>
        </w:tc>
        <w:tc>
          <w:tcPr>
            <w:tcW w:w="993" w:type="dxa"/>
            <w:tcBorders>
              <w:top w:val="single" w:sz="8" w:space="0" w:color="auto"/>
              <w:left w:val="nil"/>
              <w:bottom w:val="single" w:sz="8" w:space="0" w:color="auto"/>
              <w:right w:val="single" w:sz="4" w:space="0" w:color="auto"/>
            </w:tcBorders>
            <w:shd w:val="clear" w:color="auto" w:fill="auto"/>
            <w:noWrap/>
            <w:vAlign w:val="center"/>
            <w:hideMark/>
          </w:tcPr>
          <w:p w14:paraId="18552520" w14:textId="6106AD58" w:rsidR="00D64E0D" w:rsidRPr="00D64E0D" w:rsidRDefault="00D64E0D" w:rsidP="004D1792">
            <w:pPr>
              <w:spacing w:before="0" w:after="0"/>
              <w:jc w:val="center"/>
              <w:rPr>
                <w:b/>
                <w:bCs/>
                <w:color w:val="000000"/>
                <w:sz w:val="20"/>
                <w:szCs w:val="20"/>
                <w:lang w:val="es-PE" w:eastAsia="es-PE"/>
              </w:rPr>
            </w:pPr>
            <w:r w:rsidRPr="00D64E0D">
              <w:rPr>
                <w:b/>
                <w:bCs/>
                <w:color w:val="000000"/>
                <w:sz w:val="20"/>
                <w:szCs w:val="20"/>
                <w:lang w:val="es-PE" w:eastAsia="es-PE"/>
              </w:rPr>
              <w:t>O</w:t>
            </w:r>
            <w:r w:rsidR="004D1792">
              <w:rPr>
                <w:b/>
                <w:bCs/>
                <w:color w:val="000000"/>
                <w:sz w:val="20"/>
                <w:szCs w:val="20"/>
                <w:lang w:val="es-PE" w:eastAsia="es-PE"/>
              </w:rPr>
              <w:t>lancho</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57DE90F" w14:textId="17853FE5" w:rsidR="00D64E0D" w:rsidRPr="00D64E0D" w:rsidRDefault="00D64E0D" w:rsidP="004D1792">
            <w:pPr>
              <w:spacing w:before="0" w:after="0"/>
              <w:jc w:val="center"/>
              <w:rPr>
                <w:b/>
                <w:bCs/>
                <w:color w:val="000000"/>
                <w:sz w:val="20"/>
                <w:szCs w:val="20"/>
                <w:lang w:val="es-PE" w:eastAsia="es-PE"/>
              </w:rPr>
            </w:pPr>
            <w:r w:rsidRPr="00D64E0D">
              <w:rPr>
                <w:b/>
                <w:bCs/>
                <w:color w:val="000000"/>
                <w:sz w:val="20"/>
                <w:szCs w:val="20"/>
                <w:lang w:val="es-PE" w:eastAsia="es-PE"/>
              </w:rPr>
              <w:t>T</w:t>
            </w:r>
            <w:r w:rsidR="004D1792">
              <w:rPr>
                <w:b/>
                <w:bCs/>
                <w:color w:val="000000"/>
                <w:sz w:val="20"/>
                <w:szCs w:val="20"/>
                <w:lang w:val="es-PE" w:eastAsia="es-PE"/>
              </w:rPr>
              <w:t>otal</w:t>
            </w:r>
          </w:p>
        </w:tc>
      </w:tr>
      <w:tr w:rsidR="00D64E0D" w:rsidRPr="00D64E0D" w14:paraId="61C533A6"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57846190" w14:textId="281BE33B" w:rsidR="00D64E0D" w:rsidRPr="00D64E0D" w:rsidRDefault="00D64E0D" w:rsidP="004D1792">
            <w:pPr>
              <w:spacing w:before="0" w:after="0"/>
              <w:jc w:val="left"/>
              <w:rPr>
                <w:b/>
                <w:bCs/>
                <w:color w:val="000000"/>
                <w:sz w:val="20"/>
                <w:szCs w:val="20"/>
                <w:lang w:val="es-PE" w:eastAsia="es-PE"/>
              </w:rPr>
            </w:pPr>
            <w:r w:rsidRPr="00D64E0D">
              <w:rPr>
                <w:b/>
                <w:bCs/>
                <w:color w:val="000000"/>
                <w:sz w:val="20"/>
                <w:szCs w:val="20"/>
                <w:lang w:val="es-PE" w:eastAsia="es-PE"/>
              </w:rPr>
              <w:t>R</w:t>
            </w:r>
            <w:r w:rsidR="004D1792">
              <w:rPr>
                <w:b/>
                <w:bCs/>
                <w:color w:val="000000"/>
                <w:sz w:val="20"/>
                <w:szCs w:val="20"/>
                <w:lang w:val="es-PE" w:eastAsia="es-PE"/>
              </w:rPr>
              <w:t>estauración Pública</w:t>
            </w:r>
          </w:p>
        </w:tc>
        <w:tc>
          <w:tcPr>
            <w:tcW w:w="1163" w:type="dxa"/>
            <w:tcBorders>
              <w:top w:val="nil"/>
              <w:left w:val="nil"/>
              <w:bottom w:val="single" w:sz="4" w:space="0" w:color="auto"/>
              <w:right w:val="single" w:sz="4" w:space="0" w:color="auto"/>
            </w:tcBorders>
            <w:shd w:val="clear" w:color="auto" w:fill="auto"/>
            <w:noWrap/>
            <w:vAlign w:val="bottom"/>
            <w:hideMark/>
          </w:tcPr>
          <w:p w14:paraId="0C9FC90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1250" w:type="dxa"/>
            <w:tcBorders>
              <w:top w:val="nil"/>
              <w:left w:val="nil"/>
              <w:bottom w:val="single" w:sz="4" w:space="0" w:color="auto"/>
              <w:right w:val="single" w:sz="4" w:space="0" w:color="auto"/>
            </w:tcBorders>
            <w:shd w:val="clear" w:color="auto" w:fill="auto"/>
            <w:noWrap/>
            <w:vAlign w:val="bottom"/>
            <w:hideMark/>
          </w:tcPr>
          <w:p w14:paraId="68F0B53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565C3DE"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993" w:type="dxa"/>
            <w:tcBorders>
              <w:top w:val="nil"/>
              <w:left w:val="nil"/>
              <w:bottom w:val="single" w:sz="4" w:space="0" w:color="auto"/>
              <w:right w:val="single" w:sz="4" w:space="0" w:color="auto"/>
            </w:tcBorders>
            <w:shd w:val="clear" w:color="auto" w:fill="auto"/>
            <w:noWrap/>
            <w:vAlign w:val="bottom"/>
            <w:hideMark/>
          </w:tcPr>
          <w:p w14:paraId="5C180C44"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992" w:type="dxa"/>
            <w:tcBorders>
              <w:top w:val="nil"/>
              <w:left w:val="nil"/>
              <w:bottom w:val="single" w:sz="4" w:space="0" w:color="auto"/>
              <w:right w:val="single" w:sz="8" w:space="0" w:color="auto"/>
            </w:tcBorders>
            <w:shd w:val="clear" w:color="auto" w:fill="auto"/>
            <w:noWrap/>
            <w:vAlign w:val="bottom"/>
            <w:hideMark/>
          </w:tcPr>
          <w:p w14:paraId="219B66D8"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r>
      <w:tr w:rsidR="00D64E0D" w:rsidRPr="00D64E0D" w14:paraId="0F5E713D"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655B5692" w14:textId="77777777" w:rsidR="00D64E0D" w:rsidRPr="00D64E0D" w:rsidRDefault="00D64E0D" w:rsidP="00D64E0D">
            <w:pPr>
              <w:spacing w:before="0" w:after="0"/>
              <w:ind w:firstLineChars="100" w:firstLine="200"/>
              <w:jc w:val="left"/>
              <w:rPr>
                <w:color w:val="000000"/>
                <w:sz w:val="20"/>
                <w:szCs w:val="20"/>
                <w:lang w:val="es-PE" w:eastAsia="es-PE"/>
              </w:rPr>
            </w:pPr>
            <w:r w:rsidRPr="00D64E0D">
              <w:rPr>
                <w:color w:val="000000"/>
                <w:sz w:val="20"/>
                <w:szCs w:val="20"/>
                <w:lang w:val="es-PE" w:eastAsia="es-PE"/>
              </w:rPr>
              <w:t>Organizaciones</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151F"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3</w:t>
            </w:r>
          </w:p>
        </w:tc>
        <w:tc>
          <w:tcPr>
            <w:tcW w:w="1250" w:type="dxa"/>
            <w:tcBorders>
              <w:top w:val="single" w:sz="4" w:space="0" w:color="auto"/>
              <w:left w:val="nil"/>
              <w:bottom w:val="single" w:sz="4" w:space="0" w:color="auto"/>
              <w:right w:val="single" w:sz="4" w:space="0" w:color="auto"/>
            </w:tcBorders>
            <w:shd w:val="clear" w:color="auto" w:fill="auto"/>
            <w:noWrap/>
            <w:vAlign w:val="bottom"/>
            <w:hideMark/>
          </w:tcPr>
          <w:p w14:paraId="4FD850A7"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89B0364"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DDDDC4F"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4</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33599964"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12</w:t>
            </w:r>
          </w:p>
        </w:tc>
      </w:tr>
      <w:tr w:rsidR="00D64E0D" w:rsidRPr="00D64E0D" w14:paraId="7836F3B4"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352AF7D2" w14:textId="77777777" w:rsidR="00D64E0D" w:rsidRPr="00D64E0D" w:rsidRDefault="00D64E0D" w:rsidP="00D64E0D">
            <w:pPr>
              <w:spacing w:before="0" w:after="0"/>
              <w:ind w:firstLineChars="100" w:firstLine="200"/>
              <w:jc w:val="left"/>
              <w:rPr>
                <w:color w:val="000000"/>
                <w:sz w:val="20"/>
                <w:szCs w:val="20"/>
                <w:lang w:val="es-PE" w:eastAsia="es-PE"/>
              </w:rPr>
            </w:pPr>
            <w:r w:rsidRPr="00D64E0D">
              <w:rPr>
                <w:color w:val="000000"/>
                <w:sz w:val="20"/>
                <w:szCs w:val="20"/>
                <w:lang w:val="es-PE" w:eastAsia="es-PE"/>
              </w:rPr>
              <w:t>Beneficiarios</w:t>
            </w:r>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14:paraId="4C71F1C7"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236</w:t>
            </w:r>
          </w:p>
        </w:tc>
        <w:tc>
          <w:tcPr>
            <w:tcW w:w="1250" w:type="dxa"/>
            <w:tcBorders>
              <w:top w:val="nil"/>
              <w:left w:val="nil"/>
              <w:bottom w:val="single" w:sz="4" w:space="0" w:color="auto"/>
              <w:right w:val="single" w:sz="4" w:space="0" w:color="auto"/>
            </w:tcBorders>
            <w:shd w:val="clear" w:color="auto" w:fill="auto"/>
            <w:noWrap/>
            <w:vAlign w:val="bottom"/>
            <w:hideMark/>
          </w:tcPr>
          <w:p w14:paraId="4A554BD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66</w:t>
            </w:r>
          </w:p>
        </w:tc>
        <w:tc>
          <w:tcPr>
            <w:tcW w:w="1275" w:type="dxa"/>
            <w:tcBorders>
              <w:top w:val="nil"/>
              <w:left w:val="nil"/>
              <w:bottom w:val="single" w:sz="4" w:space="0" w:color="auto"/>
              <w:right w:val="single" w:sz="4" w:space="0" w:color="auto"/>
            </w:tcBorders>
            <w:shd w:val="clear" w:color="auto" w:fill="auto"/>
            <w:noWrap/>
            <w:vAlign w:val="bottom"/>
            <w:hideMark/>
          </w:tcPr>
          <w:p w14:paraId="454C3EB1"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308</w:t>
            </w:r>
          </w:p>
        </w:tc>
        <w:tc>
          <w:tcPr>
            <w:tcW w:w="993" w:type="dxa"/>
            <w:tcBorders>
              <w:top w:val="nil"/>
              <w:left w:val="nil"/>
              <w:bottom w:val="single" w:sz="4" w:space="0" w:color="auto"/>
              <w:right w:val="single" w:sz="4" w:space="0" w:color="auto"/>
            </w:tcBorders>
            <w:shd w:val="clear" w:color="auto" w:fill="auto"/>
            <w:noWrap/>
            <w:vAlign w:val="bottom"/>
            <w:hideMark/>
          </w:tcPr>
          <w:p w14:paraId="190DEB3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250</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46063BF5"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860</w:t>
            </w:r>
          </w:p>
        </w:tc>
      </w:tr>
      <w:tr w:rsidR="00D64E0D" w:rsidRPr="00D64E0D" w14:paraId="3A1C3BF4"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6F302817" w14:textId="3343A7DF" w:rsidR="00D64E0D" w:rsidRPr="00D64E0D" w:rsidRDefault="004D1792" w:rsidP="00D64E0D">
            <w:pPr>
              <w:spacing w:before="0" w:after="0"/>
              <w:jc w:val="left"/>
              <w:rPr>
                <w:b/>
                <w:bCs/>
                <w:color w:val="000000"/>
                <w:sz w:val="20"/>
                <w:szCs w:val="20"/>
                <w:lang w:val="es-PE" w:eastAsia="es-PE"/>
              </w:rPr>
            </w:pPr>
            <w:r>
              <w:rPr>
                <w:b/>
                <w:bCs/>
                <w:color w:val="000000"/>
                <w:sz w:val="20"/>
                <w:szCs w:val="20"/>
                <w:lang w:val="es-PE" w:eastAsia="es-PE"/>
              </w:rPr>
              <w:t>Restauración MPA</w:t>
            </w:r>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14:paraId="257EE32F"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1250" w:type="dxa"/>
            <w:tcBorders>
              <w:top w:val="nil"/>
              <w:left w:val="nil"/>
              <w:bottom w:val="single" w:sz="4" w:space="0" w:color="auto"/>
              <w:right w:val="single" w:sz="4" w:space="0" w:color="auto"/>
            </w:tcBorders>
            <w:shd w:val="clear" w:color="auto" w:fill="auto"/>
            <w:noWrap/>
            <w:vAlign w:val="bottom"/>
            <w:hideMark/>
          </w:tcPr>
          <w:p w14:paraId="0FDE3A0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1275" w:type="dxa"/>
            <w:tcBorders>
              <w:top w:val="nil"/>
              <w:left w:val="nil"/>
              <w:bottom w:val="single" w:sz="4" w:space="0" w:color="auto"/>
              <w:right w:val="single" w:sz="4" w:space="0" w:color="auto"/>
            </w:tcBorders>
            <w:shd w:val="clear" w:color="auto" w:fill="auto"/>
            <w:noWrap/>
            <w:vAlign w:val="bottom"/>
            <w:hideMark/>
          </w:tcPr>
          <w:p w14:paraId="5B65AC22"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993" w:type="dxa"/>
            <w:tcBorders>
              <w:top w:val="nil"/>
              <w:left w:val="nil"/>
              <w:bottom w:val="single" w:sz="4" w:space="0" w:color="auto"/>
              <w:right w:val="single" w:sz="4" w:space="0" w:color="auto"/>
            </w:tcBorders>
            <w:shd w:val="clear" w:color="auto" w:fill="auto"/>
            <w:noWrap/>
            <w:vAlign w:val="bottom"/>
            <w:hideMark/>
          </w:tcPr>
          <w:p w14:paraId="66898305"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44743B85"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r>
      <w:tr w:rsidR="00D64E0D" w:rsidRPr="00D64E0D" w14:paraId="133146C5"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6834C2ED" w14:textId="77777777" w:rsidR="00D64E0D" w:rsidRPr="00D64E0D" w:rsidRDefault="00D64E0D" w:rsidP="00D64E0D">
            <w:pPr>
              <w:spacing w:before="0" w:after="0"/>
              <w:ind w:firstLineChars="100" w:firstLine="200"/>
              <w:jc w:val="left"/>
              <w:rPr>
                <w:color w:val="000000"/>
                <w:sz w:val="20"/>
                <w:szCs w:val="20"/>
                <w:lang w:val="es-PE" w:eastAsia="es-PE"/>
              </w:rPr>
            </w:pPr>
            <w:proofErr w:type="spellStart"/>
            <w:r w:rsidRPr="00D64E0D">
              <w:rPr>
                <w:color w:val="000000"/>
                <w:sz w:val="20"/>
                <w:szCs w:val="20"/>
                <w:lang w:val="es-PE" w:eastAsia="es-PE"/>
              </w:rPr>
              <w:t>MPAs</w:t>
            </w:r>
            <w:proofErr w:type="spellEnd"/>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14:paraId="4B26DC48"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8</w:t>
            </w:r>
          </w:p>
        </w:tc>
        <w:tc>
          <w:tcPr>
            <w:tcW w:w="1250" w:type="dxa"/>
            <w:tcBorders>
              <w:top w:val="nil"/>
              <w:left w:val="nil"/>
              <w:bottom w:val="single" w:sz="4" w:space="0" w:color="auto"/>
              <w:right w:val="single" w:sz="4" w:space="0" w:color="auto"/>
            </w:tcBorders>
            <w:shd w:val="clear" w:color="auto" w:fill="auto"/>
            <w:noWrap/>
            <w:vAlign w:val="bottom"/>
            <w:hideMark/>
          </w:tcPr>
          <w:p w14:paraId="2CDD9C5C"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6</w:t>
            </w:r>
          </w:p>
        </w:tc>
        <w:tc>
          <w:tcPr>
            <w:tcW w:w="1275" w:type="dxa"/>
            <w:tcBorders>
              <w:top w:val="nil"/>
              <w:left w:val="nil"/>
              <w:bottom w:val="single" w:sz="4" w:space="0" w:color="auto"/>
              <w:right w:val="single" w:sz="4" w:space="0" w:color="auto"/>
            </w:tcBorders>
            <w:shd w:val="clear" w:color="auto" w:fill="auto"/>
            <w:noWrap/>
            <w:vAlign w:val="bottom"/>
            <w:hideMark/>
          </w:tcPr>
          <w:p w14:paraId="4CC445F8"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9</w:t>
            </w:r>
          </w:p>
        </w:tc>
        <w:tc>
          <w:tcPr>
            <w:tcW w:w="993" w:type="dxa"/>
            <w:tcBorders>
              <w:top w:val="nil"/>
              <w:left w:val="nil"/>
              <w:bottom w:val="single" w:sz="4" w:space="0" w:color="auto"/>
              <w:right w:val="single" w:sz="4" w:space="0" w:color="auto"/>
            </w:tcBorders>
            <w:shd w:val="clear" w:color="auto" w:fill="auto"/>
            <w:noWrap/>
            <w:vAlign w:val="bottom"/>
            <w:hideMark/>
          </w:tcPr>
          <w:p w14:paraId="20BD1F0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9</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125CF50A"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33</w:t>
            </w:r>
          </w:p>
        </w:tc>
      </w:tr>
      <w:tr w:rsidR="00D64E0D" w:rsidRPr="00D64E0D" w14:paraId="284D498F"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6474A7A4" w14:textId="77777777" w:rsidR="00D64E0D" w:rsidRPr="00D64E0D" w:rsidRDefault="00D64E0D" w:rsidP="00D64E0D">
            <w:pPr>
              <w:spacing w:before="0" w:after="0"/>
              <w:ind w:firstLineChars="100" w:firstLine="200"/>
              <w:jc w:val="left"/>
              <w:rPr>
                <w:color w:val="000000"/>
                <w:sz w:val="20"/>
                <w:szCs w:val="20"/>
                <w:lang w:val="es-PE" w:eastAsia="es-PE"/>
              </w:rPr>
            </w:pPr>
            <w:r w:rsidRPr="00D64E0D">
              <w:rPr>
                <w:color w:val="000000"/>
                <w:sz w:val="20"/>
                <w:szCs w:val="20"/>
                <w:lang w:val="es-PE" w:eastAsia="es-PE"/>
              </w:rPr>
              <w:t>Beneficiarios</w:t>
            </w:r>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14:paraId="6A5021A2"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1,236</w:t>
            </w:r>
          </w:p>
        </w:tc>
        <w:tc>
          <w:tcPr>
            <w:tcW w:w="1250" w:type="dxa"/>
            <w:tcBorders>
              <w:top w:val="nil"/>
              <w:left w:val="nil"/>
              <w:bottom w:val="single" w:sz="4" w:space="0" w:color="auto"/>
              <w:right w:val="single" w:sz="4" w:space="0" w:color="auto"/>
            </w:tcBorders>
            <w:shd w:val="clear" w:color="auto" w:fill="auto"/>
            <w:noWrap/>
            <w:vAlign w:val="bottom"/>
            <w:hideMark/>
          </w:tcPr>
          <w:p w14:paraId="1F2722A3"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985</w:t>
            </w:r>
          </w:p>
        </w:tc>
        <w:tc>
          <w:tcPr>
            <w:tcW w:w="1275" w:type="dxa"/>
            <w:tcBorders>
              <w:top w:val="nil"/>
              <w:left w:val="nil"/>
              <w:bottom w:val="single" w:sz="4" w:space="0" w:color="auto"/>
              <w:right w:val="single" w:sz="4" w:space="0" w:color="auto"/>
            </w:tcBorders>
            <w:shd w:val="clear" w:color="auto" w:fill="auto"/>
            <w:noWrap/>
            <w:vAlign w:val="bottom"/>
            <w:hideMark/>
          </w:tcPr>
          <w:p w14:paraId="3B689870"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9,320</w:t>
            </w:r>
          </w:p>
        </w:tc>
        <w:tc>
          <w:tcPr>
            <w:tcW w:w="993" w:type="dxa"/>
            <w:tcBorders>
              <w:top w:val="nil"/>
              <w:left w:val="nil"/>
              <w:bottom w:val="single" w:sz="4" w:space="0" w:color="auto"/>
              <w:right w:val="single" w:sz="4" w:space="0" w:color="auto"/>
            </w:tcBorders>
            <w:shd w:val="clear" w:color="auto" w:fill="auto"/>
            <w:noWrap/>
            <w:vAlign w:val="bottom"/>
            <w:hideMark/>
          </w:tcPr>
          <w:p w14:paraId="36ACD6A2"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517</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1FB2C571"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12,058</w:t>
            </w:r>
          </w:p>
        </w:tc>
      </w:tr>
      <w:tr w:rsidR="00D64E0D" w:rsidRPr="00D64E0D" w14:paraId="11ACA7E0"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380BADB2" w14:textId="47531239" w:rsidR="00D64E0D" w:rsidRPr="00D64E0D" w:rsidRDefault="00D64E0D" w:rsidP="004D1792">
            <w:pPr>
              <w:spacing w:before="0" w:after="0"/>
              <w:jc w:val="left"/>
              <w:rPr>
                <w:b/>
                <w:bCs/>
                <w:color w:val="000000"/>
                <w:sz w:val="20"/>
                <w:szCs w:val="20"/>
                <w:lang w:val="es-PE" w:eastAsia="es-PE"/>
              </w:rPr>
            </w:pPr>
            <w:r w:rsidRPr="00D64E0D">
              <w:rPr>
                <w:b/>
                <w:bCs/>
                <w:color w:val="000000"/>
                <w:sz w:val="20"/>
                <w:szCs w:val="20"/>
                <w:lang w:val="es-PE" w:eastAsia="es-PE"/>
              </w:rPr>
              <w:t>M</w:t>
            </w:r>
            <w:r w:rsidR="004D1792">
              <w:rPr>
                <w:b/>
                <w:bCs/>
                <w:color w:val="000000"/>
                <w:sz w:val="20"/>
                <w:szCs w:val="20"/>
                <w:lang w:val="es-PE" w:eastAsia="es-PE"/>
              </w:rPr>
              <w:t>AB</w:t>
            </w:r>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14:paraId="331348BA"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1250" w:type="dxa"/>
            <w:tcBorders>
              <w:top w:val="nil"/>
              <w:left w:val="nil"/>
              <w:bottom w:val="single" w:sz="4" w:space="0" w:color="auto"/>
              <w:right w:val="single" w:sz="4" w:space="0" w:color="auto"/>
            </w:tcBorders>
            <w:shd w:val="clear" w:color="auto" w:fill="auto"/>
            <w:noWrap/>
            <w:vAlign w:val="bottom"/>
            <w:hideMark/>
          </w:tcPr>
          <w:p w14:paraId="05D9D0DB"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1275" w:type="dxa"/>
            <w:tcBorders>
              <w:top w:val="nil"/>
              <w:left w:val="nil"/>
              <w:bottom w:val="single" w:sz="4" w:space="0" w:color="auto"/>
              <w:right w:val="single" w:sz="4" w:space="0" w:color="auto"/>
            </w:tcBorders>
            <w:shd w:val="clear" w:color="auto" w:fill="auto"/>
            <w:noWrap/>
            <w:vAlign w:val="bottom"/>
            <w:hideMark/>
          </w:tcPr>
          <w:p w14:paraId="102E0767"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993" w:type="dxa"/>
            <w:tcBorders>
              <w:top w:val="nil"/>
              <w:left w:val="nil"/>
              <w:bottom w:val="single" w:sz="4" w:space="0" w:color="auto"/>
              <w:right w:val="single" w:sz="4" w:space="0" w:color="auto"/>
            </w:tcBorders>
            <w:shd w:val="clear" w:color="auto" w:fill="auto"/>
            <w:noWrap/>
            <w:vAlign w:val="bottom"/>
            <w:hideMark/>
          </w:tcPr>
          <w:p w14:paraId="50DEA37A"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08326DD8"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 </w:t>
            </w:r>
          </w:p>
        </w:tc>
      </w:tr>
      <w:tr w:rsidR="00D64E0D" w:rsidRPr="00D64E0D" w14:paraId="4B5B0F48"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27B0FCE4" w14:textId="77777777" w:rsidR="00D64E0D" w:rsidRPr="00D64E0D" w:rsidRDefault="00D64E0D" w:rsidP="00D64E0D">
            <w:pPr>
              <w:spacing w:before="0" w:after="0"/>
              <w:ind w:firstLineChars="100" w:firstLine="200"/>
              <w:jc w:val="left"/>
              <w:rPr>
                <w:color w:val="000000"/>
                <w:sz w:val="20"/>
                <w:szCs w:val="20"/>
                <w:lang w:val="es-PE" w:eastAsia="es-PE"/>
              </w:rPr>
            </w:pPr>
            <w:r w:rsidRPr="00D64E0D">
              <w:rPr>
                <w:color w:val="000000"/>
                <w:sz w:val="20"/>
                <w:szCs w:val="20"/>
                <w:lang w:val="es-PE" w:eastAsia="es-PE"/>
              </w:rPr>
              <w:t>Organizaciones</w:t>
            </w:r>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14:paraId="4BE2795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28</w:t>
            </w:r>
          </w:p>
        </w:tc>
        <w:tc>
          <w:tcPr>
            <w:tcW w:w="1250" w:type="dxa"/>
            <w:tcBorders>
              <w:top w:val="nil"/>
              <w:left w:val="nil"/>
              <w:bottom w:val="single" w:sz="4" w:space="0" w:color="auto"/>
              <w:right w:val="single" w:sz="4" w:space="0" w:color="auto"/>
            </w:tcBorders>
            <w:shd w:val="clear" w:color="auto" w:fill="auto"/>
            <w:noWrap/>
            <w:vAlign w:val="bottom"/>
            <w:hideMark/>
          </w:tcPr>
          <w:p w14:paraId="4A56CA03"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17</w:t>
            </w:r>
          </w:p>
        </w:tc>
        <w:tc>
          <w:tcPr>
            <w:tcW w:w="1275" w:type="dxa"/>
            <w:tcBorders>
              <w:top w:val="nil"/>
              <w:left w:val="nil"/>
              <w:bottom w:val="single" w:sz="4" w:space="0" w:color="auto"/>
              <w:right w:val="single" w:sz="4" w:space="0" w:color="auto"/>
            </w:tcBorders>
            <w:shd w:val="clear" w:color="auto" w:fill="auto"/>
            <w:noWrap/>
            <w:vAlign w:val="bottom"/>
            <w:hideMark/>
          </w:tcPr>
          <w:p w14:paraId="7E90BE23"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25</w:t>
            </w:r>
          </w:p>
        </w:tc>
        <w:tc>
          <w:tcPr>
            <w:tcW w:w="993" w:type="dxa"/>
            <w:tcBorders>
              <w:top w:val="nil"/>
              <w:left w:val="nil"/>
              <w:bottom w:val="single" w:sz="4" w:space="0" w:color="auto"/>
              <w:right w:val="single" w:sz="4" w:space="0" w:color="auto"/>
            </w:tcBorders>
            <w:shd w:val="clear" w:color="auto" w:fill="auto"/>
            <w:noWrap/>
            <w:vAlign w:val="bottom"/>
            <w:hideMark/>
          </w:tcPr>
          <w:p w14:paraId="11DB37E2"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38</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21FB939F"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107</w:t>
            </w:r>
          </w:p>
        </w:tc>
      </w:tr>
      <w:tr w:rsidR="00D64E0D" w:rsidRPr="00D64E0D" w14:paraId="56AD1D3C"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7F6612CC" w14:textId="77777777" w:rsidR="00D64E0D" w:rsidRPr="00D64E0D" w:rsidRDefault="00D64E0D" w:rsidP="00D64E0D">
            <w:pPr>
              <w:spacing w:before="0" w:after="0"/>
              <w:ind w:firstLineChars="100" w:firstLine="200"/>
              <w:jc w:val="left"/>
              <w:rPr>
                <w:color w:val="000000"/>
                <w:sz w:val="20"/>
                <w:szCs w:val="20"/>
                <w:lang w:val="es-PE" w:eastAsia="es-PE"/>
              </w:rPr>
            </w:pPr>
            <w:r w:rsidRPr="00D64E0D">
              <w:rPr>
                <w:color w:val="000000"/>
                <w:sz w:val="20"/>
                <w:szCs w:val="20"/>
                <w:lang w:val="es-PE" w:eastAsia="es-PE"/>
              </w:rPr>
              <w:t>Beneficiarios</w:t>
            </w:r>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14:paraId="09EC0D8E"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2,092</w:t>
            </w:r>
          </w:p>
        </w:tc>
        <w:tc>
          <w:tcPr>
            <w:tcW w:w="1250" w:type="dxa"/>
            <w:tcBorders>
              <w:top w:val="nil"/>
              <w:left w:val="nil"/>
              <w:bottom w:val="single" w:sz="4" w:space="0" w:color="auto"/>
              <w:right w:val="single" w:sz="4" w:space="0" w:color="auto"/>
            </w:tcBorders>
            <w:shd w:val="clear" w:color="auto" w:fill="auto"/>
            <w:noWrap/>
            <w:vAlign w:val="bottom"/>
            <w:hideMark/>
          </w:tcPr>
          <w:p w14:paraId="3FD0B45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581</w:t>
            </w:r>
          </w:p>
        </w:tc>
        <w:tc>
          <w:tcPr>
            <w:tcW w:w="1275" w:type="dxa"/>
            <w:tcBorders>
              <w:top w:val="nil"/>
              <w:left w:val="nil"/>
              <w:bottom w:val="single" w:sz="4" w:space="0" w:color="auto"/>
              <w:right w:val="single" w:sz="4" w:space="0" w:color="auto"/>
            </w:tcBorders>
            <w:shd w:val="clear" w:color="auto" w:fill="auto"/>
            <w:noWrap/>
            <w:vAlign w:val="bottom"/>
            <w:hideMark/>
          </w:tcPr>
          <w:p w14:paraId="44A41AF8"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2,731</w:t>
            </w:r>
          </w:p>
        </w:tc>
        <w:tc>
          <w:tcPr>
            <w:tcW w:w="993" w:type="dxa"/>
            <w:tcBorders>
              <w:top w:val="nil"/>
              <w:left w:val="nil"/>
              <w:bottom w:val="single" w:sz="4" w:space="0" w:color="auto"/>
              <w:right w:val="single" w:sz="4" w:space="0" w:color="auto"/>
            </w:tcBorders>
            <w:shd w:val="clear" w:color="auto" w:fill="auto"/>
            <w:noWrap/>
            <w:vAlign w:val="bottom"/>
            <w:hideMark/>
          </w:tcPr>
          <w:p w14:paraId="66AB64FF"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2,218</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584E80B9"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7,622</w:t>
            </w:r>
          </w:p>
        </w:tc>
      </w:tr>
      <w:tr w:rsidR="00D64E0D" w:rsidRPr="00D64E0D" w14:paraId="31574EEF"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4A477371" w14:textId="49F5E962" w:rsidR="00D64E0D" w:rsidRPr="00D64E0D" w:rsidRDefault="00D64E0D" w:rsidP="004D1792">
            <w:pPr>
              <w:spacing w:before="0" w:after="0"/>
              <w:jc w:val="left"/>
              <w:rPr>
                <w:b/>
                <w:bCs/>
                <w:color w:val="000000"/>
                <w:sz w:val="20"/>
                <w:szCs w:val="20"/>
                <w:lang w:val="es-PE" w:eastAsia="es-PE"/>
              </w:rPr>
            </w:pPr>
            <w:r w:rsidRPr="00D64E0D">
              <w:rPr>
                <w:b/>
                <w:bCs/>
                <w:color w:val="000000"/>
                <w:sz w:val="20"/>
                <w:szCs w:val="20"/>
                <w:lang w:val="es-PE" w:eastAsia="es-PE"/>
              </w:rPr>
              <w:t>R</w:t>
            </w:r>
            <w:r w:rsidR="004D1792">
              <w:rPr>
                <w:b/>
                <w:bCs/>
                <w:color w:val="000000"/>
                <w:sz w:val="20"/>
                <w:szCs w:val="20"/>
                <w:lang w:val="es-PE" w:eastAsia="es-PE"/>
              </w:rPr>
              <w:t>estauración privada</w:t>
            </w:r>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14:paraId="32249E6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41</w:t>
            </w:r>
          </w:p>
        </w:tc>
        <w:tc>
          <w:tcPr>
            <w:tcW w:w="1250" w:type="dxa"/>
            <w:tcBorders>
              <w:top w:val="nil"/>
              <w:left w:val="nil"/>
              <w:bottom w:val="single" w:sz="4" w:space="0" w:color="auto"/>
              <w:right w:val="single" w:sz="4" w:space="0" w:color="auto"/>
            </w:tcBorders>
            <w:shd w:val="clear" w:color="auto" w:fill="auto"/>
            <w:noWrap/>
            <w:vAlign w:val="bottom"/>
            <w:hideMark/>
          </w:tcPr>
          <w:p w14:paraId="41DE9669"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25</w:t>
            </w:r>
          </w:p>
        </w:tc>
        <w:tc>
          <w:tcPr>
            <w:tcW w:w="1275" w:type="dxa"/>
            <w:tcBorders>
              <w:top w:val="nil"/>
              <w:left w:val="nil"/>
              <w:bottom w:val="single" w:sz="4" w:space="0" w:color="auto"/>
              <w:right w:val="single" w:sz="4" w:space="0" w:color="auto"/>
            </w:tcBorders>
            <w:shd w:val="clear" w:color="auto" w:fill="auto"/>
            <w:noWrap/>
            <w:vAlign w:val="bottom"/>
            <w:hideMark/>
          </w:tcPr>
          <w:p w14:paraId="133D19AE"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28</w:t>
            </w:r>
          </w:p>
        </w:tc>
        <w:tc>
          <w:tcPr>
            <w:tcW w:w="993" w:type="dxa"/>
            <w:tcBorders>
              <w:top w:val="nil"/>
              <w:left w:val="nil"/>
              <w:bottom w:val="single" w:sz="4" w:space="0" w:color="auto"/>
              <w:right w:val="single" w:sz="4" w:space="0" w:color="auto"/>
            </w:tcBorders>
            <w:shd w:val="clear" w:color="auto" w:fill="auto"/>
            <w:noWrap/>
            <w:vAlign w:val="bottom"/>
            <w:hideMark/>
          </w:tcPr>
          <w:p w14:paraId="2A0EF264"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53</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1A75B96D"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147</w:t>
            </w:r>
          </w:p>
        </w:tc>
      </w:tr>
      <w:tr w:rsidR="00D64E0D" w:rsidRPr="00D64E0D" w14:paraId="6CC8CC66" w14:textId="77777777" w:rsidTr="004D1792">
        <w:trPr>
          <w:trHeight w:val="270"/>
        </w:trPr>
        <w:tc>
          <w:tcPr>
            <w:tcW w:w="2123" w:type="dxa"/>
            <w:tcBorders>
              <w:top w:val="nil"/>
              <w:left w:val="single" w:sz="8" w:space="0" w:color="auto"/>
              <w:bottom w:val="single" w:sz="8" w:space="0" w:color="auto"/>
              <w:right w:val="single" w:sz="4" w:space="0" w:color="auto"/>
            </w:tcBorders>
            <w:shd w:val="clear" w:color="auto" w:fill="auto"/>
            <w:noWrap/>
            <w:vAlign w:val="bottom"/>
            <w:hideMark/>
          </w:tcPr>
          <w:p w14:paraId="7D7BF379" w14:textId="037BB4F9" w:rsidR="00D64E0D" w:rsidRPr="00D64E0D" w:rsidRDefault="004D1792" w:rsidP="00D64E0D">
            <w:pPr>
              <w:spacing w:before="0" w:after="0"/>
              <w:jc w:val="left"/>
              <w:rPr>
                <w:b/>
                <w:bCs/>
                <w:color w:val="000000"/>
                <w:sz w:val="20"/>
                <w:szCs w:val="20"/>
                <w:lang w:val="es-PE" w:eastAsia="es-PE"/>
              </w:rPr>
            </w:pPr>
            <w:r>
              <w:rPr>
                <w:b/>
                <w:bCs/>
                <w:color w:val="000000"/>
                <w:sz w:val="20"/>
                <w:szCs w:val="20"/>
                <w:lang w:val="es-PE" w:eastAsia="es-PE"/>
              </w:rPr>
              <w:t>SAF</w:t>
            </w:r>
          </w:p>
        </w:tc>
        <w:tc>
          <w:tcPr>
            <w:tcW w:w="1163" w:type="dxa"/>
            <w:tcBorders>
              <w:top w:val="single" w:sz="4" w:space="0" w:color="auto"/>
              <w:left w:val="nil"/>
              <w:bottom w:val="single" w:sz="8" w:space="0" w:color="auto"/>
              <w:right w:val="single" w:sz="4" w:space="0" w:color="auto"/>
            </w:tcBorders>
            <w:shd w:val="clear" w:color="auto" w:fill="auto"/>
            <w:noWrap/>
            <w:vAlign w:val="bottom"/>
            <w:hideMark/>
          </w:tcPr>
          <w:p w14:paraId="17386232"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1,658</w:t>
            </w:r>
          </w:p>
        </w:tc>
        <w:tc>
          <w:tcPr>
            <w:tcW w:w="1250" w:type="dxa"/>
            <w:tcBorders>
              <w:top w:val="single" w:sz="4" w:space="0" w:color="auto"/>
              <w:left w:val="nil"/>
              <w:bottom w:val="single" w:sz="8" w:space="0" w:color="auto"/>
              <w:right w:val="single" w:sz="4" w:space="0" w:color="auto"/>
            </w:tcBorders>
            <w:shd w:val="clear" w:color="auto" w:fill="auto"/>
            <w:noWrap/>
            <w:vAlign w:val="bottom"/>
            <w:hideMark/>
          </w:tcPr>
          <w:p w14:paraId="691BC7BE"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1,016</w:t>
            </w:r>
          </w:p>
        </w:tc>
        <w:tc>
          <w:tcPr>
            <w:tcW w:w="1275" w:type="dxa"/>
            <w:tcBorders>
              <w:top w:val="single" w:sz="4" w:space="0" w:color="auto"/>
              <w:left w:val="nil"/>
              <w:bottom w:val="single" w:sz="8" w:space="0" w:color="auto"/>
              <w:right w:val="single" w:sz="4" w:space="0" w:color="auto"/>
            </w:tcBorders>
            <w:shd w:val="clear" w:color="auto" w:fill="auto"/>
            <w:noWrap/>
            <w:vAlign w:val="bottom"/>
            <w:hideMark/>
          </w:tcPr>
          <w:p w14:paraId="69CAAAF9"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1,148</w:t>
            </w:r>
          </w:p>
        </w:tc>
        <w:tc>
          <w:tcPr>
            <w:tcW w:w="993" w:type="dxa"/>
            <w:tcBorders>
              <w:top w:val="single" w:sz="4" w:space="0" w:color="auto"/>
              <w:left w:val="nil"/>
              <w:bottom w:val="single" w:sz="8" w:space="0" w:color="auto"/>
              <w:right w:val="single" w:sz="4" w:space="0" w:color="auto"/>
            </w:tcBorders>
            <w:shd w:val="clear" w:color="auto" w:fill="auto"/>
            <w:noWrap/>
            <w:vAlign w:val="bottom"/>
            <w:hideMark/>
          </w:tcPr>
          <w:p w14:paraId="1F0E0254"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2,177</w:t>
            </w:r>
          </w:p>
        </w:tc>
        <w:tc>
          <w:tcPr>
            <w:tcW w:w="992" w:type="dxa"/>
            <w:tcBorders>
              <w:top w:val="nil"/>
              <w:left w:val="nil"/>
              <w:bottom w:val="single" w:sz="8" w:space="0" w:color="auto"/>
              <w:right w:val="single" w:sz="8" w:space="0" w:color="auto"/>
            </w:tcBorders>
            <w:shd w:val="clear" w:color="auto" w:fill="auto"/>
            <w:noWrap/>
            <w:vAlign w:val="bottom"/>
            <w:hideMark/>
          </w:tcPr>
          <w:p w14:paraId="777C0B42"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6,000</w:t>
            </w:r>
          </w:p>
        </w:tc>
      </w:tr>
      <w:tr w:rsidR="00D64E0D" w:rsidRPr="00D64E0D" w14:paraId="4919CD42"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6E5654C5" w14:textId="77777777" w:rsidR="00D64E0D" w:rsidRPr="00D64E0D" w:rsidRDefault="00D64E0D" w:rsidP="00D64E0D">
            <w:pPr>
              <w:spacing w:before="0" w:after="0"/>
              <w:jc w:val="left"/>
              <w:rPr>
                <w:b/>
                <w:bCs/>
                <w:color w:val="000000"/>
                <w:sz w:val="20"/>
                <w:szCs w:val="20"/>
                <w:lang w:val="es-PE" w:eastAsia="es-PE"/>
              </w:rPr>
            </w:pPr>
            <w:r w:rsidRPr="00D64E0D">
              <w:rPr>
                <w:b/>
                <w:bCs/>
                <w:color w:val="000000"/>
                <w:sz w:val="20"/>
                <w:szCs w:val="20"/>
                <w:lang w:val="es-PE" w:eastAsia="es-PE"/>
              </w:rPr>
              <w:t>TOTAL</w:t>
            </w:r>
          </w:p>
        </w:tc>
        <w:tc>
          <w:tcPr>
            <w:tcW w:w="1163" w:type="dxa"/>
            <w:tcBorders>
              <w:top w:val="nil"/>
              <w:left w:val="nil"/>
              <w:bottom w:val="single" w:sz="4" w:space="0" w:color="auto"/>
              <w:right w:val="single" w:sz="4" w:space="0" w:color="auto"/>
            </w:tcBorders>
            <w:shd w:val="clear" w:color="auto" w:fill="auto"/>
            <w:noWrap/>
            <w:vAlign w:val="bottom"/>
            <w:hideMark/>
          </w:tcPr>
          <w:p w14:paraId="00FF032E"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5,263</w:t>
            </w:r>
          </w:p>
        </w:tc>
        <w:tc>
          <w:tcPr>
            <w:tcW w:w="1250" w:type="dxa"/>
            <w:tcBorders>
              <w:top w:val="nil"/>
              <w:left w:val="nil"/>
              <w:bottom w:val="single" w:sz="4" w:space="0" w:color="auto"/>
              <w:right w:val="single" w:sz="4" w:space="0" w:color="auto"/>
            </w:tcBorders>
            <w:shd w:val="clear" w:color="auto" w:fill="auto"/>
            <w:noWrap/>
            <w:vAlign w:val="bottom"/>
            <w:hideMark/>
          </w:tcPr>
          <w:p w14:paraId="5229A7B1"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2,673</w:t>
            </w:r>
          </w:p>
        </w:tc>
        <w:tc>
          <w:tcPr>
            <w:tcW w:w="1275" w:type="dxa"/>
            <w:tcBorders>
              <w:top w:val="nil"/>
              <w:left w:val="nil"/>
              <w:bottom w:val="single" w:sz="4" w:space="0" w:color="auto"/>
              <w:right w:val="single" w:sz="4" w:space="0" w:color="auto"/>
            </w:tcBorders>
            <w:shd w:val="clear" w:color="auto" w:fill="auto"/>
            <w:noWrap/>
            <w:vAlign w:val="bottom"/>
            <w:hideMark/>
          </w:tcPr>
          <w:p w14:paraId="2313230C"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13,536</w:t>
            </w:r>
          </w:p>
        </w:tc>
        <w:tc>
          <w:tcPr>
            <w:tcW w:w="993" w:type="dxa"/>
            <w:tcBorders>
              <w:top w:val="nil"/>
              <w:left w:val="nil"/>
              <w:bottom w:val="single" w:sz="4" w:space="0" w:color="auto"/>
              <w:right w:val="single" w:sz="4" w:space="0" w:color="auto"/>
            </w:tcBorders>
            <w:shd w:val="clear" w:color="auto" w:fill="auto"/>
            <w:noWrap/>
            <w:vAlign w:val="bottom"/>
            <w:hideMark/>
          </w:tcPr>
          <w:p w14:paraId="303437F6"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5,215</w:t>
            </w:r>
          </w:p>
        </w:tc>
        <w:tc>
          <w:tcPr>
            <w:tcW w:w="992" w:type="dxa"/>
            <w:tcBorders>
              <w:top w:val="nil"/>
              <w:left w:val="nil"/>
              <w:bottom w:val="single" w:sz="4" w:space="0" w:color="auto"/>
              <w:right w:val="single" w:sz="8" w:space="0" w:color="auto"/>
            </w:tcBorders>
            <w:shd w:val="clear" w:color="auto" w:fill="auto"/>
            <w:noWrap/>
            <w:vAlign w:val="bottom"/>
            <w:hideMark/>
          </w:tcPr>
          <w:p w14:paraId="5E539F79"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26,687</w:t>
            </w:r>
          </w:p>
        </w:tc>
      </w:tr>
      <w:tr w:rsidR="00D64E0D" w:rsidRPr="00D64E0D" w14:paraId="0100D50B" w14:textId="77777777" w:rsidTr="004D1792">
        <w:trPr>
          <w:trHeight w:val="255"/>
        </w:trPr>
        <w:tc>
          <w:tcPr>
            <w:tcW w:w="2123" w:type="dxa"/>
            <w:tcBorders>
              <w:top w:val="nil"/>
              <w:left w:val="single" w:sz="8" w:space="0" w:color="auto"/>
              <w:bottom w:val="single" w:sz="4" w:space="0" w:color="auto"/>
              <w:right w:val="single" w:sz="4" w:space="0" w:color="auto"/>
            </w:tcBorders>
            <w:shd w:val="clear" w:color="auto" w:fill="auto"/>
            <w:noWrap/>
            <w:vAlign w:val="bottom"/>
            <w:hideMark/>
          </w:tcPr>
          <w:p w14:paraId="7DE430D1" w14:textId="61D25AE0" w:rsidR="00D64E0D" w:rsidRPr="00D64E0D" w:rsidRDefault="00D64E0D" w:rsidP="004D1792">
            <w:pPr>
              <w:spacing w:before="0" w:after="0"/>
              <w:ind w:firstLineChars="100" w:firstLine="200"/>
              <w:jc w:val="left"/>
              <w:rPr>
                <w:color w:val="000000"/>
                <w:sz w:val="20"/>
                <w:szCs w:val="20"/>
                <w:lang w:val="es-PE" w:eastAsia="es-PE"/>
              </w:rPr>
            </w:pPr>
            <w:r w:rsidRPr="00D64E0D">
              <w:rPr>
                <w:color w:val="000000"/>
                <w:sz w:val="20"/>
                <w:szCs w:val="20"/>
                <w:lang w:val="es-PE" w:eastAsia="es-PE"/>
              </w:rPr>
              <w:t>H</w:t>
            </w:r>
            <w:r w:rsidR="004D1792">
              <w:rPr>
                <w:color w:val="000000"/>
                <w:sz w:val="20"/>
                <w:szCs w:val="20"/>
                <w:lang w:val="es-PE" w:eastAsia="es-PE"/>
              </w:rPr>
              <w:t>ombres</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1CBF2"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4,210</w:t>
            </w:r>
          </w:p>
        </w:tc>
        <w:tc>
          <w:tcPr>
            <w:tcW w:w="1250" w:type="dxa"/>
            <w:tcBorders>
              <w:top w:val="single" w:sz="4" w:space="0" w:color="auto"/>
              <w:left w:val="nil"/>
              <w:bottom w:val="single" w:sz="4" w:space="0" w:color="auto"/>
              <w:right w:val="single" w:sz="4" w:space="0" w:color="auto"/>
            </w:tcBorders>
            <w:shd w:val="clear" w:color="auto" w:fill="auto"/>
            <w:noWrap/>
            <w:vAlign w:val="bottom"/>
            <w:hideMark/>
          </w:tcPr>
          <w:p w14:paraId="2F69CCDF"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2,138</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08E54535"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10,829</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5E9CAC96"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4,172</w:t>
            </w:r>
          </w:p>
        </w:tc>
        <w:tc>
          <w:tcPr>
            <w:tcW w:w="992" w:type="dxa"/>
            <w:tcBorders>
              <w:top w:val="nil"/>
              <w:left w:val="single" w:sz="4" w:space="0" w:color="auto"/>
              <w:bottom w:val="single" w:sz="4" w:space="0" w:color="auto"/>
              <w:right w:val="single" w:sz="8" w:space="0" w:color="auto"/>
            </w:tcBorders>
            <w:shd w:val="clear" w:color="auto" w:fill="auto"/>
            <w:noWrap/>
            <w:vAlign w:val="bottom"/>
            <w:hideMark/>
          </w:tcPr>
          <w:p w14:paraId="3B95E862"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21,349</w:t>
            </w:r>
          </w:p>
        </w:tc>
      </w:tr>
      <w:tr w:rsidR="00D64E0D" w:rsidRPr="00D64E0D" w14:paraId="4BDEA206" w14:textId="77777777" w:rsidTr="004D1792">
        <w:trPr>
          <w:trHeight w:val="270"/>
        </w:trPr>
        <w:tc>
          <w:tcPr>
            <w:tcW w:w="2123" w:type="dxa"/>
            <w:tcBorders>
              <w:top w:val="nil"/>
              <w:left w:val="single" w:sz="8" w:space="0" w:color="auto"/>
              <w:bottom w:val="single" w:sz="8" w:space="0" w:color="auto"/>
              <w:right w:val="single" w:sz="4" w:space="0" w:color="auto"/>
            </w:tcBorders>
            <w:shd w:val="clear" w:color="auto" w:fill="auto"/>
            <w:noWrap/>
            <w:vAlign w:val="bottom"/>
            <w:hideMark/>
          </w:tcPr>
          <w:p w14:paraId="17F9A785" w14:textId="24793E96" w:rsidR="00D64E0D" w:rsidRPr="00D64E0D" w:rsidRDefault="004D1792" w:rsidP="00D64E0D">
            <w:pPr>
              <w:spacing w:before="0" w:after="0"/>
              <w:ind w:firstLineChars="100" w:firstLine="200"/>
              <w:jc w:val="left"/>
              <w:rPr>
                <w:color w:val="000000"/>
                <w:sz w:val="20"/>
                <w:szCs w:val="20"/>
                <w:lang w:val="es-PE" w:eastAsia="es-PE"/>
              </w:rPr>
            </w:pPr>
            <w:r>
              <w:rPr>
                <w:color w:val="000000"/>
                <w:sz w:val="20"/>
                <w:szCs w:val="20"/>
                <w:lang w:val="es-PE" w:eastAsia="es-PE"/>
              </w:rPr>
              <w:t>Mujeres</w:t>
            </w:r>
          </w:p>
        </w:tc>
        <w:tc>
          <w:tcPr>
            <w:tcW w:w="1163" w:type="dxa"/>
            <w:tcBorders>
              <w:top w:val="single" w:sz="4" w:space="0" w:color="auto"/>
              <w:left w:val="nil"/>
              <w:bottom w:val="single" w:sz="8" w:space="0" w:color="auto"/>
              <w:right w:val="single" w:sz="4" w:space="0" w:color="auto"/>
            </w:tcBorders>
            <w:shd w:val="clear" w:color="auto" w:fill="auto"/>
            <w:noWrap/>
            <w:vAlign w:val="bottom"/>
            <w:hideMark/>
          </w:tcPr>
          <w:p w14:paraId="5F9C4659"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1,053</w:t>
            </w:r>
          </w:p>
        </w:tc>
        <w:tc>
          <w:tcPr>
            <w:tcW w:w="1250" w:type="dxa"/>
            <w:tcBorders>
              <w:top w:val="single" w:sz="4" w:space="0" w:color="auto"/>
              <w:left w:val="nil"/>
              <w:bottom w:val="single" w:sz="8" w:space="0" w:color="auto"/>
              <w:right w:val="single" w:sz="4" w:space="0" w:color="auto"/>
            </w:tcBorders>
            <w:shd w:val="clear" w:color="auto" w:fill="auto"/>
            <w:noWrap/>
            <w:vAlign w:val="bottom"/>
            <w:hideMark/>
          </w:tcPr>
          <w:p w14:paraId="0943B00C"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535</w:t>
            </w:r>
          </w:p>
        </w:tc>
        <w:tc>
          <w:tcPr>
            <w:tcW w:w="1275" w:type="dxa"/>
            <w:tcBorders>
              <w:top w:val="single" w:sz="4" w:space="0" w:color="auto"/>
              <w:left w:val="nil"/>
              <w:bottom w:val="single" w:sz="8" w:space="0" w:color="auto"/>
              <w:right w:val="single" w:sz="4" w:space="0" w:color="auto"/>
            </w:tcBorders>
            <w:shd w:val="clear" w:color="auto" w:fill="auto"/>
            <w:noWrap/>
            <w:vAlign w:val="bottom"/>
            <w:hideMark/>
          </w:tcPr>
          <w:p w14:paraId="04C560C7"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2,707</w:t>
            </w:r>
          </w:p>
        </w:tc>
        <w:tc>
          <w:tcPr>
            <w:tcW w:w="993" w:type="dxa"/>
            <w:tcBorders>
              <w:top w:val="single" w:sz="4" w:space="0" w:color="auto"/>
              <w:left w:val="nil"/>
              <w:bottom w:val="single" w:sz="8" w:space="0" w:color="auto"/>
              <w:right w:val="single" w:sz="4" w:space="0" w:color="auto"/>
            </w:tcBorders>
            <w:shd w:val="clear" w:color="auto" w:fill="auto"/>
            <w:noWrap/>
            <w:vAlign w:val="bottom"/>
            <w:hideMark/>
          </w:tcPr>
          <w:p w14:paraId="231E7069"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1,043</w:t>
            </w:r>
          </w:p>
        </w:tc>
        <w:tc>
          <w:tcPr>
            <w:tcW w:w="992" w:type="dxa"/>
            <w:tcBorders>
              <w:top w:val="nil"/>
              <w:left w:val="nil"/>
              <w:bottom w:val="single" w:sz="8" w:space="0" w:color="auto"/>
              <w:right w:val="single" w:sz="8" w:space="0" w:color="auto"/>
            </w:tcBorders>
            <w:shd w:val="clear" w:color="auto" w:fill="auto"/>
            <w:noWrap/>
            <w:vAlign w:val="bottom"/>
            <w:hideMark/>
          </w:tcPr>
          <w:p w14:paraId="61CB35DF" w14:textId="77777777" w:rsidR="00D64E0D" w:rsidRPr="00D64E0D" w:rsidRDefault="00D64E0D" w:rsidP="00D64E0D">
            <w:pPr>
              <w:spacing w:before="0" w:after="0"/>
              <w:jc w:val="center"/>
              <w:rPr>
                <w:color w:val="000000"/>
                <w:sz w:val="20"/>
                <w:szCs w:val="20"/>
                <w:lang w:val="es-PE" w:eastAsia="es-PE"/>
              </w:rPr>
            </w:pPr>
            <w:r w:rsidRPr="00D64E0D">
              <w:rPr>
                <w:color w:val="000000"/>
                <w:sz w:val="20"/>
                <w:szCs w:val="20"/>
                <w:lang w:val="es-PE" w:eastAsia="es-PE"/>
              </w:rPr>
              <w:t>5,337</w:t>
            </w:r>
          </w:p>
        </w:tc>
      </w:tr>
    </w:tbl>
    <w:p w14:paraId="36FA9D3E" w14:textId="77777777" w:rsidR="00376BEB" w:rsidRPr="00321137" w:rsidRDefault="00114DB8" w:rsidP="004D1792">
      <w:pPr>
        <w:pStyle w:val="fuente"/>
        <w:ind w:firstLine="426"/>
      </w:pPr>
      <w:r w:rsidRPr="00321137">
        <w:t>Fuente: estimados propios.</w:t>
      </w:r>
    </w:p>
    <w:p w14:paraId="476F1DED" w14:textId="77777777" w:rsidR="00376BEB" w:rsidRDefault="00376BEB" w:rsidP="00854EFC">
      <w:pPr>
        <w:pStyle w:val="parrafonumerado"/>
      </w:pPr>
      <w:r>
        <w:t xml:space="preserve">Se estima un total de </w:t>
      </w:r>
      <w:r w:rsidR="00986490">
        <w:t>2</w:t>
      </w:r>
      <w:r w:rsidR="00D64E0D">
        <w:t>6</w:t>
      </w:r>
      <w:r>
        <w:t>,</w:t>
      </w:r>
      <w:r w:rsidR="00D64E0D">
        <w:t>687</w:t>
      </w:r>
      <w:r>
        <w:t xml:space="preserve"> beneficiarios directos, con </w:t>
      </w:r>
      <w:r w:rsidR="00D64E0D">
        <w:t>21</w:t>
      </w:r>
      <w:r>
        <w:t>,</w:t>
      </w:r>
      <w:r w:rsidR="00D64E0D">
        <w:t>349</w:t>
      </w:r>
      <w:r>
        <w:t xml:space="preserve"> hombres y</w:t>
      </w:r>
      <w:r w:rsidR="00986490">
        <w:t xml:space="preserve"> </w:t>
      </w:r>
      <w:r w:rsidR="00D64E0D">
        <w:t>5</w:t>
      </w:r>
      <w:r>
        <w:t>,</w:t>
      </w:r>
      <w:r w:rsidR="00D64E0D">
        <w:t>337</w:t>
      </w:r>
      <w:r>
        <w:t xml:space="preserve"> mujeres.</w:t>
      </w:r>
      <w:r w:rsidR="00041807">
        <w:t xml:space="preserve">  Si se asume un promedio de 4 personas por hogar, el total de personas beneficiarias del proyec</w:t>
      </w:r>
      <w:r w:rsidR="009375A4">
        <w:t xml:space="preserve">to asciende a aproximadamente </w:t>
      </w:r>
      <w:r w:rsidR="00D64E0D">
        <w:t>10</w:t>
      </w:r>
      <w:r w:rsidR="009375A4">
        <w:t>6</w:t>
      </w:r>
      <w:r w:rsidR="00041807">
        <w:t>,000 personas.</w:t>
      </w:r>
    </w:p>
    <w:p w14:paraId="0CDBF51A" w14:textId="6DF4A4A0" w:rsidR="00376BEB" w:rsidRPr="00713DD6" w:rsidRDefault="00DE2184" w:rsidP="00BB3A3B">
      <w:pPr>
        <w:pStyle w:val="Heading2"/>
      </w:pPr>
      <w:bookmarkStart w:id="7" w:name="_Toc17823742"/>
      <w:r w:rsidRPr="00713DD6">
        <w:lastRenderedPageBreak/>
        <w:t>2</w:t>
      </w:r>
      <w:r w:rsidR="00376BEB" w:rsidRPr="00713DD6">
        <w:t>.</w:t>
      </w:r>
      <w:r w:rsidRPr="00713DD6">
        <w:t>3.</w:t>
      </w:r>
      <w:r w:rsidR="00376BEB" w:rsidRPr="00713DD6">
        <w:t xml:space="preserve"> Beneficiarios indire</w:t>
      </w:r>
      <w:r w:rsidR="00713DD6" w:rsidRPr="00713DD6">
        <w:t>ctos</w:t>
      </w:r>
      <w:r w:rsidR="001E5874">
        <w:t xml:space="preserve"> del proyecto</w:t>
      </w:r>
      <w:r w:rsidR="00F11EE2">
        <w:t xml:space="preserve"> integrado</w:t>
      </w:r>
      <w:bookmarkEnd w:id="7"/>
    </w:p>
    <w:p w14:paraId="6D569E6A" w14:textId="77777777" w:rsidR="00376BEB" w:rsidRDefault="007658B6" w:rsidP="00854EFC">
      <w:pPr>
        <w:pStyle w:val="parrafonumerado"/>
      </w:pPr>
      <w:r>
        <w:t xml:space="preserve">Para la estimación de los beneficiarios indirectos </w:t>
      </w:r>
      <w:r w:rsidR="001E5874">
        <w:t xml:space="preserve">del conjunto del proyecto </w:t>
      </w:r>
      <w:r>
        <w:t>se procedió a proyectar la población de Honduras al año 2018 utilizando las tasas de cambio poblacional entre 2002 y 2013 (intercensal)</w:t>
      </w:r>
      <w:r w:rsidR="008B0C19">
        <w:t xml:space="preserve"> para cada municipio.  Se mantuvieron las proporciones de población rural y agropecuaria del año 2013.  La población estimada para 2018 fue de 9.33 millones de personas, de las cuales 1.09 millones se ubican en la ciudad de Tegucigalpa.</w:t>
      </w:r>
    </w:p>
    <w:p w14:paraId="2F083CA6" w14:textId="77777777" w:rsidR="008B0C19" w:rsidRDefault="008B0C19" w:rsidP="00854EFC">
      <w:pPr>
        <w:pStyle w:val="parrafonumerado"/>
      </w:pPr>
      <w:r>
        <w:t xml:space="preserve">En base a esta proyección se hicieron supuestos sobre el alcance del proyecto a beneficiarios indirectos </w:t>
      </w:r>
      <w:r w:rsidR="001E5874">
        <w:t>tanto</w:t>
      </w:r>
      <w:r>
        <w:t xml:space="preserve"> </w:t>
      </w:r>
      <w:r w:rsidR="001E5874">
        <w:t xml:space="preserve">en </w:t>
      </w:r>
      <w:r>
        <w:t>el ámbito de influencia</w:t>
      </w:r>
      <w:r w:rsidR="001E5874">
        <w:t xml:space="preserve"> de C1/C2</w:t>
      </w:r>
      <w:r w:rsidR="004C5620">
        <w:t>/C3</w:t>
      </w:r>
      <w:r w:rsidR="001E5874">
        <w:t xml:space="preserve"> como en C2 exclusivamente</w:t>
      </w:r>
      <w:r>
        <w:t xml:space="preserve">, es decir, aquellos que recibirán beneficios </w:t>
      </w:r>
      <w:r w:rsidR="001E5874">
        <w:t xml:space="preserve">ya sea </w:t>
      </w:r>
      <w:r>
        <w:t>por una mayor y más segura dotación de recursos hídricos</w:t>
      </w:r>
      <w:r w:rsidR="001E5874">
        <w:t xml:space="preserve"> y otros servicios (C1/C2</w:t>
      </w:r>
      <w:r w:rsidR="004C5620">
        <w:t>/C3</w:t>
      </w:r>
      <w:r w:rsidR="001E5874">
        <w:t>) como por pérdidas evitadas por mejor manejo sanitario forestal (sólo C2)</w:t>
      </w:r>
      <w:r>
        <w:t>.  Las estimaciones planteadas se presentan en el cuadro siguiente.</w:t>
      </w:r>
    </w:p>
    <w:p w14:paraId="6A0B74C2" w14:textId="5D5C6F01" w:rsidR="00376BEB" w:rsidRDefault="008B0C19" w:rsidP="001A1CE2">
      <w:pPr>
        <w:pStyle w:val="NoSpacing"/>
      </w:pPr>
      <w:r>
        <w:t>Cuadro 5.  Estimación de beneficiarios indirectos</w:t>
      </w:r>
      <w:r w:rsidR="00F11EE2">
        <w:t xml:space="preserve"> del proyecto integrado</w:t>
      </w:r>
    </w:p>
    <w:tbl>
      <w:tblPr>
        <w:tblW w:w="7507" w:type="dxa"/>
        <w:tblInd w:w="562" w:type="dxa"/>
        <w:tblCellMar>
          <w:left w:w="0" w:type="dxa"/>
          <w:right w:w="0" w:type="dxa"/>
        </w:tblCellMar>
        <w:tblLook w:val="04A0" w:firstRow="1" w:lastRow="0" w:firstColumn="1" w:lastColumn="0" w:noHBand="0" w:noVBand="1"/>
      </w:tblPr>
      <w:tblGrid>
        <w:gridCol w:w="3119"/>
        <w:gridCol w:w="1134"/>
        <w:gridCol w:w="1134"/>
        <w:gridCol w:w="1080"/>
        <w:gridCol w:w="1040"/>
      </w:tblGrid>
      <w:tr w:rsidR="00743FED" w:rsidRPr="00743FED" w14:paraId="119D8065" w14:textId="77777777" w:rsidTr="00743FED">
        <w:trPr>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9476DB" w14:textId="77777777" w:rsidR="00743FED" w:rsidRPr="00743FED" w:rsidRDefault="00743FED" w:rsidP="00743FED">
            <w:pPr>
              <w:pStyle w:val="NoSpacing"/>
              <w:ind w:firstLine="127"/>
              <w:jc w:val="left"/>
              <w:rPr>
                <w:b/>
                <w:sz w:val="20"/>
                <w:lang w:eastAsia="es-PE"/>
              </w:rPr>
            </w:pPr>
            <w:r w:rsidRPr="00743FED">
              <w:rPr>
                <w:b/>
                <w:sz w:val="20"/>
              </w:rPr>
              <w:t>Beneficiarios directos C1/C2/C3</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A07CA8" w14:textId="77777777" w:rsidR="00743FED" w:rsidRPr="00743FED" w:rsidRDefault="00743FED" w:rsidP="00743FED">
            <w:pPr>
              <w:pStyle w:val="NoSpacing"/>
              <w:rPr>
                <w:sz w:val="20"/>
              </w:rPr>
            </w:pPr>
            <w:r w:rsidRPr="00743FED">
              <w:rPr>
                <w:sz w:val="20"/>
              </w:rPr>
              <w:t> </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DDB35B7" w14:textId="063EB912" w:rsidR="00743FED" w:rsidRPr="00743FED" w:rsidRDefault="00743FED" w:rsidP="00743FED">
            <w:pPr>
              <w:pStyle w:val="NoSpacing"/>
              <w:rPr>
                <w:sz w:val="20"/>
              </w:rPr>
            </w:pPr>
          </w:p>
        </w:tc>
        <w:tc>
          <w:tcPr>
            <w:tcW w:w="108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A86A8B" w14:textId="77777777" w:rsidR="00743FED" w:rsidRPr="00743FED" w:rsidRDefault="00743FED" w:rsidP="00743FED">
            <w:pPr>
              <w:pStyle w:val="NoSpacing"/>
              <w:rPr>
                <w:sz w:val="20"/>
              </w:rPr>
            </w:pPr>
            <w:r w:rsidRPr="00743FED">
              <w:rPr>
                <w:sz w:val="20"/>
              </w:rPr>
              <w:t> </w:t>
            </w:r>
          </w:p>
        </w:tc>
        <w:tc>
          <w:tcPr>
            <w:tcW w:w="1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10C581F" w14:textId="77777777" w:rsidR="00743FED" w:rsidRPr="00743FED" w:rsidRDefault="00743FED" w:rsidP="00743FED">
            <w:pPr>
              <w:pStyle w:val="NoSpacing"/>
              <w:rPr>
                <w:sz w:val="20"/>
              </w:rPr>
            </w:pPr>
            <w:r w:rsidRPr="00743FED">
              <w:rPr>
                <w:sz w:val="20"/>
              </w:rPr>
              <w:t> </w:t>
            </w:r>
          </w:p>
        </w:tc>
      </w:tr>
      <w:tr w:rsidR="00743FED" w:rsidRPr="00743FED" w14:paraId="0B87DD17"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62536214" w14:textId="77777777" w:rsidR="00743FED" w:rsidRPr="00743FED" w:rsidRDefault="00743FED" w:rsidP="00743FED">
            <w:pPr>
              <w:pStyle w:val="NoSpacing"/>
              <w:jc w:val="left"/>
              <w:rPr>
                <w:sz w:val="20"/>
              </w:rPr>
            </w:pPr>
            <w:r w:rsidRPr="00743FED">
              <w:rPr>
                <w:sz w:val="20"/>
              </w:rPr>
              <w:t>Varones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E68CBB" w14:textId="77777777" w:rsidR="00743FED" w:rsidRPr="00743FED" w:rsidRDefault="00743FED" w:rsidP="00743FED">
            <w:pPr>
              <w:pStyle w:val="NoSpacing"/>
              <w:rPr>
                <w:sz w:val="20"/>
              </w:rPr>
            </w:pPr>
            <w:r w:rsidRPr="00743FED">
              <w:rPr>
                <w:sz w:val="20"/>
              </w:rPr>
              <w:t>familias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EB1B841" w14:textId="77777777" w:rsidR="00743FED" w:rsidRPr="00743FED" w:rsidRDefault="00743FED" w:rsidP="00743FED">
            <w:pPr>
              <w:pStyle w:val="NoSpacing"/>
              <w:rPr>
                <w:sz w:val="20"/>
              </w:rPr>
            </w:pPr>
            <w:r w:rsidRPr="00743FED">
              <w:rPr>
                <w:sz w:val="20"/>
              </w:rPr>
              <w:t>21,349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F652AD" w14:textId="77777777" w:rsidR="00743FED" w:rsidRPr="00743FED" w:rsidRDefault="00743FED" w:rsidP="00743FED">
            <w:pPr>
              <w:pStyle w:val="NoSpacing"/>
              <w:rPr>
                <w:sz w:val="20"/>
              </w:rPr>
            </w:pPr>
            <w:r w:rsidRPr="00743FED">
              <w:rPr>
                <w:sz w:val="20"/>
              </w:rPr>
              <w:t>personas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CEB879" w14:textId="77777777" w:rsidR="00743FED" w:rsidRPr="00743FED" w:rsidRDefault="00743FED" w:rsidP="00743FED">
            <w:pPr>
              <w:pStyle w:val="NoSpacing"/>
              <w:rPr>
                <w:sz w:val="20"/>
              </w:rPr>
            </w:pPr>
            <w:r w:rsidRPr="00743FED">
              <w:rPr>
                <w:sz w:val="20"/>
              </w:rPr>
              <w:t>85,398</w:t>
            </w:r>
          </w:p>
        </w:tc>
      </w:tr>
      <w:tr w:rsidR="00743FED" w:rsidRPr="00743FED" w14:paraId="2E346DA2"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76397AD1" w14:textId="77777777" w:rsidR="00743FED" w:rsidRPr="00743FED" w:rsidRDefault="00743FED" w:rsidP="00743FED">
            <w:pPr>
              <w:pStyle w:val="NoSpacing"/>
              <w:jc w:val="left"/>
              <w:rPr>
                <w:sz w:val="20"/>
              </w:rPr>
            </w:pPr>
            <w:r w:rsidRPr="00743FED">
              <w:rPr>
                <w:sz w:val="20"/>
              </w:rPr>
              <w:t>Mujeres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299E5D" w14:textId="77777777" w:rsidR="00743FED" w:rsidRPr="00743FED" w:rsidRDefault="00743FED" w:rsidP="00743FED">
            <w:pPr>
              <w:pStyle w:val="NoSpacing"/>
              <w:rPr>
                <w:sz w:val="20"/>
              </w:rPr>
            </w:pPr>
            <w:r w:rsidRPr="00743FED">
              <w:rPr>
                <w:sz w:val="20"/>
              </w:rPr>
              <w:t>familias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AD01C4" w14:textId="77777777" w:rsidR="00743FED" w:rsidRPr="00743FED" w:rsidRDefault="00743FED" w:rsidP="00743FED">
            <w:pPr>
              <w:pStyle w:val="NoSpacing"/>
              <w:rPr>
                <w:sz w:val="20"/>
              </w:rPr>
            </w:pPr>
            <w:r w:rsidRPr="00743FED">
              <w:rPr>
                <w:sz w:val="20"/>
              </w:rPr>
              <w:t>5,337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929ADF1" w14:textId="77777777" w:rsidR="00743FED" w:rsidRPr="00743FED" w:rsidRDefault="00743FED" w:rsidP="00743FED">
            <w:pPr>
              <w:pStyle w:val="NoSpacing"/>
              <w:rPr>
                <w:sz w:val="20"/>
              </w:rPr>
            </w:pPr>
            <w:r w:rsidRPr="00743FED">
              <w:rPr>
                <w:sz w:val="20"/>
              </w:rPr>
              <w:t>personas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02EC69" w14:textId="77777777" w:rsidR="00743FED" w:rsidRPr="00743FED" w:rsidRDefault="00743FED" w:rsidP="00743FED">
            <w:pPr>
              <w:pStyle w:val="NoSpacing"/>
              <w:rPr>
                <w:sz w:val="20"/>
              </w:rPr>
            </w:pPr>
            <w:r w:rsidRPr="00743FED">
              <w:rPr>
                <w:sz w:val="20"/>
              </w:rPr>
              <w:t>21,349</w:t>
            </w:r>
          </w:p>
        </w:tc>
      </w:tr>
      <w:tr w:rsidR="00743FED" w:rsidRPr="00743FED" w14:paraId="0260C2DB"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2C5EB280" w14:textId="77777777" w:rsidR="00743FED" w:rsidRPr="00743FED" w:rsidRDefault="00743FED" w:rsidP="00743FED">
            <w:pPr>
              <w:pStyle w:val="NoSpacing"/>
              <w:jc w:val="left"/>
              <w:rPr>
                <w:sz w:val="20"/>
              </w:rPr>
            </w:pPr>
            <w:r w:rsidRPr="00743FED">
              <w:rPr>
                <w:sz w:val="20"/>
              </w:rPr>
              <w:t>Total</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F29963" w14:textId="77777777" w:rsidR="00743FED" w:rsidRPr="00743FED" w:rsidRDefault="00743FED" w:rsidP="00743FED">
            <w:pPr>
              <w:pStyle w:val="NoSpacing"/>
              <w:rPr>
                <w:sz w:val="20"/>
              </w:rPr>
            </w:pPr>
            <w:r w:rsidRPr="00743FED">
              <w:rPr>
                <w:sz w:val="20"/>
              </w:rPr>
              <w:t>familias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F35058" w14:textId="77777777" w:rsidR="00743FED" w:rsidRPr="00743FED" w:rsidRDefault="00743FED" w:rsidP="00743FED">
            <w:pPr>
              <w:pStyle w:val="NoSpacing"/>
              <w:rPr>
                <w:sz w:val="20"/>
              </w:rPr>
            </w:pPr>
            <w:r w:rsidRPr="00743FED">
              <w:rPr>
                <w:sz w:val="20"/>
              </w:rPr>
              <w:t>26,687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5E1097" w14:textId="77777777" w:rsidR="00743FED" w:rsidRPr="00743FED" w:rsidRDefault="00743FED" w:rsidP="00743FED">
            <w:pPr>
              <w:pStyle w:val="NoSpacing"/>
              <w:rPr>
                <w:sz w:val="20"/>
              </w:rPr>
            </w:pPr>
            <w:r w:rsidRPr="00743FED">
              <w:rPr>
                <w:sz w:val="20"/>
              </w:rPr>
              <w:t>personas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0AF5BC8" w14:textId="77777777" w:rsidR="00743FED" w:rsidRPr="00743FED" w:rsidRDefault="00743FED" w:rsidP="00743FED">
            <w:pPr>
              <w:pStyle w:val="NoSpacing"/>
              <w:rPr>
                <w:sz w:val="20"/>
              </w:rPr>
            </w:pPr>
            <w:r w:rsidRPr="00743FED">
              <w:rPr>
                <w:sz w:val="20"/>
              </w:rPr>
              <w:t>106,747</w:t>
            </w:r>
          </w:p>
        </w:tc>
      </w:tr>
      <w:tr w:rsidR="00743FED" w:rsidRPr="00743FED" w14:paraId="00A38CC0"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ECFDE8F" w14:textId="77777777" w:rsidR="00743FED" w:rsidRPr="00743FED" w:rsidRDefault="00743FED" w:rsidP="00743FED">
            <w:pPr>
              <w:pStyle w:val="NoSpacing"/>
              <w:ind w:firstLine="127"/>
              <w:jc w:val="left"/>
              <w:rPr>
                <w:b/>
                <w:sz w:val="20"/>
              </w:rPr>
            </w:pPr>
            <w:r w:rsidRPr="00743FED">
              <w:rPr>
                <w:b/>
                <w:sz w:val="20"/>
              </w:rPr>
              <w:t>Beneficiarios indirectos C1/C2/C3</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799D642" w14:textId="77777777" w:rsidR="00743FED" w:rsidRPr="00743FED" w:rsidRDefault="00743FED" w:rsidP="00743FED">
            <w:pPr>
              <w:pStyle w:val="NoSpacing"/>
              <w:rPr>
                <w:sz w:val="20"/>
              </w:rPr>
            </w:pPr>
            <w:r w:rsidRPr="00743FED">
              <w:rPr>
                <w:sz w:val="20"/>
              </w:rPr>
              <w:t> </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BD98AA" w14:textId="77777777" w:rsidR="00743FED" w:rsidRPr="00743FED" w:rsidRDefault="00743FED" w:rsidP="00743FED">
            <w:pPr>
              <w:pStyle w:val="NoSpacing"/>
              <w:rPr>
                <w:sz w:val="20"/>
              </w:rPr>
            </w:pPr>
            <w:r w:rsidRPr="00743FED">
              <w:rPr>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9680CE" w14:textId="77777777" w:rsidR="00743FED" w:rsidRPr="00743FED" w:rsidRDefault="00743FED" w:rsidP="00743FED">
            <w:pPr>
              <w:pStyle w:val="NoSpacing"/>
              <w:rPr>
                <w:sz w:val="20"/>
              </w:rPr>
            </w:pPr>
            <w:r w:rsidRPr="00743FED">
              <w:rPr>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D850E1" w14:textId="77777777" w:rsidR="00743FED" w:rsidRPr="00743FED" w:rsidRDefault="00743FED" w:rsidP="00743FED">
            <w:pPr>
              <w:pStyle w:val="NoSpacing"/>
              <w:rPr>
                <w:sz w:val="20"/>
              </w:rPr>
            </w:pPr>
            <w:r w:rsidRPr="00743FED">
              <w:rPr>
                <w:sz w:val="20"/>
              </w:rPr>
              <w:t> </w:t>
            </w:r>
          </w:p>
        </w:tc>
      </w:tr>
      <w:tr w:rsidR="00743FED" w:rsidRPr="00743FED" w14:paraId="6B9046F0"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1D5B6064" w14:textId="77777777" w:rsidR="00743FED" w:rsidRPr="00743FED" w:rsidRDefault="00743FED" w:rsidP="00743FED">
            <w:pPr>
              <w:pStyle w:val="NoSpacing"/>
              <w:jc w:val="left"/>
              <w:rPr>
                <w:sz w:val="20"/>
              </w:rPr>
            </w:pPr>
            <w:r w:rsidRPr="00743FED">
              <w:rPr>
                <w:sz w:val="20"/>
              </w:rPr>
              <w:t>Tegucigalpa</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8DB079" w14:textId="77777777" w:rsidR="00743FED" w:rsidRPr="00743FED" w:rsidRDefault="00743FED" w:rsidP="00743FED">
            <w:pPr>
              <w:pStyle w:val="NoSpacing"/>
              <w:rPr>
                <w:sz w:val="20"/>
              </w:rPr>
            </w:pPr>
            <w:r w:rsidRPr="00743FED">
              <w:rPr>
                <w:sz w:val="20"/>
              </w:rPr>
              <w:t>personas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B7F6A0" w14:textId="77777777" w:rsidR="00743FED" w:rsidRPr="00743FED" w:rsidRDefault="00743FED" w:rsidP="00743FED">
            <w:pPr>
              <w:pStyle w:val="NoSpacing"/>
              <w:rPr>
                <w:sz w:val="20"/>
              </w:rPr>
            </w:pPr>
            <w:r w:rsidRPr="00743FED">
              <w:rPr>
                <w:sz w:val="20"/>
              </w:rPr>
              <w:t>337,500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7D200F" w14:textId="77777777" w:rsidR="00743FED" w:rsidRPr="00743FED" w:rsidRDefault="00743FED" w:rsidP="00743FED">
            <w:pPr>
              <w:pStyle w:val="NoSpacing"/>
              <w:rPr>
                <w:sz w:val="20"/>
              </w:rPr>
            </w:pPr>
            <w:r w:rsidRPr="00743FED">
              <w:rPr>
                <w:sz w:val="20"/>
              </w:rPr>
              <w:t>1,099,090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43A151" w14:textId="77777777" w:rsidR="00743FED" w:rsidRPr="00743FED" w:rsidRDefault="00743FED" w:rsidP="00743FED">
            <w:pPr>
              <w:pStyle w:val="NoSpacing"/>
              <w:rPr>
                <w:sz w:val="20"/>
              </w:rPr>
            </w:pPr>
            <w:r w:rsidRPr="00743FED">
              <w:rPr>
                <w:sz w:val="20"/>
              </w:rPr>
              <w:t>31%</w:t>
            </w:r>
          </w:p>
        </w:tc>
      </w:tr>
      <w:tr w:rsidR="00743FED" w:rsidRPr="00743FED" w14:paraId="75B7C652"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18FE4CF7" w14:textId="77777777" w:rsidR="00743FED" w:rsidRPr="00743FED" w:rsidRDefault="00743FED" w:rsidP="00743FED">
            <w:pPr>
              <w:pStyle w:val="NoSpacing"/>
              <w:jc w:val="left"/>
              <w:rPr>
                <w:sz w:val="20"/>
              </w:rPr>
            </w:pPr>
            <w:r w:rsidRPr="00743FED">
              <w:rPr>
                <w:sz w:val="20"/>
              </w:rPr>
              <w:t>Otras ciudades &gt; 10k</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DB693C" w14:textId="77777777" w:rsidR="00743FED" w:rsidRPr="00743FED" w:rsidRDefault="00743FED" w:rsidP="00743FED">
            <w:pPr>
              <w:pStyle w:val="NoSpacing"/>
              <w:rPr>
                <w:sz w:val="20"/>
              </w:rPr>
            </w:pPr>
            <w:r w:rsidRPr="00743FED">
              <w:rPr>
                <w:sz w:val="20"/>
              </w:rPr>
              <w:t>personas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6103E7" w14:textId="77777777" w:rsidR="00743FED" w:rsidRPr="00743FED" w:rsidRDefault="00743FED" w:rsidP="00743FED">
            <w:pPr>
              <w:pStyle w:val="NoSpacing"/>
              <w:rPr>
                <w:sz w:val="20"/>
              </w:rPr>
            </w:pPr>
            <w:r w:rsidRPr="00743FED">
              <w:rPr>
                <w:sz w:val="20"/>
              </w:rPr>
              <w:t>112,500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EDF9E58" w14:textId="77777777" w:rsidR="00743FED" w:rsidRPr="00743FED" w:rsidRDefault="00743FED" w:rsidP="00743FED">
            <w:pPr>
              <w:pStyle w:val="NoSpacing"/>
              <w:rPr>
                <w:sz w:val="20"/>
              </w:rPr>
            </w:pPr>
            <w:r w:rsidRPr="00743FED">
              <w:rPr>
                <w:sz w:val="20"/>
              </w:rPr>
              <w:t>361,886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CA5F53" w14:textId="77777777" w:rsidR="00743FED" w:rsidRPr="00743FED" w:rsidRDefault="00743FED" w:rsidP="00743FED">
            <w:pPr>
              <w:pStyle w:val="NoSpacing"/>
              <w:rPr>
                <w:sz w:val="20"/>
              </w:rPr>
            </w:pPr>
            <w:r w:rsidRPr="00743FED">
              <w:rPr>
                <w:sz w:val="20"/>
              </w:rPr>
              <w:t>31%</w:t>
            </w:r>
          </w:p>
        </w:tc>
      </w:tr>
      <w:tr w:rsidR="00743FED" w:rsidRPr="00743FED" w14:paraId="25B7568C"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26402975" w14:textId="77777777" w:rsidR="00743FED" w:rsidRPr="00743FED" w:rsidRDefault="00743FED" w:rsidP="00743FED">
            <w:pPr>
              <w:pStyle w:val="NoSpacing"/>
              <w:jc w:val="left"/>
              <w:rPr>
                <w:sz w:val="20"/>
              </w:rPr>
            </w:pPr>
            <w:r w:rsidRPr="00743FED">
              <w:rPr>
                <w:sz w:val="20"/>
              </w:rPr>
              <w:t>Población agraria</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83361D" w14:textId="77777777" w:rsidR="00743FED" w:rsidRPr="00743FED" w:rsidRDefault="00743FED" w:rsidP="00743FED">
            <w:pPr>
              <w:pStyle w:val="NoSpacing"/>
              <w:rPr>
                <w:sz w:val="20"/>
              </w:rPr>
            </w:pPr>
            <w:r w:rsidRPr="00743FED">
              <w:rPr>
                <w:sz w:val="20"/>
              </w:rPr>
              <w:t>personas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BFAA62" w14:textId="77777777" w:rsidR="00743FED" w:rsidRPr="00743FED" w:rsidRDefault="00743FED" w:rsidP="00743FED">
            <w:pPr>
              <w:pStyle w:val="NoSpacing"/>
              <w:rPr>
                <w:sz w:val="20"/>
              </w:rPr>
            </w:pPr>
            <w:r w:rsidRPr="00743FED">
              <w:rPr>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DF8661E" w14:textId="77777777" w:rsidR="00743FED" w:rsidRPr="00743FED" w:rsidRDefault="00743FED" w:rsidP="00743FED">
            <w:pPr>
              <w:pStyle w:val="NoSpacing"/>
              <w:rPr>
                <w:sz w:val="20"/>
              </w:rPr>
            </w:pPr>
            <w:r w:rsidRPr="00743FED">
              <w:rPr>
                <w:sz w:val="20"/>
              </w:rPr>
              <w:t>527,086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7251C1" w14:textId="77777777" w:rsidR="00743FED" w:rsidRPr="00743FED" w:rsidRDefault="00743FED" w:rsidP="00743FED">
            <w:pPr>
              <w:pStyle w:val="NoSpacing"/>
              <w:rPr>
                <w:sz w:val="20"/>
              </w:rPr>
            </w:pPr>
            <w:r w:rsidRPr="00743FED">
              <w:rPr>
                <w:sz w:val="20"/>
              </w:rPr>
              <w:t>0%</w:t>
            </w:r>
          </w:p>
        </w:tc>
      </w:tr>
      <w:tr w:rsidR="00743FED" w:rsidRPr="00743FED" w14:paraId="0D2E5142"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057FEF09" w14:textId="77777777" w:rsidR="00743FED" w:rsidRPr="00743FED" w:rsidRDefault="00743FED" w:rsidP="00743FED">
            <w:pPr>
              <w:pStyle w:val="NoSpacing"/>
              <w:jc w:val="left"/>
              <w:rPr>
                <w:sz w:val="20"/>
              </w:rPr>
            </w:pPr>
            <w:r w:rsidRPr="00743FED">
              <w:rPr>
                <w:sz w:val="20"/>
              </w:rPr>
              <w:t>Población rural</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01EC43" w14:textId="77777777" w:rsidR="00743FED" w:rsidRPr="00743FED" w:rsidRDefault="00743FED" w:rsidP="00743FED">
            <w:pPr>
              <w:pStyle w:val="NoSpacing"/>
              <w:rPr>
                <w:sz w:val="20"/>
              </w:rPr>
            </w:pPr>
            <w:r w:rsidRPr="00743FED">
              <w:rPr>
                <w:sz w:val="20"/>
              </w:rPr>
              <w:t>personas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D17E77" w14:textId="77777777" w:rsidR="00743FED" w:rsidRPr="00743FED" w:rsidRDefault="00743FED" w:rsidP="00743FED">
            <w:pPr>
              <w:pStyle w:val="NoSpacing"/>
              <w:rPr>
                <w:sz w:val="20"/>
              </w:rPr>
            </w:pPr>
            <w:r w:rsidRPr="00743FED">
              <w:rPr>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BED5095" w14:textId="77777777" w:rsidR="00743FED" w:rsidRPr="00743FED" w:rsidRDefault="00743FED" w:rsidP="00743FED">
            <w:pPr>
              <w:pStyle w:val="NoSpacing"/>
              <w:rPr>
                <w:sz w:val="20"/>
              </w:rPr>
            </w:pPr>
            <w:r w:rsidRPr="00743FED">
              <w:rPr>
                <w:sz w:val="20"/>
              </w:rPr>
              <w:t>735,398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392431" w14:textId="77777777" w:rsidR="00743FED" w:rsidRPr="00743FED" w:rsidRDefault="00743FED" w:rsidP="00743FED">
            <w:pPr>
              <w:pStyle w:val="NoSpacing"/>
              <w:rPr>
                <w:sz w:val="20"/>
              </w:rPr>
            </w:pPr>
            <w:r w:rsidRPr="00743FED">
              <w:rPr>
                <w:sz w:val="20"/>
              </w:rPr>
              <w:t>0%</w:t>
            </w:r>
          </w:p>
        </w:tc>
      </w:tr>
      <w:tr w:rsidR="00743FED" w:rsidRPr="00743FED" w14:paraId="71B16D46"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44F00234" w14:textId="77777777" w:rsidR="00743FED" w:rsidRPr="00743FED" w:rsidRDefault="00743FED" w:rsidP="00743FED">
            <w:pPr>
              <w:pStyle w:val="NoSpacing"/>
              <w:jc w:val="left"/>
              <w:rPr>
                <w:sz w:val="20"/>
              </w:rPr>
            </w:pPr>
            <w:r w:rsidRPr="00743FED">
              <w:rPr>
                <w:sz w:val="20"/>
              </w:rPr>
              <w:t>Población área influencia C1</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916BB1" w14:textId="77777777" w:rsidR="00743FED" w:rsidRPr="00743FED" w:rsidRDefault="00743FED" w:rsidP="00743FED">
            <w:pPr>
              <w:pStyle w:val="NoSpacing"/>
              <w:rPr>
                <w:sz w:val="20"/>
              </w:rPr>
            </w:pPr>
            <w:r w:rsidRPr="00743FED">
              <w:rPr>
                <w:sz w:val="20"/>
              </w:rPr>
              <w:t>personas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3DD473B" w14:textId="77777777" w:rsidR="00743FED" w:rsidRPr="00743FED" w:rsidRDefault="00743FED" w:rsidP="00743FED">
            <w:pPr>
              <w:pStyle w:val="NoSpacing"/>
              <w:rPr>
                <w:sz w:val="20"/>
              </w:rPr>
            </w:pPr>
            <w:r w:rsidRPr="00743FED">
              <w:rPr>
                <w:sz w:val="20"/>
              </w:rPr>
              <w:t>450,000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028BC8" w14:textId="77777777" w:rsidR="00743FED" w:rsidRPr="00743FED" w:rsidRDefault="00743FED" w:rsidP="00743FED">
            <w:pPr>
              <w:pStyle w:val="NoSpacing"/>
              <w:rPr>
                <w:sz w:val="20"/>
              </w:rPr>
            </w:pPr>
            <w:r w:rsidRPr="00743FED">
              <w:rPr>
                <w:sz w:val="20"/>
              </w:rPr>
              <w:t>2,723,460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B96054" w14:textId="77777777" w:rsidR="00743FED" w:rsidRPr="00743FED" w:rsidRDefault="00743FED" w:rsidP="00743FED">
            <w:pPr>
              <w:pStyle w:val="NoSpacing"/>
              <w:rPr>
                <w:sz w:val="20"/>
              </w:rPr>
            </w:pPr>
            <w:r w:rsidRPr="00743FED">
              <w:rPr>
                <w:sz w:val="20"/>
              </w:rPr>
              <w:t>17%</w:t>
            </w:r>
          </w:p>
        </w:tc>
      </w:tr>
      <w:tr w:rsidR="00743FED" w:rsidRPr="00743FED" w14:paraId="07240B96"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536A9630" w14:textId="77777777" w:rsidR="00743FED" w:rsidRPr="00743FED" w:rsidRDefault="00743FED" w:rsidP="00743FED">
            <w:pPr>
              <w:pStyle w:val="NoSpacing"/>
              <w:jc w:val="left"/>
              <w:rPr>
                <w:b/>
                <w:sz w:val="20"/>
              </w:rPr>
            </w:pPr>
            <w:r w:rsidRPr="00743FED">
              <w:rPr>
                <w:b/>
                <w:sz w:val="20"/>
              </w:rPr>
              <w:t>Beneficiarios indirectos C2</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10939E" w14:textId="77777777" w:rsidR="00743FED" w:rsidRPr="00743FED" w:rsidRDefault="00743FED" w:rsidP="00743FED">
            <w:pPr>
              <w:pStyle w:val="NoSpacing"/>
              <w:rPr>
                <w:sz w:val="20"/>
              </w:rPr>
            </w:pPr>
            <w:r w:rsidRPr="00743FED">
              <w:rPr>
                <w:sz w:val="20"/>
              </w:rPr>
              <w:t> </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FBE89F" w14:textId="77777777" w:rsidR="00743FED" w:rsidRPr="00743FED" w:rsidRDefault="00743FED" w:rsidP="00743FED">
            <w:pPr>
              <w:pStyle w:val="NoSpacing"/>
              <w:rPr>
                <w:sz w:val="20"/>
              </w:rPr>
            </w:pPr>
            <w:r w:rsidRPr="00743FED">
              <w:rPr>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C17D588" w14:textId="77777777" w:rsidR="00743FED" w:rsidRPr="00743FED" w:rsidRDefault="00743FED" w:rsidP="00743FED">
            <w:pPr>
              <w:pStyle w:val="NoSpacing"/>
              <w:rPr>
                <w:sz w:val="20"/>
              </w:rPr>
            </w:pPr>
            <w:r w:rsidRPr="00743FED">
              <w:rPr>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679DF8" w14:textId="77777777" w:rsidR="00743FED" w:rsidRPr="00743FED" w:rsidRDefault="00743FED" w:rsidP="00743FED">
            <w:pPr>
              <w:pStyle w:val="NoSpacing"/>
              <w:rPr>
                <w:sz w:val="20"/>
              </w:rPr>
            </w:pPr>
            <w:r w:rsidRPr="00743FED">
              <w:rPr>
                <w:sz w:val="20"/>
              </w:rPr>
              <w:t> </w:t>
            </w:r>
          </w:p>
        </w:tc>
      </w:tr>
      <w:tr w:rsidR="00743FED" w:rsidRPr="00743FED" w14:paraId="2D8FF8CE"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0CDD40D4" w14:textId="77777777" w:rsidR="00743FED" w:rsidRPr="00743FED" w:rsidRDefault="00743FED" w:rsidP="00743FED">
            <w:pPr>
              <w:pStyle w:val="NoSpacing"/>
              <w:jc w:val="left"/>
              <w:rPr>
                <w:sz w:val="20"/>
              </w:rPr>
            </w:pPr>
            <w:r w:rsidRPr="00743FED">
              <w:rPr>
                <w:sz w:val="20"/>
              </w:rPr>
              <w:t>Población urbana</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0CB57F" w14:textId="77777777" w:rsidR="00743FED" w:rsidRPr="00743FED" w:rsidRDefault="00743FED" w:rsidP="00743FED">
            <w:pPr>
              <w:pStyle w:val="NoSpacing"/>
              <w:rPr>
                <w:sz w:val="20"/>
              </w:rPr>
            </w:pPr>
            <w:r w:rsidRPr="00743FED">
              <w:rPr>
                <w:sz w:val="20"/>
              </w:rPr>
              <w:t>personas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9B909E" w14:textId="77777777" w:rsidR="00743FED" w:rsidRPr="00743FED" w:rsidRDefault="00743FED" w:rsidP="00743FED">
            <w:pPr>
              <w:pStyle w:val="NoSpacing"/>
              <w:rPr>
                <w:sz w:val="20"/>
              </w:rPr>
            </w:pPr>
            <w:r w:rsidRPr="00743FED">
              <w:rPr>
                <w:sz w:val="20"/>
              </w:rPr>
              <w:t>501,010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C07E22C" w14:textId="77777777" w:rsidR="00743FED" w:rsidRPr="00743FED" w:rsidRDefault="00743FED" w:rsidP="00743FED">
            <w:pPr>
              <w:pStyle w:val="NoSpacing"/>
              <w:rPr>
                <w:sz w:val="20"/>
              </w:rPr>
            </w:pPr>
            <w:r w:rsidRPr="00743FED">
              <w:rPr>
                <w:sz w:val="20"/>
              </w:rPr>
              <w:t>5,010,104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7CBDF3" w14:textId="77777777" w:rsidR="00743FED" w:rsidRPr="00743FED" w:rsidRDefault="00743FED" w:rsidP="00743FED">
            <w:pPr>
              <w:pStyle w:val="NoSpacing"/>
              <w:rPr>
                <w:sz w:val="20"/>
              </w:rPr>
            </w:pPr>
            <w:r w:rsidRPr="00743FED">
              <w:rPr>
                <w:sz w:val="20"/>
              </w:rPr>
              <w:t>10%</w:t>
            </w:r>
          </w:p>
        </w:tc>
      </w:tr>
      <w:tr w:rsidR="00743FED" w:rsidRPr="00743FED" w14:paraId="28C4A846"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0748D566" w14:textId="77777777" w:rsidR="00743FED" w:rsidRPr="00743FED" w:rsidRDefault="00743FED" w:rsidP="00743FED">
            <w:pPr>
              <w:pStyle w:val="NoSpacing"/>
              <w:jc w:val="left"/>
              <w:rPr>
                <w:sz w:val="20"/>
              </w:rPr>
            </w:pPr>
            <w:r w:rsidRPr="00743FED">
              <w:rPr>
                <w:sz w:val="20"/>
              </w:rPr>
              <w:t>Población agraria</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02F6660" w14:textId="77777777" w:rsidR="00743FED" w:rsidRPr="00743FED" w:rsidRDefault="00743FED" w:rsidP="00743FED">
            <w:pPr>
              <w:pStyle w:val="NoSpacing"/>
              <w:rPr>
                <w:sz w:val="20"/>
              </w:rPr>
            </w:pPr>
            <w:r w:rsidRPr="00743FED">
              <w:rPr>
                <w:sz w:val="20"/>
              </w:rPr>
              <w:t>personas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772CD2" w14:textId="77777777" w:rsidR="00743FED" w:rsidRPr="00743FED" w:rsidRDefault="00743FED" w:rsidP="00743FED">
            <w:pPr>
              <w:pStyle w:val="NoSpacing"/>
              <w:rPr>
                <w:sz w:val="20"/>
              </w:rPr>
            </w:pPr>
            <w:r w:rsidRPr="00743FED">
              <w:rPr>
                <w:sz w:val="20"/>
              </w:rPr>
              <w:t>361,506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7FF33C1" w14:textId="77777777" w:rsidR="00743FED" w:rsidRPr="00743FED" w:rsidRDefault="00743FED" w:rsidP="00743FED">
            <w:pPr>
              <w:pStyle w:val="NoSpacing"/>
              <w:rPr>
                <w:sz w:val="20"/>
              </w:rPr>
            </w:pPr>
            <w:r w:rsidRPr="00743FED">
              <w:rPr>
                <w:sz w:val="20"/>
              </w:rPr>
              <w:t>1,807,529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71472F" w14:textId="77777777" w:rsidR="00743FED" w:rsidRPr="00743FED" w:rsidRDefault="00743FED" w:rsidP="00743FED">
            <w:pPr>
              <w:pStyle w:val="NoSpacing"/>
              <w:rPr>
                <w:sz w:val="20"/>
              </w:rPr>
            </w:pPr>
            <w:r w:rsidRPr="00743FED">
              <w:rPr>
                <w:sz w:val="20"/>
              </w:rPr>
              <w:t>20%</w:t>
            </w:r>
          </w:p>
        </w:tc>
      </w:tr>
      <w:tr w:rsidR="00743FED" w:rsidRPr="00743FED" w14:paraId="24D379FF"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1B7842E0" w14:textId="77777777" w:rsidR="00743FED" w:rsidRPr="00743FED" w:rsidRDefault="00743FED" w:rsidP="00743FED">
            <w:pPr>
              <w:pStyle w:val="NoSpacing"/>
              <w:jc w:val="left"/>
              <w:rPr>
                <w:sz w:val="20"/>
              </w:rPr>
            </w:pPr>
            <w:r w:rsidRPr="00743FED">
              <w:rPr>
                <w:sz w:val="20"/>
              </w:rPr>
              <w:t>Población rural</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AA3CC0" w14:textId="77777777" w:rsidR="00743FED" w:rsidRPr="00743FED" w:rsidRDefault="00743FED" w:rsidP="00743FED">
            <w:pPr>
              <w:pStyle w:val="NoSpacing"/>
              <w:rPr>
                <w:sz w:val="20"/>
              </w:rPr>
            </w:pPr>
            <w:r w:rsidRPr="00743FED">
              <w:rPr>
                <w:sz w:val="20"/>
              </w:rPr>
              <w:t>personas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E9867C" w14:textId="77777777" w:rsidR="00743FED" w:rsidRPr="00743FED" w:rsidRDefault="00743FED" w:rsidP="00743FED">
            <w:pPr>
              <w:pStyle w:val="NoSpacing"/>
              <w:rPr>
                <w:sz w:val="20"/>
              </w:rPr>
            </w:pPr>
            <w:r w:rsidRPr="00743FED">
              <w:rPr>
                <w:sz w:val="20"/>
              </w:rPr>
              <w:t>378,284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9D94340" w14:textId="77777777" w:rsidR="00743FED" w:rsidRPr="00743FED" w:rsidRDefault="00743FED" w:rsidP="00743FED">
            <w:pPr>
              <w:pStyle w:val="NoSpacing"/>
              <w:rPr>
                <w:sz w:val="20"/>
              </w:rPr>
            </w:pPr>
            <w:r w:rsidRPr="00743FED">
              <w:rPr>
                <w:sz w:val="20"/>
              </w:rPr>
              <w:t>2,521,890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EF5C000" w14:textId="77777777" w:rsidR="00743FED" w:rsidRPr="00743FED" w:rsidRDefault="00743FED" w:rsidP="00743FED">
            <w:pPr>
              <w:pStyle w:val="NoSpacing"/>
              <w:rPr>
                <w:sz w:val="20"/>
              </w:rPr>
            </w:pPr>
            <w:r w:rsidRPr="00743FED">
              <w:rPr>
                <w:sz w:val="20"/>
              </w:rPr>
              <w:t>15%</w:t>
            </w:r>
          </w:p>
        </w:tc>
      </w:tr>
      <w:tr w:rsidR="00743FED" w:rsidRPr="00743FED" w14:paraId="1CBBBC9A"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35" w:type="dxa"/>
              <w:bottom w:w="0" w:type="dxa"/>
              <w:right w:w="15" w:type="dxa"/>
            </w:tcMar>
            <w:vAlign w:val="bottom"/>
            <w:hideMark/>
          </w:tcPr>
          <w:p w14:paraId="5FFBF5BD" w14:textId="77777777" w:rsidR="00743FED" w:rsidRPr="00743FED" w:rsidRDefault="00743FED" w:rsidP="00743FED">
            <w:pPr>
              <w:pStyle w:val="NoSpacing"/>
              <w:jc w:val="left"/>
              <w:rPr>
                <w:sz w:val="20"/>
              </w:rPr>
            </w:pPr>
            <w:r w:rsidRPr="00743FED">
              <w:rPr>
                <w:sz w:val="20"/>
              </w:rPr>
              <w:t>Población área influencia C2</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0F4626" w14:textId="77777777" w:rsidR="00743FED" w:rsidRPr="00743FED" w:rsidRDefault="00743FED" w:rsidP="00743FED">
            <w:pPr>
              <w:pStyle w:val="NoSpacing"/>
              <w:rPr>
                <w:sz w:val="20"/>
              </w:rPr>
            </w:pPr>
            <w:r w:rsidRPr="00743FED">
              <w:rPr>
                <w:sz w:val="20"/>
              </w:rPr>
              <w:t> </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030EA0" w14:textId="77777777" w:rsidR="00743FED" w:rsidRPr="00743FED" w:rsidRDefault="00743FED" w:rsidP="00743FED">
            <w:pPr>
              <w:pStyle w:val="NoSpacing"/>
              <w:rPr>
                <w:sz w:val="20"/>
              </w:rPr>
            </w:pPr>
            <w:r w:rsidRPr="00743FED">
              <w:rPr>
                <w:sz w:val="20"/>
              </w:rPr>
              <w:t>1,240,800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54DC67" w14:textId="77777777" w:rsidR="00743FED" w:rsidRPr="00743FED" w:rsidRDefault="00743FED" w:rsidP="00743FED">
            <w:pPr>
              <w:pStyle w:val="NoSpacing"/>
              <w:rPr>
                <w:sz w:val="20"/>
              </w:rPr>
            </w:pPr>
            <w:r w:rsidRPr="00743FED">
              <w:rPr>
                <w:sz w:val="20"/>
              </w:rPr>
              <w:t>9,339,523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9831CF" w14:textId="77777777" w:rsidR="00743FED" w:rsidRPr="00743FED" w:rsidRDefault="00743FED" w:rsidP="00743FED">
            <w:pPr>
              <w:pStyle w:val="NoSpacing"/>
              <w:rPr>
                <w:sz w:val="20"/>
              </w:rPr>
            </w:pPr>
            <w:r w:rsidRPr="00743FED">
              <w:rPr>
                <w:sz w:val="20"/>
              </w:rPr>
              <w:t>13%</w:t>
            </w:r>
          </w:p>
        </w:tc>
      </w:tr>
      <w:tr w:rsidR="00743FED" w:rsidRPr="00743FED" w14:paraId="6CC2769C" w14:textId="77777777" w:rsidTr="00743FED">
        <w:trPr>
          <w:trHeight w:val="300"/>
        </w:trPr>
        <w:tc>
          <w:tcPr>
            <w:tcW w:w="31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F4A83C" w14:textId="77777777" w:rsidR="00743FED" w:rsidRPr="00743FED" w:rsidRDefault="00743FED" w:rsidP="00743FED">
            <w:pPr>
              <w:pStyle w:val="NoSpacing"/>
              <w:ind w:firstLine="127"/>
              <w:jc w:val="left"/>
              <w:rPr>
                <w:sz w:val="20"/>
              </w:rPr>
            </w:pPr>
            <w:proofErr w:type="gramStart"/>
            <w:r w:rsidRPr="00743FED">
              <w:rPr>
                <w:sz w:val="20"/>
              </w:rPr>
              <w:t>Total</w:t>
            </w:r>
            <w:proofErr w:type="gramEnd"/>
            <w:r w:rsidRPr="00743FED">
              <w:rPr>
                <w:sz w:val="20"/>
              </w:rPr>
              <w:t xml:space="preserve"> indirectos del proyecto</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E6C808" w14:textId="77777777" w:rsidR="00743FED" w:rsidRPr="00743FED" w:rsidRDefault="00743FED" w:rsidP="00743FED">
            <w:pPr>
              <w:pStyle w:val="NoSpacing"/>
              <w:rPr>
                <w:sz w:val="20"/>
              </w:rPr>
            </w:pPr>
            <w:r w:rsidRPr="00743FED">
              <w:rPr>
                <w:sz w:val="20"/>
              </w:rPr>
              <w:t>personas</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94CAA0" w14:textId="77777777" w:rsidR="00743FED" w:rsidRPr="00743FED" w:rsidRDefault="00743FED" w:rsidP="00743FED">
            <w:pPr>
              <w:pStyle w:val="NoSpacing"/>
              <w:rPr>
                <w:sz w:val="20"/>
              </w:rPr>
            </w:pPr>
            <w:r w:rsidRPr="00743FED">
              <w:rPr>
                <w:sz w:val="20"/>
              </w:rPr>
              <w:t>1,690,800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D2E2F4B" w14:textId="77777777" w:rsidR="00743FED" w:rsidRPr="00743FED" w:rsidRDefault="00743FED" w:rsidP="00743FED">
            <w:pPr>
              <w:pStyle w:val="NoSpacing"/>
              <w:rPr>
                <w:sz w:val="20"/>
              </w:rPr>
            </w:pPr>
            <w:r w:rsidRPr="00743FED">
              <w:rPr>
                <w:sz w:val="20"/>
              </w:rPr>
              <w:t>9,339,523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D941EA" w14:textId="77777777" w:rsidR="00743FED" w:rsidRPr="00743FED" w:rsidRDefault="00743FED" w:rsidP="00743FED">
            <w:pPr>
              <w:pStyle w:val="NoSpacing"/>
              <w:rPr>
                <w:sz w:val="20"/>
              </w:rPr>
            </w:pPr>
            <w:r w:rsidRPr="00743FED">
              <w:rPr>
                <w:sz w:val="20"/>
              </w:rPr>
              <w:t>18.1%</w:t>
            </w:r>
          </w:p>
        </w:tc>
      </w:tr>
      <w:tr w:rsidR="00743FED" w:rsidRPr="00743FED" w14:paraId="47974930" w14:textId="77777777" w:rsidTr="00743FED">
        <w:trPr>
          <w:trHeight w:val="403"/>
        </w:trPr>
        <w:tc>
          <w:tcPr>
            <w:tcW w:w="31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4D3F3F" w14:textId="77777777" w:rsidR="00743FED" w:rsidRPr="00743FED" w:rsidRDefault="00743FED" w:rsidP="00743FED">
            <w:pPr>
              <w:pStyle w:val="NoSpacing"/>
              <w:jc w:val="left"/>
              <w:rPr>
                <w:b/>
                <w:sz w:val="20"/>
              </w:rPr>
            </w:pPr>
            <w:proofErr w:type="gramStart"/>
            <w:r w:rsidRPr="00743FED">
              <w:rPr>
                <w:b/>
                <w:sz w:val="20"/>
              </w:rPr>
              <w:t>TOTAL</w:t>
            </w:r>
            <w:proofErr w:type="gramEnd"/>
            <w:r w:rsidRPr="00743FED">
              <w:rPr>
                <w:b/>
                <w:sz w:val="20"/>
              </w:rPr>
              <w:t xml:space="preserve"> PROYECTO</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D804866" w14:textId="77777777" w:rsidR="00743FED" w:rsidRPr="00743FED" w:rsidRDefault="00743FED" w:rsidP="00743FED">
            <w:pPr>
              <w:pStyle w:val="NoSpacing"/>
              <w:rPr>
                <w:b/>
                <w:sz w:val="20"/>
              </w:rPr>
            </w:pPr>
            <w:r w:rsidRPr="00743FED">
              <w:rPr>
                <w:b/>
                <w:sz w:val="20"/>
              </w:rPr>
              <w:t> </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D665C48" w14:textId="77777777" w:rsidR="00743FED" w:rsidRPr="00743FED" w:rsidRDefault="00743FED" w:rsidP="00743FED">
            <w:pPr>
              <w:pStyle w:val="NoSpacing"/>
              <w:rPr>
                <w:b/>
                <w:sz w:val="20"/>
              </w:rPr>
            </w:pPr>
            <w:r w:rsidRPr="00743FED">
              <w:rPr>
                <w:b/>
                <w:sz w:val="20"/>
              </w:rPr>
              <w:t>1,797,547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EEE6DB" w14:textId="77777777" w:rsidR="00743FED" w:rsidRPr="00743FED" w:rsidRDefault="00743FED" w:rsidP="00743FED">
            <w:pPr>
              <w:pStyle w:val="NoSpacing"/>
              <w:rPr>
                <w:b/>
                <w:sz w:val="20"/>
              </w:rPr>
            </w:pPr>
            <w:r w:rsidRPr="00743FED">
              <w:rPr>
                <w:b/>
                <w:sz w:val="20"/>
              </w:rPr>
              <w:t>9,339,523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A1B624F" w14:textId="77777777" w:rsidR="00743FED" w:rsidRPr="00743FED" w:rsidRDefault="00743FED" w:rsidP="00743FED">
            <w:pPr>
              <w:pStyle w:val="NoSpacing"/>
              <w:rPr>
                <w:b/>
                <w:sz w:val="20"/>
              </w:rPr>
            </w:pPr>
            <w:r w:rsidRPr="00743FED">
              <w:rPr>
                <w:b/>
                <w:sz w:val="20"/>
              </w:rPr>
              <w:t>19.2%</w:t>
            </w:r>
          </w:p>
        </w:tc>
      </w:tr>
    </w:tbl>
    <w:p w14:paraId="38389589" w14:textId="11DFA423" w:rsidR="008B0C19" w:rsidRPr="00321137" w:rsidRDefault="00743FED" w:rsidP="00D6653E">
      <w:pPr>
        <w:pStyle w:val="fuente"/>
        <w:ind w:firstLine="567"/>
      </w:pPr>
      <w:r w:rsidRPr="00321137">
        <w:t xml:space="preserve"> </w:t>
      </w:r>
      <w:r w:rsidR="008B0C19" w:rsidRPr="00321137">
        <w:t>Fuente: estimados propios.</w:t>
      </w:r>
    </w:p>
    <w:p w14:paraId="6DCD7C76" w14:textId="02C9B252" w:rsidR="008B0C19" w:rsidRDefault="008B0C19" w:rsidP="00854EFC">
      <w:pPr>
        <w:pStyle w:val="parrafonumerado"/>
      </w:pPr>
      <w:r>
        <w:t xml:space="preserve">Para </w:t>
      </w:r>
      <w:r w:rsidR="00BC3B25">
        <w:t>C1/C2</w:t>
      </w:r>
      <w:r w:rsidR="001A1CE2">
        <w:t>/C3</w:t>
      </w:r>
      <w:r>
        <w:t xml:space="preserve">, se </w:t>
      </w:r>
      <w:r w:rsidR="00743FED">
        <w:t>estima</w:t>
      </w:r>
      <w:r>
        <w:t xml:space="preserve"> que </w:t>
      </w:r>
      <w:r w:rsidR="00743FED">
        <w:t xml:space="preserve">450,000 personas podrán asegurar el suministro de agua en los meses secos del año de acuerdo a la cantidad de agua adicional que generarán las intervenciones del proyecto en cuanto a la restauración y manejo de bosques.  Estos beneficiarios se ubicarán en los ámbitos urbanos, con 75% en Tegucigalpa y 25% en el resto de </w:t>
      </w:r>
      <w:proofErr w:type="gramStart"/>
      <w:r w:rsidR="00743FED">
        <w:t>ciudades</w:t>
      </w:r>
      <w:proofErr w:type="gramEnd"/>
      <w:r w:rsidR="00743FED">
        <w:t xml:space="preserve"> de más de 10,000 habitantes.  Estos beneficiarios indirectos equivalen al 17% de la población en el ámbito de C1/C2/C3.</w:t>
      </w:r>
    </w:p>
    <w:p w14:paraId="7F2CB6F2" w14:textId="5CF92000" w:rsidR="009B0C54" w:rsidRDefault="00BC3B25" w:rsidP="00854EFC">
      <w:pPr>
        <w:pStyle w:val="parrafonumerado"/>
      </w:pPr>
      <w:r>
        <w:t>Adicionalmente, se consideraron beneficiarios en el resto del ámbito nacional del C2 que tiene dicho alcance.  Para C2 se estimó un total de 1.24 millones</w:t>
      </w:r>
      <w:r w:rsidR="009B0C54">
        <w:t>.</w:t>
      </w:r>
      <w:r w:rsidR="001A1CE2">
        <w:t xml:space="preserve"> </w:t>
      </w:r>
      <w:r w:rsidR="009B0C54">
        <w:t xml:space="preserve">El total de beneficiarios indirectos asciende a </w:t>
      </w:r>
      <w:r w:rsidR="00020B9D">
        <w:t>1</w:t>
      </w:r>
      <w:r w:rsidR="009B0C54">
        <w:t>.</w:t>
      </w:r>
      <w:r w:rsidR="00020B9D">
        <w:t>69</w:t>
      </w:r>
      <w:r w:rsidR="009B0C54">
        <w:t xml:space="preserve"> millones de personas, equivalente al </w:t>
      </w:r>
      <w:r w:rsidR="00020B9D">
        <w:t>18</w:t>
      </w:r>
      <w:r w:rsidR="009B0C54">
        <w:t>.</w:t>
      </w:r>
      <w:r w:rsidR="00020B9D">
        <w:t>1</w:t>
      </w:r>
      <w:r w:rsidR="009B0C54">
        <w:t xml:space="preserve">% de la población de Honduras.  Si se le suman los beneficiarios directos del proyecto </w:t>
      </w:r>
      <w:r w:rsidR="00047AA1">
        <w:t>en C1/C2</w:t>
      </w:r>
      <w:r w:rsidR="001A1CE2">
        <w:t>/C3</w:t>
      </w:r>
      <w:r w:rsidR="00047AA1">
        <w:t xml:space="preserve"> </w:t>
      </w:r>
      <w:r w:rsidR="009B0C54">
        <w:t xml:space="preserve">(unas </w:t>
      </w:r>
      <w:r w:rsidR="001A1CE2">
        <w:t>10</w:t>
      </w:r>
      <w:r w:rsidR="009375A4">
        <w:t>6</w:t>
      </w:r>
      <w:r w:rsidR="009B0C54">
        <w:t xml:space="preserve">,000 personas), el total </w:t>
      </w:r>
      <w:r w:rsidR="00047AA1">
        <w:t xml:space="preserve">de beneficiarios </w:t>
      </w:r>
      <w:r w:rsidR="009B0C54">
        <w:t xml:space="preserve">asciende a </w:t>
      </w:r>
      <w:r w:rsidR="00020B9D">
        <w:t>1</w:t>
      </w:r>
      <w:r w:rsidR="009B0C54">
        <w:t>.</w:t>
      </w:r>
      <w:r w:rsidR="00020B9D">
        <w:t>8</w:t>
      </w:r>
      <w:r w:rsidR="009B0C54">
        <w:t xml:space="preserve"> millones, que equivale a </w:t>
      </w:r>
      <w:r w:rsidR="00020B9D">
        <w:t>19</w:t>
      </w:r>
      <w:r w:rsidR="001A1CE2">
        <w:t>.</w:t>
      </w:r>
      <w:r w:rsidR="00020B9D">
        <w:t>2</w:t>
      </w:r>
      <w:r w:rsidR="009B0C54">
        <w:t>% de la población total del país estimada para el año 2018.</w:t>
      </w:r>
    </w:p>
    <w:p w14:paraId="71735A52" w14:textId="77777777" w:rsidR="007658B6" w:rsidRDefault="007658B6" w:rsidP="0047509A"/>
    <w:p w14:paraId="715CF818" w14:textId="25510140" w:rsidR="00376BEB" w:rsidRPr="006025D5" w:rsidRDefault="00BB3F5C" w:rsidP="00041807">
      <w:pPr>
        <w:pStyle w:val="Heading1"/>
      </w:pPr>
      <w:bookmarkStart w:id="8" w:name="_Toc17823743"/>
      <w:r w:rsidRPr="006025D5">
        <w:t xml:space="preserve">Sección 3.  Beneficios esperados del </w:t>
      </w:r>
      <w:r w:rsidR="00F11EE2">
        <w:t xml:space="preserve">nuevo </w:t>
      </w:r>
      <w:r w:rsidR="00532817">
        <w:t>proyecto</w:t>
      </w:r>
      <w:r w:rsidR="00306ED5">
        <w:rPr>
          <w:rStyle w:val="FootnoteReference"/>
        </w:rPr>
        <w:footnoteReference w:id="4"/>
      </w:r>
      <w:bookmarkEnd w:id="8"/>
    </w:p>
    <w:p w14:paraId="16A697BF" w14:textId="20ADD7AE" w:rsidR="00FB642B" w:rsidRDefault="00306ED5" w:rsidP="00854EFC">
      <w:pPr>
        <w:pStyle w:val="parrafonumerado"/>
      </w:pPr>
      <w:r>
        <w:t>E</w:t>
      </w:r>
      <w:r w:rsidR="00FB642B">
        <w:t xml:space="preserve">l proyecto tiene como principal objetivo mejorar la </w:t>
      </w:r>
      <w:r w:rsidR="002E3F3A">
        <w:t>resiliencia</w:t>
      </w:r>
      <w:r w:rsidR="00FB642B">
        <w:t xml:space="preserve"> de la población hondureña en </w:t>
      </w:r>
      <w:r w:rsidR="006025D5">
        <w:t>cuanto a su</w:t>
      </w:r>
      <w:r w:rsidR="00FB642B">
        <w:t xml:space="preserve"> acceso al agua a través de intervenciones para restaurar el bosque de pino y reducir su vulnerabilidad ante el ataque del gorgojo </w:t>
      </w:r>
      <w:r w:rsidR="006025D5">
        <w:t xml:space="preserve">descortezador </w:t>
      </w:r>
      <w:r w:rsidR="00FB642B">
        <w:t xml:space="preserve">en un contexto de cambio climático.  </w:t>
      </w:r>
      <w:r>
        <w:t>L</w:t>
      </w:r>
      <w:r w:rsidR="00FB642B">
        <w:t>os beneficios esperados más importantes</w:t>
      </w:r>
      <w:r>
        <w:t xml:space="preserve"> del proyecto</w:t>
      </w:r>
      <w:r w:rsidR="00FB642B">
        <w:t xml:space="preserve"> son:</w:t>
      </w:r>
    </w:p>
    <w:p w14:paraId="10184AF0" w14:textId="77777777" w:rsidR="00FB642B" w:rsidRDefault="00FB642B" w:rsidP="00677866">
      <w:pPr>
        <w:ind w:left="708" w:right="140"/>
      </w:pPr>
      <w:r>
        <w:t>(i) Aumento en la dotación de agua disponible para uso productivo y consumo humano</w:t>
      </w:r>
      <w:r w:rsidR="00306ED5">
        <w:t xml:space="preserve"> por procesos de restauración y por el tratamiento de áreas no plagadas</w:t>
      </w:r>
      <w:r>
        <w:t xml:space="preserve">; </w:t>
      </w:r>
    </w:p>
    <w:p w14:paraId="6664BB88" w14:textId="77777777" w:rsidR="00081226" w:rsidRDefault="00081226" w:rsidP="00081226">
      <w:pPr>
        <w:ind w:left="708" w:right="140"/>
      </w:pPr>
      <w:r>
        <w:t>(ii) Mayor fijación de carbono por restauración de bosque</w:t>
      </w:r>
    </w:p>
    <w:p w14:paraId="248AD6F0" w14:textId="5F86D994" w:rsidR="00081226" w:rsidRDefault="00081226" w:rsidP="00081226">
      <w:pPr>
        <w:ind w:left="708" w:right="140"/>
      </w:pPr>
      <w:r>
        <w:t>(iii) Emisiones evitadas de carbono por menor cambio de uso del bosque por aplicación de MFA en zonas no plagadas;</w:t>
      </w:r>
    </w:p>
    <w:p w14:paraId="0EFF96C8" w14:textId="7DCF5593" w:rsidR="00FB642B" w:rsidRDefault="00081226" w:rsidP="00081226">
      <w:pPr>
        <w:ind w:left="708" w:right="140"/>
      </w:pPr>
      <w:r>
        <w:t xml:space="preserve"> </w:t>
      </w:r>
      <w:r w:rsidR="00FB642B">
        <w:t>(i</w:t>
      </w:r>
      <w:r>
        <w:t>v</w:t>
      </w:r>
      <w:r w:rsidR="00FB642B">
        <w:t xml:space="preserve">) </w:t>
      </w:r>
      <w:r>
        <w:t>Valor de</w:t>
      </w:r>
      <w:r w:rsidR="00FB642B">
        <w:t xml:space="preserve"> productos forestales </w:t>
      </w:r>
      <w:r w:rsidR="00471A74">
        <w:t xml:space="preserve">maderables y no maderables </w:t>
      </w:r>
      <w:r w:rsidR="00FB642B">
        <w:t>en las áreas de bosque en producción</w:t>
      </w:r>
      <w:r w:rsidR="00532817">
        <w:t xml:space="preserve"> en C1/C2</w:t>
      </w:r>
      <w:r w:rsidR="00FB642B">
        <w:t>;</w:t>
      </w:r>
    </w:p>
    <w:p w14:paraId="7E4835F8" w14:textId="1612F652" w:rsidR="006025D5" w:rsidRDefault="006025D5" w:rsidP="00677866">
      <w:pPr>
        <w:ind w:left="708" w:right="140"/>
      </w:pPr>
      <w:r>
        <w:t xml:space="preserve">(v) </w:t>
      </w:r>
      <w:r w:rsidR="001D550E">
        <w:t>Mayores ingresos de productores que adoptan sistemas agroforestales</w:t>
      </w:r>
      <w:r w:rsidR="00453CFD">
        <w:t xml:space="preserve"> (SAF)</w:t>
      </w:r>
      <w:r>
        <w:t xml:space="preserve">; </w:t>
      </w:r>
    </w:p>
    <w:p w14:paraId="27309029" w14:textId="4E3015DF" w:rsidR="00B714A9" w:rsidRDefault="00B714A9" w:rsidP="00677866">
      <w:pPr>
        <w:ind w:left="708" w:right="140"/>
      </w:pPr>
      <w:r>
        <w:t>(v</w:t>
      </w:r>
      <w:r w:rsidR="0065544A">
        <w:t>i</w:t>
      </w:r>
      <w:r>
        <w:t>) Pérdidas evitadas por menor sedimentación en reservorios y represas;</w:t>
      </w:r>
    </w:p>
    <w:p w14:paraId="09A01E4E" w14:textId="77777777" w:rsidR="00FB642B" w:rsidRDefault="00FB642B" w:rsidP="00854EFC">
      <w:pPr>
        <w:pStyle w:val="parrafonumerado"/>
      </w:pPr>
      <w:r>
        <w:t xml:space="preserve">En esta sección describimos cada uno de estos beneficios esperados, con particular atención a </w:t>
      </w:r>
      <w:r w:rsidR="00453CFD">
        <w:t xml:space="preserve">la forma de asignarle valor </w:t>
      </w:r>
      <w:r w:rsidR="00433162">
        <w:t>p</w:t>
      </w:r>
      <w:r w:rsidR="00453CFD">
        <w:t>a</w:t>
      </w:r>
      <w:r w:rsidR="00433162">
        <w:t>r</w:t>
      </w:r>
      <w:r w:rsidR="00453CFD">
        <w:t>a</w:t>
      </w:r>
      <w:r w:rsidR="00433162">
        <w:t xml:space="preserve"> efectos de</w:t>
      </w:r>
      <w:r w:rsidR="00453CFD">
        <w:t xml:space="preserve"> </w:t>
      </w:r>
      <w:r w:rsidR="00433162">
        <w:t>l</w:t>
      </w:r>
      <w:r w:rsidR="00453CFD">
        <w:t>a evaluación económica</w:t>
      </w:r>
      <w:r>
        <w:t>.</w:t>
      </w:r>
    </w:p>
    <w:p w14:paraId="5EB74EE8" w14:textId="77777777" w:rsidR="00FB642B" w:rsidRPr="00950270" w:rsidRDefault="00FB642B" w:rsidP="00433162">
      <w:pPr>
        <w:pStyle w:val="Heading2"/>
      </w:pPr>
      <w:bookmarkStart w:id="9" w:name="_Toc17823744"/>
      <w:r w:rsidRPr="00950270">
        <w:t>3.1.  Beneficios en la cantidad de agua en las subcuencas intervenidas</w:t>
      </w:r>
      <w:bookmarkEnd w:id="9"/>
    </w:p>
    <w:p w14:paraId="395AF971" w14:textId="77777777" w:rsidR="005F7A32" w:rsidRPr="00433162" w:rsidRDefault="005F7A32" w:rsidP="00433162">
      <w:pPr>
        <w:pStyle w:val="Heading3"/>
      </w:pPr>
      <w:bookmarkStart w:id="10" w:name="_Toc17823745"/>
      <w:r w:rsidRPr="00433162">
        <w:t>3.1.a.  Beneficios esperados en las áreas restauradas</w:t>
      </w:r>
      <w:bookmarkEnd w:id="10"/>
    </w:p>
    <w:p w14:paraId="722031C0" w14:textId="77777777" w:rsidR="006025D5" w:rsidRDefault="003811D8" w:rsidP="00854EFC">
      <w:pPr>
        <w:pStyle w:val="parrafonumerado"/>
      </w:pPr>
      <w:r>
        <w:t>La restauración</w:t>
      </w:r>
      <w:r w:rsidR="006025D5">
        <w:t xml:space="preserve"> del bosque es una manera importante de mejorar la dotación y seguridad hídrica de las subcuencas </w:t>
      </w:r>
      <w:r w:rsidR="006025D5" w:rsidRPr="009C1958">
        <w:t>intervenidas</w:t>
      </w:r>
      <w:r w:rsidR="00047AA1">
        <w:t>.  A</w:t>
      </w:r>
      <w:r w:rsidR="006025D5">
        <w:t xml:space="preserve"> medida que los árboles van creciendo se va mejorando la infiltración de los suelos con una mayor regulación del ciclo </w:t>
      </w:r>
      <w:proofErr w:type="spellStart"/>
      <w:r w:rsidR="006025D5">
        <w:t>hidrólogico</w:t>
      </w:r>
      <w:proofErr w:type="spellEnd"/>
      <w:r w:rsidR="006025D5">
        <w:t xml:space="preserve"> en función a las demandas de uso productiv</w:t>
      </w:r>
      <w:r w:rsidR="004C5620">
        <w:t>o y de consumo.  De acuerdo al e</w:t>
      </w:r>
      <w:r w:rsidR="006025D5">
        <w:t xml:space="preserve">studio realizado para el diseño del Componente 1 </w:t>
      </w:r>
      <w:r w:rsidR="00CD5FD5">
        <w:t>del proyecto MSB</w:t>
      </w:r>
      <w:r w:rsidR="00321137">
        <w:t xml:space="preserve"> (</w:t>
      </w:r>
      <w:r w:rsidR="004C5620">
        <w:t>Banco Interamericano de Desarrollo, 2016, ICF, 2013</w:t>
      </w:r>
      <w:r w:rsidR="00321137">
        <w:t>)</w:t>
      </w:r>
      <w:r w:rsidR="006025D5">
        <w:t>, con las prácticas forestales, insumos y asistencia técnica que serán provistos por el proyecto y los propios usuarios, será posible una recuperación plena del servicio ecosistémico de regulación del agua en un promedio de 12 años, en contraste con una recuperación más lenta en la situación sin proyecto (regeneración natural), que llevar</w:t>
      </w:r>
      <w:r w:rsidR="00CD5FD5">
        <w:t>ía</w:t>
      </w:r>
      <w:r w:rsidR="006025D5">
        <w:t xml:space="preserve"> hasta </w:t>
      </w:r>
      <w:r w:rsidR="00194367">
        <w:t xml:space="preserve">un promedio de </w:t>
      </w:r>
      <w:r w:rsidR="006025D5">
        <w:t>2</w:t>
      </w:r>
      <w:r w:rsidR="00306ED5">
        <w:t>5</w:t>
      </w:r>
      <w:r w:rsidR="006025D5">
        <w:t xml:space="preserve"> años el proceso e incluso </w:t>
      </w:r>
      <w:r w:rsidR="00CD5FD5">
        <w:t>sin</w:t>
      </w:r>
      <w:r w:rsidR="006025D5">
        <w:t xml:space="preserve"> alcanzar la plena recuperación de la capacidad de regulación</w:t>
      </w:r>
      <w:r w:rsidR="00CD5FD5">
        <w:t>, como se puede ver en el gráfico siguiente que simula la trayectoria de la dotación de agua asegurada por Ha. con y sin intervención del proyecto en el ámbito de intervención</w:t>
      </w:r>
      <w:r w:rsidR="00194367">
        <w:t xml:space="preserve"> en base al modelo hidrológico desarrollado por Hernández (2018) para la zona de intervención</w:t>
      </w:r>
      <w:r w:rsidR="006025D5">
        <w:t>.</w:t>
      </w:r>
    </w:p>
    <w:p w14:paraId="5DC9D034" w14:textId="77777777" w:rsidR="00BB3F5C" w:rsidRDefault="00306ED5" w:rsidP="00306ED5">
      <w:pPr>
        <w:pStyle w:val="NoSpacing"/>
      </w:pPr>
      <w:r>
        <w:rPr>
          <w:noProof/>
          <w:sz w:val="18"/>
          <w:lang w:val="en-US" w:eastAsia="en-US"/>
        </w:rPr>
        <w:lastRenderedPageBreak/>
        <w:drawing>
          <wp:anchor distT="0" distB="0" distL="114300" distR="114300" simplePos="0" relativeHeight="251682816" behindDoc="0" locked="0" layoutInCell="1" allowOverlap="1" wp14:anchorId="2FEE5F92" wp14:editId="3A7F9911">
            <wp:simplePos x="0" y="0"/>
            <wp:positionH relativeFrom="column">
              <wp:posOffset>684226</wp:posOffset>
            </wp:positionH>
            <wp:positionV relativeFrom="paragraph">
              <wp:posOffset>184785</wp:posOffset>
            </wp:positionV>
            <wp:extent cx="3957651" cy="2712827"/>
            <wp:effectExtent l="19050" t="19050" r="24130" b="11430"/>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57651" cy="2712827"/>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433162">
        <w:t>G</w:t>
      </w:r>
      <w:r w:rsidR="00CD5FD5">
        <w:t xml:space="preserve">ráfico 2.  </w:t>
      </w:r>
      <w:r w:rsidR="005F7A32">
        <w:t>Beneficio esperado por Ha. en áreas restauradas</w:t>
      </w:r>
    </w:p>
    <w:p w14:paraId="22454810" w14:textId="708AA471" w:rsidR="00CD5FD5" w:rsidRPr="00433162" w:rsidRDefault="00CD5FD5" w:rsidP="001D550E">
      <w:pPr>
        <w:pStyle w:val="fuente"/>
        <w:ind w:firstLine="1134"/>
      </w:pPr>
      <w:r w:rsidRPr="00433162">
        <w:t>Fuente: Estudio del Componente 1</w:t>
      </w:r>
      <w:r w:rsidR="001D550E">
        <w:t xml:space="preserve"> Proyecto</w:t>
      </w:r>
      <w:r w:rsidRPr="00433162">
        <w:t xml:space="preserve"> MS</w:t>
      </w:r>
      <w:r w:rsidR="001D550E">
        <w:t>B-BID</w:t>
      </w:r>
    </w:p>
    <w:p w14:paraId="56EA5A3D" w14:textId="3D302A3B" w:rsidR="00CD5FD5" w:rsidRDefault="00CD5FD5" w:rsidP="00854EFC">
      <w:pPr>
        <w:pStyle w:val="parrafonumerado"/>
      </w:pPr>
      <w:r>
        <w:t xml:space="preserve">El </w:t>
      </w:r>
      <w:r w:rsidRPr="00081226">
        <w:t>diferencial</w:t>
      </w:r>
      <w:r>
        <w:t xml:space="preserve"> de dotación de agua por Ha. entre la situación con proyecto y sin proyecto (Business as Usual, BAU) es uno de los beneficios esperados más importantes</w:t>
      </w:r>
      <w:r w:rsidR="00194367">
        <w:t>, estimado en base al modelo hidrológico de Hernández (2018</w:t>
      </w:r>
      <w:r w:rsidR="00146014">
        <w:t>b</w:t>
      </w:r>
      <w:r w:rsidR="00194367">
        <w:t>)</w:t>
      </w:r>
      <w:r>
        <w:t>.  Est</w:t>
      </w:r>
      <w:r w:rsidR="007F6946">
        <w:t>os</w:t>
      </w:r>
      <w:r>
        <w:t xml:space="preserve"> beneficios será</w:t>
      </w:r>
      <w:r w:rsidR="007F6946">
        <w:t>n</w:t>
      </w:r>
      <w:r>
        <w:t xml:space="preserve"> </w:t>
      </w:r>
      <w:proofErr w:type="gramStart"/>
      <w:r>
        <w:t>asignado</w:t>
      </w:r>
      <w:proofErr w:type="gramEnd"/>
      <w:r>
        <w:t xml:space="preserve"> a las áreas que serán restauradas con apoyo del proyecto</w:t>
      </w:r>
      <w:r w:rsidR="00047AA1">
        <w:t xml:space="preserve"> (</w:t>
      </w:r>
      <w:r w:rsidR="001D550E">
        <w:t xml:space="preserve">en este caso en </w:t>
      </w:r>
      <w:r w:rsidR="00047AA1">
        <w:t>bosque privado con producción)</w:t>
      </w:r>
      <w:r>
        <w:t xml:space="preserve">, las que seguirán el patrón temporal de mejora en el servicio ecosistémico hídrico </w:t>
      </w:r>
      <w:r w:rsidR="00194367">
        <w:t>ya señalado</w:t>
      </w:r>
      <w:r>
        <w:t>.</w:t>
      </w:r>
    </w:p>
    <w:p w14:paraId="7794BA7C" w14:textId="527D86EC" w:rsidR="00CD5FD5" w:rsidRPr="00950270" w:rsidRDefault="005F7A32" w:rsidP="00433162">
      <w:pPr>
        <w:pStyle w:val="Heading3"/>
      </w:pPr>
      <w:bookmarkStart w:id="11" w:name="_Toc17823746"/>
      <w:r w:rsidRPr="00950270">
        <w:t>3.1.b.  Beneficios esperados de agua en áreas</w:t>
      </w:r>
      <w:r w:rsidR="00433162">
        <w:t xml:space="preserve"> no plagadas con M</w:t>
      </w:r>
      <w:r w:rsidR="00F11EE2">
        <w:t>FA</w:t>
      </w:r>
      <w:bookmarkEnd w:id="11"/>
    </w:p>
    <w:p w14:paraId="1FC32F92" w14:textId="2F286ED2" w:rsidR="005D6BF9" w:rsidRDefault="005F7A32" w:rsidP="00854EFC">
      <w:pPr>
        <w:pStyle w:val="parrafonumerado"/>
      </w:pPr>
      <w:r>
        <w:t>En el marco del proyecto existe</w:t>
      </w:r>
      <w:r w:rsidR="00321137">
        <w:t>n</w:t>
      </w:r>
      <w:r>
        <w:t xml:space="preserve"> otra</w:t>
      </w:r>
      <w:r w:rsidR="00433162">
        <w:t>s</w:t>
      </w:r>
      <w:r>
        <w:t xml:space="preserve"> área</w:t>
      </w:r>
      <w:r w:rsidR="00433162">
        <w:t>s</w:t>
      </w:r>
      <w:r>
        <w:t xml:space="preserve"> importantes de intervención sobre las cuales se genera</w:t>
      </w:r>
      <w:r w:rsidR="00047AA1">
        <w:t>n</w:t>
      </w:r>
      <w:r>
        <w:t xml:space="preserve"> beneficios ecosistémicos en torno al agua.  </w:t>
      </w:r>
      <w:r w:rsidR="00433162">
        <w:t>E</w:t>
      </w:r>
      <w:r w:rsidR="00047AA1">
        <w:t>n és</w:t>
      </w:r>
      <w:r w:rsidR="00433162">
        <w:t xml:space="preserve">tas se </w:t>
      </w:r>
      <w:r>
        <w:t xml:space="preserve">financiarán actividades de mantenimiento </w:t>
      </w:r>
      <w:r w:rsidR="00047AA1">
        <w:t xml:space="preserve">y de manejo </w:t>
      </w:r>
      <w:r w:rsidR="00F11EE2">
        <w:t xml:space="preserve">forestal </w:t>
      </w:r>
      <w:r w:rsidR="00737D3C">
        <w:t xml:space="preserve">adaptativo </w:t>
      </w:r>
      <w:r>
        <w:t>(M</w:t>
      </w:r>
      <w:r w:rsidR="00F11EE2">
        <w:t>FA</w:t>
      </w:r>
      <w:r>
        <w:t>) en áreas con Planes de Manejo Forestal (PMF) que no fueron afectadas por la plaga del gorgojo en el periodo 201</w:t>
      </w:r>
      <w:r w:rsidR="00737D3C">
        <w:t>3</w:t>
      </w:r>
      <w:r>
        <w:t>-201</w:t>
      </w:r>
      <w:r w:rsidR="00433162">
        <w:t>6</w:t>
      </w:r>
      <w:r>
        <w:t xml:space="preserve">.  </w:t>
      </w:r>
      <w:r w:rsidR="00321137">
        <w:t>En este caso, la aplicación de prácticas de manejo forestal implica alteraciones en las densidades de los bosques intervenidos, lo cual mejora la infiltración y retención del agua en dichas áreas.  De acuerdo a las estimaciones de Hernández (2018</w:t>
      </w:r>
      <w:r w:rsidR="00146014">
        <w:t>b</w:t>
      </w:r>
      <w:r w:rsidR="00321137">
        <w:t xml:space="preserve">), el efecto neto es de un promedio de </w:t>
      </w:r>
      <w:r w:rsidR="00737D3C">
        <w:t xml:space="preserve">155 </w:t>
      </w:r>
      <w:r w:rsidR="00321137">
        <w:t>m3/Ha.</w:t>
      </w:r>
    </w:p>
    <w:p w14:paraId="1E04A5B8" w14:textId="77777777" w:rsidR="005D6BF9" w:rsidRPr="00950270" w:rsidRDefault="005D6BF9" w:rsidP="00433162">
      <w:pPr>
        <w:pStyle w:val="Heading3"/>
      </w:pPr>
      <w:bookmarkStart w:id="12" w:name="_Toc17823747"/>
      <w:r w:rsidRPr="00950270">
        <w:t>3.1.c. Valoración del</w:t>
      </w:r>
      <w:r w:rsidR="00321137">
        <w:t xml:space="preserve"> </w:t>
      </w:r>
      <w:r w:rsidRPr="00950270">
        <w:t>agua</w:t>
      </w:r>
      <w:bookmarkEnd w:id="12"/>
    </w:p>
    <w:p w14:paraId="335647BB" w14:textId="22249E16" w:rsidR="00433162" w:rsidRDefault="005D6BF9" w:rsidP="00854EFC">
      <w:pPr>
        <w:pStyle w:val="parrafonumerado"/>
      </w:pPr>
      <w:r>
        <w:t xml:space="preserve">Existen diversas alternativas y formas de valorar el agua para efectos de estimar el valor económico </w:t>
      </w:r>
      <w:r w:rsidR="00194367">
        <w:t>atribuible al</w:t>
      </w:r>
      <w:r>
        <w:t xml:space="preserve"> proyecto.</w:t>
      </w:r>
      <w:r w:rsidR="00DE39C7">
        <w:t xml:space="preserve">  </w:t>
      </w:r>
      <w:r w:rsidR="00433162">
        <w:t>Para efectos de esta evaluación se</w:t>
      </w:r>
      <w:r w:rsidR="00DE39C7">
        <w:t xml:space="preserve"> identificarán </w:t>
      </w:r>
      <w:r w:rsidR="00433162">
        <w:t>dos</w:t>
      </w:r>
      <w:r w:rsidR="00DE39C7">
        <w:t xml:space="preserve"> usos principales</w:t>
      </w:r>
      <w:r w:rsidR="00433162">
        <w:t xml:space="preserve"> del agua</w:t>
      </w:r>
      <w:r w:rsidR="00DE39C7">
        <w:t xml:space="preserve">: (i) uso </w:t>
      </w:r>
      <w:r w:rsidR="00433162">
        <w:t xml:space="preserve">urbano </w:t>
      </w:r>
      <w:r w:rsidR="00DE39C7">
        <w:t>doméstico (agua potable)</w:t>
      </w:r>
      <w:r w:rsidR="00433162">
        <w:t>; (ii) uso rural y agropecuario</w:t>
      </w:r>
      <w:r w:rsidR="00DE39C7">
        <w:t xml:space="preserve">.  </w:t>
      </w:r>
      <w:r w:rsidR="00433162">
        <w:t xml:space="preserve">Para el uso urbano de consumo doméstico utilizaremos el valor establecido en la consultoría de evaluación económica del MSB </w:t>
      </w:r>
      <w:r w:rsidR="00F247E0">
        <w:t>(</w:t>
      </w:r>
      <w:r w:rsidR="00B74C0D">
        <w:t>Navarro et al</w:t>
      </w:r>
      <w:r w:rsidR="00F247E0">
        <w:t xml:space="preserve">, 2016) </w:t>
      </w:r>
      <w:r w:rsidR="00433162">
        <w:t>que fue de US$ 0.58/m</w:t>
      </w:r>
      <w:r w:rsidR="00433162" w:rsidRPr="00433162">
        <w:rPr>
          <w:vertAlign w:val="superscript"/>
        </w:rPr>
        <w:t>3</w:t>
      </w:r>
      <w:r w:rsidR="00B74C0D">
        <w:rPr>
          <w:rStyle w:val="FootnoteReference"/>
        </w:rPr>
        <w:footnoteReference w:id="5"/>
      </w:r>
      <w:r w:rsidR="00433162">
        <w:t>.  Para el uso agrario/rural aplicamos un diferencial de 70% menor valor, que es consistente con diferencias en precios del agua en países como México (</w:t>
      </w:r>
      <w:r w:rsidR="00322509" w:rsidRPr="00F247E0">
        <w:t>OECD</w:t>
      </w:r>
      <w:r w:rsidR="00433162" w:rsidRPr="00F247E0">
        <w:t xml:space="preserve">, </w:t>
      </w:r>
      <w:r w:rsidR="00322509">
        <w:t>1999</w:t>
      </w:r>
      <w:r w:rsidR="00433162">
        <w:t xml:space="preserve">).  Igualmente, asumiremos una estructura de consumo de agua de acuerdo a lo planteado en </w:t>
      </w:r>
      <w:r w:rsidR="00433162">
        <w:lastRenderedPageBreak/>
        <w:t>el Perfil FAO para Honduras (</w:t>
      </w:r>
      <w:r w:rsidR="00F247E0">
        <w:t>FAO, 2015</w:t>
      </w:r>
      <w:r w:rsidR="00433162">
        <w:t>) de 30% en el sector urbano, y 70% en el sector agrario/rural.</w:t>
      </w:r>
    </w:p>
    <w:p w14:paraId="100A9A24" w14:textId="77777777" w:rsidR="00433162" w:rsidRDefault="00453CFD" w:rsidP="00854EFC">
      <w:pPr>
        <w:pStyle w:val="parrafonumerado"/>
      </w:pPr>
      <w:r>
        <w:t>La estructura y valor promedio ponderado del agua que utilizaremos para la presente evaluación se presenta en el cuadro siguiente.</w:t>
      </w:r>
    </w:p>
    <w:p w14:paraId="01C81C51" w14:textId="77777777" w:rsidR="00453CFD" w:rsidRDefault="00453CFD" w:rsidP="00737D3C">
      <w:pPr>
        <w:pStyle w:val="NoSpacing"/>
      </w:pPr>
      <w:r>
        <w:t>Cuadro 6.  Valor del agua para estimar beneficios de cantidad</w:t>
      </w:r>
    </w:p>
    <w:tbl>
      <w:tblPr>
        <w:tblW w:w="5897" w:type="dxa"/>
        <w:tblInd w:w="1271" w:type="dxa"/>
        <w:tblCellMar>
          <w:left w:w="70" w:type="dxa"/>
          <w:right w:w="70" w:type="dxa"/>
        </w:tblCellMar>
        <w:tblLook w:val="04A0" w:firstRow="1" w:lastRow="0" w:firstColumn="1" w:lastColumn="0" w:noHBand="0" w:noVBand="1"/>
      </w:tblPr>
      <w:tblGrid>
        <w:gridCol w:w="2126"/>
        <w:gridCol w:w="1276"/>
        <w:gridCol w:w="1134"/>
        <w:gridCol w:w="1361"/>
      </w:tblGrid>
      <w:tr w:rsidR="00453CFD" w:rsidRPr="00453CFD" w14:paraId="5935599D" w14:textId="77777777" w:rsidTr="00453CFD">
        <w:trPr>
          <w:trHeight w:val="352"/>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2FC9B" w14:textId="77777777" w:rsidR="00453CFD" w:rsidRPr="00453CFD" w:rsidRDefault="00453CFD" w:rsidP="00453CFD">
            <w:pPr>
              <w:ind w:left="492" w:hanging="492"/>
              <w:jc w:val="left"/>
              <w:rPr>
                <w:sz w:val="18"/>
                <w:lang w:val="es-PE" w:eastAsia="es-PE"/>
              </w:rPr>
            </w:pPr>
            <w:r w:rsidRPr="00453CFD">
              <w:rPr>
                <w:sz w:val="18"/>
                <w:lang w:val="es-PE" w:eastAsia="es-PE"/>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8D1B475" w14:textId="77777777" w:rsidR="00453CFD" w:rsidRPr="00453CFD" w:rsidRDefault="00453CFD" w:rsidP="00453CFD">
            <w:pPr>
              <w:jc w:val="center"/>
              <w:rPr>
                <w:sz w:val="18"/>
                <w:lang w:val="es-PE" w:eastAsia="es-PE"/>
              </w:rPr>
            </w:pPr>
            <w:r w:rsidRPr="00453CFD">
              <w:rPr>
                <w:sz w:val="18"/>
                <w:lang w:val="es-PE" w:eastAsia="es-PE"/>
              </w:rPr>
              <w:t>PRECIO (US$/M3)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04B783" w14:textId="77777777" w:rsidR="00453CFD" w:rsidRPr="00453CFD" w:rsidRDefault="00453CFD" w:rsidP="00453CFD">
            <w:pPr>
              <w:jc w:val="center"/>
              <w:rPr>
                <w:sz w:val="18"/>
                <w:lang w:val="es-PE" w:eastAsia="es-PE"/>
              </w:rPr>
            </w:pPr>
            <w:r w:rsidRPr="00453CFD">
              <w:rPr>
                <w:sz w:val="18"/>
                <w:lang w:val="es-PE" w:eastAsia="es-PE"/>
              </w:rPr>
              <w:t>% USO</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14:paraId="2000C940" w14:textId="77777777" w:rsidR="00453CFD" w:rsidRPr="00453CFD" w:rsidRDefault="00453CFD" w:rsidP="00453CFD">
            <w:pPr>
              <w:jc w:val="center"/>
              <w:rPr>
                <w:sz w:val="18"/>
                <w:lang w:val="es-PE" w:eastAsia="es-PE"/>
              </w:rPr>
            </w:pPr>
            <w:r w:rsidRPr="00453CFD">
              <w:rPr>
                <w:sz w:val="18"/>
                <w:lang w:val="es-PE" w:eastAsia="es-PE"/>
              </w:rPr>
              <w:t>PRECIO*POND</w:t>
            </w:r>
          </w:p>
        </w:tc>
      </w:tr>
      <w:tr w:rsidR="00453CFD" w:rsidRPr="00453CFD" w14:paraId="47B045BE" w14:textId="77777777" w:rsidTr="00453CFD">
        <w:trPr>
          <w:trHeight w:val="42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6EBBD32B" w14:textId="77777777" w:rsidR="00453CFD" w:rsidRPr="00453CFD" w:rsidRDefault="00453CFD" w:rsidP="00453CFD">
            <w:pPr>
              <w:jc w:val="left"/>
              <w:rPr>
                <w:sz w:val="18"/>
                <w:lang w:val="es-PE" w:eastAsia="es-PE"/>
              </w:rPr>
            </w:pPr>
            <w:r w:rsidRPr="00453CFD">
              <w:rPr>
                <w:sz w:val="18"/>
                <w:lang w:val="es-PE" w:eastAsia="es-PE"/>
              </w:rPr>
              <w:t>CIUDADES</w:t>
            </w:r>
          </w:p>
        </w:tc>
        <w:tc>
          <w:tcPr>
            <w:tcW w:w="1276" w:type="dxa"/>
            <w:tcBorders>
              <w:top w:val="nil"/>
              <w:left w:val="nil"/>
              <w:bottom w:val="single" w:sz="4" w:space="0" w:color="auto"/>
              <w:right w:val="single" w:sz="4" w:space="0" w:color="auto"/>
            </w:tcBorders>
            <w:shd w:val="clear" w:color="auto" w:fill="auto"/>
            <w:noWrap/>
            <w:vAlign w:val="center"/>
            <w:hideMark/>
          </w:tcPr>
          <w:p w14:paraId="36A1117B" w14:textId="77777777" w:rsidR="00453CFD" w:rsidRPr="00453CFD" w:rsidRDefault="00453CFD" w:rsidP="00453CFD">
            <w:pPr>
              <w:jc w:val="center"/>
              <w:rPr>
                <w:sz w:val="18"/>
                <w:lang w:val="es-PE" w:eastAsia="es-PE"/>
              </w:rPr>
            </w:pPr>
            <w:r w:rsidRPr="00453CFD">
              <w:rPr>
                <w:sz w:val="18"/>
                <w:lang w:val="es-PE" w:eastAsia="es-PE"/>
              </w:rPr>
              <w:t>0.580</w:t>
            </w:r>
          </w:p>
        </w:tc>
        <w:tc>
          <w:tcPr>
            <w:tcW w:w="1134" w:type="dxa"/>
            <w:tcBorders>
              <w:top w:val="nil"/>
              <w:left w:val="nil"/>
              <w:bottom w:val="single" w:sz="4" w:space="0" w:color="auto"/>
              <w:right w:val="single" w:sz="4" w:space="0" w:color="auto"/>
            </w:tcBorders>
            <w:shd w:val="clear" w:color="auto" w:fill="auto"/>
            <w:noWrap/>
            <w:vAlign w:val="center"/>
            <w:hideMark/>
          </w:tcPr>
          <w:p w14:paraId="5C287512" w14:textId="77777777" w:rsidR="00453CFD" w:rsidRPr="00453CFD" w:rsidRDefault="00453CFD" w:rsidP="00453CFD">
            <w:pPr>
              <w:jc w:val="center"/>
              <w:rPr>
                <w:sz w:val="18"/>
                <w:lang w:val="es-PE" w:eastAsia="es-PE"/>
              </w:rPr>
            </w:pPr>
            <w:r w:rsidRPr="00453CFD">
              <w:rPr>
                <w:sz w:val="18"/>
                <w:lang w:val="es-PE" w:eastAsia="es-PE"/>
              </w:rPr>
              <w:t>30%</w:t>
            </w:r>
          </w:p>
        </w:tc>
        <w:tc>
          <w:tcPr>
            <w:tcW w:w="1361" w:type="dxa"/>
            <w:tcBorders>
              <w:top w:val="nil"/>
              <w:left w:val="nil"/>
              <w:bottom w:val="single" w:sz="4" w:space="0" w:color="auto"/>
              <w:right w:val="single" w:sz="4" w:space="0" w:color="auto"/>
            </w:tcBorders>
            <w:shd w:val="clear" w:color="auto" w:fill="auto"/>
            <w:noWrap/>
            <w:vAlign w:val="center"/>
            <w:hideMark/>
          </w:tcPr>
          <w:p w14:paraId="17202821" w14:textId="77777777" w:rsidR="00453CFD" w:rsidRPr="00453CFD" w:rsidRDefault="00453CFD" w:rsidP="00453CFD">
            <w:pPr>
              <w:jc w:val="center"/>
              <w:rPr>
                <w:sz w:val="18"/>
                <w:lang w:val="es-PE" w:eastAsia="es-PE"/>
              </w:rPr>
            </w:pPr>
            <w:r w:rsidRPr="00453CFD">
              <w:rPr>
                <w:sz w:val="18"/>
                <w:lang w:val="es-PE" w:eastAsia="es-PE"/>
              </w:rPr>
              <w:t>0.174</w:t>
            </w:r>
          </w:p>
        </w:tc>
      </w:tr>
      <w:tr w:rsidR="00453CFD" w:rsidRPr="00453CFD" w14:paraId="5C28295C" w14:textId="77777777" w:rsidTr="00453CFD">
        <w:trPr>
          <w:trHeight w:val="42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50705600" w14:textId="77777777" w:rsidR="00453CFD" w:rsidRPr="00453CFD" w:rsidRDefault="00453CFD" w:rsidP="00453CFD">
            <w:pPr>
              <w:jc w:val="left"/>
              <w:rPr>
                <w:sz w:val="18"/>
                <w:lang w:val="es-PE" w:eastAsia="es-PE"/>
              </w:rPr>
            </w:pPr>
            <w:r w:rsidRPr="00453CFD">
              <w:rPr>
                <w:sz w:val="18"/>
                <w:lang w:val="es-PE" w:eastAsia="es-PE"/>
              </w:rPr>
              <w:t>AGRARIO/RURAL</w:t>
            </w:r>
          </w:p>
        </w:tc>
        <w:tc>
          <w:tcPr>
            <w:tcW w:w="1276" w:type="dxa"/>
            <w:tcBorders>
              <w:top w:val="nil"/>
              <w:left w:val="nil"/>
              <w:bottom w:val="single" w:sz="4" w:space="0" w:color="auto"/>
              <w:right w:val="single" w:sz="4" w:space="0" w:color="auto"/>
            </w:tcBorders>
            <w:shd w:val="clear" w:color="auto" w:fill="auto"/>
            <w:noWrap/>
            <w:vAlign w:val="center"/>
            <w:hideMark/>
          </w:tcPr>
          <w:p w14:paraId="00A01EE3" w14:textId="77777777" w:rsidR="00453CFD" w:rsidRPr="00453CFD" w:rsidRDefault="00453CFD" w:rsidP="00453CFD">
            <w:pPr>
              <w:jc w:val="center"/>
              <w:rPr>
                <w:sz w:val="18"/>
                <w:lang w:val="es-PE" w:eastAsia="es-PE"/>
              </w:rPr>
            </w:pPr>
            <w:r w:rsidRPr="00453CFD">
              <w:rPr>
                <w:sz w:val="18"/>
                <w:lang w:val="es-PE" w:eastAsia="es-PE"/>
              </w:rPr>
              <w:t>0.174</w:t>
            </w:r>
          </w:p>
        </w:tc>
        <w:tc>
          <w:tcPr>
            <w:tcW w:w="1134" w:type="dxa"/>
            <w:tcBorders>
              <w:top w:val="nil"/>
              <w:left w:val="nil"/>
              <w:bottom w:val="single" w:sz="4" w:space="0" w:color="auto"/>
              <w:right w:val="single" w:sz="4" w:space="0" w:color="auto"/>
            </w:tcBorders>
            <w:shd w:val="clear" w:color="auto" w:fill="auto"/>
            <w:noWrap/>
            <w:vAlign w:val="center"/>
            <w:hideMark/>
          </w:tcPr>
          <w:p w14:paraId="19CD98A0" w14:textId="77777777" w:rsidR="00453CFD" w:rsidRPr="00453CFD" w:rsidRDefault="00453CFD" w:rsidP="00453CFD">
            <w:pPr>
              <w:jc w:val="center"/>
              <w:rPr>
                <w:sz w:val="18"/>
                <w:lang w:val="es-PE" w:eastAsia="es-PE"/>
              </w:rPr>
            </w:pPr>
            <w:r w:rsidRPr="00453CFD">
              <w:rPr>
                <w:sz w:val="18"/>
                <w:lang w:val="es-PE" w:eastAsia="es-PE"/>
              </w:rPr>
              <w:t>70%</w:t>
            </w:r>
          </w:p>
        </w:tc>
        <w:tc>
          <w:tcPr>
            <w:tcW w:w="1361" w:type="dxa"/>
            <w:tcBorders>
              <w:top w:val="nil"/>
              <w:left w:val="nil"/>
              <w:bottom w:val="single" w:sz="4" w:space="0" w:color="auto"/>
              <w:right w:val="single" w:sz="4" w:space="0" w:color="auto"/>
            </w:tcBorders>
            <w:shd w:val="clear" w:color="auto" w:fill="auto"/>
            <w:noWrap/>
            <w:vAlign w:val="center"/>
            <w:hideMark/>
          </w:tcPr>
          <w:p w14:paraId="7F64E167" w14:textId="77777777" w:rsidR="00453CFD" w:rsidRPr="00453CFD" w:rsidRDefault="00453CFD" w:rsidP="00453CFD">
            <w:pPr>
              <w:jc w:val="center"/>
              <w:rPr>
                <w:sz w:val="18"/>
                <w:lang w:val="es-PE" w:eastAsia="es-PE"/>
              </w:rPr>
            </w:pPr>
            <w:r w:rsidRPr="00453CFD">
              <w:rPr>
                <w:sz w:val="18"/>
                <w:lang w:val="es-PE" w:eastAsia="es-PE"/>
              </w:rPr>
              <w:t>0.122</w:t>
            </w:r>
          </w:p>
        </w:tc>
      </w:tr>
      <w:tr w:rsidR="00453CFD" w:rsidRPr="00453CFD" w14:paraId="18542C77" w14:textId="77777777" w:rsidTr="00453CFD">
        <w:trPr>
          <w:trHeight w:val="42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0BC7971A" w14:textId="77777777" w:rsidR="00453CFD" w:rsidRPr="00453CFD" w:rsidRDefault="00453CFD" w:rsidP="00453CFD">
            <w:pPr>
              <w:jc w:val="left"/>
              <w:rPr>
                <w:b/>
                <w:bCs/>
                <w:sz w:val="18"/>
                <w:lang w:val="es-PE" w:eastAsia="es-PE"/>
              </w:rPr>
            </w:pPr>
            <w:r w:rsidRPr="00453CFD">
              <w:rPr>
                <w:b/>
                <w:bCs/>
                <w:sz w:val="18"/>
                <w:lang w:val="es-PE" w:eastAsia="es-PE"/>
              </w:rPr>
              <w:t>PREC. POND (US$/M3)</w:t>
            </w:r>
          </w:p>
        </w:tc>
        <w:tc>
          <w:tcPr>
            <w:tcW w:w="1276" w:type="dxa"/>
            <w:tcBorders>
              <w:top w:val="nil"/>
              <w:left w:val="nil"/>
              <w:bottom w:val="single" w:sz="4" w:space="0" w:color="auto"/>
              <w:right w:val="single" w:sz="4" w:space="0" w:color="auto"/>
            </w:tcBorders>
            <w:shd w:val="clear" w:color="auto" w:fill="auto"/>
            <w:noWrap/>
            <w:vAlign w:val="center"/>
            <w:hideMark/>
          </w:tcPr>
          <w:p w14:paraId="02FC6A69" w14:textId="77777777" w:rsidR="00453CFD" w:rsidRPr="00453CFD" w:rsidRDefault="00453CFD" w:rsidP="00453CFD">
            <w:pPr>
              <w:jc w:val="center"/>
              <w:rPr>
                <w:b/>
                <w:bCs/>
                <w:sz w:val="18"/>
                <w:lang w:val="es-PE" w:eastAsia="es-PE"/>
              </w:rPr>
            </w:pPr>
          </w:p>
        </w:tc>
        <w:tc>
          <w:tcPr>
            <w:tcW w:w="1134" w:type="dxa"/>
            <w:tcBorders>
              <w:top w:val="nil"/>
              <w:left w:val="nil"/>
              <w:bottom w:val="single" w:sz="4" w:space="0" w:color="auto"/>
              <w:right w:val="single" w:sz="4" w:space="0" w:color="auto"/>
            </w:tcBorders>
            <w:shd w:val="clear" w:color="auto" w:fill="auto"/>
            <w:noWrap/>
            <w:vAlign w:val="center"/>
            <w:hideMark/>
          </w:tcPr>
          <w:p w14:paraId="288AE6D5" w14:textId="77777777" w:rsidR="00453CFD" w:rsidRPr="00453CFD" w:rsidRDefault="00453CFD" w:rsidP="00453CFD">
            <w:pPr>
              <w:jc w:val="center"/>
              <w:rPr>
                <w:b/>
                <w:bCs/>
                <w:sz w:val="18"/>
                <w:lang w:val="es-PE" w:eastAsia="es-PE"/>
              </w:rPr>
            </w:pPr>
          </w:p>
        </w:tc>
        <w:tc>
          <w:tcPr>
            <w:tcW w:w="1361" w:type="dxa"/>
            <w:tcBorders>
              <w:top w:val="nil"/>
              <w:left w:val="nil"/>
              <w:bottom w:val="single" w:sz="4" w:space="0" w:color="auto"/>
              <w:right w:val="single" w:sz="4" w:space="0" w:color="auto"/>
            </w:tcBorders>
            <w:shd w:val="clear" w:color="auto" w:fill="auto"/>
            <w:noWrap/>
            <w:vAlign w:val="center"/>
            <w:hideMark/>
          </w:tcPr>
          <w:p w14:paraId="73C6450E" w14:textId="77777777" w:rsidR="00453CFD" w:rsidRPr="00453CFD" w:rsidRDefault="00453CFD" w:rsidP="00453CFD">
            <w:pPr>
              <w:jc w:val="center"/>
              <w:rPr>
                <w:b/>
                <w:bCs/>
                <w:sz w:val="18"/>
                <w:lang w:val="es-PE" w:eastAsia="es-PE"/>
              </w:rPr>
            </w:pPr>
            <w:r w:rsidRPr="00453CFD">
              <w:rPr>
                <w:b/>
                <w:bCs/>
                <w:sz w:val="18"/>
                <w:lang w:val="es-PE" w:eastAsia="es-PE"/>
              </w:rPr>
              <w:t>0.296</w:t>
            </w:r>
          </w:p>
        </w:tc>
      </w:tr>
    </w:tbl>
    <w:p w14:paraId="703A86CD" w14:textId="77777777" w:rsidR="00453CFD" w:rsidRPr="00321137" w:rsidRDefault="00321137" w:rsidP="00737D3C">
      <w:pPr>
        <w:pStyle w:val="fuente"/>
        <w:ind w:firstLine="1276"/>
      </w:pPr>
      <w:r w:rsidRPr="00321137">
        <w:t>Fuente: elaboración propia</w:t>
      </w:r>
    </w:p>
    <w:p w14:paraId="4B3DA93C" w14:textId="77777777" w:rsidR="00C67342" w:rsidRDefault="00453CFD" w:rsidP="00854EFC">
      <w:pPr>
        <w:pStyle w:val="parrafonumerado"/>
      </w:pPr>
      <w:r>
        <w:t xml:space="preserve">Se tiene un valor de US$ 0.296 por m3 de agua para efectos de la valoración de beneficios </w:t>
      </w:r>
      <w:r w:rsidR="00321137">
        <w:t xml:space="preserve">por </w:t>
      </w:r>
      <w:r w:rsidR="00321137" w:rsidRPr="00C67342">
        <w:t>mayor</w:t>
      </w:r>
      <w:r w:rsidR="00321137">
        <w:t xml:space="preserve"> dotación de</w:t>
      </w:r>
      <w:r>
        <w:t xml:space="preserve"> agua generado por el proyecto en el ámbito de intervención.</w:t>
      </w:r>
    </w:p>
    <w:p w14:paraId="7336D01C" w14:textId="486AC942" w:rsidR="00C67342" w:rsidRDefault="00C67342" w:rsidP="00C67342">
      <w:pPr>
        <w:pStyle w:val="Heading2"/>
      </w:pPr>
      <w:r w:rsidRPr="003B16B3">
        <w:t>3.</w:t>
      </w:r>
      <w:r>
        <w:t>2</w:t>
      </w:r>
      <w:r w:rsidRPr="003B16B3">
        <w:t>.</w:t>
      </w:r>
      <w:r>
        <w:t xml:space="preserve">  Mayor fijación de carbono por restauración de bosque privado plagado</w:t>
      </w:r>
    </w:p>
    <w:p w14:paraId="17C2AB67" w14:textId="77777777" w:rsidR="00C67342" w:rsidRDefault="00C67342" w:rsidP="00854EFC">
      <w:pPr>
        <w:pStyle w:val="parrafonumerado"/>
      </w:pPr>
      <w:r>
        <w:t xml:space="preserve">Para la estimación de la mayor fijación de carbono en áreas de restauración se utilizará el mismo perfil de diferencias en el crecimiento de bosque restaurado y natural mostrado en el gráfico 2.  </w:t>
      </w:r>
    </w:p>
    <w:p w14:paraId="7403861A" w14:textId="77777777" w:rsidR="00C67342" w:rsidRDefault="00C67342" w:rsidP="00854EFC">
      <w:pPr>
        <w:pStyle w:val="parrafonumerado"/>
      </w:pPr>
      <w:r>
        <w:t xml:space="preserve">Para el contenido de carbono en el bosque nos basamos en el Informe Nacional de Referencia (Gobierno de Honduras, 2017) en el que el bosque de Pino tiene una capacidad promedio de almacenamiento de carbono de 150 tnCO2e por Ha.  </w:t>
      </w:r>
    </w:p>
    <w:p w14:paraId="034D904A" w14:textId="463C8ABB" w:rsidR="00C67342" w:rsidRPr="002E3F3A" w:rsidRDefault="00C67342" w:rsidP="00854EFC">
      <w:pPr>
        <w:pStyle w:val="parrafonumerado"/>
      </w:pPr>
      <w:r>
        <w:t xml:space="preserve">Para la valoración económica del carbono usaremos el precio promedio del mercado voluntario de carbono en países de la región para el año 2016, que ascendió a US$ 4.2/tCO2e </w:t>
      </w:r>
      <w:r w:rsidRPr="002E3F3A">
        <w:t>(</w:t>
      </w:r>
      <w:proofErr w:type="spellStart"/>
      <w:r w:rsidRPr="002E3F3A">
        <w:t>Hamrick</w:t>
      </w:r>
      <w:proofErr w:type="spellEnd"/>
      <w:r w:rsidRPr="002E3F3A">
        <w:t xml:space="preserve"> y </w:t>
      </w:r>
      <w:proofErr w:type="spellStart"/>
      <w:r w:rsidRPr="002E3F3A">
        <w:t>Gallant</w:t>
      </w:r>
      <w:proofErr w:type="spellEnd"/>
      <w:r w:rsidRPr="002E3F3A">
        <w:t>, 2018).</w:t>
      </w:r>
    </w:p>
    <w:p w14:paraId="0BEB862B" w14:textId="141017B9" w:rsidR="00081226" w:rsidRDefault="00081226" w:rsidP="00081226">
      <w:pPr>
        <w:pStyle w:val="Heading2"/>
      </w:pPr>
      <w:bookmarkStart w:id="13" w:name="_Toc17823748"/>
      <w:r w:rsidRPr="003B16B3">
        <w:t>3.</w:t>
      </w:r>
      <w:r w:rsidR="00C67342">
        <w:t>3</w:t>
      </w:r>
      <w:r w:rsidRPr="003B16B3">
        <w:t>.</w:t>
      </w:r>
      <w:r>
        <w:t xml:space="preserve">  </w:t>
      </w:r>
      <w:r w:rsidR="00C67342">
        <w:t>Emisiones de carbono evitadas por menor cambio de uso en áreas con MFA</w:t>
      </w:r>
    </w:p>
    <w:p w14:paraId="6586D1D2" w14:textId="77777777" w:rsidR="00081226" w:rsidRDefault="00081226" w:rsidP="00854EFC">
      <w:pPr>
        <w:pStyle w:val="parrafonumerado"/>
      </w:pPr>
      <w:r w:rsidRPr="000C184D">
        <w:t>En las áre</w:t>
      </w:r>
      <w:r>
        <w:t xml:space="preserve">as no plagadas en 2013/16 que serán intervenidas con MFA se espera un menor cambio de uso (deforestación).  Esto implica que se tendrán beneficios por pérdida evitada de bosque, que tendrá impactos en mayor dotación de agua y en secuestro de carbono. </w:t>
      </w:r>
    </w:p>
    <w:p w14:paraId="002C59F5" w14:textId="0A1A5480" w:rsidR="00081226" w:rsidRDefault="00081226" w:rsidP="00854EFC">
      <w:pPr>
        <w:pStyle w:val="parrafonumerado"/>
      </w:pPr>
      <w:r>
        <w:t>Para el cálculo de deforestación evitada se utiliza el siguiente cuadro tomado del Informe de Hernández (201</w:t>
      </w:r>
      <w:r w:rsidR="00146014">
        <w:t>8a</w:t>
      </w:r>
      <w:r>
        <w:t>) sobre la evolución de la deforestación en Honduras</w:t>
      </w:r>
    </w:p>
    <w:p w14:paraId="03F10BE1" w14:textId="77777777" w:rsidR="00B74C0D" w:rsidRDefault="00B74C0D">
      <w:pPr>
        <w:spacing w:before="0" w:after="160" w:line="259" w:lineRule="auto"/>
        <w:jc w:val="left"/>
        <w:rPr>
          <w:lang w:val="es-PE"/>
        </w:rPr>
      </w:pPr>
      <w:r>
        <w:br w:type="page"/>
      </w:r>
    </w:p>
    <w:p w14:paraId="214F88BE" w14:textId="28A95A11" w:rsidR="0065544A" w:rsidRDefault="00081226" w:rsidP="0065544A">
      <w:pPr>
        <w:pStyle w:val="NoSpacing"/>
      </w:pPr>
      <w:r w:rsidRPr="00674A22">
        <w:lastRenderedPageBreak/>
        <w:t>Cuadro</w:t>
      </w:r>
      <w:r>
        <w:t xml:space="preserve"> 8</w:t>
      </w:r>
      <w:r w:rsidRPr="00674A22">
        <w:t xml:space="preserve">. Superficies originales, estimadas como pérdidas de cobertura </w:t>
      </w:r>
    </w:p>
    <w:p w14:paraId="4083B85D" w14:textId="033DB28D" w:rsidR="00081226" w:rsidRPr="00E50285" w:rsidRDefault="00081226" w:rsidP="0065544A">
      <w:pPr>
        <w:pStyle w:val="NoSpacing"/>
      </w:pPr>
      <w:r w:rsidRPr="00674A22">
        <w:t>y fracciones de bosque original de conífera por tipo de uso</w:t>
      </w:r>
    </w:p>
    <w:tbl>
      <w:tblPr>
        <w:tblW w:w="4507" w:type="pct"/>
        <w:tblInd w:w="562" w:type="dxa"/>
        <w:tblLayout w:type="fixed"/>
        <w:tblCellMar>
          <w:left w:w="70" w:type="dxa"/>
          <w:right w:w="70" w:type="dxa"/>
        </w:tblCellMar>
        <w:tblLook w:val="04A0" w:firstRow="1" w:lastRow="0" w:firstColumn="1" w:lastColumn="0" w:noHBand="0" w:noVBand="1"/>
      </w:tblPr>
      <w:tblGrid>
        <w:gridCol w:w="3828"/>
        <w:gridCol w:w="1277"/>
        <w:gridCol w:w="1416"/>
        <w:gridCol w:w="1135"/>
      </w:tblGrid>
      <w:tr w:rsidR="00081226" w:rsidRPr="00E50285" w14:paraId="53D5E0B2" w14:textId="77777777" w:rsidTr="0065544A">
        <w:trPr>
          <w:trHeight w:val="1045"/>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48FA5" w14:textId="77777777" w:rsidR="00081226" w:rsidRPr="00E50285" w:rsidRDefault="00081226" w:rsidP="00146014">
            <w:pPr>
              <w:spacing w:after="0"/>
              <w:ind w:right="585"/>
              <w:jc w:val="left"/>
              <w:rPr>
                <w:color w:val="000000"/>
                <w:sz w:val="18"/>
                <w:szCs w:val="20"/>
                <w:lang w:val="es-PE" w:eastAsia="es-PE"/>
              </w:rPr>
            </w:pPr>
            <w:r w:rsidRPr="00E50285">
              <w:rPr>
                <w:color w:val="000000"/>
                <w:sz w:val="18"/>
                <w:szCs w:val="20"/>
                <w:lang w:val="es-ES" w:eastAsia="es-PE"/>
              </w:rPr>
              <w:t>Categoría de Uso</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19477639"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ES" w:eastAsia="es-PE"/>
              </w:rPr>
              <w:t>SINAPH</w:t>
            </w:r>
          </w:p>
        </w:tc>
        <w:tc>
          <w:tcPr>
            <w:tcW w:w="925" w:type="pct"/>
            <w:tcBorders>
              <w:top w:val="single" w:sz="4" w:space="0" w:color="auto"/>
              <w:left w:val="nil"/>
              <w:bottom w:val="single" w:sz="4" w:space="0" w:color="auto"/>
              <w:right w:val="single" w:sz="4" w:space="0" w:color="auto"/>
            </w:tcBorders>
            <w:shd w:val="clear" w:color="auto" w:fill="auto"/>
            <w:vAlign w:val="center"/>
            <w:hideMark/>
          </w:tcPr>
          <w:p w14:paraId="658F34E8"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ES" w:eastAsia="es-PE"/>
              </w:rPr>
              <w:t>SIN CATEGORIA DE MANEJO (FUERA)</w:t>
            </w:r>
          </w:p>
        </w:tc>
        <w:tc>
          <w:tcPr>
            <w:tcW w:w="741" w:type="pct"/>
            <w:tcBorders>
              <w:top w:val="single" w:sz="4" w:space="0" w:color="auto"/>
              <w:left w:val="nil"/>
              <w:bottom w:val="single" w:sz="4" w:space="0" w:color="auto"/>
              <w:right w:val="single" w:sz="4" w:space="0" w:color="auto"/>
            </w:tcBorders>
            <w:shd w:val="clear" w:color="auto" w:fill="auto"/>
            <w:noWrap/>
            <w:vAlign w:val="center"/>
            <w:hideMark/>
          </w:tcPr>
          <w:p w14:paraId="41ED9E12"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TOTAL</w:t>
            </w:r>
          </w:p>
        </w:tc>
      </w:tr>
      <w:tr w:rsidR="00081226" w:rsidRPr="00E50285" w14:paraId="3914E6E3" w14:textId="77777777" w:rsidTr="0065544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4F19E36E" w14:textId="77777777" w:rsidR="00081226" w:rsidRPr="00E50285" w:rsidRDefault="00081226" w:rsidP="00146014">
            <w:pPr>
              <w:spacing w:after="0"/>
              <w:ind w:right="585"/>
              <w:jc w:val="left"/>
              <w:rPr>
                <w:color w:val="000000"/>
                <w:sz w:val="18"/>
                <w:szCs w:val="20"/>
                <w:lang w:val="es-PE" w:eastAsia="es-PE"/>
              </w:rPr>
            </w:pPr>
            <w:r w:rsidRPr="00E50285">
              <w:rPr>
                <w:color w:val="000000"/>
                <w:sz w:val="18"/>
                <w:szCs w:val="20"/>
                <w:lang w:val="es-ES" w:eastAsia="es-PE"/>
              </w:rPr>
              <w:t>Superficie en la línea base</w:t>
            </w:r>
          </w:p>
        </w:tc>
        <w:tc>
          <w:tcPr>
            <w:tcW w:w="834" w:type="pct"/>
            <w:tcBorders>
              <w:top w:val="nil"/>
              <w:left w:val="nil"/>
              <w:bottom w:val="single" w:sz="4" w:space="0" w:color="auto"/>
              <w:right w:val="single" w:sz="4" w:space="0" w:color="auto"/>
            </w:tcBorders>
            <w:shd w:val="clear" w:color="auto" w:fill="auto"/>
            <w:noWrap/>
            <w:vAlign w:val="bottom"/>
            <w:hideMark/>
          </w:tcPr>
          <w:p w14:paraId="2F36D9D7"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ES" w:eastAsia="es-PE"/>
              </w:rPr>
              <w:t>254,106</w:t>
            </w:r>
          </w:p>
        </w:tc>
        <w:tc>
          <w:tcPr>
            <w:tcW w:w="925" w:type="pct"/>
            <w:tcBorders>
              <w:top w:val="nil"/>
              <w:left w:val="nil"/>
              <w:bottom w:val="single" w:sz="4" w:space="0" w:color="auto"/>
              <w:right w:val="single" w:sz="4" w:space="0" w:color="auto"/>
            </w:tcBorders>
            <w:shd w:val="clear" w:color="auto" w:fill="auto"/>
            <w:noWrap/>
            <w:vAlign w:val="bottom"/>
            <w:hideMark/>
          </w:tcPr>
          <w:p w14:paraId="664FCFA4"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ES" w:eastAsia="es-PE"/>
              </w:rPr>
              <w:t>1,380,539</w:t>
            </w:r>
          </w:p>
        </w:tc>
        <w:tc>
          <w:tcPr>
            <w:tcW w:w="741" w:type="pct"/>
            <w:tcBorders>
              <w:top w:val="nil"/>
              <w:left w:val="nil"/>
              <w:bottom w:val="single" w:sz="4" w:space="0" w:color="auto"/>
              <w:right w:val="single" w:sz="4" w:space="0" w:color="auto"/>
            </w:tcBorders>
            <w:shd w:val="clear" w:color="auto" w:fill="auto"/>
            <w:noWrap/>
            <w:vAlign w:val="bottom"/>
            <w:hideMark/>
          </w:tcPr>
          <w:p w14:paraId="1EDDABCF"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2,574,715</w:t>
            </w:r>
          </w:p>
        </w:tc>
      </w:tr>
      <w:tr w:rsidR="00081226" w:rsidRPr="00E50285" w14:paraId="71B7BA2B" w14:textId="77777777" w:rsidTr="0065544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71EA5F43" w14:textId="77777777" w:rsidR="00081226" w:rsidRPr="00E50285" w:rsidRDefault="00081226" w:rsidP="00146014">
            <w:pPr>
              <w:spacing w:after="0"/>
              <w:ind w:right="585"/>
              <w:jc w:val="left"/>
              <w:rPr>
                <w:color w:val="000000"/>
                <w:sz w:val="18"/>
                <w:szCs w:val="20"/>
                <w:lang w:val="es-PE" w:eastAsia="es-PE"/>
              </w:rPr>
            </w:pPr>
            <w:r w:rsidRPr="00E50285">
              <w:rPr>
                <w:color w:val="000000"/>
                <w:sz w:val="18"/>
                <w:szCs w:val="20"/>
                <w:lang w:val="es-ES" w:eastAsia="es-PE"/>
              </w:rPr>
              <w:t>Superficie neta de pérdidas (2003 - 2012)</w:t>
            </w:r>
          </w:p>
        </w:tc>
        <w:tc>
          <w:tcPr>
            <w:tcW w:w="834" w:type="pct"/>
            <w:tcBorders>
              <w:top w:val="nil"/>
              <w:left w:val="nil"/>
              <w:bottom w:val="single" w:sz="4" w:space="0" w:color="auto"/>
              <w:right w:val="single" w:sz="4" w:space="0" w:color="auto"/>
            </w:tcBorders>
            <w:shd w:val="clear" w:color="auto" w:fill="auto"/>
            <w:noWrap/>
            <w:vAlign w:val="bottom"/>
            <w:hideMark/>
          </w:tcPr>
          <w:p w14:paraId="47559483"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ES" w:eastAsia="es-PE"/>
              </w:rPr>
              <w:t>1,777</w:t>
            </w:r>
          </w:p>
        </w:tc>
        <w:tc>
          <w:tcPr>
            <w:tcW w:w="925" w:type="pct"/>
            <w:tcBorders>
              <w:top w:val="nil"/>
              <w:left w:val="nil"/>
              <w:bottom w:val="single" w:sz="4" w:space="0" w:color="auto"/>
              <w:right w:val="single" w:sz="4" w:space="0" w:color="auto"/>
            </w:tcBorders>
            <w:shd w:val="clear" w:color="auto" w:fill="auto"/>
            <w:noWrap/>
            <w:vAlign w:val="bottom"/>
            <w:hideMark/>
          </w:tcPr>
          <w:p w14:paraId="392F3324"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ES" w:eastAsia="es-PE"/>
              </w:rPr>
              <w:t>29,478</w:t>
            </w:r>
          </w:p>
        </w:tc>
        <w:tc>
          <w:tcPr>
            <w:tcW w:w="741" w:type="pct"/>
            <w:tcBorders>
              <w:top w:val="nil"/>
              <w:left w:val="nil"/>
              <w:bottom w:val="single" w:sz="4" w:space="0" w:color="auto"/>
              <w:right w:val="single" w:sz="4" w:space="0" w:color="auto"/>
            </w:tcBorders>
            <w:shd w:val="clear" w:color="auto" w:fill="auto"/>
            <w:noWrap/>
            <w:vAlign w:val="bottom"/>
            <w:hideMark/>
          </w:tcPr>
          <w:p w14:paraId="62C9C5D7"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44,733</w:t>
            </w:r>
          </w:p>
        </w:tc>
      </w:tr>
      <w:tr w:rsidR="00081226" w:rsidRPr="00E50285" w14:paraId="5E588C0A" w14:textId="77777777" w:rsidTr="0065544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306E077F" w14:textId="77777777" w:rsidR="00081226" w:rsidRPr="00E50285" w:rsidRDefault="00081226" w:rsidP="00146014">
            <w:pPr>
              <w:spacing w:after="0"/>
              <w:ind w:right="585"/>
              <w:jc w:val="left"/>
              <w:rPr>
                <w:color w:val="000000"/>
                <w:sz w:val="18"/>
                <w:szCs w:val="20"/>
                <w:lang w:val="es-PE" w:eastAsia="es-PE"/>
              </w:rPr>
            </w:pPr>
            <w:r w:rsidRPr="00E50285">
              <w:rPr>
                <w:color w:val="000000"/>
                <w:sz w:val="18"/>
                <w:szCs w:val="20"/>
                <w:lang w:val="es-ES" w:eastAsia="es-PE"/>
              </w:rPr>
              <w:t>Superficie promedio de perdida por año (hectáreas)</w:t>
            </w:r>
          </w:p>
        </w:tc>
        <w:tc>
          <w:tcPr>
            <w:tcW w:w="834" w:type="pct"/>
            <w:tcBorders>
              <w:top w:val="nil"/>
              <w:left w:val="nil"/>
              <w:bottom w:val="single" w:sz="4" w:space="0" w:color="auto"/>
              <w:right w:val="single" w:sz="4" w:space="0" w:color="auto"/>
            </w:tcBorders>
            <w:shd w:val="clear" w:color="auto" w:fill="auto"/>
            <w:noWrap/>
            <w:vAlign w:val="bottom"/>
            <w:hideMark/>
          </w:tcPr>
          <w:p w14:paraId="082260FE"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ES" w:eastAsia="es-PE"/>
              </w:rPr>
              <w:t>197.4</w:t>
            </w:r>
          </w:p>
        </w:tc>
        <w:tc>
          <w:tcPr>
            <w:tcW w:w="925" w:type="pct"/>
            <w:tcBorders>
              <w:top w:val="nil"/>
              <w:left w:val="nil"/>
              <w:bottom w:val="single" w:sz="4" w:space="0" w:color="auto"/>
              <w:right w:val="single" w:sz="4" w:space="0" w:color="auto"/>
            </w:tcBorders>
            <w:shd w:val="clear" w:color="auto" w:fill="auto"/>
            <w:noWrap/>
            <w:vAlign w:val="bottom"/>
            <w:hideMark/>
          </w:tcPr>
          <w:p w14:paraId="29EF9930"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ES" w:eastAsia="es-PE"/>
              </w:rPr>
              <w:t>3275.3</w:t>
            </w:r>
          </w:p>
        </w:tc>
        <w:tc>
          <w:tcPr>
            <w:tcW w:w="741" w:type="pct"/>
            <w:tcBorders>
              <w:top w:val="nil"/>
              <w:left w:val="nil"/>
              <w:bottom w:val="single" w:sz="4" w:space="0" w:color="auto"/>
              <w:right w:val="single" w:sz="4" w:space="0" w:color="auto"/>
            </w:tcBorders>
            <w:shd w:val="clear" w:color="auto" w:fill="auto"/>
            <w:noWrap/>
            <w:vAlign w:val="bottom"/>
            <w:hideMark/>
          </w:tcPr>
          <w:p w14:paraId="67D480A8"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4970.3</w:t>
            </w:r>
          </w:p>
        </w:tc>
      </w:tr>
      <w:tr w:rsidR="00081226" w:rsidRPr="00E50285" w14:paraId="06817DDF" w14:textId="77777777" w:rsidTr="0065544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060141C4" w14:textId="77777777" w:rsidR="00081226" w:rsidRPr="00E50285" w:rsidRDefault="00081226" w:rsidP="00146014">
            <w:pPr>
              <w:spacing w:after="0"/>
              <w:ind w:right="585"/>
              <w:jc w:val="left"/>
              <w:rPr>
                <w:color w:val="000000"/>
                <w:sz w:val="18"/>
                <w:szCs w:val="20"/>
                <w:lang w:val="es-PE" w:eastAsia="es-PE"/>
              </w:rPr>
            </w:pPr>
            <w:r w:rsidRPr="00E50285">
              <w:rPr>
                <w:color w:val="000000"/>
                <w:sz w:val="18"/>
                <w:szCs w:val="20"/>
                <w:lang w:val="es-ES" w:eastAsia="es-PE"/>
              </w:rPr>
              <w:t>Porcentaje de total de pérdidas</w:t>
            </w:r>
          </w:p>
        </w:tc>
        <w:tc>
          <w:tcPr>
            <w:tcW w:w="834" w:type="pct"/>
            <w:tcBorders>
              <w:top w:val="nil"/>
              <w:left w:val="nil"/>
              <w:bottom w:val="single" w:sz="4" w:space="0" w:color="auto"/>
              <w:right w:val="single" w:sz="4" w:space="0" w:color="auto"/>
            </w:tcBorders>
            <w:shd w:val="clear" w:color="auto" w:fill="auto"/>
            <w:noWrap/>
            <w:vAlign w:val="bottom"/>
            <w:hideMark/>
          </w:tcPr>
          <w:p w14:paraId="79449F6B"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4%</w:t>
            </w:r>
          </w:p>
        </w:tc>
        <w:tc>
          <w:tcPr>
            <w:tcW w:w="925" w:type="pct"/>
            <w:tcBorders>
              <w:top w:val="nil"/>
              <w:left w:val="nil"/>
              <w:bottom w:val="single" w:sz="4" w:space="0" w:color="auto"/>
              <w:right w:val="single" w:sz="4" w:space="0" w:color="auto"/>
            </w:tcBorders>
            <w:shd w:val="clear" w:color="auto" w:fill="auto"/>
            <w:noWrap/>
            <w:vAlign w:val="bottom"/>
            <w:hideMark/>
          </w:tcPr>
          <w:p w14:paraId="58A4B3F2"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65%</w:t>
            </w:r>
          </w:p>
        </w:tc>
        <w:tc>
          <w:tcPr>
            <w:tcW w:w="741" w:type="pct"/>
            <w:tcBorders>
              <w:top w:val="nil"/>
              <w:left w:val="nil"/>
              <w:bottom w:val="single" w:sz="4" w:space="0" w:color="auto"/>
              <w:right w:val="single" w:sz="4" w:space="0" w:color="auto"/>
            </w:tcBorders>
            <w:shd w:val="clear" w:color="auto" w:fill="auto"/>
            <w:noWrap/>
            <w:vAlign w:val="bottom"/>
            <w:hideMark/>
          </w:tcPr>
          <w:p w14:paraId="4198304B"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100%</w:t>
            </w:r>
          </w:p>
        </w:tc>
      </w:tr>
      <w:tr w:rsidR="00081226" w:rsidRPr="00E50285" w14:paraId="204C06E2" w14:textId="77777777" w:rsidTr="0065544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30C69893" w14:textId="77777777" w:rsidR="00081226" w:rsidRPr="00E50285" w:rsidRDefault="00081226" w:rsidP="00146014">
            <w:pPr>
              <w:spacing w:after="0"/>
              <w:ind w:right="585"/>
              <w:jc w:val="left"/>
              <w:rPr>
                <w:color w:val="000000"/>
                <w:sz w:val="18"/>
                <w:szCs w:val="20"/>
                <w:lang w:val="es-PE" w:eastAsia="es-PE"/>
              </w:rPr>
            </w:pPr>
            <w:r w:rsidRPr="00E50285">
              <w:rPr>
                <w:color w:val="000000"/>
                <w:sz w:val="18"/>
                <w:szCs w:val="20"/>
                <w:lang w:val="es-ES" w:eastAsia="es-PE"/>
              </w:rPr>
              <w:t>Fracción del bosque original de coníferas que se perdió</w:t>
            </w:r>
          </w:p>
        </w:tc>
        <w:tc>
          <w:tcPr>
            <w:tcW w:w="834" w:type="pct"/>
            <w:tcBorders>
              <w:top w:val="nil"/>
              <w:left w:val="nil"/>
              <w:bottom w:val="single" w:sz="4" w:space="0" w:color="auto"/>
              <w:right w:val="single" w:sz="4" w:space="0" w:color="auto"/>
            </w:tcBorders>
            <w:shd w:val="clear" w:color="auto" w:fill="auto"/>
            <w:noWrap/>
            <w:vAlign w:val="bottom"/>
            <w:hideMark/>
          </w:tcPr>
          <w:p w14:paraId="4DD7FA98"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0.70%</w:t>
            </w:r>
          </w:p>
        </w:tc>
        <w:tc>
          <w:tcPr>
            <w:tcW w:w="925" w:type="pct"/>
            <w:tcBorders>
              <w:top w:val="nil"/>
              <w:left w:val="nil"/>
              <w:bottom w:val="single" w:sz="4" w:space="0" w:color="auto"/>
              <w:right w:val="single" w:sz="4" w:space="0" w:color="auto"/>
            </w:tcBorders>
            <w:shd w:val="clear" w:color="auto" w:fill="auto"/>
            <w:noWrap/>
            <w:vAlign w:val="bottom"/>
            <w:hideMark/>
          </w:tcPr>
          <w:p w14:paraId="71B58616"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2.10%</w:t>
            </w:r>
          </w:p>
        </w:tc>
        <w:tc>
          <w:tcPr>
            <w:tcW w:w="741" w:type="pct"/>
            <w:tcBorders>
              <w:top w:val="nil"/>
              <w:left w:val="nil"/>
              <w:bottom w:val="single" w:sz="4" w:space="0" w:color="auto"/>
              <w:right w:val="single" w:sz="4" w:space="0" w:color="auto"/>
            </w:tcBorders>
            <w:shd w:val="clear" w:color="auto" w:fill="auto"/>
            <w:noWrap/>
            <w:vAlign w:val="bottom"/>
            <w:hideMark/>
          </w:tcPr>
          <w:p w14:paraId="5BE5F745"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eastAsia="es-PE"/>
              </w:rPr>
              <w:t>1.70%</w:t>
            </w:r>
          </w:p>
        </w:tc>
      </w:tr>
      <w:tr w:rsidR="00081226" w:rsidRPr="00E50285" w14:paraId="1461D11C" w14:textId="77777777" w:rsidTr="0065544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1FB0C666" w14:textId="77777777" w:rsidR="00081226" w:rsidRPr="00E50285" w:rsidRDefault="00081226" w:rsidP="00146014">
            <w:pPr>
              <w:spacing w:after="0"/>
              <w:ind w:right="585"/>
              <w:jc w:val="left"/>
              <w:rPr>
                <w:color w:val="000000"/>
                <w:sz w:val="18"/>
                <w:szCs w:val="20"/>
                <w:lang w:val="es-PE" w:eastAsia="es-PE"/>
              </w:rPr>
            </w:pPr>
            <w:r w:rsidRPr="00E50285">
              <w:rPr>
                <w:color w:val="000000"/>
                <w:sz w:val="18"/>
                <w:szCs w:val="20"/>
                <w:lang w:val="es-PE" w:eastAsia="es-PE"/>
              </w:rPr>
              <w:t>Pérdida anual %</w:t>
            </w:r>
          </w:p>
        </w:tc>
        <w:tc>
          <w:tcPr>
            <w:tcW w:w="834" w:type="pct"/>
            <w:tcBorders>
              <w:top w:val="nil"/>
              <w:left w:val="nil"/>
              <w:bottom w:val="single" w:sz="4" w:space="0" w:color="auto"/>
              <w:right w:val="single" w:sz="4" w:space="0" w:color="auto"/>
            </w:tcBorders>
            <w:shd w:val="clear" w:color="auto" w:fill="auto"/>
            <w:noWrap/>
            <w:vAlign w:val="bottom"/>
            <w:hideMark/>
          </w:tcPr>
          <w:p w14:paraId="5BB7F6AB"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PE" w:eastAsia="es-PE"/>
              </w:rPr>
              <w:t>0.08%</w:t>
            </w:r>
          </w:p>
        </w:tc>
        <w:tc>
          <w:tcPr>
            <w:tcW w:w="925" w:type="pct"/>
            <w:tcBorders>
              <w:top w:val="nil"/>
              <w:left w:val="nil"/>
              <w:bottom w:val="single" w:sz="4" w:space="0" w:color="auto"/>
              <w:right w:val="single" w:sz="4" w:space="0" w:color="auto"/>
            </w:tcBorders>
            <w:shd w:val="clear" w:color="auto" w:fill="auto"/>
            <w:noWrap/>
            <w:vAlign w:val="bottom"/>
            <w:hideMark/>
          </w:tcPr>
          <w:p w14:paraId="3B7EE021"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PE" w:eastAsia="es-PE"/>
              </w:rPr>
              <w:t>0.24%</w:t>
            </w:r>
          </w:p>
        </w:tc>
        <w:tc>
          <w:tcPr>
            <w:tcW w:w="741" w:type="pct"/>
            <w:tcBorders>
              <w:top w:val="nil"/>
              <w:left w:val="nil"/>
              <w:bottom w:val="single" w:sz="4" w:space="0" w:color="auto"/>
              <w:right w:val="single" w:sz="4" w:space="0" w:color="auto"/>
            </w:tcBorders>
            <w:shd w:val="clear" w:color="auto" w:fill="auto"/>
            <w:noWrap/>
            <w:vAlign w:val="bottom"/>
            <w:hideMark/>
          </w:tcPr>
          <w:p w14:paraId="0D691BF2" w14:textId="77777777" w:rsidR="00081226" w:rsidRPr="00E50285" w:rsidRDefault="00081226" w:rsidP="00146014">
            <w:pPr>
              <w:spacing w:after="0"/>
              <w:jc w:val="center"/>
              <w:rPr>
                <w:color w:val="000000"/>
                <w:sz w:val="18"/>
                <w:szCs w:val="20"/>
                <w:lang w:val="es-PE" w:eastAsia="es-PE"/>
              </w:rPr>
            </w:pPr>
            <w:r w:rsidRPr="00E50285">
              <w:rPr>
                <w:color w:val="000000"/>
                <w:sz w:val="18"/>
                <w:szCs w:val="20"/>
                <w:lang w:val="es-PE" w:eastAsia="es-PE"/>
              </w:rPr>
              <w:t>0.19%</w:t>
            </w:r>
          </w:p>
        </w:tc>
      </w:tr>
    </w:tbl>
    <w:p w14:paraId="079FC983" w14:textId="6A51C93D" w:rsidR="00081226" w:rsidRPr="00E50285" w:rsidRDefault="00081226" w:rsidP="0065544A">
      <w:pPr>
        <w:pStyle w:val="NoSpacing"/>
        <w:ind w:firstLine="567"/>
        <w:jc w:val="left"/>
        <w:rPr>
          <w:sz w:val="20"/>
        </w:rPr>
      </w:pPr>
      <w:r w:rsidRPr="00E50285">
        <w:rPr>
          <w:sz w:val="20"/>
        </w:rPr>
        <w:t>Fuente: Hernández (201</w:t>
      </w:r>
      <w:r w:rsidR="00146014">
        <w:rPr>
          <w:sz w:val="20"/>
        </w:rPr>
        <w:t>8a</w:t>
      </w:r>
      <w:r w:rsidRPr="00E50285">
        <w:rPr>
          <w:sz w:val="20"/>
        </w:rPr>
        <w:t>)</w:t>
      </w:r>
    </w:p>
    <w:p w14:paraId="18024BC2" w14:textId="77777777" w:rsidR="00081226" w:rsidRDefault="00081226" w:rsidP="00854EFC">
      <w:pPr>
        <w:pStyle w:val="parrafonumerado"/>
      </w:pPr>
      <w:r w:rsidRPr="00E50285">
        <w:t>Se considera que la intervención en MFA es similar a la situación de las áreas protegidas SINAPH y se calcula el diferencial de deforestación (0.24% - 0.08%=0.16% anual) el que se aplica al área intervenida.</w:t>
      </w:r>
    </w:p>
    <w:p w14:paraId="2B21088D" w14:textId="756E74E0" w:rsidR="00081226" w:rsidRPr="002E3F3A" w:rsidRDefault="0065544A" w:rsidP="00854EFC">
      <w:pPr>
        <w:pStyle w:val="parrafonumerado"/>
      </w:pPr>
      <w:r>
        <w:t>P</w:t>
      </w:r>
      <w:r w:rsidR="00081226">
        <w:t>ara el carbono se usará el contenido de carbono del Informe Nacional de Referencia (Gobierno de Honduras, 2017) de 150 tnCO2e por Ha</w:t>
      </w:r>
      <w:r>
        <w:t xml:space="preserve"> y p</w:t>
      </w:r>
      <w:r w:rsidR="00081226">
        <w:t xml:space="preserve">ara la valoración económica usaremos el precio promedio del mercado voluntario de carbono en países de la región para el año 2016, que ascendió a US$ 4.2/tCO2e </w:t>
      </w:r>
      <w:r w:rsidR="00081226" w:rsidRPr="002E3F3A">
        <w:t>(</w:t>
      </w:r>
      <w:proofErr w:type="spellStart"/>
      <w:r w:rsidR="00081226" w:rsidRPr="002E3F3A">
        <w:t>Hamrick</w:t>
      </w:r>
      <w:proofErr w:type="spellEnd"/>
      <w:r w:rsidR="00081226" w:rsidRPr="002E3F3A">
        <w:t xml:space="preserve"> y </w:t>
      </w:r>
      <w:proofErr w:type="spellStart"/>
      <w:r w:rsidR="00081226" w:rsidRPr="002E3F3A">
        <w:t>Gallant</w:t>
      </w:r>
      <w:proofErr w:type="spellEnd"/>
      <w:r w:rsidR="00081226" w:rsidRPr="002E3F3A">
        <w:t>, 2018).</w:t>
      </w:r>
    </w:p>
    <w:p w14:paraId="437EF513" w14:textId="68164533" w:rsidR="00194367" w:rsidRPr="003B16B3" w:rsidRDefault="00194367" w:rsidP="00453CFD">
      <w:pPr>
        <w:pStyle w:val="Heading2"/>
      </w:pPr>
      <w:r w:rsidRPr="003B16B3">
        <w:t>3.</w:t>
      </w:r>
      <w:r w:rsidR="0065544A">
        <w:t>4</w:t>
      </w:r>
      <w:r w:rsidRPr="003B16B3">
        <w:t>.  Productos forestales y no forestales</w:t>
      </w:r>
      <w:bookmarkEnd w:id="13"/>
    </w:p>
    <w:p w14:paraId="4AC3DB95" w14:textId="540AE02B" w:rsidR="00C752E7" w:rsidRDefault="00194367" w:rsidP="00854EFC">
      <w:pPr>
        <w:pStyle w:val="parrafonumerado"/>
      </w:pPr>
      <w:r>
        <w:t xml:space="preserve">En las áreas intervenidas de bosque </w:t>
      </w:r>
      <w:r w:rsidR="001D550E">
        <w:t xml:space="preserve">privado </w:t>
      </w:r>
      <w:r>
        <w:t>en producción el proceso de restauración también genera beneficios directos por la producción de al menos tres tipos de productos: (i) leña; (ii) madera y (iii) resina.  La producción de leña se genera en</w:t>
      </w:r>
      <w:r w:rsidR="00C752E7">
        <w:t xml:space="preserve"> los dos primeros raleos no comerciales, mientras que la producción de madera se genera en el raleo comercial más importante en el año 20.  La producción de resina se plantea para </w:t>
      </w:r>
      <w:r w:rsidR="00074A1F">
        <w:t xml:space="preserve">el año 25 y </w:t>
      </w:r>
      <w:r w:rsidR="00C752E7">
        <w:t>posteriores, generando un ingreso anual por este producto.</w:t>
      </w:r>
      <w:r w:rsidR="001D550E">
        <w:t xml:space="preserve"> </w:t>
      </w:r>
      <w:r w:rsidR="00C752E7">
        <w:t xml:space="preserve">En conjunto, estos beneficios ya fueron estimados en la consultoría del Componente 1 </w:t>
      </w:r>
      <w:r w:rsidR="001D550E">
        <w:t>del MSB y son</w:t>
      </w:r>
      <w:r w:rsidR="00C752E7">
        <w:t xml:space="preserve"> aplicados </w:t>
      </w:r>
      <w:r w:rsidR="001D550E">
        <w:t>en esta evaluación</w:t>
      </w:r>
      <w:r w:rsidR="00CE336C">
        <w:t xml:space="preserve">. </w:t>
      </w:r>
    </w:p>
    <w:p w14:paraId="56CBAE6E" w14:textId="263A0672" w:rsidR="00C752E7" w:rsidRPr="003B16B3" w:rsidRDefault="00C752E7" w:rsidP="00453CFD">
      <w:pPr>
        <w:pStyle w:val="Heading2"/>
      </w:pPr>
      <w:bookmarkStart w:id="14" w:name="_Toc17823749"/>
      <w:r w:rsidRPr="003B16B3">
        <w:t>3.</w:t>
      </w:r>
      <w:r w:rsidR="0065544A">
        <w:t>5</w:t>
      </w:r>
      <w:r w:rsidRPr="003B16B3">
        <w:t xml:space="preserve">.  </w:t>
      </w:r>
      <w:r w:rsidR="00D1228A">
        <w:t>Mayores ingresos de productores con SAF</w:t>
      </w:r>
      <w:bookmarkEnd w:id="14"/>
    </w:p>
    <w:p w14:paraId="5EEFA0DA" w14:textId="77777777" w:rsidR="00074A1F" w:rsidRDefault="00C752E7" w:rsidP="00854EFC">
      <w:pPr>
        <w:pStyle w:val="parrafonumerado"/>
      </w:pPr>
      <w:r>
        <w:t xml:space="preserve">En las áreas en las que se promoverán los sistemas agroforestales (SAF) se esperan mayores beneficios de los agricultores a los que se financiará parte de las inversiones, asistencia técnica e insumos requeridos mediante el proyecto.  </w:t>
      </w:r>
    </w:p>
    <w:p w14:paraId="4D1CD321" w14:textId="523A0BBD" w:rsidR="00D1228A" w:rsidRDefault="00074A1F" w:rsidP="00854EFC">
      <w:pPr>
        <w:pStyle w:val="parrafonumerado"/>
      </w:pPr>
      <w:r>
        <w:t xml:space="preserve">Para la estimación de beneficios utilizaremos </w:t>
      </w:r>
      <w:r w:rsidR="00D1228A">
        <w:t xml:space="preserve">los resultados de la evaluación económica ex post </w:t>
      </w:r>
      <w:r>
        <w:t xml:space="preserve">del </w:t>
      </w:r>
      <w:r w:rsidR="00D1228A">
        <w:t xml:space="preserve">componente 1 del </w:t>
      </w:r>
      <w:r w:rsidR="00F247E0">
        <w:t xml:space="preserve">proyecto </w:t>
      </w:r>
      <w:r>
        <w:t xml:space="preserve">PAGRICC </w:t>
      </w:r>
      <w:r w:rsidR="00F247E0">
        <w:t xml:space="preserve">en Nicaragua </w:t>
      </w:r>
      <w:r>
        <w:t>(</w:t>
      </w:r>
      <w:r w:rsidR="00D1228A">
        <w:t>Gonzáles y Le Pommellec</w:t>
      </w:r>
      <w:r w:rsidR="00F247E0">
        <w:t>, 201</w:t>
      </w:r>
      <w:r w:rsidR="00D1228A">
        <w:t>9</w:t>
      </w:r>
      <w:r>
        <w:t xml:space="preserve">). </w:t>
      </w:r>
      <w:r w:rsidR="00D1228A">
        <w:t xml:space="preserve"> El componente evaluado consiste en el apoyo financiero y técnico para la implementación de un conjunto de prácticas agroforestales en dos subcuencas en la zona norte del país en las que existía sobreuso de suelos con actividades agropecuarias y forestales.  Los beneficiarios del PAGRICC adoptaron un mínimo de seis prácticas agroforestales con impactos esperados en la productividad de la tierra, con efectos positivos esperados a nivel ambiental, económico y en la seguridad alimentaria.</w:t>
      </w:r>
    </w:p>
    <w:p w14:paraId="59CB4E8E" w14:textId="237645C2" w:rsidR="00D1228A" w:rsidRDefault="00D1228A" w:rsidP="00854EFC">
      <w:pPr>
        <w:pStyle w:val="parrafonumerado"/>
      </w:pPr>
      <w:r>
        <w:lastRenderedPageBreak/>
        <w:t xml:space="preserve">La evaluación ex post del PAGRICC se hizo para un periodo de tres años entre la línea de base (2013) y final (2016) de un grupo de agricultores beneficiarios y un grupo similar de control.  Los datos de tipo panel han permitido a los autores generar mediciones de diferencias en diferencias rigurosas (eliminación de sesgos de atribución, selección y otros) de los impactos en variables como la productividad media de la tierra y en activos y prácticas agroforestales adoptadas.  El resultado más importante para esta evaluación se refiere a la productividad de la tierra, que se incrementó por efectos del PAGRICC en un promedio de 26% en el periodo de 3 años correspondiente.     </w:t>
      </w:r>
    </w:p>
    <w:p w14:paraId="0CB208B8" w14:textId="1C055337" w:rsidR="00D1228A" w:rsidRPr="00D1228A" w:rsidRDefault="00D1228A" w:rsidP="00854EFC">
      <w:pPr>
        <w:pStyle w:val="parrafonumerado"/>
      </w:pPr>
      <w:r w:rsidRPr="00D1228A">
        <w:t xml:space="preserve">El PAGRICC es un programa que guarda </w:t>
      </w:r>
      <w:r>
        <w:t xml:space="preserve">importantes </w:t>
      </w:r>
      <w:r w:rsidRPr="00D1228A">
        <w:t xml:space="preserve">similitudes con la presente intervención en </w:t>
      </w:r>
      <w:r>
        <w:t xml:space="preserve">cuanto a promoción de </w:t>
      </w:r>
      <w:r w:rsidRPr="00D1228A">
        <w:t>SAF</w:t>
      </w:r>
      <w:r>
        <w:t xml:space="preserve">.  Por ejemplo, se prevé utilizar mecanismos similares de apoyo financiero (uso de algún tipo de bono ambiental) y de asistencia técnica por proveedores privados a los potenciales beneficiarios.  Igualmente, se plantean criterios de elegibilidad equivalentes (tamaño mínimo </w:t>
      </w:r>
      <w:proofErr w:type="gramStart"/>
      <w:r>
        <w:t>dela</w:t>
      </w:r>
      <w:proofErr w:type="gramEnd"/>
      <w:r>
        <w:t xml:space="preserve"> explotación, título de propiedad definido, ubicación en áreas colindantes a bosque para evitar deforestación).  </w:t>
      </w:r>
      <w:r w:rsidRPr="00D1228A">
        <w:t xml:space="preserve">No obstante, </w:t>
      </w:r>
      <w:r>
        <w:t xml:space="preserve">también </w:t>
      </w:r>
      <w:r w:rsidRPr="00D1228A">
        <w:t xml:space="preserve">es importante señalar que </w:t>
      </w:r>
      <w:r>
        <w:t xml:space="preserve">existen potenciales diferencias entre las áreas intervenidas en cuanto a calidad y fertilidad del suelo y condiciones climáticas, que es probable sean menos favorables en el actual proyecto.  Debido a esto asumiremos que el impacto esperado e la actual intervención </w:t>
      </w:r>
      <w:r w:rsidR="00B74C0D">
        <w:t xml:space="preserve">para los años 3 a 5 </w:t>
      </w:r>
      <w:r>
        <w:t>equivale</w:t>
      </w:r>
      <w:r w:rsidR="00B74C0D">
        <w:t>n</w:t>
      </w:r>
      <w:r>
        <w:t xml:space="preserve"> a </w:t>
      </w:r>
      <w:r w:rsidR="00B74C0D">
        <w:t>aproximadamente</w:t>
      </w:r>
      <w:r>
        <w:t xml:space="preserve"> un </w:t>
      </w:r>
      <w:r w:rsidR="00B74C0D">
        <w:t>4</w:t>
      </w:r>
      <w:r>
        <w:t>0% del impacto obtenido en el PAGRICC</w:t>
      </w:r>
      <w:r w:rsidR="00B74C0D">
        <w:t>, que implica un incremento de 10% en el ingreso agrícola</w:t>
      </w:r>
      <w:r>
        <w:t>.</w:t>
      </w:r>
      <w:r w:rsidR="00B74C0D">
        <w:t xml:space="preserve"> Para los años siguientes a 5 se asume que el ingreso aumenta paulatinamente hasta llegar a un 72% del impacto del PAGRICC al año 10 que se asume constante, reflejando mejoras de productividad y manejo de recursos de más largo plazo.</w:t>
      </w:r>
    </w:p>
    <w:p w14:paraId="29FAC4CE" w14:textId="31042436" w:rsidR="00C752E7" w:rsidRDefault="00D1228A" w:rsidP="00854EFC">
      <w:pPr>
        <w:pStyle w:val="parrafonumerado"/>
      </w:pPr>
      <w:r>
        <w:t>Para poder asignar los beneficios en la intervención en SAF utilizamos la Encuesta Nacional de Propósitos Múltiples del Instituto Nacional de Estadísticas (INE) de Honduras para el año 2016</w:t>
      </w:r>
      <w:r>
        <w:rPr>
          <w:rStyle w:val="FootnoteReference"/>
        </w:rPr>
        <w:footnoteReference w:id="6"/>
      </w:r>
      <w:r>
        <w:t>, que es el año más próximo en el que se tiene el dato de la rama de la ocupación principal de los encuestados. Esta es una encuesta que tienen representatividad a nivel nacional y por dominios para el conjunto de hogares de Honduras.  Tomaremos como ingreso base al ingreso promedio por cuenta propia de las personas en el sector agropecuario.  En el cuadro siguiente se consigna la información tomada del sistema del INE:</w:t>
      </w:r>
    </w:p>
    <w:tbl>
      <w:tblPr>
        <w:tblW w:w="3833" w:type="pct"/>
        <w:tblInd w:w="1560" w:type="dxa"/>
        <w:tblLayout w:type="fixed"/>
        <w:tblLook w:val="04A0" w:firstRow="1" w:lastRow="0" w:firstColumn="1" w:lastColumn="0" w:noHBand="0" w:noVBand="1"/>
      </w:tblPr>
      <w:tblGrid>
        <w:gridCol w:w="2550"/>
        <w:gridCol w:w="1140"/>
        <w:gridCol w:w="1176"/>
        <w:gridCol w:w="735"/>
        <w:gridCol w:w="918"/>
      </w:tblGrid>
      <w:tr w:rsidR="00D1228A" w:rsidRPr="00D1228A" w14:paraId="2176F02D" w14:textId="77777777" w:rsidTr="009164D3">
        <w:trPr>
          <w:trHeight w:val="300"/>
        </w:trPr>
        <w:tc>
          <w:tcPr>
            <w:tcW w:w="5000" w:type="pct"/>
            <w:gridSpan w:val="5"/>
            <w:tcBorders>
              <w:top w:val="nil"/>
              <w:left w:val="nil"/>
              <w:bottom w:val="nil"/>
              <w:right w:val="nil"/>
            </w:tcBorders>
            <w:shd w:val="clear" w:color="auto" w:fill="auto"/>
            <w:noWrap/>
            <w:hideMark/>
          </w:tcPr>
          <w:p w14:paraId="70AF9067" w14:textId="6DFF0C70" w:rsidR="00D1228A" w:rsidRDefault="00D1228A" w:rsidP="00D1228A">
            <w:pPr>
              <w:spacing w:before="0" w:after="0"/>
              <w:jc w:val="center"/>
              <w:rPr>
                <w:bCs/>
                <w:color w:val="000000"/>
                <w:szCs w:val="22"/>
                <w:lang w:val="es-PE" w:eastAsia="en-US"/>
              </w:rPr>
            </w:pPr>
            <w:r w:rsidRPr="00D1228A">
              <w:rPr>
                <w:bCs/>
                <w:color w:val="000000"/>
                <w:szCs w:val="22"/>
                <w:lang w:val="es-PE" w:eastAsia="en-US"/>
              </w:rPr>
              <w:t xml:space="preserve">Cuadro 7. </w:t>
            </w:r>
            <w:r>
              <w:rPr>
                <w:bCs/>
                <w:color w:val="000000"/>
                <w:szCs w:val="22"/>
                <w:lang w:val="es-PE" w:eastAsia="en-US"/>
              </w:rPr>
              <w:t>Honduras: p</w:t>
            </w:r>
            <w:r w:rsidRPr="00D1228A">
              <w:rPr>
                <w:bCs/>
                <w:color w:val="000000"/>
                <w:szCs w:val="22"/>
                <w:lang w:val="es-PE" w:eastAsia="en-US"/>
              </w:rPr>
              <w:t xml:space="preserve">romedio de </w:t>
            </w:r>
            <w:r>
              <w:rPr>
                <w:bCs/>
                <w:color w:val="000000"/>
                <w:szCs w:val="22"/>
                <w:lang w:val="es-PE" w:eastAsia="en-US"/>
              </w:rPr>
              <w:t>i</w:t>
            </w:r>
            <w:r w:rsidRPr="00D1228A">
              <w:rPr>
                <w:bCs/>
                <w:color w:val="000000"/>
                <w:szCs w:val="22"/>
                <w:lang w:val="es-PE" w:eastAsia="en-US"/>
              </w:rPr>
              <w:t xml:space="preserve">ngreso mensual </w:t>
            </w:r>
          </w:p>
          <w:p w14:paraId="5031CC49" w14:textId="7D633DFB" w:rsidR="00D1228A" w:rsidRPr="00D1228A" w:rsidRDefault="00D1228A" w:rsidP="00D1228A">
            <w:pPr>
              <w:spacing w:before="0" w:after="0"/>
              <w:jc w:val="center"/>
              <w:rPr>
                <w:bCs/>
                <w:color w:val="000000"/>
                <w:szCs w:val="22"/>
                <w:lang w:val="es-PE" w:eastAsia="en-US"/>
              </w:rPr>
            </w:pPr>
            <w:r>
              <w:rPr>
                <w:bCs/>
                <w:color w:val="000000"/>
                <w:szCs w:val="22"/>
                <w:lang w:val="es-PE" w:eastAsia="en-US"/>
              </w:rPr>
              <w:t xml:space="preserve">por cuenta propia </w:t>
            </w:r>
            <w:r w:rsidRPr="00D1228A">
              <w:rPr>
                <w:bCs/>
                <w:color w:val="000000"/>
                <w:szCs w:val="22"/>
                <w:lang w:val="es-PE" w:eastAsia="en-US"/>
              </w:rPr>
              <w:t xml:space="preserve">en sector agricultura </w:t>
            </w:r>
            <w:r>
              <w:rPr>
                <w:bCs/>
                <w:color w:val="000000"/>
                <w:szCs w:val="22"/>
                <w:lang w:val="es-PE" w:eastAsia="en-US"/>
              </w:rPr>
              <w:t>(</w:t>
            </w:r>
            <w:r w:rsidRPr="00D1228A">
              <w:rPr>
                <w:bCs/>
                <w:color w:val="000000"/>
                <w:szCs w:val="22"/>
                <w:lang w:val="es-PE" w:eastAsia="en-US"/>
              </w:rPr>
              <w:t>Lempiras</w:t>
            </w:r>
            <w:r>
              <w:rPr>
                <w:bCs/>
                <w:color w:val="000000"/>
                <w:szCs w:val="22"/>
                <w:lang w:val="es-PE" w:eastAsia="en-US"/>
              </w:rPr>
              <w:t>)</w:t>
            </w:r>
          </w:p>
        </w:tc>
      </w:tr>
      <w:tr w:rsidR="009164D3" w:rsidRPr="00D1228A" w14:paraId="734B055A" w14:textId="77777777" w:rsidTr="009164D3">
        <w:trPr>
          <w:trHeight w:val="300"/>
        </w:trPr>
        <w:tc>
          <w:tcPr>
            <w:tcW w:w="1956" w:type="pct"/>
            <w:tcBorders>
              <w:top w:val="single" w:sz="4" w:space="0" w:color="000000"/>
              <w:left w:val="single" w:sz="4" w:space="0" w:color="000000"/>
              <w:bottom w:val="single" w:sz="4" w:space="0" w:color="000000"/>
              <w:right w:val="single" w:sz="4" w:space="0" w:color="000000"/>
            </w:tcBorders>
            <w:shd w:val="clear" w:color="000000" w:fill="969696"/>
            <w:noWrap/>
            <w:hideMark/>
          </w:tcPr>
          <w:p w14:paraId="6AE8B826" w14:textId="30C68272" w:rsidR="00D1228A" w:rsidRPr="00D1228A" w:rsidRDefault="00D1228A" w:rsidP="00D1228A">
            <w:pPr>
              <w:spacing w:before="0" w:after="0"/>
              <w:jc w:val="left"/>
              <w:rPr>
                <w:b/>
                <w:bCs/>
                <w:color w:val="000000"/>
                <w:sz w:val="20"/>
                <w:szCs w:val="22"/>
                <w:lang w:val="es-PE" w:eastAsia="en-US"/>
              </w:rPr>
            </w:pPr>
            <w:r w:rsidRPr="00D1228A">
              <w:rPr>
                <w:b/>
                <w:bCs/>
                <w:color w:val="000000"/>
                <w:sz w:val="20"/>
                <w:szCs w:val="22"/>
                <w:lang w:val="es-PE" w:eastAsia="en-US"/>
              </w:rPr>
              <w:t>Categor</w:t>
            </w:r>
            <w:r>
              <w:rPr>
                <w:b/>
                <w:bCs/>
                <w:color w:val="000000"/>
                <w:sz w:val="20"/>
                <w:szCs w:val="22"/>
                <w:lang w:val="es-PE" w:eastAsia="en-US"/>
              </w:rPr>
              <w:t>í</w:t>
            </w:r>
            <w:r w:rsidRPr="00D1228A">
              <w:rPr>
                <w:b/>
                <w:bCs/>
                <w:color w:val="000000"/>
                <w:sz w:val="20"/>
                <w:szCs w:val="22"/>
                <w:lang w:val="es-PE" w:eastAsia="en-US"/>
              </w:rPr>
              <w:t>a ocupacional principal</w:t>
            </w:r>
          </w:p>
        </w:tc>
        <w:tc>
          <w:tcPr>
            <w:tcW w:w="874" w:type="pct"/>
            <w:tcBorders>
              <w:top w:val="single" w:sz="4" w:space="0" w:color="000000"/>
              <w:left w:val="nil"/>
              <w:bottom w:val="single" w:sz="4" w:space="0" w:color="000000"/>
              <w:right w:val="single" w:sz="4" w:space="0" w:color="000000"/>
            </w:tcBorders>
            <w:shd w:val="clear" w:color="000000" w:fill="969696"/>
            <w:noWrap/>
            <w:hideMark/>
          </w:tcPr>
          <w:p w14:paraId="7CED86C8" w14:textId="77777777" w:rsidR="00D1228A" w:rsidRPr="00D1228A" w:rsidRDefault="00D1228A" w:rsidP="00D1228A">
            <w:pPr>
              <w:spacing w:before="0" w:after="0"/>
              <w:jc w:val="center"/>
              <w:rPr>
                <w:b/>
                <w:bCs/>
                <w:color w:val="000000"/>
                <w:sz w:val="20"/>
                <w:szCs w:val="22"/>
                <w:lang w:val="es-PE" w:eastAsia="en-US"/>
              </w:rPr>
            </w:pPr>
            <w:r w:rsidRPr="00D1228A">
              <w:rPr>
                <w:b/>
                <w:bCs/>
                <w:color w:val="000000"/>
                <w:sz w:val="20"/>
                <w:szCs w:val="22"/>
                <w:lang w:val="es-PE" w:eastAsia="en-US"/>
              </w:rPr>
              <w:t>Casos</w:t>
            </w:r>
          </w:p>
        </w:tc>
        <w:tc>
          <w:tcPr>
            <w:tcW w:w="902" w:type="pct"/>
            <w:tcBorders>
              <w:top w:val="single" w:sz="4" w:space="0" w:color="000000"/>
              <w:left w:val="nil"/>
              <w:bottom w:val="single" w:sz="4" w:space="0" w:color="000000"/>
              <w:right w:val="single" w:sz="4" w:space="0" w:color="000000"/>
            </w:tcBorders>
            <w:shd w:val="clear" w:color="000000" w:fill="969696"/>
            <w:noWrap/>
            <w:hideMark/>
          </w:tcPr>
          <w:p w14:paraId="3F58A5F6" w14:textId="77777777" w:rsidR="00D1228A" w:rsidRPr="00D1228A" w:rsidRDefault="00D1228A" w:rsidP="00D1228A">
            <w:pPr>
              <w:spacing w:before="0" w:after="0"/>
              <w:jc w:val="center"/>
              <w:rPr>
                <w:b/>
                <w:bCs/>
                <w:color w:val="000000"/>
                <w:sz w:val="20"/>
                <w:szCs w:val="22"/>
                <w:lang w:val="es-PE" w:eastAsia="en-US"/>
              </w:rPr>
            </w:pPr>
            <w:r w:rsidRPr="00D1228A">
              <w:rPr>
                <w:b/>
                <w:bCs/>
                <w:color w:val="000000"/>
                <w:sz w:val="20"/>
                <w:szCs w:val="22"/>
                <w:lang w:val="es-PE" w:eastAsia="en-US"/>
              </w:rPr>
              <w:t>Promedio</w:t>
            </w:r>
          </w:p>
        </w:tc>
        <w:tc>
          <w:tcPr>
            <w:tcW w:w="564" w:type="pct"/>
            <w:tcBorders>
              <w:top w:val="single" w:sz="4" w:space="0" w:color="000000"/>
              <w:left w:val="nil"/>
              <w:bottom w:val="single" w:sz="4" w:space="0" w:color="000000"/>
              <w:right w:val="single" w:sz="4" w:space="0" w:color="000000"/>
            </w:tcBorders>
            <w:shd w:val="clear" w:color="000000" w:fill="969696"/>
            <w:noWrap/>
            <w:hideMark/>
          </w:tcPr>
          <w:p w14:paraId="46E39938" w14:textId="77777777" w:rsidR="00D1228A" w:rsidRPr="00D1228A" w:rsidRDefault="00D1228A" w:rsidP="00D1228A">
            <w:pPr>
              <w:spacing w:before="0" w:after="0"/>
              <w:jc w:val="center"/>
              <w:rPr>
                <w:b/>
                <w:bCs/>
                <w:color w:val="000000"/>
                <w:sz w:val="20"/>
                <w:szCs w:val="22"/>
                <w:lang w:val="es-PE" w:eastAsia="en-US"/>
              </w:rPr>
            </w:pPr>
            <w:r w:rsidRPr="00D1228A">
              <w:rPr>
                <w:b/>
                <w:bCs/>
                <w:color w:val="000000"/>
                <w:sz w:val="20"/>
                <w:szCs w:val="22"/>
                <w:lang w:val="es-PE" w:eastAsia="en-US"/>
              </w:rPr>
              <w:t>%</w:t>
            </w:r>
          </w:p>
        </w:tc>
        <w:tc>
          <w:tcPr>
            <w:tcW w:w="704" w:type="pct"/>
            <w:tcBorders>
              <w:top w:val="single" w:sz="4" w:space="0" w:color="000000"/>
              <w:left w:val="nil"/>
              <w:bottom w:val="single" w:sz="4" w:space="0" w:color="000000"/>
              <w:right w:val="single" w:sz="4" w:space="0" w:color="000000"/>
            </w:tcBorders>
            <w:shd w:val="clear" w:color="000000" w:fill="969696"/>
            <w:noWrap/>
            <w:hideMark/>
          </w:tcPr>
          <w:p w14:paraId="2479E4CB" w14:textId="3F13ABB8" w:rsidR="00D1228A" w:rsidRPr="00D1228A" w:rsidRDefault="00D1228A" w:rsidP="00D1228A">
            <w:pPr>
              <w:spacing w:before="0" w:after="0"/>
              <w:jc w:val="center"/>
              <w:rPr>
                <w:b/>
                <w:bCs/>
                <w:color w:val="000000"/>
                <w:sz w:val="20"/>
                <w:szCs w:val="22"/>
                <w:lang w:val="es-PE" w:eastAsia="en-US"/>
              </w:rPr>
            </w:pPr>
            <w:proofErr w:type="spellStart"/>
            <w:r w:rsidRPr="00D1228A">
              <w:rPr>
                <w:b/>
                <w:bCs/>
                <w:color w:val="000000"/>
                <w:sz w:val="20"/>
                <w:szCs w:val="22"/>
                <w:lang w:val="es-PE" w:eastAsia="en-US"/>
              </w:rPr>
              <w:t>Acum</w:t>
            </w:r>
            <w:proofErr w:type="spellEnd"/>
            <w:r>
              <w:rPr>
                <w:b/>
                <w:bCs/>
                <w:color w:val="000000"/>
                <w:sz w:val="20"/>
                <w:szCs w:val="22"/>
                <w:lang w:val="es-PE" w:eastAsia="en-US"/>
              </w:rPr>
              <w:t>.</w:t>
            </w:r>
            <w:r w:rsidRPr="00D1228A">
              <w:rPr>
                <w:b/>
                <w:bCs/>
                <w:color w:val="000000"/>
                <w:sz w:val="20"/>
                <w:szCs w:val="22"/>
                <w:lang w:val="es-PE" w:eastAsia="en-US"/>
              </w:rPr>
              <w:t xml:space="preserve"> %</w:t>
            </w:r>
          </w:p>
        </w:tc>
      </w:tr>
      <w:tr w:rsidR="00D1228A" w:rsidRPr="00D1228A" w14:paraId="75FDBE30" w14:textId="77777777" w:rsidTr="009164D3">
        <w:trPr>
          <w:trHeight w:val="300"/>
        </w:trPr>
        <w:tc>
          <w:tcPr>
            <w:tcW w:w="1956" w:type="pct"/>
            <w:tcBorders>
              <w:top w:val="nil"/>
              <w:left w:val="single" w:sz="4" w:space="0" w:color="000000"/>
              <w:bottom w:val="single" w:sz="4" w:space="0" w:color="000000"/>
              <w:right w:val="single" w:sz="4" w:space="0" w:color="000000"/>
            </w:tcBorders>
            <w:shd w:val="clear" w:color="auto" w:fill="auto"/>
            <w:noWrap/>
            <w:hideMark/>
          </w:tcPr>
          <w:p w14:paraId="20194416" w14:textId="61330EE1" w:rsidR="00D1228A" w:rsidRPr="00D1228A" w:rsidRDefault="00D1228A" w:rsidP="00D1228A">
            <w:pPr>
              <w:spacing w:before="0" w:after="0"/>
              <w:jc w:val="left"/>
              <w:rPr>
                <w:color w:val="000000"/>
                <w:sz w:val="20"/>
                <w:szCs w:val="22"/>
                <w:lang w:val="es-PE" w:eastAsia="en-US"/>
              </w:rPr>
            </w:pPr>
            <w:r w:rsidRPr="00D1228A">
              <w:rPr>
                <w:color w:val="000000"/>
                <w:sz w:val="20"/>
                <w:szCs w:val="22"/>
                <w:lang w:val="es-PE" w:eastAsia="en-US"/>
              </w:rPr>
              <w:t>Empleado Público</w:t>
            </w:r>
          </w:p>
        </w:tc>
        <w:tc>
          <w:tcPr>
            <w:tcW w:w="874" w:type="pct"/>
            <w:tcBorders>
              <w:top w:val="nil"/>
              <w:left w:val="nil"/>
              <w:bottom w:val="single" w:sz="4" w:space="0" w:color="000000"/>
              <w:right w:val="single" w:sz="4" w:space="0" w:color="000000"/>
            </w:tcBorders>
            <w:shd w:val="clear" w:color="auto" w:fill="auto"/>
            <w:noWrap/>
            <w:hideMark/>
          </w:tcPr>
          <w:p w14:paraId="0455B32C"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281</w:t>
            </w:r>
          </w:p>
        </w:tc>
        <w:tc>
          <w:tcPr>
            <w:tcW w:w="902" w:type="pct"/>
            <w:tcBorders>
              <w:top w:val="nil"/>
              <w:left w:val="nil"/>
              <w:bottom w:val="single" w:sz="4" w:space="0" w:color="000000"/>
              <w:right w:val="single" w:sz="4" w:space="0" w:color="000000"/>
            </w:tcBorders>
            <w:shd w:val="clear" w:color="auto" w:fill="auto"/>
            <w:noWrap/>
            <w:hideMark/>
          </w:tcPr>
          <w:p w14:paraId="66C754C8" w14:textId="2A302A3C"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3</w:t>
            </w:r>
            <w:r>
              <w:rPr>
                <w:color w:val="000000"/>
                <w:sz w:val="20"/>
                <w:szCs w:val="22"/>
                <w:lang w:val="es-PE" w:eastAsia="en-US"/>
              </w:rPr>
              <w:t>,</w:t>
            </w:r>
            <w:r w:rsidRPr="00D1228A">
              <w:rPr>
                <w:color w:val="000000"/>
                <w:sz w:val="20"/>
                <w:szCs w:val="22"/>
                <w:lang w:val="es-PE" w:eastAsia="en-US"/>
              </w:rPr>
              <w:t>000</w:t>
            </w:r>
          </w:p>
        </w:tc>
        <w:tc>
          <w:tcPr>
            <w:tcW w:w="564" w:type="pct"/>
            <w:tcBorders>
              <w:top w:val="nil"/>
              <w:left w:val="nil"/>
              <w:bottom w:val="single" w:sz="4" w:space="0" w:color="000000"/>
              <w:right w:val="single" w:sz="4" w:space="0" w:color="000000"/>
            </w:tcBorders>
            <w:shd w:val="clear" w:color="auto" w:fill="auto"/>
            <w:noWrap/>
            <w:hideMark/>
          </w:tcPr>
          <w:p w14:paraId="080C6689"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0.03</w:t>
            </w:r>
          </w:p>
        </w:tc>
        <w:tc>
          <w:tcPr>
            <w:tcW w:w="704" w:type="pct"/>
            <w:tcBorders>
              <w:top w:val="nil"/>
              <w:left w:val="nil"/>
              <w:bottom w:val="single" w:sz="4" w:space="0" w:color="000000"/>
              <w:right w:val="single" w:sz="4" w:space="0" w:color="000000"/>
            </w:tcBorders>
            <w:shd w:val="clear" w:color="auto" w:fill="auto"/>
            <w:noWrap/>
            <w:hideMark/>
          </w:tcPr>
          <w:p w14:paraId="5EC63C22"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0.03</w:t>
            </w:r>
          </w:p>
        </w:tc>
      </w:tr>
      <w:tr w:rsidR="00D1228A" w:rsidRPr="00D1228A" w14:paraId="44DBF9A4" w14:textId="77777777" w:rsidTr="009164D3">
        <w:trPr>
          <w:trHeight w:val="300"/>
        </w:trPr>
        <w:tc>
          <w:tcPr>
            <w:tcW w:w="1956" w:type="pct"/>
            <w:tcBorders>
              <w:top w:val="nil"/>
              <w:left w:val="single" w:sz="4" w:space="0" w:color="000000"/>
              <w:bottom w:val="single" w:sz="4" w:space="0" w:color="000000"/>
              <w:right w:val="single" w:sz="4" w:space="0" w:color="000000"/>
            </w:tcBorders>
            <w:shd w:val="clear" w:color="auto" w:fill="auto"/>
            <w:noWrap/>
            <w:hideMark/>
          </w:tcPr>
          <w:p w14:paraId="22762F7A" w14:textId="77777777" w:rsidR="00D1228A" w:rsidRPr="00D1228A" w:rsidRDefault="00D1228A" w:rsidP="00D1228A">
            <w:pPr>
              <w:spacing w:before="0" w:after="0"/>
              <w:jc w:val="left"/>
              <w:rPr>
                <w:color w:val="000000"/>
                <w:sz w:val="20"/>
                <w:szCs w:val="22"/>
                <w:lang w:val="es-PE" w:eastAsia="en-US"/>
              </w:rPr>
            </w:pPr>
            <w:r w:rsidRPr="00D1228A">
              <w:rPr>
                <w:color w:val="000000"/>
                <w:sz w:val="20"/>
                <w:szCs w:val="22"/>
                <w:lang w:val="es-PE" w:eastAsia="en-US"/>
              </w:rPr>
              <w:t>Empleado Privado</w:t>
            </w:r>
          </w:p>
        </w:tc>
        <w:tc>
          <w:tcPr>
            <w:tcW w:w="874" w:type="pct"/>
            <w:tcBorders>
              <w:top w:val="nil"/>
              <w:left w:val="nil"/>
              <w:bottom w:val="single" w:sz="4" w:space="0" w:color="000000"/>
              <w:right w:val="single" w:sz="4" w:space="0" w:color="000000"/>
            </w:tcBorders>
            <w:shd w:val="clear" w:color="auto" w:fill="auto"/>
            <w:noWrap/>
            <w:hideMark/>
          </w:tcPr>
          <w:p w14:paraId="2B080E7F"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342,389</w:t>
            </w:r>
          </w:p>
        </w:tc>
        <w:tc>
          <w:tcPr>
            <w:tcW w:w="902" w:type="pct"/>
            <w:tcBorders>
              <w:top w:val="nil"/>
              <w:left w:val="nil"/>
              <w:bottom w:val="single" w:sz="4" w:space="0" w:color="000000"/>
              <w:right w:val="single" w:sz="4" w:space="0" w:color="000000"/>
            </w:tcBorders>
            <w:shd w:val="clear" w:color="auto" w:fill="auto"/>
            <w:noWrap/>
            <w:hideMark/>
          </w:tcPr>
          <w:p w14:paraId="6F20FA4C"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833</w:t>
            </w:r>
          </w:p>
        </w:tc>
        <w:tc>
          <w:tcPr>
            <w:tcW w:w="564" w:type="pct"/>
            <w:tcBorders>
              <w:top w:val="nil"/>
              <w:left w:val="nil"/>
              <w:bottom w:val="single" w:sz="4" w:space="0" w:color="000000"/>
              <w:right w:val="single" w:sz="4" w:space="0" w:color="000000"/>
            </w:tcBorders>
            <w:shd w:val="clear" w:color="auto" w:fill="auto"/>
            <w:noWrap/>
            <w:hideMark/>
          </w:tcPr>
          <w:p w14:paraId="5F2F1F7B"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32.92</w:t>
            </w:r>
          </w:p>
        </w:tc>
        <w:tc>
          <w:tcPr>
            <w:tcW w:w="704" w:type="pct"/>
            <w:tcBorders>
              <w:top w:val="nil"/>
              <w:left w:val="nil"/>
              <w:bottom w:val="single" w:sz="4" w:space="0" w:color="000000"/>
              <w:right w:val="single" w:sz="4" w:space="0" w:color="000000"/>
            </w:tcBorders>
            <w:shd w:val="clear" w:color="auto" w:fill="auto"/>
            <w:noWrap/>
            <w:hideMark/>
          </w:tcPr>
          <w:p w14:paraId="2DD7A4DA"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32.94</w:t>
            </w:r>
          </w:p>
        </w:tc>
      </w:tr>
      <w:tr w:rsidR="00D1228A" w:rsidRPr="00D1228A" w14:paraId="745F4967" w14:textId="77777777" w:rsidTr="009164D3">
        <w:trPr>
          <w:trHeight w:val="300"/>
        </w:trPr>
        <w:tc>
          <w:tcPr>
            <w:tcW w:w="1956" w:type="pct"/>
            <w:tcBorders>
              <w:top w:val="nil"/>
              <w:left w:val="single" w:sz="4" w:space="0" w:color="000000"/>
              <w:bottom w:val="single" w:sz="4" w:space="0" w:color="000000"/>
              <w:right w:val="single" w:sz="4" w:space="0" w:color="000000"/>
            </w:tcBorders>
            <w:shd w:val="clear" w:color="000000" w:fill="FFFF00"/>
            <w:noWrap/>
            <w:hideMark/>
          </w:tcPr>
          <w:p w14:paraId="4604D621" w14:textId="77777777" w:rsidR="00D1228A" w:rsidRPr="00D1228A" w:rsidRDefault="00D1228A" w:rsidP="00D1228A">
            <w:pPr>
              <w:spacing w:before="0" w:after="0"/>
              <w:jc w:val="left"/>
              <w:rPr>
                <w:color w:val="000000"/>
                <w:sz w:val="20"/>
                <w:szCs w:val="22"/>
                <w:lang w:val="es-PE" w:eastAsia="en-US"/>
              </w:rPr>
            </w:pPr>
            <w:r w:rsidRPr="00D1228A">
              <w:rPr>
                <w:color w:val="000000"/>
                <w:sz w:val="20"/>
                <w:szCs w:val="22"/>
                <w:lang w:val="es-PE" w:eastAsia="en-US"/>
              </w:rPr>
              <w:t>Cuenta Propia</w:t>
            </w:r>
          </w:p>
        </w:tc>
        <w:tc>
          <w:tcPr>
            <w:tcW w:w="874" w:type="pct"/>
            <w:tcBorders>
              <w:top w:val="nil"/>
              <w:left w:val="nil"/>
              <w:bottom w:val="single" w:sz="4" w:space="0" w:color="000000"/>
              <w:right w:val="single" w:sz="4" w:space="0" w:color="000000"/>
            </w:tcBorders>
            <w:shd w:val="clear" w:color="000000" w:fill="FFFF00"/>
            <w:noWrap/>
            <w:hideMark/>
          </w:tcPr>
          <w:p w14:paraId="429789C1"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503,826</w:t>
            </w:r>
          </w:p>
        </w:tc>
        <w:tc>
          <w:tcPr>
            <w:tcW w:w="902" w:type="pct"/>
            <w:tcBorders>
              <w:top w:val="nil"/>
              <w:left w:val="nil"/>
              <w:bottom w:val="single" w:sz="4" w:space="0" w:color="000000"/>
              <w:right w:val="single" w:sz="4" w:space="0" w:color="000000"/>
            </w:tcBorders>
            <w:shd w:val="clear" w:color="000000" w:fill="FFFF00"/>
            <w:noWrap/>
            <w:hideMark/>
          </w:tcPr>
          <w:p w14:paraId="4A8C7BD1" w14:textId="66D8E759"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1</w:t>
            </w:r>
            <w:r>
              <w:rPr>
                <w:color w:val="000000"/>
                <w:sz w:val="20"/>
                <w:szCs w:val="22"/>
                <w:lang w:val="es-PE" w:eastAsia="en-US"/>
              </w:rPr>
              <w:t>,</w:t>
            </w:r>
            <w:r w:rsidRPr="00D1228A">
              <w:rPr>
                <w:color w:val="000000"/>
                <w:sz w:val="20"/>
                <w:szCs w:val="22"/>
                <w:lang w:val="es-PE" w:eastAsia="en-US"/>
              </w:rPr>
              <w:t>209</w:t>
            </w:r>
          </w:p>
        </w:tc>
        <w:tc>
          <w:tcPr>
            <w:tcW w:w="564" w:type="pct"/>
            <w:tcBorders>
              <w:top w:val="nil"/>
              <w:left w:val="nil"/>
              <w:bottom w:val="single" w:sz="4" w:space="0" w:color="000000"/>
              <w:right w:val="single" w:sz="4" w:space="0" w:color="000000"/>
            </w:tcBorders>
            <w:shd w:val="clear" w:color="auto" w:fill="auto"/>
            <w:noWrap/>
            <w:hideMark/>
          </w:tcPr>
          <w:p w14:paraId="0A76DE71"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48.44</w:t>
            </w:r>
          </w:p>
        </w:tc>
        <w:tc>
          <w:tcPr>
            <w:tcW w:w="704" w:type="pct"/>
            <w:tcBorders>
              <w:top w:val="nil"/>
              <w:left w:val="nil"/>
              <w:bottom w:val="single" w:sz="4" w:space="0" w:color="000000"/>
              <w:right w:val="single" w:sz="4" w:space="0" w:color="000000"/>
            </w:tcBorders>
            <w:shd w:val="clear" w:color="auto" w:fill="auto"/>
            <w:noWrap/>
            <w:hideMark/>
          </w:tcPr>
          <w:p w14:paraId="0D403C8B"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81.38</w:t>
            </w:r>
          </w:p>
        </w:tc>
      </w:tr>
      <w:tr w:rsidR="00D1228A" w:rsidRPr="00D1228A" w14:paraId="45EC8D27" w14:textId="77777777" w:rsidTr="009164D3">
        <w:trPr>
          <w:trHeight w:val="300"/>
        </w:trPr>
        <w:tc>
          <w:tcPr>
            <w:tcW w:w="1956" w:type="pct"/>
            <w:tcBorders>
              <w:top w:val="nil"/>
              <w:left w:val="single" w:sz="4" w:space="0" w:color="000000"/>
              <w:bottom w:val="single" w:sz="4" w:space="0" w:color="000000"/>
              <w:right w:val="single" w:sz="4" w:space="0" w:color="000000"/>
            </w:tcBorders>
            <w:shd w:val="clear" w:color="auto" w:fill="auto"/>
            <w:noWrap/>
            <w:hideMark/>
          </w:tcPr>
          <w:p w14:paraId="068FFB5E" w14:textId="77777777" w:rsidR="00D1228A" w:rsidRPr="00D1228A" w:rsidRDefault="00D1228A" w:rsidP="00D1228A">
            <w:pPr>
              <w:spacing w:before="0" w:after="0"/>
              <w:jc w:val="left"/>
              <w:rPr>
                <w:color w:val="000000"/>
                <w:sz w:val="20"/>
                <w:szCs w:val="22"/>
                <w:lang w:val="es-PE" w:eastAsia="en-US"/>
              </w:rPr>
            </w:pPr>
            <w:r w:rsidRPr="00D1228A">
              <w:rPr>
                <w:color w:val="000000"/>
                <w:sz w:val="20"/>
                <w:szCs w:val="22"/>
                <w:lang w:val="es-PE" w:eastAsia="en-US"/>
              </w:rPr>
              <w:t>Trabajador no Remunerado</w:t>
            </w:r>
          </w:p>
        </w:tc>
        <w:tc>
          <w:tcPr>
            <w:tcW w:w="874" w:type="pct"/>
            <w:tcBorders>
              <w:top w:val="nil"/>
              <w:left w:val="nil"/>
              <w:bottom w:val="single" w:sz="4" w:space="0" w:color="000000"/>
              <w:right w:val="single" w:sz="4" w:space="0" w:color="000000"/>
            </w:tcBorders>
            <w:shd w:val="clear" w:color="auto" w:fill="auto"/>
            <w:noWrap/>
            <w:hideMark/>
          </w:tcPr>
          <w:p w14:paraId="5CAAFDDE"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193,712</w:t>
            </w:r>
          </w:p>
        </w:tc>
        <w:tc>
          <w:tcPr>
            <w:tcW w:w="902" w:type="pct"/>
            <w:tcBorders>
              <w:top w:val="nil"/>
              <w:left w:val="nil"/>
              <w:bottom w:val="single" w:sz="4" w:space="0" w:color="000000"/>
              <w:right w:val="single" w:sz="4" w:space="0" w:color="000000"/>
            </w:tcBorders>
            <w:shd w:val="clear" w:color="auto" w:fill="auto"/>
            <w:noWrap/>
            <w:hideMark/>
          </w:tcPr>
          <w:p w14:paraId="26DA1ABF" w14:textId="4BFDE8CD"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1</w:t>
            </w:r>
            <w:r>
              <w:rPr>
                <w:color w:val="000000"/>
                <w:sz w:val="20"/>
                <w:szCs w:val="22"/>
                <w:lang w:val="es-PE" w:eastAsia="en-US"/>
              </w:rPr>
              <w:t>,</w:t>
            </w:r>
            <w:r w:rsidRPr="00D1228A">
              <w:rPr>
                <w:color w:val="000000"/>
                <w:sz w:val="20"/>
                <w:szCs w:val="22"/>
                <w:lang w:val="es-PE" w:eastAsia="en-US"/>
              </w:rPr>
              <w:t>055</w:t>
            </w:r>
          </w:p>
        </w:tc>
        <w:tc>
          <w:tcPr>
            <w:tcW w:w="564" w:type="pct"/>
            <w:tcBorders>
              <w:top w:val="nil"/>
              <w:left w:val="nil"/>
              <w:bottom w:val="single" w:sz="4" w:space="0" w:color="000000"/>
              <w:right w:val="single" w:sz="4" w:space="0" w:color="000000"/>
            </w:tcBorders>
            <w:shd w:val="clear" w:color="auto" w:fill="auto"/>
            <w:noWrap/>
            <w:hideMark/>
          </w:tcPr>
          <w:p w14:paraId="1840D6D9"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18.62</w:t>
            </w:r>
          </w:p>
        </w:tc>
        <w:tc>
          <w:tcPr>
            <w:tcW w:w="704" w:type="pct"/>
            <w:tcBorders>
              <w:top w:val="nil"/>
              <w:left w:val="nil"/>
              <w:bottom w:val="single" w:sz="4" w:space="0" w:color="000000"/>
              <w:right w:val="single" w:sz="4" w:space="0" w:color="000000"/>
            </w:tcBorders>
            <w:shd w:val="clear" w:color="auto" w:fill="auto"/>
            <w:noWrap/>
            <w:hideMark/>
          </w:tcPr>
          <w:p w14:paraId="0A7F04EC"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100</w:t>
            </w:r>
          </w:p>
        </w:tc>
      </w:tr>
      <w:tr w:rsidR="009164D3" w:rsidRPr="00D1228A" w14:paraId="3C5A4ED3" w14:textId="77777777" w:rsidTr="009164D3">
        <w:trPr>
          <w:trHeight w:val="300"/>
        </w:trPr>
        <w:tc>
          <w:tcPr>
            <w:tcW w:w="1956" w:type="pct"/>
            <w:tcBorders>
              <w:top w:val="nil"/>
              <w:left w:val="single" w:sz="4" w:space="0" w:color="000000"/>
              <w:bottom w:val="nil"/>
              <w:right w:val="single" w:sz="4" w:space="0" w:color="000000"/>
            </w:tcBorders>
            <w:shd w:val="clear" w:color="000000" w:fill="C0C0C0"/>
            <w:noWrap/>
            <w:hideMark/>
          </w:tcPr>
          <w:p w14:paraId="1EEFEC95" w14:textId="77777777" w:rsidR="00D1228A" w:rsidRPr="00D1228A" w:rsidRDefault="00D1228A" w:rsidP="00D1228A">
            <w:pPr>
              <w:spacing w:before="0" w:after="0"/>
              <w:jc w:val="left"/>
              <w:rPr>
                <w:b/>
                <w:bCs/>
                <w:color w:val="000000"/>
                <w:sz w:val="20"/>
                <w:szCs w:val="22"/>
                <w:lang w:val="es-PE" w:eastAsia="en-US"/>
              </w:rPr>
            </w:pPr>
            <w:proofErr w:type="gramStart"/>
            <w:r w:rsidRPr="00D1228A">
              <w:rPr>
                <w:b/>
                <w:bCs/>
                <w:color w:val="000000"/>
                <w:sz w:val="20"/>
                <w:szCs w:val="22"/>
                <w:lang w:val="es-PE" w:eastAsia="en-US"/>
              </w:rPr>
              <w:t>Total</w:t>
            </w:r>
            <w:proofErr w:type="gramEnd"/>
            <w:r w:rsidRPr="00D1228A">
              <w:rPr>
                <w:b/>
                <w:bCs/>
                <w:color w:val="000000"/>
                <w:sz w:val="20"/>
                <w:szCs w:val="22"/>
                <w:lang w:val="es-PE" w:eastAsia="en-US"/>
              </w:rPr>
              <w:t xml:space="preserve"> y Promedio</w:t>
            </w:r>
          </w:p>
        </w:tc>
        <w:tc>
          <w:tcPr>
            <w:tcW w:w="874" w:type="pct"/>
            <w:tcBorders>
              <w:top w:val="nil"/>
              <w:left w:val="nil"/>
              <w:bottom w:val="nil"/>
              <w:right w:val="single" w:sz="4" w:space="0" w:color="000000"/>
            </w:tcBorders>
            <w:shd w:val="clear" w:color="000000" w:fill="C0C0C0"/>
            <w:noWrap/>
            <w:hideMark/>
          </w:tcPr>
          <w:p w14:paraId="7553DAAE"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1,040,208</w:t>
            </w:r>
          </w:p>
        </w:tc>
        <w:tc>
          <w:tcPr>
            <w:tcW w:w="902" w:type="pct"/>
            <w:tcBorders>
              <w:top w:val="nil"/>
              <w:left w:val="nil"/>
              <w:bottom w:val="nil"/>
              <w:right w:val="single" w:sz="4" w:space="0" w:color="000000"/>
            </w:tcBorders>
            <w:shd w:val="clear" w:color="000000" w:fill="C0C0C0"/>
            <w:noWrap/>
            <w:hideMark/>
          </w:tcPr>
          <w:p w14:paraId="2CF93B26" w14:textId="3831079D"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1</w:t>
            </w:r>
            <w:r>
              <w:rPr>
                <w:color w:val="000000"/>
                <w:sz w:val="20"/>
                <w:szCs w:val="22"/>
                <w:lang w:val="es-PE" w:eastAsia="en-US"/>
              </w:rPr>
              <w:t>,</w:t>
            </w:r>
            <w:r w:rsidRPr="00D1228A">
              <w:rPr>
                <w:color w:val="000000"/>
                <w:sz w:val="20"/>
                <w:szCs w:val="22"/>
                <w:lang w:val="es-PE" w:eastAsia="en-US"/>
              </w:rPr>
              <w:t>057</w:t>
            </w:r>
          </w:p>
        </w:tc>
        <w:tc>
          <w:tcPr>
            <w:tcW w:w="564" w:type="pct"/>
            <w:tcBorders>
              <w:top w:val="nil"/>
              <w:left w:val="nil"/>
              <w:bottom w:val="nil"/>
              <w:right w:val="single" w:sz="4" w:space="0" w:color="000000"/>
            </w:tcBorders>
            <w:shd w:val="clear" w:color="000000" w:fill="C0C0C0"/>
            <w:noWrap/>
            <w:hideMark/>
          </w:tcPr>
          <w:p w14:paraId="705EF70B"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100</w:t>
            </w:r>
          </w:p>
        </w:tc>
        <w:tc>
          <w:tcPr>
            <w:tcW w:w="704" w:type="pct"/>
            <w:tcBorders>
              <w:top w:val="nil"/>
              <w:left w:val="nil"/>
              <w:bottom w:val="nil"/>
              <w:right w:val="single" w:sz="4" w:space="0" w:color="000000"/>
            </w:tcBorders>
            <w:shd w:val="clear" w:color="000000" w:fill="C0C0C0"/>
            <w:noWrap/>
            <w:hideMark/>
          </w:tcPr>
          <w:p w14:paraId="063863D3" w14:textId="77777777"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100</w:t>
            </w:r>
          </w:p>
        </w:tc>
      </w:tr>
      <w:tr w:rsidR="00D1228A" w:rsidRPr="00D1228A" w14:paraId="43A9587C" w14:textId="77777777" w:rsidTr="009164D3">
        <w:trPr>
          <w:trHeight w:val="300"/>
        </w:trPr>
        <w:tc>
          <w:tcPr>
            <w:tcW w:w="1956" w:type="pct"/>
            <w:tcBorders>
              <w:top w:val="single" w:sz="4" w:space="0" w:color="auto"/>
              <w:left w:val="single" w:sz="4" w:space="0" w:color="auto"/>
              <w:bottom w:val="single" w:sz="4" w:space="0" w:color="auto"/>
              <w:right w:val="single" w:sz="4" w:space="0" w:color="auto"/>
            </w:tcBorders>
            <w:shd w:val="clear" w:color="auto" w:fill="auto"/>
            <w:noWrap/>
            <w:hideMark/>
          </w:tcPr>
          <w:p w14:paraId="6F8EBED4" w14:textId="77777777" w:rsidR="00D1228A" w:rsidRPr="00D1228A" w:rsidRDefault="00D1228A" w:rsidP="00D1228A">
            <w:pPr>
              <w:spacing w:before="0" w:after="0"/>
              <w:jc w:val="left"/>
              <w:rPr>
                <w:b/>
                <w:bCs/>
                <w:color w:val="000000"/>
                <w:sz w:val="20"/>
                <w:szCs w:val="22"/>
                <w:lang w:val="es-PE" w:eastAsia="en-US"/>
              </w:rPr>
            </w:pPr>
            <w:r w:rsidRPr="00D1228A">
              <w:rPr>
                <w:b/>
                <w:bCs/>
                <w:color w:val="000000"/>
                <w:sz w:val="20"/>
                <w:szCs w:val="22"/>
                <w:lang w:val="es-PE" w:eastAsia="en-US"/>
              </w:rPr>
              <w:t>No Aplica :</w:t>
            </w:r>
          </w:p>
        </w:tc>
        <w:tc>
          <w:tcPr>
            <w:tcW w:w="874" w:type="pct"/>
            <w:tcBorders>
              <w:top w:val="single" w:sz="4" w:space="0" w:color="auto"/>
              <w:left w:val="nil"/>
              <w:bottom w:val="single" w:sz="4" w:space="0" w:color="auto"/>
              <w:right w:val="single" w:sz="4" w:space="0" w:color="auto"/>
            </w:tcBorders>
            <w:shd w:val="clear" w:color="auto" w:fill="auto"/>
            <w:noWrap/>
            <w:hideMark/>
          </w:tcPr>
          <w:p w14:paraId="523BC479" w14:textId="634DBBF8" w:rsidR="00D1228A" w:rsidRPr="00D1228A" w:rsidRDefault="00D1228A" w:rsidP="00D1228A">
            <w:pPr>
              <w:spacing w:before="0" w:after="0"/>
              <w:jc w:val="center"/>
              <w:rPr>
                <w:color w:val="000000"/>
                <w:sz w:val="20"/>
                <w:szCs w:val="22"/>
                <w:lang w:val="es-PE" w:eastAsia="en-US"/>
              </w:rPr>
            </w:pPr>
            <w:r w:rsidRPr="00D1228A">
              <w:rPr>
                <w:color w:val="000000"/>
                <w:sz w:val="20"/>
                <w:szCs w:val="22"/>
                <w:lang w:val="es-PE" w:eastAsia="en-US"/>
              </w:rPr>
              <w:t>39</w:t>
            </w:r>
            <w:r>
              <w:rPr>
                <w:color w:val="000000"/>
                <w:sz w:val="20"/>
                <w:szCs w:val="22"/>
                <w:lang w:val="es-PE" w:eastAsia="en-US"/>
              </w:rPr>
              <w:t>,</w:t>
            </w:r>
            <w:r w:rsidRPr="00D1228A">
              <w:rPr>
                <w:color w:val="000000"/>
                <w:sz w:val="20"/>
                <w:szCs w:val="22"/>
                <w:lang w:val="es-PE" w:eastAsia="en-US"/>
              </w:rPr>
              <w:t>600</w:t>
            </w:r>
          </w:p>
        </w:tc>
        <w:tc>
          <w:tcPr>
            <w:tcW w:w="902" w:type="pct"/>
            <w:tcBorders>
              <w:top w:val="single" w:sz="4" w:space="0" w:color="auto"/>
              <w:left w:val="nil"/>
              <w:bottom w:val="single" w:sz="4" w:space="0" w:color="auto"/>
              <w:right w:val="single" w:sz="4" w:space="0" w:color="auto"/>
            </w:tcBorders>
            <w:shd w:val="clear" w:color="auto" w:fill="auto"/>
            <w:noWrap/>
            <w:hideMark/>
          </w:tcPr>
          <w:p w14:paraId="59ED40BB" w14:textId="77777777" w:rsidR="00D1228A" w:rsidRPr="00D1228A" w:rsidRDefault="00D1228A" w:rsidP="00D1228A">
            <w:pPr>
              <w:spacing w:before="0" w:after="0"/>
              <w:jc w:val="left"/>
              <w:rPr>
                <w:color w:val="000000"/>
                <w:sz w:val="20"/>
                <w:szCs w:val="22"/>
                <w:lang w:val="es-PE" w:eastAsia="en-US"/>
              </w:rPr>
            </w:pPr>
            <w:r w:rsidRPr="00D1228A">
              <w:rPr>
                <w:color w:val="000000"/>
                <w:sz w:val="20"/>
                <w:szCs w:val="22"/>
                <w:lang w:val="es-PE" w:eastAsia="en-US"/>
              </w:rPr>
              <w:t> </w:t>
            </w:r>
          </w:p>
        </w:tc>
        <w:tc>
          <w:tcPr>
            <w:tcW w:w="564" w:type="pct"/>
            <w:tcBorders>
              <w:top w:val="single" w:sz="4" w:space="0" w:color="auto"/>
              <w:left w:val="nil"/>
              <w:bottom w:val="single" w:sz="4" w:space="0" w:color="auto"/>
              <w:right w:val="single" w:sz="4" w:space="0" w:color="auto"/>
            </w:tcBorders>
            <w:shd w:val="clear" w:color="auto" w:fill="auto"/>
            <w:noWrap/>
            <w:hideMark/>
          </w:tcPr>
          <w:p w14:paraId="7DD9198D" w14:textId="77777777" w:rsidR="00D1228A" w:rsidRPr="00D1228A" w:rsidRDefault="00D1228A" w:rsidP="00D1228A">
            <w:pPr>
              <w:spacing w:before="0" w:after="0"/>
              <w:jc w:val="left"/>
              <w:rPr>
                <w:color w:val="000000"/>
                <w:sz w:val="20"/>
                <w:szCs w:val="22"/>
                <w:lang w:val="es-PE" w:eastAsia="en-US"/>
              </w:rPr>
            </w:pPr>
            <w:r w:rsidRPr="00D1228A">
              <w:rPr>
                <w:color w:val="000000"/>
                <w:sz w:val="20"/>
                <w:szCs w:val="22"/>
                <w:lang w:val="es-PE" w:eastAsia="en-US"/>
              </w:rPr>
              <w:t> </w:t>
            </w:r>
          </w:p>
        </w:tc>
        <w:tc>
          <w:tcPr>
            <w:tcW w:w="704" w:type="pct"/>
            <w:tcBorders>
              <w:top w:val="single" w:sz="4" w:space="0" w:color="auto"/>
              <w:left w:val="nil"/>
              <w:bottom w:val="single" w:sz="4" w:space="0" w:color="auto"/>
              <w:right w:val="single" w:sz="4" w:space="0" w:color="auto"/>
            </w:tcBorders>
            <w:shd w:val="clear" w:color="auto" w:fill="auto"/>
            <w:noWrap/>
            <w:hideMark/>
          </w:tcPr>
          <w:p w14:paraId="0CB62B57" w14:textId="77777777" w:rsidR="00D1228A" w:rsidRPr="00D1228A" w:rsidRDefault="00D1228A" w:rsidP="00D1228A">
            <w:pPr>
              <w:spacing w:before="0" w:after="0"/>
              <w:jc w:val="left"/>
              <w:rPr>
                <w:color w:val="000000"/>
                <w:sz w:val="20"/>
                <w:szCs w:val="22"/>
                <w:lang w:val="es-PE" w:eastAsia="en-US"/>
              </w:rPr>
            </w:pPr>
            <w:r w:rsidRPr="00D1228A">
              <w:rPr>
                <w:color w:val="000000"/>
                <w:sz w:val="20"/>
                <w:szCs w:val="22"/>
                <w:lang w:val="es-PE" w:eastAsia="en-US"/>
              </w:rPr>
              <w:t> </w:t>
            </w:r>
          </w:p>
        </w:tc>
      </w:tr>
      <w:tr w:rsidR="00D1228A" w:rsidRPr="00D1228A" w14:paraId="6E407F9C" w14:textId="77777777" w:rsidTr="009164D3">
        <w:trPr>
          <w:trHeight w:val="300"/>
        </w:trPr>
        <w:tc>
          <w:tcPr>
            <w:tcW w:w="5000" w:type="pct"/>
            <w:gridSpan w:val="5"/>
            <w:tcBorders>
              <w:top w:val="nil"/>
              <w:left w:val="nil"/>
              <w:bottom w:val="nil"/>
              <w:right w:val="nil"/>
            </w:tcBorders>
            <w:shd w:val="clear" w:color="auto" w:fill="auto"/>
            <w:noWrap/>
            <w:vAlign w:val="bottom"/>
            <w:hideMark/>
          </w:tcPr>
          <w:p w14:paraId="3B6C6647" w14:textId="31C04E97" w:rsidR="00D1228A" w:rsidRPr="00D1228A" w:rsidRDefault="00D1228A" w:rsidP="00D1228A">
            <w:pPr>
              <w:spacing w:before="0" w:after="0"/>
              <w:jc w:val="left"/>
              <w:rPr>
                <w:sz w:val="18"/>
                <w:szCs w:val="22"/>
                <w:lang w:val="es-PE" w:eastAsia="en-US"/>
              </w:rPr>
            </w:pPr>
            <w:r w:rsidRPr="00D1228A">
              <w:rPr>
                <w:sz w:val="18"/>
                <w:szCs w:val="22"/>
                <w:lang w:val="es-PE" w:eastAsia="en-US"/>
              </w:rPr>
              <w:t xml:space="preserve">Base: </w:t>
            </w:r>
            <w:r>
              <w:rPr>
                <w:sz w:val="18"/>
                <w:szCs w:val="22"/>
                <w:lang w:val="es-PE" w:eastAsia="en-US"/>
              </w:rPr>
              <w:t>"</w:t>
            </w:r>
            <w:r w:rsidRPr="00D1228A">
              <w:rPr>
                <w:sz w:val="18"/>
                <w:szCs w:val="22"/>
                <w:lang w:val="es-PE" w:eastAsia="en-US"/>
              </w:rPr>
              <w:t>C:\servers\paises\hnd\redbin\RpBases\Hogares\Mayo2016\Base\EPH2016.dic</w:t>
            </w:r>
            <w:r>
              <w:rPr>
                <w:sz w:val="18"/>
                <w:szCs w:val="22"/>
                <w:lang w:val="es-PE" w:eastAsia="en-US"/>
              </w:rPr>
              <w:t>"</w:t>
            </w:r>
          </w:p>
          <w:p w14:paraId="52B46982" w14:textId="489C8D21" w:rsidR="00D1228A" w:rsidRPr="00D1228A" w:rsidRDefault="00D1228A" w:rsidP="00D1228A">
            <w:pPr>
              <w:keepNext/>
              <w:spacing w:before="0" w:after="0"/>
              <w:jc w:val="left"/>
              <w:rPr>
                <w:sz w:val="18"/>
                <w:szCs w:val="22"/>
                <w:lang w:val="es-PE" w:eastAsia="en-US"/>
              </w:rPr>
            </w:pPr>
            <w:r w:rsidRPr="00D1228A">
              <w:rPr>
                <w:sz w:val="18"/>
                <w:szCs w:val="22"/>
                <w:lang w:val="es-PE" w:eastAsia="en-US"/>
              </w:rPr>
              <w:t>Fuente: INE-Honduras</w:t>
            </w:r>
          </w:p>
        </w:tc>
      </w:tr>
    </w:tbl>
    <w:p w14:paraId="0B33F821" w14:textId="41E7D64C" w:rsidR="00D1228A" w:rsidRDefault="00446BFC" w:rsidP="00854EFC">
      <w:pPr>
        <w:pStyle w:val="parrafonumerado"/>
      </w:pPr>
      <w:r>
        <w:t>Este ingreso promedio por agricultor equivale a US$ 609 anuales.  Para efectos de esta evaluación se considera un efecto esperado en el ingreso de los beneficiarios que adoptan SAF de 1</w:t>
      </w:r>
      <w:r w:rsidR="00B74C0D">
        <w:t>0</w:t>
      </w:r>
      <w:r>
        <w:t xml:space="preserve">% </w:t>
      </w:r>
      <w:r w:rsidR="00B74C0D">
        <w:t xml:space="preserve">en los años 3 a 5 (aproximadamente un 40% del 26% de impacto PAGRICC) </w:t>
      </w:r>
      <w:r w:rsidR="009164D3">
        <w:lastRenderedPageBreak/>
        <w:t>sobre este promedio</w:t>
      </w:r>
      <w:r>
        <w:t xml:space="preserve">, que equivale a </w:t>
      </w:r>
      <w:r w:rsidR="009164D3">
        <w:t xml:space="preserve">un incremento de </w:t>
      </w:r>
      <w:r>
        <w:t xml:space="preserve">US$ </w:t>
      </w:r>
      <w:r w:rsidR="00B74C0D">
        <w:t>63</w:t>
      </w:r>
      <w:r>
        <w:t xml:space="preserve"> anuales por agricultor.  </w:t>
      </w:r>
      <w:r w:rsidR="00B74C0D">
        <w:t xml:space="preserve">Luego se asumen incrementos hasta el año 10 en que llega a un impacto de US$ 114 por agricultor. </w:t>
      </w:r>
      <w:r>
        <w:t xml:space="preserve">Esta cifra será utilizada para la estimación de los beneficios esperados por adopción de SAF. </w:t>
      </w:r>
    </w:p>
    <w:p w14:paraId="084B079A" w14:textId="37735A8F" w:rsidR="00B714A9" w:rsidRPr="00B714A9" w:rsidRDefault="00B714A9" w:rsidP="00B714A9">
      <w:pPr>
        <w:pStyle w:val="Heading2"/>
        <w:rPr>
          <w:lang w:val="es-PE"/>
        </w:rPr>
      </w:pPr>
      <w:bookmarkStart w:id="15" w:name="_Toc9329054"/>
      <w:r w:rsidRPr="00B714A9">
        <w:rPr>
          <w:lang w:val="es-PE"/>
        </w:rPr>
        <w:t>3.</w:t>
      </w:r>
      <w:r w:rsidR="0065544A">
        <w:rPr>
          <w:lang w:val="es-PE"/>
        </w:rPr>
        <w:t>6</w:t>
      </w:r>
      <w:r w:rsidRPr="00B714A9">
        <w:rPr>
          <w:lang w:val="es-PE"/>
        </w:rPr>
        <w:t>. Pérdidas evitadas por sedimentación</w:t>
      </w:r>
      <w:bookmarkEnd w:id="15"/>
    </w:p>
    <w:p w14:paraId="3B3301D7" w14:textId="77777777" w:rsidR="00B714A9" w:rsidRPr="00B714A9" w:rsidRDefault="00B714A9" w:rsidP="00854EFC">
      <w:pPr>
        <w:pStyle w:val="parrafonumerado"/>
      </w:pPr>
      <w:bookmarkStart w:id="16" w:name="_Toc17823750"/>
      <w:r w:rsidRPr="00B714A9">
        <w:t xml:space="preserve">Existen cuatro reservorios (represas) de agua en los que la restauración y protección forestal tendrán </w:t>
      </w:r>
      <w:r w:rsidRPr="009164D3">
        <w:t>potenciales</w:t>
      </w:r>
      <w:r w:rsidRPr="00B714A9">
        <w:t xml:space="preserve"> impactos en el área del proyecto: (i) El Coyolar (12.3 millones m3); (ii) Concepción (360 millones m3), (iii) Los Laureles (120 millones m3); (iv) El Cajón (5700 millones m3).  La represa (i) está básicamente orientada a usuarios de riego en Comayagua; (ii) y (iii) son utilizadas por la empresa de agua potable y alcantarillado de Tegucigalpa para regular la oferta de agua a la población urbana de la capital, mientras (iv) es la represa más grande del país utilizada para la generación de energía eléctrica.  </w:t>
      </w:r>
    </w:p>
    <w:p w14:paraId="34FABDE5" w14:textId="2DCDA226" w:rsidR="00CA6621" w:rsidRPr="00CA6621" w:rsidRDefault="00CA6621" w:rsidP="00854EFC">
      <w:pPr>
        <w:pStyle w:val="parrafonumerado"/>
      </w:pPr>
      <w:r w:rsidRPr="004C34A3">
        <w:t>En</w:t>
      </w:r>
      <w:r w:rsidRPr="00CA6621">
        <w:t xml:space="preserve"> el caso de El Cajón (una presa de gran dimensión)</w:t>
      </w:r>
      <w:r w:rsidR="007D3AAA">
        <w:t>, de acuerdo al diseño</w:t>
      </w:r>
      <w:r w:rsidRPr="00CA6621">
        <w:t xml:space="preserve"> se tiene una pérdida de capacidad esperada por sedimentación de sólo 6.5% en un horizonte de vida del proyecto de 50 años, por lo que su remoción no se considera económica en dicho periodo</w:t>
      </w:r>
      <w:r>
        <w:t xml:space="preserve"> y no </w:t>
      </w:r>
      <w:proofErr w:type="gramStart"/>
      <w:r>
        <w:t>habrían</w:t>
      </w:r>
      <w:proofErr w:type="gramEnd"/>
      <w:r>
        <w:t xml:space="preserve"> beneficios económicos </w:t>
      </w:r>
      <w:r w:rsidR="007D3AAA">
        <w:t xml:space="preserve">asignables por el proyecto </w:t>
      </w:r>
      <w:r>
        <w:t>en este caso</w:t>
      </w:r>
      <w:r w:rsidRPr="00CA6621">
        <w:t xml:space="preserve">.  </w:t>
      </w:r>
    </w:p>
    <w:p w14:paraId="11ADF272" w14:textId="303A1E99" w:rsidR="00CA6621" w:rsidRPr="005A6EF5" w:rsidRDefault="00B714A9" w:rsidP="00854EFC">
      <w:pPr>
        <w:pStyle w:val="parrafonumerado"/>
        <w:rPr>
          <w:lang w:val="es-ES_tradnl"/>
        </w:rPr>
      </w:pPr>
      <w:r w:rsidRPr="00B714A9">
        <w:t xml:space="preserve">Para </w:t>
      </w:r>
      <w:r w:rsidR="00CA6621">
        <w:t>los</w:t>
      </w:r>
      <w:r w:rsidRPr="00B714A9">
        <w:t xml:space="preserve"> reservorio</w:t>
      </w:r>
      <w:r w:rsidR="00CA6621">
        <w:t>s Coyolar, Concepción y Los Laureles</w:t>
      </w:r>
      <w:r w:rsidRPr="00B714A9">
        <w:t xml:space="preserve"> usaremos un estimado de la pérdida anual de capacidad de almacenamiento debido a sedimentación en la situación previa al </w:t>
      </w:r>
      <w:proofErr w:type="gramStart"/>
      <w:r w:rsidRPr="00B714A9">
        <w:t>proyecto  BID</w:t>
      </w:r>
      <w:proofErr w:type="gramEnd"/>
      <w:r w:rsidRPr="00B714A9">
        <w:t xml:space="preserve"> (2015), y </w:t>
      </w:r>
      <w:r w:rsidR="007D3AAA">
        <w:t xml:space="preserve">estimaciones de </w:t>
      </w:r>
      <w:r w:rsidRPr="00B714A9">
        <w:t>un modelo SWAT desarrollado por Hernández (2018</w:t>
      </w:r>
      <w:r w:rsidR="00146014">
        <w:t>b</w:t>
      </w:r>
      <w:r w:rsidRPr="00B714A9">
        <w:t xml:space="preserve">), </w:t>
      </w:r>
      <w:r w:rsidR="007D3AAA">
        <w:t>con una</w:t>
      </w:r>
      <w:r w:rsidRPr="00B714A9">
        <w:t xml:space="preserve"> reducción </w:t>
      </w:r>
      <w:r w:rsidR="00CA6621">
        <w:t xml:space="preserve">anual </w:t>
      </w:r>
      <w:r w:rsidRPr="00B714A9">
        <w:t>de 34% en el monto de sedimentos debido a la intervención en restauración.</w:t>
      </w:r>
      <w:r w:rsidR="00CA6621">
        <w:t xml:space="preserve">  La menor sedimentación anual sigue el mismo perfil del diferencial de restauración entre área intervenida y área sin intervención (BAU).</w:t>
      </w:r>
      <w:r w:rsidRPr="00B714A9">
        <w:t xml:space="preserve"> </w:t>
      </w:r>
    </w:p>
    <w:p w14:paraId="2EDA7A43" w14:textId="28D9B415" w:rsidR="00B714A9" w:rsidRPr="005A6EF5" w:rsidRDefault="00CE336C" w:rsidP="00854EFC">
      <w:pPr>
        <w:pStyle w:val="parrafonumerado"/>
        <w:rPr>
          <w:lang w:val="es-ES_tradnl"/>
        </w:rPr>
      </w:pPr>
      <w:r>
        <w:t>Para la valorización del ahorro por menor sedimentación u</w:t>
      </w:r>
      <w:r w:rsidR="00B714A9" w:rsidRPr="00B714A9">
        <w:t xml:space="preserve">tilizaremos </w:t>
      </w:r>
      <w:r>
        <w:t xml:space="preserve">el valor </w:t>
      </w:r>
      <w:r w:rsidR="00B714A9" w:rsidRPr="00B714A9">
        <w:t xml:space="preserve">de US$ 7.5/m3 como costo promedio </w:t>
      </w:r>
      <w:r>
        <w:t xml:space="preserve">eficiente </w:t>
      </w:r>
      <w:r w:rsidR="00B714A9" w:rsidRPr="00B714A9">
        <w:t>del retiro de sedimentos (</w:t>
      </w:r>
      <w:proofErr w:type="spellStart"/>
      <w:r w:rsidR="00B714A9" w:rsidRPr="00B714A9">
        <w:t>Adeogun</w:t>
      </w:r>
      <w:proofErr w:type="spellEnd"/>
      <w:r w:rsidR="00B714A9" w:rsidRPr="00B714A9">
        <w:t xml:space="preserve"> </w:t>
      </w:r>
      <w:r w:rsidR="00B714A9" w:rsidRPr="007D3AAA">
        <w:rPr>
          <w:i/>
        </w:rPr>
        <w:t>et al</w:t>
      </w:r>
      <w:r w:rsidR="00B714A9">
        <w:t>.</w:t>
      </w:r>
      <w:r w:rsidR="00B714A9" w:rsidRPr="00B714A9">
        <w:t>,</w:t>
      </w:r>
      <w:r w:rsidR="007D3AAA">
        <w:t xml:space="preserve"> </w:t>
      </w:r>
      <w:r w:rsidR="00B714A9" w:rsidRPr="00B714A9">
        <w:t>2018).</w:t>
      </w:r>
    </w:p>
    <w:p w14:paraId="61D152BF" w14:textId="630A9022" w:rsidR="00F860C7" w:rsidRDefault="00C85C68" w:rsidP="00C85C68">
      <w:pPr>
        <w:pStyle w:val="Heading2"/>
      </w:pPr>
      <w:bookmarkStart w:id="17" w:name="_Toc17823751"/>
      <w:bookmarkEnd w:id="16"/>
      <w:r>
        <w:t>3.</w:t>
      </w:r>
      <w:r w:rsidR="0065544A">
        <w:t>7</w:t>
      </w:r>
      <w:r>
        <w:t>.  Matriz de beneficios por tipo de intervención</w:t>
      </w:r>
      <w:bookmarkEnd w:id="17"/>
    </w:p>
    <w:p w14:paraId="36605E80" w14:textId="55C78721" w:rsidR="00C85C68" w:rsidRDefault="00C85C68" w:rsidP="00854EFC">
      <w:pPr>
        <w:pStyle w:val="parrafonumerado"/>
      </w:pPr>
      <w:r>
        <w:t xml:space="preserve">Un resumen de los beneficios a valorar para cada tipo de intervención </w:t>
      </w:r>
      <w:r w:rsidR="00833380">
        <w:t>e</w:t>
      </w:r>
      <w:r w:rsidR="00737D3C">
        <w:t>n</w:t>
      </w:r>
      <w:r>
        <w:t xml:space="preserve"> la presente evaluación se presenta en la siguiente matriz de beneficios.</w:t>
      </w:r>
    </w:p>
    <w:p w14:paraId="2A162AAB" w14:textId="0131AB3A" w:rsidR="00C85C68" w:rsidRDefault="00C85C68" w:rsidP="00737D3C">
      <w:pPr>
        <w:pStyle w:val="NoSpacing"/>
      </w:pPr>
      <w:r>
        <w:t>C</w:t>
      </w:r>
      <w:r w:rsidR="00854EFC">
        <w:t>uadro 8</w:t>
      </w:r>
      <w:r>
        <w:t>.  Matriz de beneficios por tipo de intervención</w:t>
      </w:r>
      <w:r w:rsidR="00737D3C">
        <w:t xml:space="preserve"> del FVC</w:t>
      </w:r>
    </w:p>
    <w:tbl>
      <w:tblPr>
        <w:tblW w:w="7229" w:type="dxa"/>
        <w:tblInd w:w="279" w:type="dxa"/>
        <w:tblLayout w:type="fixed"/>
        <w:tblLook w:val="04A0" w:firstRow="1" w:lastRow="0" w:firstColumn="1" w:lastColumn="0" w:noHBand="0" w:noVBand="1"/>
      </w:tblPr>
      <w:tblGrid>
        <w:gridCol w:w="2551"/>
        <w:gridCol w:w="1559"/>
        <w:gridCol w:w="1560"/>
        <w:gridCol w:w="1559"/>
      </w:tblGrid>
      <w:tr w:rsidR="00B714A9" w:rsidRPr="00833380" w14:paraId="4174B983" w14:textId="77777777" w:rsidTr="00833380">
        <w:trPr>
          <w:trHeight w:val="735"/>
        </w:trPr>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CBE9B" w14:textId="77777777" w:rsidR="00B714A9" w:rsidRPr="005A6EF5" w:rsidRDefault="00B714A9" w:rsidP="00B714A9">
            <w:pPr>
              <w:spacing w:before="0" w:after="0"/>
              <w:jc w:val="left"/>
              <w:rPr>
                <w:color w:val="000000"/>
                <w:sz w:val="20"/>
                <w:szCs w:val="22"/>
                <w:lang w:eastAsia="en-US"/>
              </w:rPr>
            </w:pPr>
            <w:r w:rsidRPr="005A6EF5">
              <w:rPr>
                <w:color w:val="000000"/>
                <w:sz w:val="20"/>
                <w:szCs w:val="22"/>
                <w:lang w:eastAsia="en-US"/>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FB93605" w14:textId="77777777" w:rsidR="00B714A9" w:rsidRPr="00833380" w:rsidRDefault="00B714A9" w:rsidP="00B714A9">
            <w:pPr>
              <w:spacing w:before="0" w:after="0"/>
              <w:jc w:val="center"/>
              <w:rPr>
                <w:b/>
                <w:bCs/>
                <w:color w:val="000000"/>
                <w:sz w:val="20"/>
                <w:szCs w:val="22"/>
                <w:lang w:val="en-US" w:eastAsia="en-US"/>
              </w:rPr>
            </w:pPr>
            <w:proofErr w:type="spellStart"/>
            <w:r w:rsidRPr="00833380">
              <w:rPr>
                <w:b/>
                <w:bCs/>
                <w:color w:val="000000"/>
                <w:sz w:val="20"/>
                <w:szCs w:val="22"/>
                <w:lang w:val="en-US" w:eastAsia="en-US"/>
              </w:rPr>
              <w:t>Restauración</w:t>
            </w:r>
            <w:proofErr w:type="spellEnd"/>
            <w:r w:rsidRPr="00833380">
              <w:rPr>
                <w:b/>
                <w:bCs/>
                <w:color w:val="000000"/>
                <w:sz w:val="20"/>
                <w:szCs w:val="22"/>
                <w:lang w:val="en-US" w:eastAsia="en-US"/>
              </w:rPr>
              <w:t xml:space="preserve"> </w:t>
            </w:r>
            <w:proofErr w:type="spellStart"/>
            <w:r w:rsidRPr="00833380">
              <w:rPr>
                <w:b/>
                <w:bCs/>
                <w:color w:val="000000"/>
                <w:sz w:val="20"/>
                <w:szCs w:val="22"/>
                <w:lang w:val="en-US" w:eastAsia="en-US"/>
              </w:rPr>
              <w:t>bosque</w:t>
            </w:r>
            <w:proofErr w:type="spellEnd"/>
            <w:r w:rsidRPr="00833380">
              <w:rPr>
                <w:b/>
                <w:bCs/>
                <w:color w:val="000000"/>
                <w:sz w:val="20"/>
                <w:szCs w:val="22"/>
                <w:lang w:val="en-US" w:eastAsia="en-US"/>
              </w:rPr>
              <w:t xml:space="preserve"> privado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F5A455E" w14:textId="7F2DD27C" w:rsidR="00B714A9" w:rsidRPr="00833380" w:rsidRDefault="00B714A9" w:rsidP="00B714A9">
            <w:pPr>
              <w:spacing w:before="0" w:after="0"/>
              <w:jc w:val="center"/>
              <w:rPr>
                <w:b/>
                <w:bCs/>
                <w:color w:val="000000"/>
                <w:sz w:val="20"/>
                <w:szCs w:val="22"/>
                <w:lang w:val="en-US" w:eastAsia="en-US"/>
              </w:rPr>
            </w:pPr>
            <w:proofErr w:type="spellStart"/>
            <w:r w:rsidRPr="00833380">
              <w:rPr>
                <w:b/>
                <w:bCs/>
                <w:color w:val="000000"/>
                <w:sz w:val="20"/>
                <w:szCs w:val="22"/>
                <w:lang w:val="en-US" w:eastAsia="en-US"/>
              </w:rPr>
              <w:t>Sistemas</w:t>
            </w:r>
            <w:proofErr w:type="spellEnd"/>
            <w:r w:rsidRPr="00833380">
              <w:rPr>
                <w:b/>
                <w:bCs/>
                <w:color w:val="000000"/>
                <w:sz w:val="20"/>
                <w:szCs w:val="22"/>
                <w:lang w:val="en-US" w:eastAsia="en-US"/>
              </w:rPr>
              <w:t xml:space="preserve"> </w:t>
            </w:r>
            <w:proofErr w:type="spellStart"/>
            <w:r w:rsidRPr="00833380">
              <w:rPr>
                <w:b/>
                <w:bCs/>
                <w:color w:val="000000"/>
                <w:sz w:val="20"/>
                <w:szCs w:val="22"/>
                <w:lang w:val="en-US" w:eastAsia="en-US"/>
              </w:rPr>
              <w:t>Agroforestales</w:t>
            </w:r>
            <w:proofErr w:type="spellEnd"/>
            <w:r w:rsidR="00833380" w:rsidRPr="00833380">
              <w:rPr>
                <w:b/>
                <w:bCs/>
                <w:color w:val="000000"/>
                <w:sz w:val="20"/>
                <w:szCs w:val="22"/>
                <w:lang w:val="en-US" w:eastAsia="en-US"/>
              </w:rPr>
              <w:t>-SAF</w:t>
            </w:r>
          </w:p>
        </w:tc>
        <w:tc>
          <w:tcPr>
            <w:tcW w:w="1559" w:type="dxa"/>
            <w:tcBorders>
              <w:top w:val="single" w:sz="4" w:space="0" w:color="auto"/>
              <w:left w:val="single" w:sz="4" w:space="0" w:color="auto"/>
              <w:bottom w:val="nil"/>
              <w:right w:val="single" w:sz="4" w:space="0" w:color="auto"/>
            </w:tcBorders>
            <w:shd w:val="clear" w:color="auto" w:fill="auto"/>
            <w:vAlign w:val="center"/>
            <w:hideMark/>
          </w:tcPr>
          <w:p w14:paraId="35240230" w14:textId="1BF0DEF4" w:rsidR="00B714A9" w:rsidRPr="00833380" w:rsidRDefault="00B714A9" w:rsidP="00B714A9">
            <w:pPr>
              <w:spacing w:before="0" w:after="0"/>
              <w:jc w:val="center"/>
              <w:rPr>
                <w:b/>
                <w:bCs/>
                <w:color w:val="000000"/>
                <w:sz w:val="20"/>
                <w:szCs w:val="22"/>
                <w:lang w:val="en-US" w:eastAsia="en-US"/>
              </w:rPr>
            </w:pPr>
            <w:r w:rsidRPr="00833380">
              <w:rPr>
                <w:b/>
                <w:bCs/>
                <w:color w:val="000000"/>
                <w:sz w:val="20"/>
                <w:szCs w:val="22"/>
                <w:lang w:val="en-US" w:eastAsia="en-US"/>
              </w:rPr>
              <w:t xml:space="preserve">Manejo Forestal </w:t>
            </w:r>
            <w:proofErr w:type="spellStart"/>
            <w:r w:rsidRPr="00833380">
              <w:rPr>
                <w:b/>
                <w:bCs/>
                <w:color w:val="000000"/>
                <w:sz w:val="20"/>
                <w:szCs w:val="22"/>
                <w:lang w:val="en-US" w:eastAsia="en-US"/>
              </w:rPr>
              <w:t>Adaptativo</w:t>
            </w:r>
            <w:proofErr w:type="spellEnd"/>
            <w:r w:rsidR="00833380" w:rsidRPr="00833380">
              <w:rPr>
                <w:b/>
                <w:bCs/>
                <w:color w:val="000000"/>
                <w:sz w:val="20"/>
                <w:szCs w:val="22"/>
                <w:lang w:val="en-US" w:eastAsia="en-US"/>
              </w:rPr>
              <w:t>-MFA</w:t>
            </w:r>
          </w:p>
        </w:tc>
      </w:tr>
      <w:tr w:rsidR="00B714A9" w:rsidRPr="00833380" w14:paraId="6DE1B36C" w14:textId="77777777" w:rsidTr="00833380">
        <w:trPr>
          <w:trHeight w:val="42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14:paraId="35FDBAC5" w14:textId="3CDDF9B2" w:rsidR="00B714A9" w:rsidRPr="00833380" w:rsidRDefault="00B714A9" w:rsidP="00B714A9">
            <w:pPr>
              <w:spacing w:before="0" w:after="0"/>
              <w:jc w:val="left"/>
              <w:rPr>
                <w:color w:val="000000"/>
                <w:sz w:val="20"/>
                <w:szCs w:val="22"/>
                <w:lang w:val="en-US" w:eastAsia="en-US"/>
              </w:rPr>
            </w:pPr>
            <w:r w:rsidRPr="00833380">
              <w:rPr>
                <w:color w:val="000000"/>
                <w:sz w:val="20"/>
                <w:szCs w:val="22"/>
                <w:lang w:val="en-US" w:eastAsia="en-US"/>
              </w:rPr>
              <w:t>1. H</w:t>
            </w:r>
            <w:r w:rsidRPr="00833380">
              <w:rPr>
                <w:color w:val="000000"/>
                <w:sz w:val="20"/>
                <w:szCs w:val="22"/>
                <w:vertAlign w:val="subscript"/>
                <w:lang w:val="en-US" w:eastAsia="en-US"/>
              </w:rPr>
              <w:t>2</w:t>
            </w:r>
            <w:r w:rsidR="00833380" w:rsidRPr="00833380">
              <w:rPr>
                <w:color w:val="000000"/>
                <w:sz w:val="20"/>
                <w:szCs w:val="22"/>
                <w:lang w:val="en-US" w:eastAsia="en-US"/>
              </w:rPr>
              <w:t>O</w:t>
            </w:r>
          </w:p>
        </w:tc>
        <w:tc>
          <w:tcPr>
            <w:tcW w:w="1559" w:type="dxa"/>
            <w:tcBorders>
              <w:top w:val="nil"/>
              <w:left w:val="nil"/>
              <w:bottom w:val="single" w:sz="4" w:space="0" w:color="auto"/>
              <w:right w:val="single" w:sz="4" w:space="0" w:color="auto"/>
            </w:tcBorders>
            <w:shd w:val="clear" w:color="auto" w:fill="auto"/>
            <w:noWrap/>
            <w:vAlign w:val="center"/>
            <w:hideMark/>
          </w:tcPr>
          <w:p w14:paraId="61F2EBC9" w14:textId="273B764C" w:rsidR="00B714A9" w:rsidRPr="00833380" w:rsidRDefault="00833380" w:rsidP="00B714A9">
            <w:pPr>
              <w:spacing w:before="0" w:after="0"/>
              <w:jc w:val="center"/>
              <w:rPr>
                <w:b/>
                <w:color w:val="000000"/>
                <w:sz w:val="20"/>
                <w:szCs w:val="22"/>
                <w:lang w:val="en-US" w:eastAsia="en-US"/>
              </w:rPr>
            </w:pPr>
            <w:r w:rsidRPr="00833380">
              <w:rPr>
                <w:b/>
                <w:color w:val="000000"/>
                <w:sz w:val="20"/>
                <w:szCs w:val="22"/>
                <w:lang w:val="en-US" w:eastAsia="en-US"/>
              </w:rPr>
              <w:t>X</w:t>
            </w:r>
          </w:p>
        </w:tc>
        <w:tc>
          <w:tcPr>
            <w:tcW w:w="1560" w:type="dxa"/>
            <w:tcBorders>
              <w:top w:val="nil"/>
              <w:left w:val="nil"/>
              <w:bottom w:val="single" w:sz="4" w:space="0" w:color="auto"/>
              <w:right w:val="single" w:sz="4" w:space="0" w:color="auto"/>
            </w:tcBorders>
            <w:shd w:val="clear" w:color="auto" w:fill="auto"/>
            <w:noWrap/>
            <w:vAlign w:val="center"/>
            <w:hideMark/>
          </w:tcPr>
          <w:p w14:paraId="3F4C5E27" w14:textId="77777777" w:rsidR="00B714A9" w:rsidRPr="00833380" w:rsidRDefault="00B714A9" w:rsidP="00B714A9">
            <w:pPr>
              <w:spacing w:before="0" w:after="0"/>
              <w:jc w:val="center"/>
              <w:rPr>
                <w:b/>
                <w:color w:val="000000"/>
                <w:sz w:val="20"/>
                <w:szCs w:val="22"/>
                <w:lang w:val="en-US" w:eastAsia="en-US"/>
              </w:rPr>
            </w:pPr>
            <w:r w:rsidRPr="00833380">
              <w:rPr>
                <w:b/>
                <w:color w:val="000000"/>
                <w:sz w:val="20"/>
                <w:szCs w:val="22"/>
                <w:lang w:val="en-US" w:eastAsia="en-US"/>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FC4D9BA" w14:textId="1B31F82E" w:rsidR="00B714A9" w:rsidRPr="00833380" w:rsidRDefault="00833380" w:rsidP="00833380">
            <w:pPr>
              <w:spacing w:before="0" w:after="0"/>
              <w:jc w:val="center"/>
              <w:rPr>
                <w:b/>
                <w:color w:val="000000"/>
                <w:sz w:val="20"/>
                <w:szCs w:val="22"/>
                <w:lang w:val="en-US" w:eastAsia="en-US"/>
              </w:rPr>
            </w:pPr>
            <w:r w:rsidRPr="00833380">
              <w:rPr>
                <w:b/>
                <w:color w:val="000000"/>
                <w:sz w:val="20"/>
                <w:szCs w:val="22"/>
                <w:lang w:val="en-US" w:eastAsia="en-US"/>
              </w:rPr>
              <w:t>X</w:t>
            </w:r>
          </w:p>
        </w:tc>
      </w:tr>
      <w:tr w:rsidR="00833380" w:rsidRPr="00833380" w14:paraId="0B16D238" w14:textId="77777777" w:rsidTr="00833380">
        <w:trPr>
          <w:trHeight w:val="420"/>
        </w:trPr>
        <w:tc>
          <w:tcPr>
            <w:tcW w:w="2551" w:type="dxa"/>
            <w:tcBorders>
              <w:top w:val="nil"/>
              <w:left w:val="single" w:sz="4" w:space="0" w:color="auto"/>
              <w:bottom w:val="single" w:sz="4" w:space="0" w:color="auto"/>
              <w:right w:val="single" w:sz="4" w:space="0" w:color="auto"/>
            </w:tcBorders>
            <w:shd w:val="clear" w:color="auto" w:fill="auto"/>
            <w:noWrap/>
            <w:vAlign w:val="center"/>
          </w:tcPr>
          <w:p w14:paraId="63CF4FE2" w14:textId="1245EB7B" w:rsidR="00833380" w:rsidRPr="00833380" w:rsidRDefault="00833380" w:rsidP="00B714A9">
            <w:pPr>
              <w:spacing w:before="0" w:after="0"/>
              <w:jc w:val="left"/>
              <w:rPr>
                <w:color w:val="000000"/>
                <w:sz w:val="20"/>
                <w:szCs w:val="22"/>
                <w:lang w:val="en-US" w:eastAsia="en-US"/>
              </w:rPr>
            </w:pPr>
            <w:r w:rsidRPr="00833380">
              <w:rPr>
                <w:color w:val="000000"/>
                <w:sz w:val="20"/>
                <w:szCs w:val="22"/>
                <w:lang w:val="en-US" w:eastAsia="en-US"/>
              </w:rPr>
              <w:t xml:space="preserve">2. </w:t>
            </w:r>
            <w:proofErr w:type="spellStart"/>
            <w:r w:rsidRPr="00833380">
              <w:rPr>
                <w:color w:val="000000"/>
                <w:sz w:val="20"/>
                <w:szCs w:val="22"/>
                <w:lang w:val="en-US" w:eastAsia="en-US"/>
              </w:rPr>
              <w:t>Fijación</w:t>
            </w:r>
            <w:proofErr w:type="spellEnd"/>
            <w:r w:rsidRPr="00833380">
              <w:rPr>
                <w:color w:val="000000"/>
                <w:sz w:val="20"/>
                <w:szCs w:val="22"/>
                <w:lang w:val="en-US" w:eastAsia="en-US"/>
              </w:rPr>
              <w:t xml:space="preserve"> CO</w:t>
            </w:r>
            <w:r w:rsidRPr="00833380">
              <w:rPr>
                <w:color w:val="000000"/>
                <w:sz w:val="20"/>
                <w:szCs w:val="22"/>
                <w:vertAlign w:val="subscript"/>
                <w:lang w:val="en-US" w:eastAsia="en-US"/>
              </w:rPr>
              <w:t>2</w:t>
            </w:r>
          </w:p>
        </w:tc>
        <w:tc>
          <w:tcPr>
            <w:tcW w:w="1559" w:type="dxa"/>
            <w:tcBorders>
              <w:top w:val="nil"/>
              <w:left w:val="nil"/>
              <w:bottom w:val="single" w:sz="4" w:space="0" w:color="auto"/>
              <w:right w:val="single" w:sz="4" w:space="0" w:color="auto"/>
            </w:tcBorders>
            <w:shd w:val="clear" w:color="auto" w:fill="auto"/>
            <w:noWrap/>
            <w:vAlign w:val="center"/>
          </w:tcPr>
          <w:p w14:paraId="23386DDD" w14:textId="6CF67C24" w:rsidR="00833380" w:rsidRPr="00833380" w:rsidRDefault="00833380" w:rsidP="00B714A9">
            <w:pPr>
              <w:spacing w:before="0" w:after="0"/>
              <w:jc w:val="center"/>
              <w:rPr>
                <w:b/>
                <w:color w:val="000000"/>
                <w:sz w:val="20"/>
                <w:szCs w:val="22"/>
                <w:lang w:val="en-US" w:eastAsia="en-US"/>
              </w:rPr>
            </w:pPr>
            <w:r w:rsidRPr="00833380">
              <w:rPr>
                <w:b/>
                <w:color w:val="000000"/>
                <w:sz w:val="20"/>
                <w:szCs w:val="22"/>
                <w:lang w:val="en-US" w:eastAsia="en-US"/>
              </w:rPr>
              <w:t>X</w:t>
            </w:r>
          </w:p>
        </w:tc>
        <w:tc>
          <w:tcPr>
            <w:tcW w:w="1560" w:type="dxa"/>
            <w:tcBorders>
              <w:top w:val="nil"/>
              <w:left w:val="nil"/>
              <w:bottom w:val="single" w:sz="4" w:space="0" w:color="auto"/>
              <w:right w:val="single" w:sz="4" w:space="0" w:color="auto"/>
            </w:tcBorders>
            <w:shd w:val="clear" w:color="auto" w:fill="auto"/>
            <w:noWrap/>
            <w:vAlign w:val="center"/>
          </w:tcPr>
          <w:p w14:paraId="46DB8C2E" w14:textId="77777777" w:rsidR="00833380" w:rsidRPr="00833380" w:rsidRDefault="00833380" w:rsidP="00B714A9">
            <w:pPr>
              <w:spacing w:before="0" w:after="0"/>
              <w:jc w:val="center"/>
              <w:rPr>
                <w:b/>
                <w:color w:val="000000"/>
                <w:sz w:val="20"/>
                <w:szCs w:val="22"/>
                <w:lang w:val="en-US" w:eastAsia="en-US"/>
              </w:rPr>
            </w:pPr>
          </w:p>
        </w:tc>
        <w:tc>
          <w:tcPr>
            <w:tcW w:w="1559" w:type="dxa"/>
            <w:tcBorders>
              <w:top w:val="nil"/>
              <w:left w:val="nil"/>
              <w:bottom w:val="single" w:sz="4" w:space="0" w:color="auto"/>
              <w:right w:val="single" w:sz="4" w:space="0" w:color="auto"/>
            </w:tcBorders>
            <w:shd w:val="clear" w:color="auto" w:fill="auto"/>
            <w:noWrap/>
            <w:vAlign w:val="center"/>
          </w:tcPr>
          <w:p w14:paraId="6F9D92D4" w14:textId="77777777" w:rsidR="00833380" w:rsidRPr="00833380" w:rsidRDefault="00833380" w:rsidP="00B714A9">
            <w:pPr>
              <w:spacing w:before="0" w:after="0"/>
              <w:jc w:val="center"/>
              <w:rPr>
                <w:b/>
                <w:color w:val="000000"/>
                <w:sz w:val="20"/>
                <w:szCs w:val="22"/>
                <w:lang w:val="en-US" w:eastAsia="en-US"/>
              </w:rPr>
            </w:pPr>
          </w:p>
        </w:tc>
      </w:tr>
      <w:tr w:rsidR="00B714A9" w:rsidRPr="00833380" w14:paraId="0A47226B" w14:textId="77777777" w:rsidTr="00833380">
        <w:trPr>
          <w:trHeight w:val="42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14:paraId="242E2714" w14:textId="1A5A493E" w:rsidR="00B714A9" w:rsidRPr="00833380" w:rsidRDefault="00B714A9" w:rsidP="00833380">
            <w:pPr>
              <w:spacing w:before="0" w:after="0"/>
              <w:jc w:val="left"/>
              <w:rPr>
                <w:color w:val="000000"/>
                <w:sz w:val="20"/>
                <w:szCs w:val="22"/>
                <w:lang w:val="en-US" w:eastAsia="en-US"/>
              </w:rPr>
            </w:pPr>
            <w:r w:rsidRPr="00833380">
              <w:rPr>
                <w:color w:val="000000"/>
                <w:sz w:val="20"/>
                <w:szCs w:val="22"/>
                <w:lang w:val="en-US" w:eastAsia="en-US"/>
              </w:rPr>
              <w:t xml:space="preserve">3. </w:t>
            </w:r>
            <w:proofErr w:type="spellStart"/>
            <w:r w:rsidR="00833380" w:rsidRPr="00833380">
              <w:rPr>
                <w:color w:val="000000"/>
                <w:sz w:val="20"/>
                <w:szCs w:val="22"/>
                <w:lang w:val="en-US" w:eastAsia="en-US"/>
              </w:rPr>
              <w:t>Emisiones</w:t>
            </w:r>
            <w:proofErr w:type="spellEnd"/>
            <w:r w:rsidR="00833380" w:rsidRPr="00833380">
              <w:rPr>
                <w:color w:val="000000"/>
                <w:sz w:val="20"/>
                <w:szCs w:val="22"/>
                <w:lang w:val="en-US" w:eastAsia="en-US"/>
              </w:rPr>
              <w:t xml:space="preserve"> </w:t>
            </w:r>
            <w:proofErr w:type="spellStart"/>
            <w:r w:rsidR="00833380" w:rsidRPr="00833380">
              <w:rPr>
                <w:color w:val="000000"/>
                <w:sz w:val="20"/>
                <w:szCs w:val="22"/>
                <w:lang w:val="en-US" w:eastAsia="en-US"/>
              </w:rPr>
              <w:t>evitadas</w:t>
            </w:r>
            <w:proofErr w:type="spellEnd"/>
            <w:r w:rsidR="00833380" w:rsidRPr="00833380">
              <w:rPr>
                <w:color w:val="000000"/>
                <w:sz w:val="20"/>
                <w:szCs w:val="22"/>
                <w:lang w:val="en-US" w:eastAsia="en-US"/>
              </w:rPr>
              <w:t xml:space="preserve"> CO</w:t>
            </w:r>
            <w:r w:rsidR="00833380" w:rsidRPr="00833380">
              <w:rPr>
                <w:color w:val="000000"/>
                <w:sz w:val="20"/>
                <w:szCs w:val="22"/>
                <w:vertAlign w:val="subscript"/>
                <w:lang w:val="en-US" w:eastAsia="en-US"/>
              </w:rPr>
              <w:t>2</w:t>
            </w:r>
          </w:p>
        </w:tc>
        <w:tc>
          <w:tcPr>
            <w:tcW w:w="1559" w:type="dxa"/>
            <w:tcBorders>
              <w:top w:val="nil"/>
              <w:left w:val="nil"/>
              <w:bottom w:val="single" w:sz="4" w:space="0" w:color="auto"/>
              <w:right w:val="single" w:sz="4" w:space="0" w:color="auto"/>
            </w:tcBorders>
            <w:shd w:val="clear" w:color="auto" w:fill="auto"/>
            <w:noWrap/>
            <w:vAlign w:val="center"/>
            <w:hideMark/>
          </w:tcPr>
          <w:p w14:paraId="199DF62C" w14:textId="77777777" w:rsidR="00B714A9" w:rsidRPr="00833380" w:rsidRDefault="00B714A9" w:rsidP="00B714A9">
            <w:pPr>
              <w:spacing w:before="0" w:after="0"/>
              <w:jc w:val="center"/>
              <w:rPr>
                <w:b/>
                <w:color w:val="000000"/>
                <w:sz w:val="20"/>
                <w:szCs w:val="22"/>
                <w:lang w:val="en-US" w:eastAsia="en-US"/>
              </w:rPr>
            </w:pPr>
            <w:r w:rsidRPr="00833380">
              <w:rPr>
                <w:b/>
                <w:color w:val="000000"/>
                <w:sz w:val="20"/>
                <w:szCs w:val="22"/>
                <w:lang w:val="en-US" w:eastAsia="en-US"/>
              </w:rPr>
              <w:t> </w:t>
            </w:r>
          </w:p>
        </w:tc>
        <w:tc>
          <w:tcPr>
            <w:tcW w:w="1560" w:type="dxa"/>
            <w:tcBorders>
              <w:top w:val="nil"/>
              <w:left w:val="nil"/>
              <w:bottom w:val="single" w:sz="4" w:space="0" w:color="auto"/>
              <w:right w:val="single" w:sz="4" w:space="0" w:color="auto"/>
            </w:tcBorders>
            <w:shd w:val="clear" w:color="auto" w:fill="auto"/>
            <w:noWrap/>
            <w:vAlign w:val="center"/>
            <w:hideMark/>
          </w:tcPr>
          <w:p w14:paraId="5BF9A989" w14:textId="77777777" w:rsidR="00B714A9" w:rsidRPr="00833380" w:rsidRDefault="00B714A9" w:rsidP="00B714A9">
            <w:pPr>
              <w:spacing w:before="0" w:after="0"/>
              <w:jc w:val="center"/>
              <w:rPr>
                <w:b/>
                <w:color w:val="000000"/>
                <w:sz w:val="20"/>
                <w:szCs w:val="22"/>
                <w:lang w:val="en-US" w:eastAsia="en-US"/>
              </w:rPr>
            </w:pPr>
            <w:r w:rsidRPr="00833380">
              <w:rPr>
                <w:b/>
                <w:color w:val="000000"/>
                <w:sz w:val="20"/>
                <w:szCs w:val="22"/>
                <w:lang w:val="en-US" w:eastAsia="en-US"/>
              </w:rPr>
              <w:t> </w:t>
            </w:r>
          </w:p>
        </w:tc>
        <w:tc>
          <w:tcPr>
            <w:tcW w:w="1559" w:type="dxa"/>
            <w:tcBorders>
              <w:top w:val="nil"/>
              <w:left w:val="nil"/>
              <w:bottom w:val="single" w:sz="4" w:space="0" w:color="auto"/>
              <w:right w:val="single" w:sz="4" w:space="0" w:color="auto"/>
            </w:tcBorders>
            <w:shd w:val="clear" w:color="auto" w:fill="auto"/>
            <w:noWrap/>
            <w:vAlign w:val="center"/>
            <w:hideMark/>
          </w:tcPr>
          <w:p w14:paraId="13E9C56A" w14:textId="2A911727" w:rsidR="00B714A9" w:rsidRPr="00833380" w:rsidRDefault="00833380" w:rsidP="00B714A9">
            <w:pPr>
              <w:spacing w:before="0" w:after="0"/>
              <w:jc w:val="center"/>
              <w:rPr>
                <w:b/>
                <w:color w:val="000000"/>
                <w:sz w:val="20"/>
                <w:szCs w:val="22"/>
                <w:lang w:val="en-US" w:eastAsia="en-US"/>
              </w:rPr>
            </w:pPr>
            <w:r w:rsidRPr="00833380">
              <w:rPr>
                <w:b/>
                <w:color w:val="000000"/>
                <w:sz w:val="20"/>
                <w:szCs w:val="22"/>
                <w:lang w:val="en-US" w:eastAsia="en-US"/>
              </w:rPr>
              <w:t>X</w:t>
            </w:r>
          </w:p>
        </w:tc>
      </w:tr>
      <w:tr w:rsidR="00B714A9" w:rsidRPr="00833380" w14:paraId="5CC62B02" w14:textId="77777777" w:rsidTr="00833380">
        <w:trPr>
          <w:trHeight w:val="42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14:paraId="66000B1B" w14:textId="77777777" w:rsidR="00B714A9" w:rsidRPr="00833380" w:rsidRDefault="00B714A9" w:rsidP="00B714A9">
            <w:pPr>
              <w:spacing w:before="0" w:after="0"/>
              <w:jc w:val="left"/>
              <w:rPr>
                <w:color w:val="000000"/>
                <w:sz w:val="20"/>
                <w:szCs w:val="22"/>
                <w:lang w:val="en-US" w:eastAsia="en-US"/>
              </w:rPr>
            </w:pPr>
            <w:r w:rsidRPr="00833380">
              <w:rPr>
                <w:color w:val="000000"/>
                <w:sz w:val="20"/>
                <w:szCs w:val="22"/>
                <w:lang w:val="en-US" w:eastAsia="en-US"/>
              </w:rPr>
              <w:t xml:space="preserve">4. </w:t>
            </w:r>
            <w:proofErr w:type="spellStart"/>
            <w:r w:rsidRPr="00833380">
              <w:rPr>
                <w:color w:val="000000"/>
                <w:sz w:val="20"/>
                <w:szCs w:val="22"/>
                <w:lang w:val="en-US" w:eastAsia="en-US"/>
              </w:rPr>
              <w:t>Productos</w:t>
            </w:r>
            <w:proofErr w:type="spellEnd"/>
            <w:r w:rsidRPr="00833380">
              <w:rPr>
                <w:color w:val="000000"/>
                <w:sz w:val="20"/>
                <w:szCs w:val="22"/>
                <w:lang w:val="en-US" w:eastAsia="en-US"/>
              </w:rPr>
              <w:t xml:space="preserve"> </w:t>
            </w:r>
            <w:proofErr w:type="spellStart"/>
            <w:r w:rsidRPr="00833380">
              <w:rPr>
                <w:color w:val="000000"/>
                <w:sz w:val="20"/>
                <w:szCs w:val="22"/>
                <w:lang w:val="en-US" w:eastAsia="en-US"/>
              </w:rPr>
              <w:t>forestales</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2AB6F968" w14:textId="21C23FD8" w:rsidR="00B714A9" w:rsidRPr="00833380" w:rsidRDefault="00833380" w:rsidP="00B714A9">
            <w:pPr>
              <w:spacing w:before="0" w:after="0"/>
              <w:jc w:val="center"/>
              <w:rPr>
                <w:b/>
                <w:color w:val="000000"/>
                <w:sz w:val="20"/>
                <w:szCs w:val="22"/>
                <w:lang w:val="en-US" w:eastAsia="en-US"/>
              </w:rPr>
            </w:pPr>
            <w:r w:rsidRPr="00833380">
              <w:rPr>
                <w:b/>
                <w:color w:val="000000"/>
                <w:sz w:val="20"/>
                <w:szCs w:val="22"/>
                <w:lang w:val="en-US" w:eastAsia="en-US"/>
              </w:rPr>
              <w:t>X</w:t>
            </w:r>
          </w:p>
        </w:tc>
        <w:tc>
          <w:tcPr>
            <w:tcW w:w="1560" w:type="dxa"/>
            <w:tcBorders>
              <w:top w:val="nil"/>
              <w:left w:val="nil"/>
              <w:bottom w:val="single" w:sz="4" w:space="0" w:color="auto"/>
              <w:right w:val="single" w:sz="4" w:space="0" w:color="auto"/>
            </w:tcBorders>
            <w:shd w:val="clear" w:color="auto" w:fill="auto"/>
            <w:noWrap/>
            <w:vAlign w:val="center"/>
            <w:hideMark/>
          </w:tcPr>
          <w:p w14:paraId="488AC227" w14:textId="77777777" w:rsidR="00B714A9" w:rsidRPr="00833380" w:rsidRDefault="00B714A9" w:rsidP="00B714A9">
            <w:pPr>
              <w:spacing w:before="0" w:after="0"/>
              <w:jc w:val="center"/>
              <w:rPr>
                <w:b/>
                <w:color w:val="000000"/>
                <w:sz w:val="20"/>
                <w:szCs w:val="22"/>
                <w:lang w:val="en-US" w:eastAsia="en-US"/>
              </w:rPr>
            </w:pPr>
            <w:r w:rsidRPr="00833380">
              <w:rPr>
                <w:b/>
                <w:color w:val="000000"/>
                <w:sz w:val="20"/>
                <w:szCs w:val="22"/>
                <w:lang w:val="en-US" w:eastAsia="en-US"/>
              </w:rPr>
              <w:t> </w:t>
            </w:r>
          </w:p>
        </w:tc>
        <w:tc>
          <w:tcPr>
            <w:tcW w:w="1559" w:type="dxa"/>
            <w:tcBorders>
              <w:top w:val="nil"/>
              <w:left w:val="nil"/>
              <w:bottom w:val="single" w:sz="4" w:space="0" w:color="auto"/>
              <w:right w:val="single" w:sz="4" w:space="0" w:color="auto"/>
            </w:tcBorders>
            <w:shd w:val="clear" w:color="auto" w:fill="auto"/>
            <w:noWrap/>
            <w:vAlign w:val="center"/>
            <w:hideMark/>
          </w:tcPr>
          <w:p w14:paraId="0E4734ED" w14:textId="77777777" w:rsidR="00B714A9" w:rsidRPr="00833380" w:rsidRDefault="00B714A9" w:rsidP="00B714A9">
            <w:pPr>
              <w:spacing w:before="0" w:after="0"/>
              <w:jc w:val="center"/>
              <w:rPr>
                <w:b/>
                <w:color w:val="000000"/>
                <w:sz w:val="20"/>
                <w:szCs w:val="22"/>
                <w:lang w:val="en-US" w:eastAsia="en-US"/>
              </w:rPr>
            </w:pPr>
            <w:r w:rsidRPr="00833380">
              <w:rPr>
                <w:b/>
                <w:color w:val="000000"/>
                <w:sz w:val="20"/>
                <w:szCs w:val="22"/>
                <w:lang w:val="en-US" w:eastAsia="en-US"/>
              </w:rPr>
              <w:t> </w:t>
            </w:r>
          </w:p>
        </w:tc>
      </w:tr>
      <w:tr w:rsidR="00B714A9" w:rsidRPr="00833380" w14:paraId="103746D3" w14:textId="77777777" w:rsidTr="00833380">
        <w:trPr>
          <w:trHeight w:val="42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14:paraId="396CCD6F" w14:textId="14766A38" w:rsidR="00B714A9" w:rsidRPr="00833380" w:rsidRDefault="00B714A9" w:rsidP="00833380">
            <w:pPr>
              <w:spacing w:before="0" w:after="0"/>
              <w:jc w:val="left"/>
              <w:rPr>
                <w:color w:val="000000"/>
                <w:sz w:val="20"/>
                <w:szCs w:val="22"/>
                <w:lang w:val="en-US" w:eastAsia="en-US"/>
              </w:rPr>
            </w:pPr>
            <w:r w:rsidRPr="00833380">
              <w:rPr>
                <w:color w:val="000000"/>
                <w:sz w:val="20"/>
                <w:szCs w:val="22"/>
                <w:lang w:val="en-US" w:eastAsia="en-US"/>
              </w:rPr>
              <w:t xml:space="preserve">5. </w:t>
            </w:r>
            <w:proofErr w:type="spellStart"/>
            <w:r w:rsidR="00833380" w:rsidRPr="00833380">
              <w:rPr>
                <w:color w:val="000000"/>
                <w:sz w:val="20"/>
                <w:szCs w:val="22"/>
                <w:lang w:val="en-US" w:eastAsia="en-US"/>
              </w:rPr>
              <w:t>Ingresos</w:t>
            </w:r>
            <w:proofErr w:type="spellEnd"/>
            <w:r w:rsidR="00833380" w:rsidRPr="00833380">
              <w:rPr>
                <w:color w:val="000000"/>
                <w:sz w:val="20"/>
                <w:szCs w:val="22"/>
                <w:lang w:val="en-US" w:eastAsia="en-US"/>
              </w:rPr>
              <w:t xml:space="preserve"> SAF</w:t>
            </w:r>
          </w:p>
        </w:tc>
        <w:tc>
          <w:tcPr>
            <w:tcW w:w="1559" w:type="dxa"/>
            <w:tcBorders>
              <w:top w:val="nil"/>
              <w:left w:val="nil"/>
              <w:bottom w:val="single" w:sz="4" w:space="0" w:color="auto"/>
              <w:right w:val="single" w:sz="4" w:space="0" w:color="auto"/>
            </w:tcBorders>
            <w:shd w:val="clear" w:color="auto" w:fill="auto"/>
            <w:noWrap/>
            <w:vAlign w:val="center"/>
            <w:hideMark/>
          </w:tcPr>
          <w:p w14:paraId="1E11EFC5" w14:textId="77777777" w:rsidR="00B714A9" w:rsidRPr="00833380" w:rsidRDefault="00B714A9" w:rsidP="00B714A9">
            <w:pPr>
              <w:spacing w:before="0" w:after="0"/>
              <w:jc w:val="center"/>
              <w:rPr>
                <w:b/>
                <w:color w:val="000000"/>
                <w:sz w:val="20"/>
                <w:szCs w:val="22"/>
                <w:lang w:val="en-US" w:eastAsia="en-US"/>
              </w:rPr>
            </w:pPr>
            <w:r w:rsidRPr="00833380">
              <w:rPr>
                <w:b/>
                <w:color w:val="000000"/>
                <w:sz w:val="20"/>
                <w:szCs w:val="22"/>
                <w:lang w:val="en-US" w:eastAsia="en-US"/>
              </w:rPr>
              <w:t> </w:t>
            </w:r>
          </w:p>
        </w:tc>
        <w:tc>
          <w:tcPr>
            <w:tcW w:w="1560" w:type="dxa"/>
            <w:tcBorders>
              <w:top w:val="nil"/>
              <w:left w:val="nil"/>
              <w:bottom w:val="single" w:sz="4" w:space="0" w:color="auto"/>
              <w:right w:val="single" w:sz="4" w:space="0" w:color="auto"/>
            </w:tcBorders>
            <w:shd w:val="clear" w:color="auto" w:fill="auto"/>
            <w:noWrap/>
            <w:vAlign w:val="center"/>
            <w:hideMark/>
          </w:tcPr>
          <w:p w14:paraId="3128273E" w14:textId="1602DAC1" w:rsidR="00B714A9" w:rsidRPr="00833380" w:rsidRDefault="00833380" w:rsidP="00B714A9">
            <w:pPr>
              <w:spacing w:before="0" w:after="0"/>
              <w:jc w:val="center"/>
              <w:rPr>
                <w:b/>
                <w:color w:val="000000"/>
                <w:sz w:val="20"/>
                <w:szCs w:val="22"/>
                <w:lang w:val="en-US" w:eastAsia="en-US"/>
              </w:rPr>
            </w:pPr>
            <w:r w:rsidRPr="00833380">
              <w:rPr>
                <w:b/>
                <w:color w:val="000000"/>
                <w:sz w:val="20"/>
                <w:szCs w:val="22"/>
                <w:lang w:val="en-US" w:eastAsia="en-US"/>
              </w:rPr>
              <w:t>X</w:t>
            </w:r>
          </w:p>
        </w:tc>
        <w:tc>
          <w:tcPr>
            <w:tcW w:w="1559" w:type="dxa"/>
            <w:tcBorders>
              <w:top w:val="nil"/>
              <w:left w:val="nil"/>
              <w:bottom w:val="single" w:sz="4" w:space="0" w:color="auto"/>
              <w:right w:val="single" w:sz="4" w:space="0" w:color="auto"/>
            </w:tcBorders>
            <w:shd w:val="clear" w:color="auto" w:fill="auto"/>
            <w:noWrap/>
            <w:vAlign w:val="center"/>
            <w:hideMark/>
          </w:tcPr>
          <w:p w14:paraId="6C7644B8" w14:textId="77777777" w:rsidR="00B714A9" w:rsidRPr="00833380" w:rsidRDefault="00B714A9" w:rsidP="00B714A9">
            <w:pPr>
              <w:spacing w:before="0" w:after="0"/>
              <w:jc w:val="center"/>
              <w:rPr>
                <w:b/>
                <w:color w:val="000000"/>
                <w:sz w:val="20"/>
                <w:szCs w:val="22"/>
                <w:lang w:val="en-US" w:eastAsia="en-US"/>
              </w:rPr>
            </w:pPr>
            <w:r w:rsidRPr="00833380">
              <w:rPr>
                <w:b/>
                <w:color w:val="000000"/>
                <w:sz w:val="20"/>
                <w:szCs w:val="22"/>
                <w:lang w:val="en-US" w:eastAsia="en-US"/>
              </w:rPr>
              <w:t> </w:t>
            </w:r>
          </w:p>
        </w:tc>
      </w:tr>
      <w:tr w:rsidR="00B714A9" w:rsidRPr="00833380" w14:paraId="75AAC264" w14:textId="77777777" w:rsidTr="00833380">
        <w:trPr>
          <w:trHeight w:val="42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14:paraId="33A4C96C" w14:textId="35DEB9CA" w:rsidR="00B714A9" w:rsidRPr="00833380" w:rsidRDefault="00B714A9" w:rsidP="00B714A9">
            <w:pPr>
              <w:spacing w:before="0" w:after="0"/>
              <w:jc w:val="left"/>
              <w:rPr>
                <w:color w:val="000000"/>
                <w:sz w:val="20"/>
                <w:szCs w:val="22"/>
                <w:lang w:val="en-US" w:eastAsia="en-US"/>
              </w:rPr>
            </w:pPr>
            <w:r w:rsidRPr="00833380">
              <w:rPr>
                <w:color w:val="000000"/>
                <w:sz w:val="20"/>
                <w:szCs w:val="22"/>
                <w:lang w:val="en-US" w:eastAsia="en-US"/>
              </w:rPr>
              <w:t xml:space="preserve">6. </w:t>
            </w:r>
            <w:proofErr w:type="spellStart"/>
            <w:r w:rsidRPr="00833380">
              <w:rPr>
                <w:color w:val="000000"/>
                <w:sz w:val="20"/>
                <w:szCs w:val="22"/>
                <w:lang w:val="en-US" w:eastAsia="en-US"/>
              </w:rPr>
              <w:t>Menos</w:t>
            </w:r>
            <w:proofErr w:type="spellEnd"/>
            <w:r w:rsidRPr="00833380">
              <w:rPr>
                <w:color w:val="000000"/>
                <w:sz w:val="20"/>
                <w:szCs w:val="22"/>
                <w:lang w:val="en-US" w:eastAsia="en-US"/>
              </w:rPr>
              <w:t xml:space="preserve"> </w:t>
            </w:r>
            <w:proofErr w:type="spellStart"/>
            <w:r w:rsidRPr="00833380">
              <w:rPr>
                <w:color w:val="000000"/>
                <w:sz w:val="20"/>
                <w:szCs w:val="22"/>
                <w:lang w:val="en-US" w:eastAsia="en-US"/>
              </w:rPr>
              <w:t>sedimentación</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53CFF39F" w14:textId="2FC94281" w:rsidR="00B714A9" w:rsidRPr="00833380" w:rsidRDefault="00833380" w:rsidP="00B714A9">
            <w:pPr>
              <w:spacing w:before="0" w:after="0"/>
              <w:jc w:val="center"/>
              <w:rPr>
                <w:b/>
                <w:color w:val="000000"/>
                <w:sz w:val="20"/>
                <w:szCs w:val="22"/>
                <w:lang w:val="en-US" w:eastAsia="en-US"/>
              </w:rPr>
            </w:pPr>
            <w:r w:rsidRPr="00833380">
              <w:rPr>
                <w:b/>
                <w:color w:val="000000"/>
                <w:sz w:val="20"/>
                <w:szCs w:val="22"/>
                <w:lang w:val="en-US" w:eastAsia="en-US"/>
              </w:rPr>
              <w:t>X</w:t>
            </w:r>
          </w:p>
        </w:tc>
        <w:tc>
          <w:tcPr>
            <w:tcW w:w="1560" w:type="dxa"/>
            <w:tcBorders>
              <w:top w:val="nil"/>
              <w:left w:val="nil"/>
              <w:bottom w:val="single" w:sz="4" w:space="0" w:color="auto"/>
              <w:right w:val="single" w:sz="4" w:space="0" w:color="auto"/>
            </w:tcBorders>
            <w:shd w:val="clear" w:color="auto" w:fill="auto"/>
            <w:noWrap/>
            <w:vAlign w:val="center"/>
            <w:hideMark/>
          </w:tcPr>
          <w:p w14:paraId="6BC20E39" w14:textId="77777777" w:rsidR="00B714A9" w:rsidRPr="00833380" w:rsidRDefault="00B714A9" w:rsidP="00B714A9">
            <w:pPr>
              <w:spacing w:before="0" w:after="0"/>
              <w:jc w:val="center"/>
              <w:rPr>
                <w:b/>
                <w:color w:val="000000"/>
                <w:sz w:val="20"/>
                <w:szCs w:val="22"/>
                <w:lang w:val="en-US" w:eastAsia="en-US"/>
              </w:rPr>
            </w:pPr>
            <w:r w:rsidRPr="00833380">
              <w:rPr>
                <w:b/>
                <w:color w:val="000000"/>
                <w:sz w:val="20"/>
                <w:szCs w:val="22"/>
                <w:lang w:val="en-US" w:eastAsia="en-US"/>
              </w:rPr>
              <w:t> </w:t>
            </w:r>
          </w:p>
        </w:tc>
        <w:tc>
          <w:tcPr>
            <w:tcW w:w="1559" w:type="dxa"/>
            <w:tcBorders>
              <w:top w:val="nil"/>
              <w:left w:val="nil"/>
              <w:bottom w:val="single" w:sz="4" w:space="0" w:color="auto"/>
              <w:right w:val="single" w:sz="4" w:space="0" w:color="auto"/>
            </w:tcBorders>
            <w:shd w:val="clear" w:color="auto" w:fill="auto"/>
            <w:noWrap/>
            <w:vAlign w:val="center"/>
            <w:hideMark/>
          </w:tcPr>
          <w:p w14:paraId="0EA89D64" w14:textId="77777777" w:rsidR="00B714A9" w:rsidRPr="00833380" w:rsidRDefault="00B714A9" w:rsidP="00B714A9">
            <w:pPr>
              <w:spacing w:before="0" w:after="0"/>
              <w:jc w:val="center"/>
              <w:rPr>
                <w:b/>
                <w:color w:val="000000"/>
                <w:sz w:val="20"/>
                <w:szCs w:val="22"/>
                <w:lang w:val="en-US" w:eastAsia="en-US"/>
              </w:rPr>
            </w:pPr>
            <w:r w:rsidRPr="00833380">
              <w:rPr>
                <w:b/>
                <w:color w:val="000000"/>
                <w:sz w:val="20"/>
                <w:szCs w:val="22"/>
                <w:lang w:val="en-US" w:eastAsia="en-US"/>
              </w:rPr>
              <w:t> </w:t>
            </w:r>
          </w:p>
        </w:tc>
      </w:tr>
    </w:tbl>
    <w:p w14:paraId="6AF8513D" w14:textId="77777777" w:rsidR="00B714A9" w:rsidRDefault="00B714A9" w:rsidP="00737D3C">
      <w:pPr>
        <w:pStyle w:val="NoSpacing"/>
      </w:pPr>
    </w:p>
    <w:p w14:paraId="70E02CB5" w14:textId="77777777" w:rsidR="00677866" w:rsidRDefault="00677866">
      <w:pPr>
        <w:spacing w:before="0" w:after="160" w:line="259" w:lineRule="auto"/>
        <w:jc w:val="left"/>
        <w:rPr>
          <w:b/>
          <w:lang w:val="es-ES"/>
        </w:rPr>
      </w:pPr>
      <w:r>
        <w:br w:type="page"/>
      </w:r>
    </w:p>
    <w:p w14:paraId="1C15583A" w14:textId="38D6CE32" w:rsidR="00C20500" w:rsidRPr="003B16B3" w:rsidRDefault="00C20500" w:rsidP="009522BD">
      <w:pPr>
        <w:pStyle w:val="Heading1"/>
      </w:pPr>
      <w:bookmarkStart w:id="18" w:name="_Toc17823752"/>
      <w:r w:rsidRPr="003B16B3">
        <w:lastRenderedPageBreak/>
        <w:t xml:space="preserve">Sección 4.  Evolución de los costos del </w:t>
      </w:r>
      <w:r w:rsidR="00F11EE2">
        <w:t xml:space="preserve">nuevo </w:t>
      </w:r>
      <w:r w:rsidR="005307C7">
        <w:t>proyecto</w:t>
      </w:r>
      <w:bookmarkEnd w:id="18"/>
    </w:p>
    <w:p w14:paraId="79E658CC" w14:textId="2C0F1394" w:rsidR="00E870BC" w:rsidRDefault="00E870BC" w:rsidP="00854EFC">
      <w:pPr>
        <w:pStyle w:val="parrafonumerado"/>
      </w:pPr>
      <w:r>
        <w:t>En esta sección se describen los costos estimados de</w:t>
      </w:r>
      <w:r w:rsidR="005307C7">
        <w:t xml:space="preserve"> </w:t>
      </w:r>
      <w:r>
        <w:t>l</w:t>
      </w:r>
      <w:r w:rsidR="005307C7">
        <w:t>os</w:t>
      </w:r>
      <w:r>
        <w:t xml:space="preserve"> </w:t>
      </w:r>
      <w:r w:rsidR="004B1B3A">
        <w:t>componente</w:t>
      </w:r>
      <w:r w:rsidR="005307C7">
        <w:t>s</w:t>
      </w:r>
      <w:r w:rsidR="004B1B3A">
        <w:t xml:space="preserve"> </w:t>
      </w:r>
      <w:r w:rsidR="00945246">
        <w:t>correspondientes al</w:t>
      </w:r>
      <w:r w:rsidR="004B1B3A">
        <w:t xml:space="preserve"> </w:t>
      </w:r>
      <w:r w:rsidR="00F11EE2">
        <w:t xml:space="preserve">nuevo </w:t>
      </w:r>
      <w:r>
        <w:t xml:space="preserve">proyecto de acuerdo a las áreas a intervenir y los tipos de intervención.  Se consideran los costos de cada componente y la agregación final. La distribución de áreas y tipos de intervención </w:t>
      </w:r>
      <w:r w:rsidR="00945246">
        <w:t xml:space="preserve">en el FVC </w:t>
      </w:r>
      <w:r>
        <w:t>se describen en el cuadro siguiente.</w:t>
      </w:r>
    </w:p>
    <w:p w14:paraId="14E97F00" w14:textId="4C991F14" w:rsidR="00A040A1" w:rsidRDefault="00A040A1" w:rsidP="002E3F3A">
      <w:pPr>
        <w:pStyle w:val="NoSpacing"/>
      </w:pPr>
      <w:r>
        <w:t xml:space="preserve">Cuadro </w:t>
      </w:r>
      <w:r w:rsidR="00854EFC">
        <w:t>9</w:t>
      </w:r>
      <w:r>
        <w:t>.  Distribución de áreas y tipos de intervención</w:t>
      </w:r>
      <w:r w:rsidR="005307C7">
        <w:t xml:space="preserve"> </w:t>
      </w:r>
      <w:r w:rsidR="00945246">
        <w:t xml:space="preserve">del </w:t>
      </w:r>
      <w:r w:rsidR="00F11EE2">
        <w:t xml:space="preserve">proyecto </w:t>
      </w:r>
      <w:r w:rsidR="005307C7">
        <w:t>(</w:t>
      </w:r>
      <w:r w:rsidR="00A74455">
        <w:t>Ha.)</w:t>
      </w:r>
    </w:p>
    <w:tbl>
      <w:tblPr>
        <w:tblW w:w="5000" w:type="pct"/>
        <w:tblLook w:val="04A0" w:firstRow="1" w:lastRow="0" w:firstColumn="1" w:lastColumn="0" w:noHBand="0" w:noVBand="1"/>
      </w:tblPr>
      <w:tblGrid>
        <w:gridCol w:w="3245"/>
        <w:gridCol w:w="1323"/>
        <w:gridCol w:w="866"/>
        <w:gridCol w:w="927"/>
        <w:gridCol w:w="872"/>
        <w:gridCol w:w="1261"/>
      </w:tblGrid>
      <w:tr w:rsidR="0091212E" w:rsidRPr="0091212E" w14:paraId="4969F6EE" w14:textId="77777777" w:rsidTr="0091212E">
        <w:trPr>
          <w:trHeight w:val="420"/>
        </w:trPr>
        <w:tc>
          <w:tcPr>
            <w:tcW w:w="121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5C5EB" w14:textId="77777777" w:rsidR="0091212E" w:rsidRPr="005A6EF5" w:rsidRDefault="0091212E" w:rsidP="0091212E">
            <w:pPr>
              <w:spacing w:before="0" w:after="0"/>
              <w:jc w:val="center"/>
              <w:rPr>
                <w:color w:val="000000"/>
                <w:sz w:val="20"/>
                <w:szCs w:val="20"/>
                <w:lang w:eastAsia="en-US"/>
              </w:rPr>
            </w:pPr>
            <w:r w:rsidRPr="005A6EF5">
              <w:rPr>
                <w:color w:val="000000"/>
                <w:sz w:val="20"/>
                <w:szCs w:val="20"/>
                <w:lang w:eastAsia="en-US"/>
              </w:rPr>
              <w:t> </w:t>
            </w:r>
          </w:p>
        </w:tc>
        <w:tc>
          <w:tcPr>
            <w:tcW w:w="2725" w:type="pct"/>
            <w:gridSpan w:val="3"/>
            <w:tcBorders>
              <w:top w:val="single" w:sz="4" w:space="0" w:color="auto"/>
              <w:left w:val="nil"/>
              <w:bottom w:val="single" w:sz="4" w:space="0" w:color="auto"/>
              <w:right w:val="single" w:sz="4" w:space="0" w:color="auto"/>
            </w:tcBorders>
            <w:shd w:val="clear" w:color="auto" w:fill="auto"/>
            <w:vAlign w:val="center"/>
            <w:hideMark/>
          </w:tcPr>
          <w:p w14:paraId="20A678ED"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Proyecto FVC</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9EA8D"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TOTAL</w:t>
            </w:r>
          </w:p>
        </w:tc>
        <w:tc>
          <w:tcPr>
            <w:tcW w:w="5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7DD85"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 xml:space="preserve">Total </w:t>
            </w:r>
            <w:proofErr w:type="spellStart"/>
            <w:r w:rsidRPr="0091212E">
              <w:rPr>
                <w:color w:val="000000"/>
                <w:sz w:val="20"/>
                <w:szCs w:val="20"/>
                <w:lang w:val="en-US" w:eastAsia="en-US"/>
              </w:rPr>
              <w:t>Restauración</w:t>
            </w:r>
            <w:proofErr w:type="spellEnd"/>
          </w:p>
        </w:tc>
      </w:tr>
      <w:tr w:rsidR="0091212E" w:rsidRPr="0091212E" w14:paraId="31C299BA" w14:textId="77777777" w:rsidTr="0091212E">
        <w:trPr>
          <w:trHeight w:val="840"/>
        </w:trPr>
        <w:tc>
          <w:tcPr>
            <w:tcW w:w="1211" w:type="pct"/>
            <w:vMerge/>
            <w:tcBorders>
              <w:top w:val="single" w:sz="4" w:space="0" w:color="auto"/>
              <w:left w:val="single" w:sz="4" w:space="0" w:color="auto"/>
              <w:bottom w:val="single" w:sz="4" w:space="0" w:color="auto"/>
              <w:right w:val="single" w:sz="4" w:space="0" w:color="auto"/>
            </w:tcBorders>
            <w:vAlign w:val="center"/>
            <w:hideMark/>
          </w:tcPr>
          <w:p w14:paraId="0132EA79" w14:textId="77777777" w:rsidR="0091212E" w:rsidRPr="0091212E" w:rsidRDefault="0091212E" w:rsidP="0091212E">
            <w:pPr>
              <w:spacing w:before="0" w:after="0"/>
              <w:jc w:val="left"/>
              <w:rPr>
                <w:color w:val="000000"/>
                <w:sz w:val="20"/>
                <w:szCs w:val="20"/>
                <w:lang w:val="en-US" w:eastAsia="en-US"/>
              </w:rPr>
            </w:pPr>
          </w:p>
        </w:tc>
        <w:tc>
          <w:tcPr>
            <w:tcW w:w="1623" w:type="pct"/>
            <w:tcBorders>
              <w:top w:val="nil"/>
              <w:left w:val="nil"/>
              <w:bottom w:val="single" w:sz="4" w:space="0" w:color="auto"/>
              <w:right w:val="single" w:sz="4" w:space="0" w:color="auto"/>
            </w:tcBorders>
            <w:shd w:val="clear" w:color="auto" w:fill="auto"/>
            <w:vAlign w:val="center"/>
            <w:hideMark/>
          </w:tcPr>
          <w:p w14:paraId="1959C78D" w14:textId="77777777" w:rsidR="0091212E" w:rsidRPr="0091212E" w:rsidRDefault="0091212E" w:rsidP="0091212E">
            <w:pPr>
              <w:spacing w:before="0" w:after="0"/>
              <w:jc w:val="center"/>
              <w:rPr>
                <w:color w:val="000000"/>
                <w:sz w:val="20"/>
                <w:szCs w:val="20"/>
                <w:lang w:val="en-US" w:eastAsia="en-US"/>
              </w:rPr>
            </w:pPr>
            <w:proofErr w:type="spellStart"/>
            <w:r w:rsidRPr="0091212E">
              <w:rPr>
                <w:color w:val="000000"/>
                <w:sz w:val="20"/>
                <w:szCs w:val="20"/>
                <w:lang w:val="en-US" w:eastAsia="en-US"/>
              </w:rPr>
              <w:t>En</w:t>
            </w:r>
            <w:proofErr w:type="spellEnd"/>
            <w:r w:rsidRPr="0091212E">
              <w:rPr>
                <w:color w:val="000000"/>
                <w:sz w:val="20"/>
                <w:szCs w:val="20"/>
                <w:lang w:val="en-US" w:eastAsia="en-US"/>
              </w:rPr>
              <w:t xml:space="preserve"> </w:t>
            </w:r>
            <w:proofErr w:type="spellStart"/>
            <w:r w:rsidRPr="0091212E">
              <w:rPr>
                <w:color w:val="000000"/>
                <w:sz w:val="20"/>
                <w:szCs w:val="20"/>
                <w:lang w:val="en-US" w:eastAsia="en-US"/>
              </w:rPr>
              <w:t>área</w:t>
            </w:r>
            <w:proofErr w:type="spellEnd"/>
            <w:r w:rsidRPr="0091212E">
              <w:rPr>
                <w:color w:val="000000"/>
                <w:sz w:val="20"/>
                <w:szCs w:val="20"/>
                <w:lang w:val="en-US" w:eastAsia="en-US"/>
              </w:rPr>
              <w:t xml:space="preserve"> MSB</w:t>
            </w:r>
          </w:p>
        </w:tc>
        <w:tc>
          <w:tcPr>
            <w:tcW w:w="536" w:type="pct"/>
            <w:tcBorders>
              <w:top w:val="nil"/>
              <w:left w:val="nil"/>
              <w:bottom w:val="single" w:sz="4" w:space="0" w:color="auto"/>
              <w:right w:val="single" w:sz="4" w:space="0" w:color="auto"/>
            </w:tcBorders>
            <w:shd w:val="clear" w:color="auto" w:fill="auto"/>
            <w:vAlign w:val="center"/>
            <w:hideMark/>
          </w:tcPr>
          <w:p w14:paraId="24492A6B" w14:textId="77777777" w:rsidR="0091212E" w:rsidRPr="0091212E" w:rsidRDefault="0091212E" w:rsidP="0091212E">
            <w:pPr>
              <w:spacing w:before="0" w:after="0"/>
              <w:jc w:val="center"/>
              <w:rPr>
                <w:color w:val="000000"/>
                <w:sz w:val="20"/>
                <w:szCs w:val="20"/>
                <w:lang w:val="en-US" w:eastAsia="en-US"/>
              </w:rPr>
            </w:pPr>
            <w:proofErr w:type="spellStart"/>
            <w:r w:rsidRPr="0091212E">
              <w:rPr>
                <w:color w:val="000000"/>
                <w:sz w:val="20"/>
                <w:szCs w:val="20"/>
                <w:lang w:val="en-US" w:eastAsia="en-US"/>
              </w:rPr>
              <w:t>En</w:t>
            </w:r>
            <w:proofErr w:type="spellEnd"/>
            <w:r w:rsidRPr="0091212E">
              <w:rPr>
                <w:color w:val="000000"/>
                <w:sz w:val="20"/>
                <w:szCs w:val="20"/>
                <w:lang w:val="en-US" w:eastAsia="en-US"/>
              </w:rPr>
              <w:t xml:space="preserve"> </w:t>
            </w:r>
            <w:proofErr w:type="spellStart"/>
            <w:r w:rsidRPr="0091212E">
              <w:rPr>
                <w:color w:val="000000"/>
                <w:sz w:val="20"/>
                <w:szCs w:val="20"/>
                <w:lang w:val="en-US" w:eastAsia="en-US"/>
              </w:rPr>
              <w:t>área</w:t>
            </w:r>
            <w:proofErr w:type="spellEnd"/>
            <w:r w:rsidRPr="0091212E">
              <w:rPr>
                <w:color w:val="000000"/>
                <w:sz w:val="20"/>
                <w:szCs w:val="20"/>
                <w:lang w:val="en-US" w:eastAsia="en-US"/>
              </w:rPr>
              <w:t xml:space="preserve"> </w:t>
            </w:r>
            <w:proofErr w:type="spellStart"/>
            <w:r w:rsidRPr="0091212E">
              <w:rPr>
                <w:color w:val="000000"/>
                <w:sz w:val="20"/>
                <w:szCs w:val="20"/>
                <w:lang w:val="en-US" w:eastAsia="en-US"/>
              </w:rPr>
              <w:t>nueva</w:t>
            </w:r>
            <w:proofErr w:type="spellEnd"/>
          </w:p>
        </w:tc>
        <w:tc>
          <w:tcPr>
            <w:tcW w:w="567" w:type="pct"/>
            <w:tcBorders>
              <w:top w:val="nil"/>
              <w:left w:val="nil"/>
              <w:bottom w:val="single" w:sz="4" w:space="0" w:color="auto"/>
              <w:right w:val="single" w:sz="4" w:space="0" w:color="auto"/>
            </w:tcBorders>
            <w:shd w:val="clear" w:color="auto" w:fill="auto"/>
            <w:vAlign w:val="center"/>
            <w:hideMark/>
          </w:tcPr>
          <w:p w14:paraId="25ED00B6" w14:textId="77777777" w:rsidR="0091212E" w:rsidRPr="0091212E" w:rsidRDefault="0091212E" w:rsidP="0091212E">
            <w:pPr>
              <w:spacing w:before="0" w:after="0"/>
              <w:jc w:val="center"/>
              <w:rPr>
                <w:color w:val="000000"/>
                <w:sz w:val="20"/>
                <w:szCs w:val="20"/>
                <w:lang w:val="en-US" w:eastAsia="en-US"/>
              </w:rPr>
            </w:pPr>
            <w:proofErr w:type="spellStart"/>
            <w:r w:rsidRPr="0091212E">
              <w:rPr>
                <w:color w:val="000000"/>
                <w:sz w:val="20"/>
                <w:szCs w:val="20"/>
                <w:lang w:val="en-US" w:eastAsia="en-US"/>
              </w:rPr>
              <w:t>Área</w:t>
            </w:r>
            <w:proofErr w:type="spellEnd"/>
            <w:r w:rsidRPr="0091212E">
              <w:rPr>
                <w:color w:val="000000"/>
                <w:sz w:val="20"/>
                <w:szCs w:val="20"/>
                <w:lang w:val="en-US" w:eastAsia="en-US"/>
              </w:rPr>
              <w:t xml:space="preserve"> Proyecto FVC</w:t>
            </w:r>
          </w:p>
        </w:tc>
        <w:tc>
          <w:tcPr>
            <w:tcW w:w="528" w:type="pct"/>
            <w:vMerge/>
            <w:tcBorders>
              <w:top w:val="single" w:sz="4" w:space="0" w:color="auto"/>
              <w:left w:val="single" w:sz="4" w:space="0" w:color="auto"/>
              <w:bottom w:val="single" w:sz="4" w:space="0" w:color="auto"/>
              <w:right w:val="single" w:sz="4" w:space="0" w:color="auto"/>
            </w:tcBorders>
            <w:vAlign w:val="center"/>
            <w:hideMark/>
          </w:tcPr>
          <w:p w14:paraId="1040F9EF" w14:textId="77777777" w:rsidR="0091212E" w:rsidRPr="0091212E" w:rsidRDefault="0091212E" w:rsidP="0091212E">
            <w:pPr>
              <w:spacing w:before="0" w:after="0"/>
              <w:jc w:val="left"/>
              <w:rPr>
                <w:color w:val="000000"/>
                <w:sz w:val="20"/>
                <w:szCs w:val="20"/>
                <w:lang w:val="en-US" w:eastAsia="en-US"/>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27C0FD4F" w14:textId="77777777" w:rsidR="0091212E" w:rsidRPr="0091212E" w:rsidRDefault="0091212E" w:rsidP="0091212E">
            <w:pPr>
              <w:spacing w:before="0" w:after="0"/>
              <w:jc w:val="left"/>
              <w:rPr>
                <w:color w:val="000000"/>
                <w:sz w:val="20"/>
                <w:szCs w:val="20"/>
                <w:lang w:val="en-US" w:eastAsia="en-US"/>
              </w:rPr>
            </w:pPr>
          </w:p>
        </w:tc>
      </w:tr>
      <w:tr w:rsidR="0091212E" w:rsidRPr="0091212E" w14:paraId="1895CB37" w14:textId="77777777" w:rsidTr="0091212E">
        <w:trPr>
          <w:trHeight w:val="420"/>
        </w:trPr>
        <w:tc>
          <w:tcPr>
            <w:tcW w:w="1211" w:type="pct"/>
            <w:tcBorders>
              <w:top w:val="nil"/>
              <w:left w:val="single" w:sz="4" w:space="0" w:color="auto"/>
              <w:bottom w:val="single" w:sz="4" w:space="0" w:color="auto"/>
              <w:right w:val="single" w:sz="4" w:space="0" w:color="auto"/>
            </w:tcBorders>
            <w:shd w:val="clear" w:color="auto" w:fill="auto"/>
            <w:noWrap/>
            <w:vAlign w:val="center"/>
            <w:hideMark/>
          </w:tcPr>
          <w:p w14:paraId="1190447C" w14:textId="77777777" w:rsidR="0091212E" w:rsidRPr="0091212E" w:rsidRDefault="0091212E" w:rsidP="0091212E">
            <w:pPr>
              <w:spacing w:before="0" w:after="0"/>
              <w:jc w:val="left"/>
              <w:rPr>
                <w:b/>
                <w:bCs/>
                <w:color w:val="000000"/>
                <w:sz w:val="20"/>
                <w:szCs w:val="20"/>
                <w:lang w:val="en-US" w:eastAsia="en-US"/>
              </w:rPr>
            </w:pPr>
            <w:r w:rsidRPr="0091212E">
              <w:rPr>
                <w:b/>
                <w:bCs/>
                <w:color w:val="000000"/>
                <w:sz w:val="20"/>
                <w:szCs w:val="20"/>
                <w:lang w:val="en-US" w:eastAsia="en-US"/>
              </w:rPr>
              <w:t>COMPONENTE 1</w:t>
            </w:r>
          </w:p>
        </w:tc>
        <w:tc>
          <w:tcPr>
            <w:tcW w:w="1623" w:type="pct"/>
            <w:tcBorders>
              <w:top w:val="nil"/>
              <w:left w:val="nil"/>
              <w:bottom w:val="single" w:sz="4" w:space="0" w:color="auto"/>
              <w:right w:val="single" w:sz="4" w:space="0" w:color="auto"/>
            </w:tcBorders>
            <w:shd w:val="clear" w:color="auto" w:fill="auto"/>
            <w:vAlign w:val="center"/>
            <w:hideMark/>
          </w:tcPr>
          <w:p w14:paraId="66A004F3"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 </w:t>
            </w:r>
          </w:p>
        </w:tc>
        <w:tc>
          <w:tcPr>
            <w:tcW w:w="536" w:type="pct"/>
            <w:tcBorders>
              <w:top w:val="nil"/>
              <w:left w:val="nil"/>
              <w:bottom w:val="single" w:sz="4" w:space="0" w:color="auto"/>
              <w:right w:val="single" w:sz="4" w:space="0" w:color="auto"/>
            </w:tcBorders>
            <w:shd w:val="clear" w:color="auto" w:fill="auto"/>
            <w:vAlign w:val="center"/>
            <w:hideMark/>
          </w:tcPr>
          <w:p w14:paraId="23EAD3CE"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 </w:t>
            </w:r>
          </w:p>
        </w:tc>
        <w:tc>
          <w:tcPr>
            <w:tcW w:w="567" w:type="pct"/>
            <w:tcBorders>
              <w:top w:val="nil"/>
              <w:left w:val="nil"/>
              <w:bottom w:val="single" w:sz="4" w:space="0" w:color="auto"/>
              <w:right w:val="single" w:sz="4" w:space="0" w:color="auto"/>
            </w:tcBorders>
            <w:shd w:val="clear" w:color="auto" w:fill="auto"/>
            <w:vAlign w:val="center"/>
            <w:hideMark/>
          </w:tcPr>
          <w:p w14:paraId="02CC48D3"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 </w:t>
            </w:r>
          </w:p>
        </w:tc>
        <w:tc>
          <w:tcPr>
            <w:tcW w:w="528" w:type="pct"/>
            <w:tcBorders>
              <w:top w:val="nil"/>
              <w:left w:val="nil"/>
              <w:bottom w:val="single" w:sz="4" w:space="0" w:color="auto"/>
              <w:right w:val="single" w:sz="4" w:space="0" w:color="auto"/>
            </w:tcBorders>
            <w:shd w:val="clear" w:color="auto" w:fill="auto"/>
            <w:vAlign w:val="center"/>
            <w:hideMark/>
          </w:tcPr>
          <w:p w14:paraId="721288F6"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 </w:t>
            </w:r>
          </w:p>
        </w:tc>
        <w:tc>
          <w:tcPr>
            <w:tcW w:w="536" w:type="pct"/>
            <w:tcBorders>
              <w:top w:val="nil"/>
              <w:left w:val="nil"/>
              <w:bottom w:val="single" w:sz="4" w:space="0" w:color="auto"/>
              <w:right w:val="single" w:sz="4" w:space="0" w:color="auto"/>
            </w:tcBorders>
            <w:shd w:val="clear" w:color="auto" w:fill="auto"/>
            <w:vAlign w:val="center"/>
            <w:hideMark/>
          </w:tcPr>
          <w:p w14:paraId="4C1D3C0E"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 </w:t>
            </w:r>
          </w:p>
        </w:tc>
      </w:tr>
      <w:tr w:rsidR="0091212E" w:rsidRPr="0091212E" w14:paraId="15AEC150" w14:textId="77777777" w:rsidTr="0091212E">
        <w:trPr>
          <w:trHeight w:val="420"/>
        </w:trPr>
        <w:tc>
          <w:tcPr>
            <w:tcW w:w="1211" w:type="pct"/>
            <w:tcBorders>
              <w:top w:val="nil"/>
              <w:left w:val="single" w:sz="4" w:space="0" w:color="auto"/>
              <w:bottom w:val="single" w:sz="4" w:space="0" w:color="auto"/>
              <w:right w:val="single" w:sz="4" w:space="0" w:color="auto"/>
            </w:tcBorders>
            <w:shd w:val="clear" w:color="auto" w:fill="auto"/>
            <w:noWrap/>
            <w:vAlign w:val="center"/>
            <w:hideMark/>
          </w:tcPr>
          <w:p w14:paraId="45A1C68F" w14:textId="77777777" w:rsidR="0091212E" w:rsidRPr="0091212E" w:rsidRDefault="0091212E" w:rsidP="0091212E">
            <w:pPr>
              <w:spacing w:before="0" w:after="0"/>
              <w:ind w:firstLineChars="100" w:firstLine="200"/>
              <w:jc w:val="left"/>
              <w:rPr>
                <w:color w:val="000000"/>
                <w:sz w:val="20"/>
                <w:szCs w:val="20"/>
                <w:lang w:val="en-US" w:eastAsia="en-US"/>
              </w:rPr>
            </w:pPr>
            <w:r w:rsidRPr="0091212E">
              <w:rPr>
                <w:color w:val="000000"/>
                <w:sz w:val="20"/>
                <w:szCs w:val="20"/>
                <w:lang w:val="en-US" w:eastAsia="en-US"/>
              </w:rPr>
              <w:t>REST. PRODUCCION PRIVADA</w:t>
            </w:r>
          </w:p>
        </w:tc>
        <w:tc>
          <w:tcPr>
            <w:tcW w:w="1623" w:type="pct"/>
            <w:tcBorders>
              <w:top w:val="nil"/>
              <w:left w:val="nil"/>
              <w:bottom w:val="single" w:sz="4" w:space="0" w:color="auto"/>
              <w:right w:val="single" w:sz="4" w:space="0" w:color="auto"/>
            </w:tcBorders>
            <w:shd w:val="clear" w:color="auto" w:fill="auto"/>
            <w:noWrap/>
            <w:vAlign w:val="center"/>
            <w:hideMark/>
          </w:tcPr>
          <w:p w14:paraId="6A4B4406"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 </w:t>
            </w:r>
          </w:p>
        </w:tc>
        <w:tc>
          <w:tcPr>
            <w:tcW w:w="536" w:type="pct"/>
            <w:tcBorders>
              <w:top w:val="nil"/>
              <w:left w:val="nil"/>
              <w:bottom w:val="single" w:sz="4" w:space="0" w:color="auto"/>
              <w:right w:val="single" w:sz="4" w:space="0" w:color="auto"/>
            </w:tcBorders>
            <w:shd w:val="clear" w:color="auto" w:fill="auto"/>
            <w:noWrap/>
            <w:vAlign w:val="center"/>
            <w:hideMark/>
          </w:tcPr>
          <w:p w14:paraId="647D7F7B"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10,664</w:t>
            </w:r>
          </w:p>
        </w:tc>
        <w:tc>
          <w:tcPr>
            <w:tcW w:w="567" w:type="pct"/>
            <w:tcBorders>
              <w:top w:val="nil"/>
              <w:left w:val="nil"/>
              <w:bottom w:val="single" w:sz="4" w:space="0" w:color="auto"/>
              <w:right w:val="single" w:sz="4" w:space="0" w:color="auto"/>
            </w:tcBorders>
            <w:shd w:val="clear" w:color="auto" w:fill="auto"/>
            <w:noWrap/>
            <w:vAlign w:val="center"/>
            <w:hideMark/>
          </w:tcPr>
          <w:p w14:paraId="3D9081B4"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10,664</w:t>
            </w:r>
          </w:p>
        </w:tc>
        <w:tc>
          <w:tcPr>
            <w:tcW w:w="528" w:type="pct"/>
            <w:tcBorders>
              <w:top w:val="nil"/>
              <w:left w:val="nil"/>
              <w:bottom w:val="single" w:sz="4" w:space="0" w:color="auto"/>
              <w:right w:val="single" w:sz="4" w:space="0" w:color="auto"/>
            </w:tcBorders>
            <w:shd w:val="clear" w:color="auto" w:fill="auto"/>
            <w:noWrap/>
            <w:vAlign w:val="center"/>
            <w:hideMark/>
          </w:tcPr>
          <w:p w14:paraId="6BCC9F12"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10,664</w:t>
            </w:r>
          </w:p>
        </w:tc>
        <w:tc>
          <w:tcPr>
            <w:tcW w:w="536" w:type="pct"/>
            <w:tcBorders>
              <w:top w:val="nil"/>
              <w:left w:val="nil"/>
              <w:bottom w:val="single" w:sz="4" w:space="0" w:color="auto"/>
              <w:right w:val="single" w:sz="4" w:space="0" w:color="auto"/>
            </w:tcBorders>
            <w:shd w:val="clear" w:color="auto" w:fill="auto"/>
            <w:noWrap/>
            <w:vAlign w:val="center"/>
            <w:hideMark/>
          </w:tcPr>
          <w:p w14:paraId="23FF56B9"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10,664</w:t>
            </w:r>
          </w:p>
        </w:tc>
      </w:tr>
      <w:tr w:rsidR="0091212E" w:rsidRPr="0091212E" w14:paraId="561BEFC4" w14:textId="77777777" w:rsidTr="0091212E">
        <w:trPr>
          <w:trHeight w:val="420"/>
        </w:trPr>
        <w:tc>
          <w:tcPr>
            <w:tcW w:w="1211" w:type="pct"/>
            <w:tcBorders>
              <w:top w:val="nil"/>
              <w:left w:val="single" w:sz="4" w:space="0" w:color="auto"/>
              <w:bottom w:val="single" w:sz="4" w:space="0" w:color="auto"/>
              <w:right w:val="single" w:sz="4" w:space="0" w:color="auto"/>
            </w:tcBorders>
            <w:shd w:val="clear" w:color="auto" w:fill="auto"/>
            <w:noWrap/>
            <w:vAlign w:val="center"/>
            <w:hideMark/>
          </w:tcPr>
          <w:p w14:paraId="6C3AE630" w14:textId="77777777" w:rsidR="0091212E" w:rsidRPr="0091212E" w:rsidRDefault="0091212E" w:rsidP="0091212E">
            <w:pPr>
              <w:spacing w:before="0" w:after="0"/>
              <w:ind w:firstLineChars="100" w:firstLine="200"/>
              <w:jc w:val="left"/>
              <w:rPr>
                <w:color w:val="000000"/>
                <w:sz w:val="20"/>
                <w:szCs w:val="20"/>
                <w:lang w:val="en-US" w:eastAsia="en-US"/>
              </w:rPr>
            </w:pPr>
            <w:r w:rsidRPr="0091212E">
              <w:rPr>
                <w:color w:val="000000"/>
                <w:sz w:val="20"/>
                <w:szCs w:val="20"/>
                <w:lang w:val="en-US" w:eastAsia="en-US"/>
              </w:rPr>
              <w:t>SAF-AGROFORESTERIA</w:t>
            </w:r>
          </w:p>
        </w:tc>
        <w:tc>
          <w:tcPr>
            <w:tcW w:w="1623" w:type="pct"/>
            <w:tcBorders>
              <w:top w:val="nil"/>
              <w:left w:val="nil"/>
              <w:bottom w:val="single" w:sz="4" w:space="0" w:color="auto"/>
              <w:right w:val="single" w:sz="4" w:space="0" w:color="auto"/>
            </w:tcBorders>
            <w:shd w:val="clear" w:color="auto" w:fill="auto"/>
            <w:noWrap/>
            <w:vAlign w:val="center"/>
            <w:hideMark/>
          </w:tcPr>
          <w:p w14:paraId="2A9DAE42"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3,833</w:t>
            </w:r>
          </w:p>
        </w:tc>
        <w:tc>
          <w:tcPr>
            <w:tcW w:w="536" w:type="pct"/>
            <w:tcBorders>
              <w:top w:val="nil"/>
              <w:left w:val="nil"/>
              <w:bottom w:val="single" w:sz="4" w:space="0" w:color="auto"/>
              <w:right w:val="single" w:sz="4" w:space="0" w:color="auto"/>
            </w:tcBorders>
            <w:shd w:val="clear" w:color="auto" w:fill="auto"/>
            <w:noWrap/>
            <w:vAlign w:val="center"/>
            <w:hideMark/>
          </w:tcPr>
          <w:p w14:paraId="7E32E653"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24,567</w:t>
            </w:r>
          </w:p>
        </w:tc>
        <w:tc>
          <w:tcPr>
            <w:tcW w:w="567" w:type="pct"/>
            <w:tcBorders>
              <w:top w:val="nil"/>
              <w:left w:val="nil"/>
              <w:bottom w:val="single" w:sz="4" w:space="0" w:color="auto"/>
              <w:right w:val="single" w:sz="4" w:space="0" w:color="auto"/>
            </w:tcBorders>
            <w:shd w:val="clear" w:color="auto" w:fill="auto"/>
            <w:noWrap/>
            <w:vAlign w:val="center"/>
            <w:hideMark/>
          </w:tcPr>
          <w:p w14:paraId="01BB01E1"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28,400</w:t>
            </w:r>
          </w:p>
        </w:tc>
        <w:tc>
          <w:tcPr>
            <w:tcW w:w="528" w:type="pct"/>
            <w:tcBorders>
              <w:top w:val="nil"/>
              <w:left w:val="nil"/>
              <w:bottom w:val="single" w:sz="4" w:space="0" w:color="auto"/>
              <w:right w:val="single" w:sz="4" w:space="0" w:color="auto"/>
            </w:tcBorders>
            <w:shd w:val="clear" w:color="auto" w:fill="auto"/>
            <w:noWrap/>
            <w:vAlign w:val="center"/>
            <w:hideMark/>
          </w:tcPr>
          <w:p w14:paraId="7E43D4CC"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28,400</w:t>
            </w:r>
          </w:p>
        </w:tc>
        <w:tc>
          <w:tcPr>
            <w:tcW w:w="536" w:type="pct"/>
            <w:tcBorders>
              <w:top w:val="nil"/>
              <w:left w:val="nil"/>
              <w:bottom w:val="single" w:sz="4" w:space="0" w:color="auto"/>
              <w:right w:val="single" w:sz="4" w:space="0" w:color="auto"/>
            </w:tcBorders>
            <w:shd w:val="clear" w:color="auto" w:fill="auto"/>
            <w:noWrap/>
            <w:vAlign w:val="center"/>
            <w:hideMark/>
          </w:tcPr>
          <w:p w14:paraId="0B47A1EE"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28,400</w:t>
            </w:r>
          </w:p>
        </w:tc>
      </w:tr>
      <w:tr w:rsidR="0091212E" w:rsidRPr="0091212E" w14:paraId="6DCEFBB7" w14:textId="77777777" w:rsidTr="0091212E">
        <w:trPr>
          <w:trHeight w:val="420"/>
        </w:trPr>
        <w:tc>
          <w:tcPr>
            <w:tcW w:w="1211" w:type="pct"/>
            <w:tcBorders>
              <w:top w:val="nil"/>
              <w:left w:val="single" w:sz="4" w:space="0" w:color="auto"/>
              <w:bottom w:val="single" w:sz="4" w:space="0" w:color="auto"/>
              <w:right w:val="single" w:sz="4" w:space="0" w:color="auto"/>
            </w:tcBorders>
            <w:shd w:val="clear" w:color="auto" w:fill="auto"/>
            <w:noWrap/>
            <w:vAlign w:val="center"/>
            <w:hideMark/>
          </w:tcPr>
          <w:p w14:paraId="08CA16E9" w14:textId="77777777" w:rsidR="0091212E" w:rsidRPr="0091212E" w:rsidRDefault="0091212E" w:rsidP="0091212E">
            <w:pPr>
              <w:spacing w:before="0" w:after="0"/>
              <w:jc w:val="left"/>
              <w:rPr>
                <w:color w:val="000000"/>
                <w:sz w:val="20"/>
                <w:szCs w:val="20"/>
                <w:lang w:val="en-US" w:eastAsia="en-US"/>
              </w:rPr>
            </w:pPr>
            <w:r w:rsidRPr="0091212E">
              <w:rPr>
                <w:color w:val="000000"/>
                <w:sz w:val="20"/>
                <w:szCs w:val="20"/>
                <w:lang w:val="en-US" w:eastAsia="en-US"/>
              </w:rPr>
              <w:t>TOTAL COMPONENTE 1</w:t>
            </w:r>
          </w:p>
        </w:tc>
        <w:tc>
          <w:tcPr>
            <w:tcW w:w="1623" w:type="pct"/>
            <w:tcBorders>
              <w:top w:val="nil"/>
              <w:left w:val="nil"/>
              <w:bottom w:val="single" w:sz="4" w:space="0" w:color="auto"/>
              <w:right w:val="single" w:sz="4" w:space="0" w:color="auto"/>
            </w:tcBorders>
            <w:shd w:val="clear" w:color="auto" w:fill="auto"/>
            <w:noWrap/>
            <w:vAlign w:val="center"/>
            <w:hideMark/>
          </w:tcPr>
          <w:p w14:paraId="4BDDA0EA"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3,833</w:t>
            </w:r>
          </w:p>
        </w:tc>
        <w:tc>
          <w:tcPr>
            <w:tcW w:w="536" w:type="pct"/>
            <w:tcBorders>
              <w:top w:val="nil"/>
              <w:left w:val="nil"/>
              <w:bottom w:val="single" w:sz="4" w:space="0" w:color="auto"/>
              <w:right w:val="single" w:sz="4" w:space="0" w:color="auto"/>
            </w:tcBorders>
            <w:shd w:val="clear" w:color="auto" w:fill="auto"/>
            <w:noWrap/>
            <w:vAlign w:val="center"/>
            <w:hideMark/>
          </w:tcPr>
          <w:p w14:paraId="10731AA9"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35,231</w:t>
            </w:r>
          </w:p>
        </w:tc>
        <w:tc>
          <w:tcPr>
            <w:tcW w:w="567" w:type="pct"/>
            <w:tcBorders>
              <w:top w:val="nil"/>
              <w:left w:val="nil"/>
              <w:bottom w:val="single" w:sz="4" w:space="0" w:color="auto"/>
              <w:right w:val="single" w:sz="4" w:space="0" w:color="auto"/>
            </w:tcBorders>
            <w:shd w:val="clear" w:color="auto" w:fill="auto"/>
            <w:noWrap/>
            <w:vAlign w:val="center"/>
            <w:hideMark/>
          </w:tcPr>
          <w:p w14:paraId="2AD27D38"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39,064</w:t>
            </w:r>
          </w:p>
        </w:tc>
        <w:tc>
          <w:tcPr>
            <w:tcW w:w="528" w:type="pct"/>
            <w:tcBorders>
              <w:top w:val="nil"/>
              <w:left w:val="nil"/>
              <w:bottom w:val="single" w:sz="4" w:space="0" w:color="auto"/>
              <w:right w:val="single" w:sz="4" w:space="0" w:color="auto"/>
            </w:tcBorders>
            <w:shd w:val="clear" w:color="auto" w:fill="auto"/>
            <w:noWrap/>
            <w:vAlign w:val="center"/>
            <w:hideMark/>
          </w:tcPr>
          <w:p w14:paraId="681A8D2E"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39,064</w:t>
            </w:r>
          </w:p>
        </w:tc>
        <w:tc>
          <w:tcPr>
            <w:tcW w:w="536" w:type="pct"/>
            <w:tcBorders>
              <w:top w:val="nil"/>
              <w:left w:val="nil"/>
              <w:bottom w:val="single" w:sz="4" w:space="0" w:color="auto"/>
              <w:right w:val="single" w:sz="4" w:space="0" w:color="auto"/>
            </w:tcBorders>
            <w:shd w:val="clear" w:color="auto" w:fill="auto"/>
            <w:noWrap/>
            <w:vAlign w:val="center"/>
            <w:hideMark/>
          </w:tcPr>
          <w:p w14:paraId="5DA7149F"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39,064</w:t>
            </w:r>
          </w:p>
        </w:tc>
      </w:tr>
      <w:tr w:rsidR="0091212E" w:rsidRPr="0091212E" w14:paraId="0D22F892" w14:textId="77777777" w:rsidTr="0091212E">
        <w:trPr>
          <w:trHeight w:val="420"/>
        </w:trPr>
        <w:tc>
          <w:tcPr>
            <w:tcW w:w="1211" w:type="pct"/>
            <w:tcBorders>
              <w:top w:val="nil"/>
              <w:left w:val="single" w:sz="4" w:space="0" w:color="auto"/>
              <w:bottom w:val="single" w:sz="4" w:space="0" w:color="auto"/>
              <w:right w:val="single" w:sz="4" w:space="0" w:color="auto"/>
            </w:tcBorders>
            <w:shd w:val="clear" w:color="auto" w:fill="auto"/>
            <w:noWrap/>
            <w:vAlign w:val="center"/>
            <w:hideMark/>
          </w:tcPr>
          <w:p w14:paraId="389B8129" w14:textId="77777777" w:rsidR="0091212E" w:rsidRPr="0091212E" w:rsidRDefault="0091212E" w:rsidP="0091212E">
            <w:pPr>
              <w:spacing w:before="0" w:after="0"/>
              <w:jc w:val="left"/>
              <w:rPr>
                <w:b/>
                <w:bCs/>
                <w:color w:val="000000"/>
                <w:sz w:val="20"/>
                <w:szCs w:val="20"/>
                <w:lang w:val="en-US" w:eastAsia="en-US"/>
              </w:rPr>
            </w:pPr>
            <w:r w:rsidRPr="0091212E">
              <w:rPr>
                <w:b/>
                <w:bCs/>
                <w:color w:val="000000"/>
                <w:sz w:val="20"/>
                <w:szCs w:val="20"/>
                <w:lang w:val="en-US" w:eastAsia="en-US"/>
              </w:rPr>
              <w:t>COMPONENTE 3</w:t>
            </w:r>
          </w:p>
        </w:tc>
        <w:tc>
          <w:tcPr>
            <w:tcW w:w="1623" w:type="pct"/>
            <w:tcBorders>
              <w:top w:val="nil"/>
              <w:left w:val="nil"/>
              <w:bottom w:val="single" w:sz="4" w:space="0" w:color="auto"/>
              <w:right w:val="single" w:sz="4" w:space="0" w:color="auto"/>
            </w:tcBorders>
            <w:shd w:val="clear" w:color="auto" w:fill="auto"/>
            <w:noWrap/>
            <w:vAlign w:val="center"/>
            <w:hideMark/>
          </w:tcPr>
          <w:p w14:paraId="40B6C81A"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 </w:t>
            </w:r>
          </w:p>
        </w:tc>
        <w:tc>
          <w:tcPr>
            <w:tcW w:w="536" w:type="pct"/>
            <w:tcBorders>
              <w:top w:val="nil"/>
              <w:left w:val="nil"/>
              <w:bottom w:val="single" w:sz="4" w:space="0" w:color="auto"/>
              <w:right w:val="single" w:sz="4" w:space="0" w:color="auto"/>
            </w:tcBorders>
            <w:shd w:val="clear" w:color="auto" w:fill="auto"/>
            <w:noWrap/>
            <w:vAlign w:val="center"/>
            <w:hideMark/>
          </w:tcPr>
          <w:p w14:paraId="3F276EDA"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 </w:t>
            </w:r>
          </w:p>
        </w:tc>
        <w:tc>
          <w:tcPr>
            <w:tcW w:w="567" w:type="pct"/>
            <w:tcBorders>
              <w:top w:val="nil"/>
              <w:left w:val="nil"/>
              <w:bottom w:val="single" w:sz="4" w:space="0" w:color="auto"/>
              <w:right w:val="single" w:sz="4" w:space="0" w:color="auto"/>
            </w:tcBorders>
            <w:shd w:val="clear" w:color="auto" w:fill="auto"/>
            <w:noWrap/>
            <w:vAlign w:val="center"/>
            <w:hideMark/>
          </w:tcPr>
          <w:p w14:paraId="66D48021"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 </w:t>
            </w:r>
          </w:p>
        </w:tc>
        <w:tc>
          <w:tcPr>
            <w:tcW w:w="528" w:type="pct"/>
            <w:tcBorders>
              <w:top w:val="nil"/>
              <w:left w:val="nil"/>
              <w:bottom w:val="single" w:sz="4" w:space="0" w:color="auto"/>
              <w:right w:val="single" w:sz="4" w:space="0" w:color="auto"/>
            </w:tcBorders>
            <w:shd w:val="clear" w:color="auto" w:fill="auto"/>
            <w:noWrap/>
            <w:vAlign w:val="center"/>
            <w:hideMark/>
          </w:tcPr>
          <w:p w14:paraId="01445127"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 </w:t>
            </w:r>
          </w:p>
        </w:tc>
        <w:tc>
          <w:tcPr>
            <w:tcW w:w="536" w:type="pct"/>
            <w:tcBorders>
              <w:top w:val="nil"/>
              <w:left w:val="nil"/>
              <w:bottom w:val="single" w:sz="4" w:space="0" w:color="auto"/>
              <w:right w:val="single" w:sz="4" w:space="0" w:color="auto"/>
            </w:tcBorders>
            <w:shd w:val="clear" w:color="auto" w:fill="auto"/>
            <w:noWrap/>
            <w:vAlign w:val="center"/>
            <w:hideMark/>
          </w:tcPr>
          <w:p w14:paraId="34E9EC82"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 </w:t>
            </w:r>
          </w:p>
        </w:tc>
      </w:tr>
      <w:tr w:rsidR="0091212E" w:rsidRPr="0091212E" w14:paraId="2F2930A1" w14:textId="77777777" w:rsidTr="0091212E">
        <w:trPr>
          <w:trHeight w:val="420"/>
        </w:trPr>
        <w:tc>
          <w:tcPr>
            <w:tcW w:w="1211" w:type="pct"/>
            <w:tcBorders>
              <w:top w:val="nil"/>
              <w:left w:val="single" w:sz="4" w:space="0" w:color="auto"/>
              <w:bottom w:val="single" w:sz="4" w:space="0" w:color="auto"/>
              <w:right w:val="single" w:sz="4" w:space="0" w:color="auto"/>
            </w:tcBorders>
            <w:shd w:val="clear" w:color="auto" w:fill="auto"/>
            <w:noWrap/>
            <w:vAlign w:val="center"/>
            <w:hideMark/>
          </w:tcPr>
          <w:p w14:paraId="11A6A0A4" w14:textId="77777777" w:rsidR="0091212E" w:rsidRPr="0091212E" w:rsidRDefault="0091212E" w:rsidP="0091212E">
            <w:pPr>
              <w:spacing w:before="0" w:after="0"/>
              <w:ind w:firstLineChars="100" w:firstLine="200"/>
              <w:jc w:val="left"/>
              <w:rPr>
                <w:color w:val="000000"/>
                <w:sz w:val="20"/>
                <w:szCs w:val="20"/>
                <w:lang w:val="en-US" w:eastAsia="en-US"/>
              </w:rPr>
            </w:pPr>
            <w:r w:rsidRPr="0091212E">
              <w:rPr>
                <w:color w:val="000000"/>
                <w:sz w:val="20"/>
                <w:szCs w:val="20"/>
                <w:lang w:val="en-US" w:eastAsia="en-US"/>
              </w:rPr>
              <w:t>MFA BOSQUE NO PLAGADO</w:t>
            </w:r>
          </w:p>
        </w:tc>
        <w:tc>
          <w:tcPr>
            <w:tcW w:w="1623" w:type="pct"/>
            <w:tcBorders>
              <w:top w:val="nil"/>
              <w:left w:val="nil"/>
              <w:bottom w:val="single" w:sz="4" w:space="0" w:color="auto"/>
              <w:right w:val="single" w:sz="4" w:space="0" w:color="auto"/>
            </w:tcBorders>
            <w:shd w:val="clear" w:color="auto" w:fill="auto"/>
            <w:noWrap/>
            <w:vAlign w:val="center"/>
            <w:hideMark/>
          </w:tcPr>
          <w:p w14:paraId="406D7A20"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92,045</w:t>
            </w:r>
          </w:p>
        </w:tc>
        <w:tc>
          <w:tcPr>
            <w:tcW w:w="536" w:type="pct"/>
            <w:tcBorders>
              <w:top w:val="nil"/>
              <w:left w:val="nil"/>
              <w:bottom w:val="single" w:sz="4" w:space="0" w:color="auto"/>
              <w:right w:val="single" w:sz="4" w:space="0" w:color="auto"/>
            </w:tcBorders>
            <w:shd w:val="clear" w:color="auto" w:fill="auto"/>
            <w:noWrap/>
            <w:vAlign w:val="center"/>
            <w:hideMark/>
          </w:tcPr>
          <w:p w14:paraId="42F2E4D8"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96,791</w:t>
            </w:r>
          </w:p>
        </w:tc>
        <w:tc>
          <w:tcPr>
            <w:tcW w:w="567" w:type="pct"/>
            <w:tcBorders>
              <w:top w:val="nil"/>
              <w:left w:val="nil"/>
              <w:bottom w:val="single" w:sz="4" w:space="0" w:color="auto"/>
              <w:right w:val="single" w:sz="4" w:space="0" w:color="auto"/>
            </w:tcBorders>
            <w:shd w:val="clear" w:color="auto" w:fill="auto"/>
            <w:noWrap/>
            <w:vAlign w:val="center"/>
            <w:hideMark/>
          </w:tcPr>
          <w:p w14:paraId="7B421213"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188,836</w:t>
            </w:r>
          </w:p>
        </w:tc>
        <w:tc>
          <w:tcPr>
            <w:tcW w:w="528" w:type="pct"/>
            <w:tcBorders>
              <w:top w:val="nil"/>
              <w:left w:val="nil"/>
              <w:bottom w:val="single" w:sz="4" w:space="0" w:color="auto"/>
              <w:right w:val="single" w:sz="4" w:space="0" w:color="auto"/>
            </w:tcBorders>
            <w:shd w:val="clear" w:color="auto" w:fill="auto"/>
            <w:noWrap/>
            <w:vAlign w:val="center"/>
            <w:hideMark/>
          </w:tcPr>
          <w:p w14:paraId="30BC5A6A"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188,836</w:t>
            </w:r>
          </w:p>
        </w:tc>
        <w:tc>
          <w:tcPr>
            <w:tcW w:w="536" w:type="pct"/>
            <w:tcBorders>
              <w:top w:val="nil"/>
              <w:left w:val="nil"/>
              <w:bottom w:val="single" w:sz="4" w:space="0" w:color="auto"/>
              <w:right w:val="single" w:sz="4" w:space="0" w:color="auto"/>
            </w:tcBorders>
            <w:shd w:val="clear" w:color="auto" w:fill="auto"/>
            <w:noWrap/>
            <w:vAlign w:val="center"/>
            <w:hideMark/>
          </w:tcPr>
          <w:p w14:paraId="44E5638F" w14:textId="77777777" w:rsidR="0091212E" w:rsidRPr="0091212E" w:rsidRDefault="0091212E" w:rsidP="0091212E">
            <w:pPr>
              <w:spacing w:before="0" w:after="0"/>
              <w:jc w:val="center"/>
              <w:rPr>
                <w:color w:val="000000"/>
                <w:sz w:val="20"/>
                <w:szCs w:val="20"/>
                <w:lang w:val="en-US" w:eastAsia="en-US"/>
              </w:rPr>
            </w:pPr>
            <w:r w:rsidRPr="0091212E">
              <w:rPr>
                <w:color w:val="000000"/>
                <w:sz w:val="20"/>
                <w:szCs w:val="20"/>
                <w:lang w:val="en-US" w:eastAsia="en-US"/>
              </w:rPr>
              <w:t>0</w:t>
            </w:r>
          </w:p>
        </w:tc>
      </w:tr>
      <w:tr w:rsidR="0091212E" w:rsidRPr="0091212E" w14:paraId="47201683" w14:textId="77777777" w:rsidTr="0091212E">
        <w:trPr>
          <w:trHeight w:val="420"/>
        </w:trPr>
        <w:tc>
          <w:tcPr>
            <w:tcW w:w="1211" w:type="pct"/>
            <w:tcBorders>
              <w:top w:val="nil"/>
              <w:left w:val="single" w:sz="4" w:space="0" w:color="auto"/>
              <w:bottom w:val="single" w:sz="4" w:space="0" w:color="auto"/>
              <w:right w:val="single" w:sz="4" w:space="0" w:color="auto"/>
            </w:tcBorders>
            <w:shd w:val="clear" w:color="auto" w:fill="auto"/>
            <w:noWrap/>
            <w:vAlign w:val="center"/>
            <w:hideMark/>
          </w:tcPr>
          <w:p w14:paraId="5A3B557F" w14:textId="77777777" w:rsidR="0091212E" w:rsidRPr="0091212E" w:rsidRDefault="0091212E" w:rsidP="0091212E">
            <w:pPr>
              <w:spacing w:before="0" w:after="0"/>
              <w:ind w:firstLineChars="100" w:firstLine="201"/>
              <w:jc w:val="left"/>
              <w:rPr>
                <w:b/>
                <w:bCs/>
                <w:color w:val="000000"/>
                <w:sz w:val="20"/>
                <w:szCs w:val="20"/>
                <w:lang w:val="en-US" w:eastAsia="en-US"/>
              </w:rPr>
            </w:pPr>
            <w:r w:rsidRPr="0091212E">
              <w:rPr>
                <w:b/>
                <w:bCs/>
                <w:color w:val="000000"/>
                <w:sz w:val="20"/>
                <w:szCs w:val="20"/>
                <w:lang w:val="en-US" w:eastAsia="en-US"/>
              </w:rPr>
              <w:t>TOTAL</w:t>
            </w:r>
          </w:p>
        </w:tc>
        <w:tc>
          <w:tcPr>
            <w:tcW w:w="1623" w:type="pct"/>
            <w:tcBorders>
              <w:top w:val="nil"/>
              <w:left w:val="nil"/>
              <w:bottom w:val="single" w:sz="4" w:space="0" w:color="auto"/>
              <w:right w:val="single" w:sz="4" w:space="0" w:color="auto"/>
            </w:tcBorders>
            <w:shd w:val="clear" w:color="auto" w:fill="auto"/>
            <w:noWrap/>
            <w:vAlign w:val="center"/>
            <w:hideMark/>
          </w:tcPr>
          <w:p w14:paraId="314BCE24"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95,879</w:t>
            </w:r>
          </w:p>
        </w:tc>
        <w:tc>
          <w:tcPr>
            <w:tcW w:w="536" w:type="pct"/>
            <w:tcBorders>
              <w:top w:val="nil"/>
              <w:left w:val="nil"/>
              <w:bottom w:val="single" w:sz="4" w:space="0" w:color="auto"/>
              <w:right w:val="single" w:sz="4" w:space="0" w:color="auto"/>
            </w:tcBorders>
            <w:shd w:val="clear" w:color="auto" w:fill="auto"/>
            <w:noWrap/>
            <w:vAlign w:val="center"/>
            <w:hideMark/>
          </w:tcPr>
          <w:p w14:paraId="44300F39"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132,022</w:t>
            </w:r>
          </w:p>
        </w:tc>
        <w:tc>
          <w:tcPr>
            <w:tcW w:w="567" w:type="pct"/>
            <w:tcBorders>
              <w:top w:val="nil"/>
              <w:left w:val="nil"/>
              <w:bottom w:val="single" w:sz="4" w:space="0" w:color="auto"/>
              <w:right w:val="single" w:sz="4" w:space="0" w:color="auto"/>
            </w:tcBorders>
            <w:shd w:val="clear" w:color="auto" w:fill="auto"/>
            <w:noWrap/>
            <w:vAlign w:val="center"/>
            <w:hideMark/>
          </w:tcPr>
          <w:p w14:paraId="02C4D6E0"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227,900</w:t>
            </w:r>
          </w:p>
        </w:tc>
        <w:tc>
          <w:tcPr>
            <w:tcW w:w="528" w:type="pct"/>
            <w:tcBorders>
              <w:top w:val="nil"/>
              <w:left w:val="nil"/>
              <w:bottom w:val="single" w:sz="4" w:space="0" w:color="auto"/>
              <w:right w:val="single" w:sz="4" w:space="0" w:color="auto"/>
            </w:tcBorders>
            <w:shd w:val="clear" w:color="auto" w:fill="auto"/>
            <w:noWrap/>
            <w:vAlign w:val="center"/>
            <w:hideMark/>
          </w:tcPr>
          <w:p w14:paraId="547408B2"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227,900</w:t>
            </w:r>
          </w:p>
        </w:tc>
        <w:tc>
          <w:tcPr>
            <w:tcW w:w="536" w:type="pct"/>
            <w:tcBorders>
              <w:top w:val="nil"/>
              <w:left w:val="nil"/>
              <w:bottom w:val="single" w:sz="4" w:space="0" w:color="auto"/>
              <w:right w:val="single" w:sz="4" w:space="0" w:color="auto"/>
            </w:tcBorders>
            <w:shd w:val="clear" w:color="auto" w:fill="auto"/>
            <w:noWrap/>
            <w:vAlign w:val="center"/>
            <w:hideMark/>
          </w:tcPr>
          <w:p w14:paraId="027E6CC9" w14:textId="77777777" w:rsidR="0091212E" w:rsidRPr="0091212E" w:rsidRDefault="0091212E" w:rsidP="0091212E">
            <w:pPr>
              <w:spacing w:before="0" w:after="0"/>
              <w:jc w:val="center"/>
              <w:rPr>
                <w:b/>
                <w:bCs/>
                <w:color w:val="000000"/>
                <w:sz w:val="20"/>
                <w:szCs w:val="20"/>
                <w:lang w:val="en-US" w:eastAsia="en-US"/>
              </w:rPr>
            </w:pPr>
            <w:r w:rsidRPr="0091212E">
              <w:rPr>
                <w:b/>
                <w:bCs/>
                <w:color w:val="000000"/>
                <w:sz w:val="20"/>
                <w:szCs w:val="20"/>
                <w:lang w:val="en-US" w:eastAsia="en-US"/>
              </w:rPr>
              <w:t>39,064</w:t>
            </w:r>
          </w:p>
        </w:tc>
      </w:tr>
    </w:tbl>
    <w:p w14:paraId="088866FE" w14:textId="77777777" w:rsidR="0091212E" w:rsidRDefault="0091212E" w:rsidP="002E3F3A">
      <w:pPr>
        <w:pStyle w:val="NoSpacing"/>
      </w:pPr>
    </w:p>
    <w:p w14:paraId="74499738" w14:textId="61127967" w:rsidR="00A040A1" w:rsidRDefault="00A040A1" w:rsidP="00854EFC">
      <w:pPr>
        <w:pStyle w:val="parrafonumerado"/>
      </w:pPr>
      <w:r>
        <w:t xml:space="preserve">En total, se espera tener intervención en </w:t>
      </w:r>
      <w:r w:rsidR="00945246">
        <w:t>22</w:t>
      </w:r>
      <w:r w:rsidR="0091212E">
        <w:t>7</w:t>
      </w:r>
      <w:r w:rsidR="00C26AA1">
        <w:t>,</w:t>
      </w:r>
      <w:r w:rsidR="0091212E">
        <w:t>900</w:t>
      </w:r>
      <w:r>
        <w:t xml:space="preserve"> Ha., de las cuales </w:t>
      </w:r>
      <w:r w:rsidR="0091212E">
        <w:t>39.06</w:t>
      </w:r>
      <w:r>
        <w:t xml:space="preserve"> mil Ha. tienen actividades de restauración tanto en áreas </w:t>
      </w:r>
      <w:r w:rsidR="00945246">
        <w:t>de bosque privado</w:t>
      </w:r>
      <w:r>
        <w:t xml:space="preserve"> </w:t>
      </w:r>
      <w:r w:rsidR="004C34A3">
        <w:t xml:space="preserve">(10.6 mil Ha) </w:t>
      </w:r>
      <w:r>
        <w:t xml:space="preserve">y </w:t>
      </w:r>
      <w:r w:rsidR="00945246">
        <w:t xml:space="preserve">en </w:t>
      </w:r>
      <w:r>
        <w:t>agroforestería</w:t>
      </w:r>
      <w:r w:rsidR="004C34A3">
        <w:t xml:space="preserve"> (28.4 mil Ha)</w:t>
      </w:r>
      <w:r>
        <w:t xml:space="preserve">.  </w:t>
      </w:r>
      <w:r w:rsidR="00CE1DEA">
        <w:t>El área no plagada que</w:t>
      </w:r>
      <w:r w:rsidR="00945246">
        <w:t xml:space="preserve"> será atendida con prácticas de M</w:t>
      </w:r>
      <w:r w:rsidR="00F11EE2">
        <w:t>FA</w:t>
      </w:r>
      <w:r w:rsidR="00945246">
        <w:t xml:space="preserve"> </w:t>
      </w:r>
      <w:r w:rsidR="00CE1DEA">
        <w:t xml:space="preserve">asciende a </w:t>
      </w:r>
      <w:r w:rsidR="00C26AA1">
        <w:t>1</w:t>
      </w:r>
      <w:r w:rsidR="00945246">
        <w:t>8</w:t>
      </w:r>
      <w:r w:rsidR="0091212E">
        <w:t>8</w:t>
      </w:r>
      <w:r w:rsidR="004C34A3">
        <w:t>.</w:t>
      </w:r>
      <w:r w:rsidR="0091212E">
        <w:t>8</w:t>
      </w:r>
      <w:r w:rsidR="004C34A3">
        <w:t xml:space="preserve"> mil </w:t>
      </w:r>
      <w:r w:rsidR="00CE1DEA">
        <w:t xml:space="preserve">Ha.  </w:t>
      </w:r>
    </w:p>
    <w:p w14:paraId="6AFEA439" w14:textId="37A156EF" w:rsidR="005307C7" w:rsidRDefault="00CE1DEA" w:rsidP="00854EFC">
      <w:pPr>
        <w:pStyle w:val="parrafonumerado"/>
      </w:pPr>
      <w:r>
        <w:t xml:space="preserve">En </w:t>
      </w:r>
      <w:r w:rsidRPr="004C34A3">
        <w:t>adición</w:t>
      </w:r>
      <w:r>
        <w:t xml:space="preserve"> a las áreas por tipo de intervención, se requiere la evolución de los costos por Ha. planteados para las distintas áreas y tipos de intervención, los que se presentan en el cuadro siguiente.</w:t>
      </w:r>
    </w:p>
    <w:p w14:paraId="45EF140B" w14:textId="1C1C3E5C" w:rsidR="00CE1DEA" w:rsidRDefault="00CE1DEA" w:rsidP="002E3F3A">
      <w:pPr>
        <w:pStyle w:val="NoSpacing"/>
      </w:pPr>
      <w:r>
        <w:t xml:space="preserve">Cuadro </w:t>
      </w:r>
      <w:r w:rsidR="00854EFC">
        <w:t>10</w:t>
      </w:r>
      <w:r>
        <w:t>.  Evolución de costos por Ha. por tipo de intervención (US$/Ha)</w:t>
      </w:r>
    </w:p>
    <w:tbl>
      <w:tblPr>
        <w:tblStyle w:val="TableGrid"/>
        <w:tblW w:w="0" w:type="auto"/>
        <w:tblInd w:w="988" w:type="dxa"/>
        <w:tblLook w:val="04A0" w:firstRow="1" w:lastRow="0" w:firstColumn="1" w:lastColumn="0" w:noHBand="0" w:noVBand="1"/>
      </w:tblPr>
      <w:tblGrid>
        <w:gridCol w:w="993"/>
        <w:gridCol w:w="1984"/>
        <w:gridCol w:w="1856"/>
        <w:gridCol w:w="1546"/>
      </w:tblGrid>
      <w:tr w:rsidR="00945246" w:rsidRPr="00945246" w14:paraId="49B22BAB" w14:textId="77777777" w:rsidTr="004C34A3">
        <w:trPr>
          <w:trHeight w:val="615"/>
        </w:trPr>
        <w:tc>
          <w:tcPr>
            <w:tcW w:w="993" w:type="dxa"/>
            <w:noWrap/>
            <w:hideMark/>
          </w:tcPr>
          <w:p w14:paraId="7FE0D537" w14:textId="1CC84959" w:rsidR="00945246" w:rsidRPr="00945246" w:rsidRDefault="004C34A3" w:rsidP="00945246">
            <w:pPr>
              <w:pStyle w:val="NoSpacing"/>
              <w:rPr>
                <w:sz w:val="20"/>
              </w:rPr>
            </w:pPr>
            <w:r>
              <w:rPr>
                <w:sz w:val="20"/>
              </w:rPr>
              <w:t>Año</w:t>
            </w:r>
            <w:r w:rsidR="00945246" w:rsidRPr="00945246">
              <w:rPr>
                <w:sz w:val="20"/>
              </w:rPr>
              <w:t> </w:t>
            </w:r>
          </w:p>
        </w:tc>
        <w:tc>
          <w:tcPr>
            <w:tcW w:w="1984" w:type="dxa"/>
            <w:hideMark/>
          </w:tcPr>
          <w:p w14:paraId="6F609C68" w14:textId="77777777" w:rsidR="00945246" w:rsidRPr="00945246" w:rsidRDefault="00945246" w:rsidP="00945246">
            <w:pPr>
              <w:pStyle w:val="NoSpacing"/>
              <w:rPr>
                <w:sz w:val="20"/>
              </w:rPr>
            </w:pPr>
            <w:r>
              <w:rPr>
                <w:sz w:val="20"/>
              </w:rPr>
              <w:t>Restauración bosque manejo privado</w:t>
            </w:r>
          </w:p>
        </w:tc>
        <w:tc>
          <w:tcPr>
            <w:tcW w:w="1856" w:type="dxa"/>
            <w:hideMark/>
          </w:tcPr>
          <w:p w14:paraId="685D44AE" w14:textId="4AB2A882" w:rsidR="00945246" w:rsidRPr="00945246" w:rsidRDefault="00945246" w:rsidP="004C34A3">
            <w:pPr>
              <w:pStyle w:val="NoSpacing"/>
              <w:rPr>
                <w:sz w:val="20"/>
              </w:rPr>
            </w:pPr>
            <w:r w:rsidRPr="00945246">
              <w:rPr>
                <w:sz w:val="20"/>
              </w:rPr>
              <w:t>M</w:t>
            </w:r>
            <w:r w:rsidR="00F11EE2">
              <w:rPr>
                <w:sz w:val="20"/>
              </w:rPr>
              <w:t>FA</w:t>
            </w:r>
            <w:r w:rsidRPr="00945246">
              <w:rPr>
                <w:sz w:val="20"/>
              </w:rPr>
              <w:t xml:space="preserve"> </w:t>
            </w:r>
            <w:r>
              <w:rPr>
                <w:sz w:val="20"/>
              </w:rPr>
              <w:t>bosque no plagado</w:t>
            </w:r>
          </w:p>
        </w:tc>
        <w:tc>
          <w:tcPr>
            <w:tcW w:w="1546" w:type="dxa"/>
            <w:hideMark/>
          </w:tcPr>
          <w:p w14:paraId="5D20ADA3" w14:textId="77777777" w:rsidR="00945246" w:rsidRPr="00945246" w:rsidRDefault="00945246" w:rsidP="00945246">
            <w:pPr>
              <w:pStyle w:val="NoSpacing"/>
              <w:rPr>
                <w:sz w:val="20"/>
              </w:rPr>
            </w:pPr>
            <w:r w:rsidRPr="00945246">
              <w:rPr>
                <w:sz w:val="20"/>
              </w:rPr>
              <w:t>SAF-A</w:t>
            </w:r>
            <w:r>
              <w:rPr>
                <w:sz w:val="20"/>
              </w:rPr>
              <w:t>groforestería</w:t>
            </w:r>
          </w:p>
        </w:tc>
      </w:tr>
      <w:tr w:rsidR="00945246" w:rsidRPr="00945246" w14:paraId="143C6C78" w14:textId="77777777" w:rsidTr="004C34A3">
        <w:trPr>
          <w:trHeight w:val="240"/>
        </w:trPr>
        <w:tc>
          <w:tcPr>
            <w:tcW w:w="993" w:type="dxa"/>
            <w:noWrap/>
            <w:hideMark/>
          </w:tcPr>
          <w:p w14:paraId="534216B6" w14:textId="77777777" w:rsidR="00945246" w:rsidRPr="00945246" w:rsidRDefault="00945246" w:rsidP="00945246">
            <w:pPr>
              <w:pStyle w:val="NoSpacing"/>
              <w:rPr>
                <w:sz w:val="20"/>
              </w:rPr>
            </w:pPr>
            <w:r w:rsidRPr="00945246">
              <w:rPr>
                <w:sz w:val="20"/>
              </w:rPr>
              <w:t>1</w:t>
            </w:r>
          </w:p>
        </w:tc>
        <w:tc>
          <w:tcPr>
            <w:tcW w:w="1984" w:type="dxa"/>
            <w:noWrap/>
            <w:hideMark/>
          </w:tcPr>
          <w:p w14:paraId="296E2AEC" w14:textId="77777777" w:rsidR="00945246" w:rsidRPr="00945246" w:rsidRDefault="00945246" w:rsidP="00945246">
            <w:pPr>
              <w:pStyle w:val="NoSpacing"/>
              <w:rPr>
                <w:sz w:val="20"/>
              </w:rPr>
            </w:pPr>
            <w:r w:rsidRPr="00945246">
              <w:rPr>
                <w:sz w:val="20"/>
              </w:rPr>
              <w:t>138</w:t>
            </w:r>
          </w:p>
        </w:tc>
        <w:tc>
          <w:tcPr>
            <w:tcW w:w="1856" w:type="dxa"/>
            <w:noWrap/>
            <w:hideMark/>
          </w:tcPr>
          <w:p w14:paraId="02715B4E" w14:textId="77777777" w:rsidR="00945246" w:rsidRPr="00945246" w:rsidRDefault="00945246" w:rsidP="00945246">
            <w:pPr>
              <w:pStyle w:val="NoSpacing"/>
              <w:rPr>
                <w:sz w:val="20"/>
              </w:rPr>
            </w:pPr>
            <w:r w:rsidRPr="00945246">
              <w:rPr>
                <w:sz w:val="20"/>
              </w:rPr>
              <w:t>119</w:t>
            </w:r>
          </w:p>
        </w:tc>
        <w:tc>
          <w:tcPr>
            <w:tcW w:w="1546" w:type="dxa"/>
            <w:noWrap/>
            <w:hideMark/>
          </w:tcPr>
          <w:p w14:paraId="51C88252" w14:textId="77777777" w:rsidR="00945246" w:rsidRPr="00945246" w:rsidRDefault="00945246" w:rsidP="00945246">
            <w:pPr>
              <w:pStyle w:val="NoSpacing"/>
              <w:rPr>
                <w:sz w:val="20"/>
              </w:rPr>
            </w:pPr>
            <w:r w:rsidRPr="00945246">
              <w:rPr>
                <w:sz w:val="20"/>
              </w:rPr>
              <w:t>285</w:t>
            </w:r>
          </w:p>
        </w:tc>
      </w:tr>
      <w:tr w:rsidR="00945246" w:rsidRPr="00945246" w14:paraId="40F5B898" w14:textId="77777777" w:rsidTr="004C34A3">
        <w:trPr>
          <w:trHeight w:val="240"/>
        </w:trPr>
        <w:tc>
          <w:tcPr>
            <w:tcW w:w="993" w:type="dxa"/>
            <w:noWrap/>
            <w:hideMark/>
          </w:tcPr>
          <w:p w14:paraId="6D19F88E" w14:textId="77777777" w:rsidR="00945246" w:rsidRPr="00945246" w:rsidRDefault="00945246" w:rsidP="00945246">
            <w:pPr>
              <w:pStyle w:val="NoSpacing"/>
              <w:rPr>
                <w:sz w:val="20"/>
              </w:rPr>
            </w:pPr>
            <w:r w:rsidRPr="00945246">
              <w:rPr>
                <w:sz w:val="20"/>
              </w:rPr>
              <w:t>2</w:t>
            </w:r>
          </w:p>
        </w:tc>
        <w:tc>
          <w:tcPr>
            <w:tcW w:w="1984" w:type="dxa"/>
            <w:noWrap/>
            <w:hideMark/>
          </w:tcPr>
          <w:p w14:paraId="18614BEF" w14:textId="77777777" w:rsidR="00945246" w:rsidRPr="00945246" w:rsidRDefault="00945246" w:rsidP="00945246">
            <w:pPr>
              <w:pStyle w:val="NoSpacing"/>
              <w:rPr>
                <w:sz w:val="20"/>
              </w:rPr>
            </w:pPr>
            <w:r w:rsidRPr="00945246">
              <w:rPr>
                <w:sz w:val="20"/>
              </w:rPr>
              <w:t>109</w:t>
            </w:r>
          </w:p>
        </w:tc>
        <w:tc>
          <w:tcPr>
            <w:tcW w:w="1856" w:type="dxa"/>
            <w:noWrap/>
            <w:hideMark/>
          </w:tcPr>
          <w:p w14:paraId="67AADC79" w14:textId="77777777" w:rsidR="00945246" w:rsidRPr="00945246" w:rsidRDefault="00945246" w:rsidP="00945246">
            <w:pPr>
              <w:pStyle w:val="NoSpacing"/>
              <w:rPr>
                <w:sz w:val="20"/>
              </w:rPr>
            </w:pPr>
            <w:r w:rsidRPr="00945246">
              <w:rPr>
                <w:sz w:val="20"/>
              </w:rPr>
              <w:t>22</w:t>
            </w:r>
          </w:p>
        </w:tc>
        <w:tc>
          <w:tcPr>
            <w:tcW w:w="1546" w:type="dxa"/>
            <w:noWrap/>
            <w:hideMark/>
          </w:tcPr>
          <w:p w14:paraId="20D90731" w14:textId="77777777" w:rsidR="00945246" w:rsidRPr="00945246" w:rsidRDefault="00945246" w:rsidP="00945246">
            <w:pPr>
              <w:pStyle w:val="NoSpacing"/>
              <w:rPr>
                <w:sz w:val="20"/>
              </w:rPr>
            </w:pPr>
            <w:r w:rsidRPr="00945246">
              <w:rPr>
                <w:sz w:val="20"/>
              </w:rPr>
              <w:t>0</w:t>
            </w:r>
          </w:p>
        </w:tc>
      </w:tr>
      <w:tr w:rsidR="00945246" w:rsidRPr="00945246" w14:paraId="0D4FABA1" w14:textId="77777777" w:rsidTr="004C34A3">
        <w:trPr>
          <w:trHeight w:val="240"/>
        </w:trPr>
        <w:tc>
          <w:tcPr>
            <w:tcW w:w="993" w:type="dxa"/>
            <w:noWrap/>
            <w:hideMark/>
          </w:tcPr>
          <w:p w14:paraId="2DB7783C" w14:textId="77777777" w:rsidR="00945246" w:rsidRPr="00945246" w:rsidRDefault="00945246" w:rsidP="00945246">
            <w:pPr>
              <w:pStyle w:val="NoSpacing"/>
              <w:rPr>
                <w:sz w:val="20"/>
              </w:rPr>
            </w:pPr>
            <w:r w:rsidRPr="00945246">
              <w:rPr>
                <w:sz w:val="20"/>
              </w:rPr>
              <w:t>3</w:t>
            </w:r>
          </w:p>
        </w:tc>
        <w:tc>
          <w:tcPr>
            <w:tcW w:w="1984" w:type="dxa"/>
            <w:noWrap/>
            <w:hideMark/>
          </w:tcPr>
          <w:p w14:paraId="728C678A" w14:textId="77777777" w:rsidR="00945246" w:rsidRPr="00945246" w:rsidRDefault="00945246" w:rsidP="00945246">
            <w:pPr>
              <w:pStyle w:val="NoSpacing"/>
              <w:rPr>
                <w:sz w:val="20"/>
              </w:rPr>
            </w:pPr>
            <w:r w:rsidRPr="00945246">
              <w:rPr>
                <w:sz w:val="20"/>
              </w:rPr>
              <w:t>15</w:t>
            </w:r>
          </w:p>
        </w:tc>
        <w:tc>
          <w:tcPr>
            <w:tcW w:w="1856" w:type="dxa"/>
            <w:noWrap/>
            <w:hideMark/>
          </w:tcPr>
          <w:p w14:paraId="0F6D1FDB" w14:textId="77777777" w:rsidR="00945246" w:rsidRPr="00945246" w:rsidRDefault="00945246" w:rsidP="00945246">
            <w:pPr>
              <w:pStyle w:val="NoSpacing"/>
              <w:rPr>
                <w:sz w:val="20"/>
              </w:rPr>
            </w:pPr>
            <w:r w:rsidRPr="00945246">
              <w:rPr>
                <w:sz w:val="20"/>
              </w:rPr>
              <w:t>22</w:t>
            </w:r>
          </w:p>
        </w:tc>
        <w:tc>
          <w:tcPr>
            <w:tcW w:w="1546" w:type="dxa"/>
            <w:noWrap/>
            <w:hideMark/>
          </w:tcPr>
          <w:p w14:paraId="686BDECF" w14:textId="77777777" w:rsidR="00945246" w:rsidRPr="00945246" w:rsidRDefault="00945246" w:rsidP="00945246">
            <w:pPr>
              <w:pStyle w:val="NoSpacing"/>
              <w:rPr>
                <w:sz w:val="20"/>
              </w:rPr>
            </w:pPr>
            <w:r w:rsidRPr="00945246">
              <w:rPr>
                <w:sz w:val="20"/>
              </w:rPr>
              <w:t>0</w:t>
            </w:r>
          </w:p>
        </w:tc>
      </w:tr>
      <w:tr w:rsidR="00945246" w:rsidRPr="00945246" w14:paraId="3232103B" w14:textId="77777777" w:rsidTr="004C34A3">
        <w:trPr>
          <w:trHeight w:val="240"/>
        </w:trPr>
        <w:tc>
          <w:tcPr>
            <w:tcW w:w="993" w:type="dxa"/>
            <w:noWrap/>
            <w:hideMark/>
          </w:tcPr>
          <w:p w14:paraId="4477FFB4" w14:textId="77777777" w:rsidR="00945246" w:rsidRPr="00945246" w:rsidRDefault="00945246" w:rsidP="00945246">
            <w:pPr>
              <w:pStyle w:val="NoSpacing"/>
              <w:rPr>
                <w:sz w:val="20"/>
              </w:rPr>
            </w:pPr>
            <w:r w:rsidRPr="00945246">
              <w:rPr>
                <w:sz w:val="20"/>
              </w:rPr>
              <w:t>4</w:t>
            </w:r>
          </w:p>
        </w:tc>
        <w:tc>
          <w:tcPr>
            <w:tcW w:w="1984" w:type="dxa"/>
            <w:noWrap/>
            <w:hideMark/>
          </w:tcPr>
          <w:p w14:paraId="4A99696B" w14:textId="77777777" w:rsidR="00945246" w:rsidRPr="00945246" w:rsidRDefault="00945246" w:rsidP="00945246">
            <w:pPr>
              <w:pStyle w:val="NoSpacing"/>
              <w:rPr>
                <w:sz w:val="20"/>
              </w:rPr>
            </w:pPr>
            <w:r w:rsidRPr="00945246">
              <w:rPr>
                <w:sz w:val="20"/>
              </w:rPr>
              <w:t>10</w:t>
            </w:r>
          </w:p>
        </w:tc>
        <w:tc>
          <w:tcPr>
            <w:tcW w:w="1856" w:type="dxa"/>
            <w:noWrap/>
            <w:hideMark/>
          </w:tcPr>
          <w:p w14:paraId="7A6DFD38" w14:textId="77777777" w:rsidR="00945246" w:rsidRPr="00945246" w:rsidRDefault="00945246" w:rsidP="00945246">
            <w:pPr>
              <w:pStyle w:val="NoSpacing"/>
              <w:rPr>
                <w:sz w:val="20"/>
              </w:rPr>
            </w:pPr>
            <w:r w:rsidRPr="00945246">
              <w:rPr>
                <w:sz w:val="20"/>
              </w:rPr>
              <w:t>22</w:t>
            </w:r>
          </w:p>
        </w:tc>
        <w:tc>
          <w:tcPr>
            <w:tcW w:w="1546" w:type="dxa"/>
            <w:noWrap/>
            <w:hideMark/>
          </w:tcPr>
          <w:p w14:paraId="689834E4" w14:textId="77777777" w:rsidR="00945246" w:rsidRPr="00945246" w:rsidRDefault="00945246" w:rsidP="00945246">
            <w:pPr>
              <w:pStyle w:val="NoSpacing"/>
              <w:rPr>
                <w:sz w:val="20"/>
              </w:rPr>
            </w:pPr>
            <w:r w:rsidRPr="00945246">
              <w:rPr>
                <w:sz w:val="20"/>
              </w:rPr>
              <w:t>0</w:t>
            </w:r>
          </w:p>
        </w:tc>
      </w:tr>
      <w:tr w:rsidR="00945246" w:rsidRPr="00945246" w14:paraId="5E91EDEA" w14:textId="77777777" w:rsidTr="004C34A3">
        <w:trPr>
          <w:trHeight w:val="240"/>
        </w:trPr>
        <w:tc>
          <w:tcPr>
            <w:tcW w:w="993" w:type="dxa"/>
            <w:noWrap/>
            <w:hideMark/>
          </w:tcPr>
          <w:p w14:paraId="45A57582" w14:textId="77777777" w:rsidR="00945246" w:rsidRPr="00945246" w:rsidRDefault="00945246" w:rsidP="00945246">
            <w:pPr>
              <w:pStyle w:val="NoSpacing"/>
              <w:rPr>
                <w:sz w:val="20"/>
              </w:rPr>
            </w:pPr>
            <w:r w:rsidRPr="00945246">
              <w:rPr>
                <w:sz w:val="20"/>
              </w:rPr>
              <w:t>5</w:t>
            </w:r>
          </w:p>
        </w:tc>
        <w:tc>
          <w:tcPr>
            <w:tcW w:w="1984" w:type="dxa"/>
            <w:noWrap/>
            <w:hideMark/>
          </w:tcPr>
          <w:p w14:paraId="7799E067" w14:textId="77777777" w:rsidR="00945246" w:rsidRPr="00945246" w:rsidRDefault="00945246" w:rsidP="00945246">
            <w:pPr>
              <w:pStyle w:val="NoSpacing"/>
              <w:rPr>
                <w:sz w:val="20"/>
              </w:rPr>
            </w:pPr>
            <w:r w:rsidRPr="00945246">
              <w:rPr>
                <w:sz w:val="20"/>
              </w:rPr>
              <w:t>24</w:t>
            </w:r>
          </w:p>
        </w:tc>
        <w:tc>
          <w:tcPr>
            <w:tcW w:w="1856" w:type="dxa"/>
            <w:noWrap/>
            <w:hideMark/>
          </w:tcPr>
          <w:p w14:paraId="6542CA00" w14:textId="77777777" w:rsidR="00945246" w:rsidRPr="00945246" w:rsidRDefault="00945246" w:rsidP="00945246">
            <w:pPr>
              <w:pStyle w:val="NoSpacing"/>
              <w:rPr>
                <w:sz w:val="20"/>
              </w:rPr>
            </w:pPr>
            <w:r w:rsidRPr="00945246">
              <w:rPr>
                <w:sz w:val="20"/>
              </w:rPr>
              <w:t>35</w:t>
            </w:r>
          </w:p>
        </w:tc>
        <w:tc>
          <w:tcPr>
            <w:tcW w:w="1546" w:type="dxa"/>
            <w:noWrap/>
            <w:hideMark/>
          </w:tcPr>
          <w:p w14:paraId="4E4C4222" w14:textId="77777777" w:rsidR="00945246" w:rsidRPr="00945246" w:rsidRDefault="00945246" w:rsidP="00945246">
            <w:pPr>
              <w:pStyle w:val="NoSpacing"/>
              <w:rPr>
                <w:sz w:val="20"/>
              </w:rPr>
            </w:pPr>
            <w:r w:rsidRPr="00945246">
              <w:rPr>
                <w:sz w:val="20"/>
              </w:rPr>
              <w:t>15</w:t>
            </w:r>
          </w:p>
        </w:tc>
      </w:tr>
      <w:tr w:rsidR="00945246" w:rsidRPr="00945246" w14:paraId="0F659D5F" w14:textId="77777777" w:rsidTr="004C34A3">
        <w:trPr>
          <w:trHeight w:val="240"/>
        </w:trPr>
        <w:tc>
          <w:tcPr>
            <w:tcW w:w="993" w:type="dxa"/>
            <w:noWrap/>
            <w:hideMark/>
          </w:tcPr>
          <w:p w14:paraId="1F610280" w14:textId="77777777" w:rsidR="00945246" w:rsidRPr="00945246" w:rsidRDefault="00945246" w:rsidP="00945246">
            <w:pPr>
              <w:pStyle w:val="NoSpacing"/>
              <w:rPr>
                <w:sz w:val="20"/>
              </w:rPr>
            </w:pPr>
            <w:r w:rsidRPr="00945246">
              <w:rPr>
                <w:sz w:val="20"/>
              </w:rPr>
              <w:t>6</w:t>
            </w:r>
          </w:p>
        </w:tc>
        <w:tc>
          <w:tcPr>
            <w:tcW w:w="1984" w:type="dxa"/>
            <w:noWrap/>
            <w:hideMark/>
          </w:tcPr>
          <w:p w14:paraId="67A9AFD4" w14:textId="77777777" w:rsidR="00945246" w:rsidRPr="00945246" w:rsidRDefault="00945246" w:rsidP="00945246">
            <w:pPr>
              <w:pStyle w:val="NoSpacing"/>
              <w:rPr>
                <w:sz w:val="20"/>
              </w:rPr>
            </w:pPr>
            <w:r w:rsidRPr="00945246">
              <w:rPr>
                <w:sz w:val="20"/>
              </w:rPr>
              <w:t>2</w:t>
            </w:r>
          </w:p>
        </w:tc>
        <w:tc>
          <w:tcPr>
            <w:tcW w:w="1856" w:type="dxa"/>
            <w:noWrap/>
            <w:hideMark/>
          </w:tcPr>
          <w:p w14:paraId="73CB5538" w14:textId="77777777" w:rsidR="00945246" w:rsidRPr="00945246" w:rsidRDefault="00945246" w:rsidP="00945246">
            <w:pPr>
              <w:pStyle w:val="NoSpacing"/>
              <w:rPr>
                <w:sz w:val="20"/>
              </w:rPr>
            </w:pPr>
            <w:r w:rsidRPr="00945246">
              <w:rPr>
                <w:sz w:val="20"/>
              </w:rPr>
              <w:t>7</w:t>
            </w:r>
          </w:p>
        </w:tc>
        <w:tc>
          <w:tcPr>
            <w:tcW w:w="1546" w:type="dxa"/>
            <w:noWrap/>
            <w:hideMark/>
          </w:tcPr>
          <w:p w14:paraId="5A913330" w14:textId="77777777" w:rsidR="00945246" w:rsidRPr="00945246" w:rsidRDefault="00945246" w:rsidP="00945246">
            <w:pPr>
              <w:pStyle w:val="NoSpacing"/>
              <w:rPr>
                <w:sz w:val="20"/>
              </w:rPr>
            </w:pPr>
            <w:r w:rsidRPr="00945246">
              <w:rPr>
                <w:sz w:val="20"/>
              </w:rPr>
              <w:t>9</w:t>
            </w:r>
          </w:p>
        </w:tc>
      </w:tr>
      <w:tr w:rsidR="00945246" w:rsidRPr="00945246" w14:paraId="043132E4" w14:textId="77777777" w:rsidTr="004C34A3">
        <w:trPr>
          <w:trHeight w:val="240"/>
        </w:trPr>
        <w:tc>
          <w:tcPr>
            <w:tcW w:w="993" w:type="dxa"/>
            <w:noWrap/>
            <w:hideMark/>
          </w:tcPr>
          <w:p w14:paraId="4852EC53" w14:textId="77777777" w:rsidR="00945246" w:rsidRPr="00945246" w:rsidRDefault="00945246" w:rsidP="00945246">
            <w:pPr>
              <w:pStyle w:val="NoSpacing"/>
              <w:rPr>
                <w:sz w:val="20"/>
              </w:rPr>
            </w:pPr>
            <w:r w:rsidRPr="00945246">
              <w:rPr>
                <w:sz w:val="20"/>
              </w:rPr>
              <w:t>7</w:t>
            </w:r>
          </w:p>
        </w:tc>
        <w:tc>
          <w:tcPr>
            <w:tcW w:w="1984" w:type="dxa"/>
            <w:noWrap/>
            <w:hideMark/>
          </w:tcPr>
          <w:p w14:paraId="30410970" w14:textId="77777777" w:rsidR="00945246" w:rsidRPr="00945246" w:rsidRDefault="00945246" w:rsidP="00945246">
            <w:pPr>
              <w:pStyle w:val="NoSpacing"/>
              <w:rPr>
                <w:sz w:val="20"/>
              </w:rPr>
            </w:pPr>
            <w:r w:rsidRPr="00945246">
              <w:rPr>
                <w:sz w:val="20"/>
              </w:rPr>
              <w:t>2</w:t>
            </w:r>
          </w:p>
        </w:tc>
        <w:tc>
          <w:tcPr>
            <w:tcW w:w="1856" w:type="dxa"/>
            <w:noWrap/>
            <w:hideMark/>
          </w:tcPr>
          <w:p w14:paraId="4A13ECFF" w14:textId="77777777" w:rsidR="00945246" w:rsidRPr="00945246" w:rsidRDefault="00945246" w:rsidP="00945246">
            <w:pPr>
              <w:pStyle w:val="NoSpacing"/>
              <w:rPr>
                <w:sz w:val="20"/>
              </w:rPr>
            </w:pPr>
            <w:r w:rsidRPr="00945246">
              <w:rPr>
                <w:sz w:val="20"/>
              </w:rPr>
              <w:t>7</w:t>
            </w:r>
          </w:p>
        </w:tc>
        <w:tc>
          <w:tcPr>
            <w:tcW w:w="1546" w:type="dxa"/>
            <w:noWrap/>
            <w:hideMark/>
          </w:tcPr>
          <w:p w14:paraId="7977CE45" w14:textId="77777777" w:rsidR="00945246" w:rsidRPr="00945246" w:rsidRDefault="00945246" w:rsidP="00945246">
            <w:pPr>
              <w:pStyle w:val="NoSpacing"/>
              <w:rPr>
                <w:sz w:val="20"/>
              </w:rPr>
            </w:pPr>
            <w:r w:rsidRPr="00945246">
              <w:rPr>
                <w:sz w:val="20"/>
              </w:rPr>
              <w:t>9</w:t>
            </w:r>
          </w:p>
        </w:tc>
      </w:tr>
      <w:tr w:rsidR="00945246" w:rsidRPr="00945246" w14:paraId="45CBA663" w14:textId="77777777" w:rsidTr="004C34A3">
        <w:trPr>
          <w:trHeight w:val="240"/>
        </w:trPr>
        <w:tc>
          <w:tcPr>
            <w:tcW w:w="993" w:type="dxa"/>
            <w:noWrap/>
            <w:hideMark/>
          </w:tcPr>
          <w:p w14:paraId="6E7A1830" w14:textId="77777777" w:rsidR="00945246" w:rsidRPr="00945246" w:rsidRDefault="00945246" w:rsidP="00945246">
            <w:pPr>
              <w:pStyle w:val="NoSpacing"/>
              <w:rPr>
                <w:sz w:val="20"/>
              </w:rPr>
            </w:pPr>
            <w:r w:rsidRPr="00945246">
              <w:rPr>
                <w:sz w:val="20"/>
              </w:rPr>
              <w:t>8</w:t>
            </w:r>
          </w:p>
        </w:tc>
        <w:tc>
          <w:tcPr>
            <w:tcW w:w="1984" w:type="dxa"/>
            <w:noWrap/>
            <w:hideMark/>
          </w:tcPr>
          <w:p w14:paraId="5CFECE97" w14:textId="77777777" w:rsidR="00945246" w:rsidRPr="00945246" w:rsidRDefault="00945246" w:rsidP="00945246">
            <w:pPr>
              <w:pStyle w:val="NoSpacing"/>
              <w:rPr>
                <w:sz w:val="20"/>
              </w:rPr>
            </w:pPr>
            <w:r w:rsidRPr="00945246">
              <w:rPr>
                <w:sz w:val="20"/>
              </w:rPr>
              <w:t>2</w:t>
            </w:r>
          </w:p>
        </w:tc>
        <w:tc>
          <w:tcPr>
            <w:tcW w:w="1856" w:type="dxa"/>
            <w:noWrap/>
            <w:hideMark/>
          </w:tcPr>
          <w:p w14:paraId="36485916" w14:textId="77777777" w:rsidR="00945246" w:rsidRPr="00945246" w:rsidRDefault="00945246" w:rsidP="00945246">
            <w:pPr>
              <w:pStyle w:val="NoSpacing"/>
              <w:rPr>
                <w:sz w:val="20"/>
              </w:rPr>
            </w:pPr>
            <w:r w:rsidRPr="00945246">
              <w:rPr>
                <w:sz w:val="20"/>
              </w:rPr>
              <w:t>7</w:t>
            </w:r>
          </w:p>
        </w:tc>
        <w:tc>
          <w:tcPr>
            <w:tcW w:w="1546" w:type="dxa"/>
            <w:noWrap/>
            <w:hideMark/>
          </w:tcPr>
          <w:p w14:paraId="108E7FDB" w14:textId="77777777" w:rsidR="00945246" w:rsidRPr="00945246" w:rsidRDefault="00945246" w:rsidP="00945246">
            <w:pPr>
              <w:pStyle w:val="NoSpacing"/>
              <w:rPr>
                <w:sz w:val="20"/>
              </w:rPr>
            </w:pPr>
            <w:r w:rsidRPr="00945246">
              <w:rPr>
                <w:sz w:val="20"/>
              </w:rPr>
              <w:t>9</w:t>
            </w:r>
          </w:p>
        </w:tc>
      </w:tr>
      <w:tr w:rsidR="00945246" w:rsidRPr="00945246" w14:paraId="50A16178" w14:textId="77777777" w:rsidTr="004C34A3">
        <w:trPr>
          <w:trHeight w:val="240"/>
        </w:trPr>
        <w:tc>
          <w:tcPr>
            <w:tcW w:w="993" w:type="dxa"/>
            <w:noWrap/>
            <w:hideMark/>
          </w:tcPr>
          <w:p w14:paraId="30BAF5CA" w14:textId="77777777" w:rsidR="00945246" w:rsidRPr="00945246" w:rsidRDefault="00945246" w:rsidP="00945246">
            <w:pPr>
              <w:pStyle w:val="NoSpacing"/>
              <w:rPr>
                <w:sz w:val="20"/>
              </w:rPr>
            </w:pPr>
            <w:r w:rsidRPr="00945246">
              <w:rPr>
                <w:sz w:val="20"/>
              </w:rPr>
              <w:t>9</w:t>
            </w:r>
          </w:p>
        </w:tc>
        <w:tc>
          <w:tcPr>
            <w:tcW w:w="1984" w:type="dxa"/>
            <w:noWrap/>
            <w:hideMark/>
          </w:tcPr>
          <w:p w14:paraId="0F740759" w14:textId="77777777" w:rsidR="00945246" w:rsidRPr="00945246" w:rsidRDefault="00945246" w:rsidP="00945246">
            <w:pPr>
              <w:pStyle w:val="NoSpacing"/>
              <w:rPr>
                <w:sz w:val="20"/>
              </w:rPr>
            </w:pPr>
            <w:r w:rsidRPr="00945246">
              <w:rPr>
                <w:sz w:val="20"/>
              </w:rPr>
              <w:t>2</w:t>
            </w:r>
          </w:p>
        </w:tc>
        <w:tc>
          <w:tcPr>
            <w:tcW w:w="1856" w:type="dxa"/>
            <w:noWrap/>
            <w:hideMark/>
          </w:tcPr>
          <w:p w14:paraId="714AA750" w14:textId="77777777" w:rsidR="00945246" w:rsidRPr="00945246" w:rsidRDefault="00945246" w:rsidP="00945246">
            <w:pPr>
              <w:pStyle w:val="NoSpacing"/>
              <w:rPr>
                <w:sz w:val="20"/>
              </w:rPr>
            </w:pPr>
            <w:r w:rsidRPr="00945246">
              <w:rPr>
                <w:sz w:val="20"/>
              </w:rPr>
              <w:t>7</w:t>
            </w:r>
          </w:p>
        </w:tc>
        <w:tc>
          <w:tcPr>
            <w:tcW w:w="1546" w:type="dxa"/>
            <w:noWrap/>
            <w:hideMark/>
          </w:tcPr>
          <w:p w14:paraId="58019AED" w14:textId="77777777" w:rsidR="00945246" w:rsidRPr="00945246" w:rsidRDefault="00945246" w:rsidP="00945246">
            <w:pPr>
              <w:pStyle w:val="NoSpacing"/>
              <w:rPr>
                <w:sz w:val="20"/>
              </w:rPr>
            </w:pPr>
            <w:r w:rsidRPr="00945246">
              <w:rPr>
                <w:sz w:val="20"/>
              </w:rPr>
              <w:t>9</w:t>
            </w:r>
          </w:p>
        </w:tc>
      </w:tr>
      <w:tr w:rsidR="00945246" w:rsidRPr="00945246" w14:paraId="6C005E4C" w14:textId="77777777" w:rsidTr="004C34A3">
        <w:trPr>
          <w:trHeight w:val="240"/>
        </w:trPr>
        <w:tc>
          <w:tcPr>
            <w:tcW w:w="993" w:type="dxa"/>
            <w:noWrap/>
            <w:hideMark/>
          </w:tcPr>
          <w:p w14:paraId="5A251D99" w14:textId="77777777" w:rsidR="00945246" w:rsidRPr="00945246" w:rsidRDefault="00945246" w:rsidP="00945246">
            <w:pPr>
              <w:pStyle w:val="NoSpacing"/>
              <w:rPr>
                <w:sz w:val="20"/>
              </w:rPr>
            </w:pPr>
            <w:r w:rsidRPr="00945246">
              <w:rPr>
                <w:sz w:val="20"/>
              </w:rPr>
              <w:t>10</w:t>
            </w:r>
          </w:p>
        </w:tc>
        <w:tc>
          <w:tcPr>
            <w:tcW w:w="1984" w:type="dxa"/>
            <w:noWrap/>
            <w:hideMark/>
          </w:tcPr>
          <w:p w14:paraId="5CED4ABA" w14:textId="77777777" w:rsidR="00945246" w:rsidRPr="00945246" w:rsidRDefault="00945246" w:rsidP="00945246">
            <w:pPr>
              <w:pStyle w:val="NoSpacing"/>
              <w:rPr>
                <w:sz w:val="20"/>
              </w:rPr>
            </w:pPr>
            <w:r w:rsidRPr="00945246">
              <w:rPr>
                <w:sz w:val="20"/>
              </w:rPr>
              <w:t>10</w:t>
            </w:r>
          </w:p>
        </w:tc>
        <w:tc>
          <w:tcPr>
            <w:tcW w:w="1856" w:type="dxa"/>
            <w:noWrap/>
            <w:hideMark/>
          </w:tcPr>
          <w:p w14:paraId="16589ABD" w14:textId="77777777" w:rsidR="00945246" w:rsidRPr="00945246" w:rsidRDefault="00945246" w:rsidP="00945246">
            <w:pPr>
              <w:pStyle w:val="NoSpacing"/>
              <w:rPr>
                <w:sz w:val="20"/>
              </w:rPr>
            </w:pPr>
            <w:r w:rsidRPr="00945246">
              <w:rPr>
                <w:sz w:val="20"/>
              </w:rPr>
              <w:t>7</w:t>
            </w:r>
          </w:p>
        </w:tc>
        <w:tc>
          <w:tcPr>
            <w:tcW w:w="1546" w:type="dxa"/>
            <w:noWrap/>
            <w:hideMark/>
          </w:tcPr>
          <w:p w14:paraId="6034FDFB" w14:textId="77777777" w:rsidR="00945246" w:rsidRPr="00945246" w:rsidRDefault="00945246" w:rsidP="00945246">
            <w:pPr>
              <w:pStyle w:val="NoSpacing"/>
              <w:rPr>
                <w:sz w:val="20"/>
              </w:rPr>
            </w:pPr>
            <w:r w:rsidRPr="00945246">
              <w:rPr>
                <w:sz w:val="20"/>
              </w:rPr>
              <w:t>9</w:t>
            </w:r>
          </w:p>
        </w:tc>
      </w:tr>
      <w:tr w:rsidR="00945246" w:rsidRPr="00945246" w14:paraId="6C698FE9" w14:textId="77777777" w:rsidTr="004C34A3">
        <w:trPr>
          <w:trHeight w:val="240"/>
        </w:trPr>
        <w:tc>
          <w:tcPr>
            <w:tcW w:w="993" w:type="dxa"/>
            <w:noWrap/>
            <w:hideMark/>
          </w:tcPr>
          <w:p w14:paraId="652E7AD3" w14:textId="77777777" w:rsidR="00945246" w:rsidRPr="00945246" w:rsidRDefault="00945246" w:rsidP="00945246">
            <w:pPr>
              <w:pStyle w:val="NoSpacing"/>
              <w:rPr>
                <w:sz w:val="20"/>
              </w:rPr>
            </w:pPr>
            <w:r w:rsidRPr="00945246">
              <w:rPr>
                <w:sz w:val="20"/>
              </w:rPr>
              <w:t>11</w:t>
            </w:r>
          </w:p>
        </w:tc>
        <w:tc>
          <w:tcPr>
            <w:tcW w:w="1984" w:type="dxa"/>
            <w:noWrap/>
            <w:hideMark/>
          </w:tcPr>
          <w:p w14:paraId="432ADC2D" w14:textId="77777777" w:rsidR="00945246" w:rsidRPr="00945246" w:rsidRDefault="00945246" w:rsidP="00945246">
            <w:pPr>
              <w:pStyle w:val="NoSpacing"/>
              <w:rPr>
                <w:sz w:val="20"/>
              </w:rPr>
            </w:pPr>
            <w:r w:rsidRPr="00945246">
              <w:rPr>
                <w:sz w:val="20"/>
              </w:rPr>
              <w:t>12</w:t>
            </w:r>
          </w:p>
        </w:tc>
        <w:tc>
          <w:tcPr>
            <w:tcW w:w="1856" w:type="dxa"/>
            <w:noWrap/>
            <w:hideMark/>
          </w:tcPr>
          <w:p w14:paraId="5E4D76EC" w14:textId="77777777" w:rsidR="00945246" w:rsidRPr="00945246" w:rsidRDefault="00945246" w:rsidP="00945246">
            <w:pPr>
              <w:pStyle w:val="NoSpacing"/>
              <w:rPr>
                <w:sz w:val="20"/>
              </w:rPr>
            </w:pPr>
            <w:r w:rsidRPr="00945246">
              <w:rPr>
                <w:sz w:val="20"/>
              </w:rPr>
              <w:t>7</w:t>
            </w:r>
          </w:p>
        </w:tc>
        <w:tc>
          <w:tcPr>
            <w:tcW w:w="1546" w:type="dxa"/>
            <w:noWrap/>
            <w:hideMark/>
          </w:tcPr>
          <w:p w14:paraId="5CD82E00" w14:textId="77777777" w:rsidR="00945246" w:rsidRPr="00945246" w:rsidRDefault="00945246" w:rsidP="00945246">
            <w:pPr>
              <w:pStyle w:val="NoSpacing"/>
              <w:rPr>
                <w:sz w:val="20"/>
              </w:rPr>
            </w:pPr>
            <w:r w:rsidRPr="00945246">
              <w:rPr>
                <w:sz w:val="20"/>
              </w:rPr>
              <w:t>9</w:t>
            </w:r>
          </w:p>
        </w:tc>
      </w:tr>
      <w:tr w:rsidR="00945246" w:rsidRPr="00945246" w14:paraId="678C9628" w14:textId="77777777" w:rsidTr="004C34A3">
        <w:trPr>
          <w:trHeight w:val="240"/>
        </w:trPr>
        <w:tc>
          <w:tcPr>
            <w:tcW w:w="993" w:type="dxa"/>
            <w:noWrap/>
            <w:hideMark/>
          </w:tcPr>
          <w:p w14:paraId="28C2DCA6" w14:textId="77777777" w:rsidR="00945246" w:rsidRPr="00945246" w:rsidRDefault="00945246" w:rsidP="00945246">
            <w:pPr>
              <w:pStyle w:val="NoSpacing"/>
              <w:rPr>
                <w:sz w:val="20"/>
              </w:rPr>
            </w:pPr>
            <w:r w:rsidRPr="00945246">
              <w:rPr>
                <w:sz w:val="20"/>
              </w:rPr>
              <w:t>12</w:t>
            </w:r>
          </w:p>
        </w:tc>
        <w:tc>
          <w:tcPr>
            <w:tcW w:w="1984" w:type="dxa"/>
            <w:noWrap/>
            <w:hideMark/>
          </w:tcPr>
          <w:p w14:paraId="5697A1A6" w14:textId="77777777" w:rsidR="00945246" w:rsidRPr="00945246" w:rsidRDefault="00945246" w:rsidP="00945246">
            <w:pPr>
              <w:pStyle w:val="NoSpacing"/>
              <w:rPr>
                <w:sz w:val="20"/>
              </w:rPr>
            </w:pPr>
            <w:r w:rsidRPr="00945246">
              <w:rPr>
                <w:sz w:val="20"/>
              </w:rPr>
              <w:t>9</w:t>
            </w:r>
          </w:p>
        </w:tc>
        <w:tc>
          <w:tcPr>
            <w:tcW w:w="1856" w:type="dxa"/>
            <w:noWrap/>
            <w:hideMark/>
          </w:tcPr>
          <w:p w14:paraId="122132E0" w14:textId="77777777" w:rsidR="00945246" w:rsidRPr="00945246" w:rsidRDefault="00945246" w:rsidP="00945246">
            <w:pPr>
              <w:pStyle w:val="NoSpacing"/>
              <w:rPr>
                <w:sz w:val="20"/>
              </w:rPr>
            </w:pPr>
            <w:r w:rsidRPr="00945246">
              <w:rPr>
                <w:sz w:val="20"/>
              </w:rPr>
              <w:t>7</w:t>
            </w:r>
          </w:p>
        </w:tc>
        <w:tc>
          <w:tcPr>
            <w:tcW w:w="1546" w:type="dxa"/>
            <w:noWrap/>
            <w:hideMark/>
          </w:tcPr>
          <w:p w14:paraId="1EA97F7D" w14:textId="77777777" w:rsidR="00945246" w:rsidRPr="00945246" w:rsidRDefault="00945246" w:rsidP="00945246">
            <w:pPr>
              <w:pStyle w:val="NoSpacing"/>
              <w:rPr>
                <w:sz w:val="20"/>
              </w:rPr>
            </w:pPr>
            <w:r w:rsidRPr="00945246">
              <w:rPr>
                <w:sz w:val="20"/>
              </w:rPr>
              <w:t>9</w:t>
            </w:r>
          </w:p>
        </w:tc>
      </w:tr>
      <w:tr w:rsidR="00945246" w:rsidRPr="00945246" w14:paraId="5FB09DD3" w14:textId="77777777" w:rsidTr="004C34A3">
        <w:trPr>
          <w:trHeight w:val="240"/>
        </w:trPr>
        <w:tc>
          <w:tcPr>
            <w:tcW w:w="993" w:type="dxa"/>
            <w:noWrap/>
            <w:hideMark/>
          </w:tcPr>
          <w:p w14:paraId="17695BC5" w14:textId="77777777" w:rsidR="00945246" w:rsidRPr="00945246" w:rsidRDefault="00945246" w:rsidP="00945246">
            <w:pPr>
              <w:pStyle w:val="NoSpacing"/>
              <w:rPr>
                <w:sz w:val="20"/>
              </w:rPr>
            </w:pPr>
            <w:r w:rsidRPr="00945246">
              <w:rPr>
                <w:sz w:val="20"/>
              </w:rPr>
              <w:t>13</w:t>
            </w:r>
          </w:p>
        </w:tc>
        <w:tc>
          <w:tcPr>
            <w:tcW w:w="1984" w:type="dxa"/>
            <w:noWrap/>
            <w:hideMark/>
          </w:tcPr>
          <w:p w14:paraId="3FF242DF" w14:textId="77777777" w:rsidR="00945246" w:rsidRPr="00945246" w:rsidRDefault="00945246" w:rsidP="00945246">
            <w:pPr>
              <w:pStyle w:val="NoSpacing"/>
              <w:rPr>
                <w:sz w:val="20"/>
              </w:rPr>
            </w:pPr>
            <w:r w:rsidRPr="00945246">
              <w:rPr>
                <w:sz w:val="20"/>
              </w:rPr>
              <w:t>2</w:t>
            </w:r>
          </w:p>
        </w:tc>
        <w:tc>
          <w:tcPr>
            <w:tcW w:w="1856" w:type="dxa"/>
            <w:noWrap/>
            <w:hideMark/>
          </w:tcPr>
          <w:p w14:paraId="4BFC4897" w14:textId="77777777" w:rsidR="00945246" w:rsidRPr="00945246" w:rsidRDefault="00945246" w:rsidP="00945246">
            <w:pPr>
              <w:pStyle w:val="NoSpacing"/>
              <w:rPr>
                <w:sz w:val="20"/>
              </w:rPr>
            </w:pPr>
            <w:r w:rsidRPr="00945246">
              <w:rPr>
                <w:sz w:val="20"/>
              </w:rPr>
              <w:t>7</w:t>
            </w:r>
          </w:p>
        </w:tc>
        <w:tc>
          <w:tcPr>
            <w:tcW w:w="1546" w:type="dxa"/>
            <w:noWrap/>
            <w:hideMark/>
          </w:tcPr>
          <w:p w14:paraId="2879B20E" w14:textId="77777777" w:rsidR="00945246" w:rsidRPr="00945246" w:rsidRDefault="00945246" w:rsidP="00945246">
            <w:pPr>
              <w:pStyle w:val="NoSpacing"/>
              <w:rPr>
                <w:sz w:val="20"/>
              </w:rPr>
            </w:pPr>
            <w:r w:rsidRPr="00945246">
              <w:rPr>
                <w:sz w:val="20"/>
              </w:rPr>
              <w:t>9</w:t>
            </w:r>
          </w:p>
        </w:tc>
      </w:tr>
      <w:tr w:rsidR="00945246" w:rsidRPr="00945246" w14:paraId="61FC6B4A" w14:textId="77777777" w:rsidTr="004C34A3">
        <w:trPr>
          <w:trHeight w:val="240"/>
        </w:trPr>
        <w:tc>
          <w:tcPr>
            <w:tcW w:w="993" w:type="dxa"/>
            <w:noWrap/>
            <w:hideMark/>
          </w:tcPr>
          <w:p w14:paraId="15A38038" w14:textId="77777777" w:rsidR="00945246" w:rsidRPr="00945246" w:rsidRDefault="00945246" w:rsidP="00945246">
            <w:pPr>
              <w:pStyle w:val="NoSpacing"/>
              <w:rPr>
                <w:sz w:val="20"/>
              </w:rPr>
            </w:pPr>
            <w:r w:rsidRPr="00945246">
              <w:rPr>
                <w:sz w:val="20"/>
              </w:rPr>
              <w:t>14</w:t>
            </w:r>
          </w:p>
        </w:tc>
        <w:tc>
          <w:tcPr>
            <w:tcW w:w="1984" w:type="dxa"/>
            <w:noWrap/>
            <w:hideMark/>
          </w:tcPr>
          <w:p w14:paraId="3C7AB2A5" w14:textId="77777777" w:rsidR="00945246" w:rsidRPr="00945246" w:rsidRDefault="00945246" w:rsidP="00945246">
            <w:pPr>
              <w:pStyle w:val="NoSpacing"/>
              <w:rPr>
                <w:sz w:val="20"/>
              </w:rPr>
            </w:pPr>
            <w:r w:rsidRPr="00945246">
              <w:rPr>
                <w:sz w:val="20"/>
              </w:rPr>
              <w:t>2</w:t>
            </w:r>
          </w:p>
        </w:tc>
        <w:tc>
          <w:tcPr>
            <w:tcW w:w="1856" w:type="dxa"/>
            <w:noWrap/>
            <w:hideMark/>
          </w:tcPr>
          <w:p w14:paraId="4A2436A9" w14:textId="77777777" w:rsidR="00945246" w:rsidRPr="00945246" w:rsidRDefault="00945246" w:rsidP="00945246">
            <w:pPr>
              <w:pStyle w:val="NoSpacing"/>
              <w:rPr>
                <w:sz w:val="20"/>
              </w:rPr>
            </w:pPr>
            <w:r w:rsidRPr="00945246">
              <w:rPr>
                <w:sz w:val="20"/>
              </w:rPr>
              <w:t>7</w:t>
            </w:r>
          </w:p>
        </w:tc>
        <w:tc>
          <w:tcPr>
            <w:tcW w:w="1546" w:type="dxa"/>
            <w:noWrap/>
            <w:hideMark/>
          </w:tcPr>
          <w:p w14:paraId="6A51DF9D" w14:textId="77777777" w:rsidR="00945246" w:rsidRPr="00945246" w:rsidRDefault="00945246" w:rsidP="00945246">
            <w:pPr>
              <w:pStyle w:val="NoSpacing"/>
              <w:rPr>
                <w:sz w:val="20"/>
              </w:rPr>
            </w:pPr>
            <w:r w:rsidRPr="00945246">
              <w:rPr>
                <w:sz w:val="20"/>
              </w:rPr>
              <w:t>9</w:t>
            </w:r>
          </w:p>
        </w:tc>
      </w:tr>
      <w:tr w:rsidR="00945246" w:rsidRPr="00945246" w14:paraId="2F28CB1E" w14:textId="77777777" w:rsidTr="004C34A3">
        <w:trPr>
          <w:trHeight w:val="240"/>
        </w:trPr>
        <w:tc>
          <w:tcPr>
            <w:tcW w:w="993" w:type="dxa"/>
            <w:noWrap/>
            <w:hideMark/>
          </w:tcPr>
          <w:p w14:paraId="2BACED3F" w14:textId="77777777" w:rsidR="00945246" w:rsidRPr="00945246" w:rsidRDefault="00945246" w:rsidP="00945246">
            <w:pPr>
              <w:pStyle w:val="NoSpacing"/>
              <w:rPr>
                <w:sz w:val="20"/>
              </w:rPr>
            </w:pPr>
            <w:r w:rsidRPr="00945246">
              <w:rPr>
                <w:sz w:val="20"/>
              </w:rPr>
              <w:lastRenderedPageBreak/>
              <w:t>15</w:t>
            </w:r>
          </w:p>
        </w:tc>
        <w:tc>
          <w:tcPr>
            <w:tcW w:w="1984" w:type="dxa"/>
            <w:noWrap/>
            <w:hideMark/>
          </w:tcPr>
          <w:p w14:paraId="24164AED" w14:textId="77777777" w:rsidR="00945246" w:rsidRPr="00945246" w:rsidRDefault="00945246" w:rsidP="00945246">
            <w:pPr>
              <w:pStyle w:val="NoSpacing"/>
              <w:rPr>
                <w:sz w:val="20"/>
              </w:rPr>
            </w:pPr>
            <w:r w:rsidRPr="00945246">
              <w:rPr>
                <w:sz w:val="20"/>
              </w:rPr>
              <w:t>10</w:t>
            </w:r>
          </w:p>
        </w:tc>
        <w:tc>
          <w:tcPr>
            <w:tcW w:w="1856" w:type="dxa"/>
            <w:noWrap/>
            <w:hideMark/>
          </w:tcPr>
          <w:p w14:paraId="0645330E" w14:textId="77777777" w:rsidR="00945246" w:rsidRPr="00945246" w:rsidRDefault="00945246" w:rsidP="00945246">
            <w:pPr>
              <w:pStyle w:val="NoSpacing"/>
              <w:rPr>
                <w:sz w:val="20"/>
              </w:rPr>
            </w:pPr>
            <w:r w:rsidRPr="00945246">
              <w:rPr>
                <w:sz w:val="20"/>
              </w:rPr>
              <w:t>7</w:t>
            </w:r>
          </w:p>
        </w:tc>
        <w:tc>
          <w:tcPr>
            <w:tcW w:w="1546" w:type="dxa"/>
            <w:noWrap/>
            <w:hideMark/>
          </w:tcPr>
          <w:p w14:paraId="27C4421B" w14:textId="77777777" w:rsidR="00945246" w:rsidRPr="00945246" w:rsidRDefault="00945246" w:rsidP="00945246">
            <w:pPr>
              <w:pStyle w:val="NoSpacing"/>
              <w:rPr>
                <w:sz w:val="20"/>
              </w:rPr>
            </w:pPr>
            <w:r w:rsidRPr="00945246">
              <w:rPr>
                <w:sz w:val="20"/>
              </w:rPr>
              <w:t>9</w:t>
            </w:r>
          </w:p>
        </w:tc>
      </w:tr>
      <w:tr w:rsidR="00945246" w:rsidRPr="00945246" w14:paraId="35D14D52" w14:textId="77777777" w:rsidTr="004C34A3">
        <w:trPr>
          <w:trHeight w:val="240"/>
        </w:trPr>
        <w:tc>
          <w:tcPr>
            <w:tcW w:w="993" w:type="dxa"/>
            <w:noWrap/>
            <w:hideMark/>
          </w:tcPr>
          <w:p w14:paraId="4B051869" w14:textId="77777777" w:rsidR="00945246" w:rsidRPr="00945246" w:rsidRDefault="00945246" w:rsidP="00945246">
            <w:pPr>
              <w:pStyle w:val="NoSpacing"/>
              <w:rPr>
                <w:sz w:val="20"/>
              </w:rPr>
            </w:pPr>
            <w:r w:rsidRPr="00945246">
              <w:rPr>
                <w:sz w:val="20"/>
              </w:rPr>
              <w:t>16</w:t>
            </w:r>
          </w:p>
        </w:tc>
        <w:tc>
          <w:tcPr>
            <w:tcW w:w="1984" w:type="dxa"/>
            <w:noWrap/>
            <w:hideMark/>
          </w:tcPr>
          <w:p w14:paraId="1D865E2C" w14:textId="77777777" w:rsidR="00945246" w:rsidRPr="00945246" w:rsidRDefault="00945246" w:rsidP="00945246">
            <w:pPr>
              <w:pStyle w:val="NoSpacing"/>
              <w:rPr>
                <w:sz w:val="20"/>
              </w:rPr>
            </w:pPr>
            <w:r w:rsidRPr="00945246">
              <w:rPr>
                <w:sz w:val="20"/>
              </w:rPr>
              <w:t>2</w:t>
            </w:r>
          </w:p>
        </w:tc>
        <w:tc>
          <w:tcPr>
            <w:tcW w:w="1856" w:type="dxa"/>
            <w:noWrap/>
            <w:hideMark/>
          </w:tcPr>
          <w:p w14:paraId="46D77249" w14:textId="77777777" w:rsidR="00945246" w:rsidRPr="00945246" w:rsidRDefault="00945246" w:rsidP="00945246">
            <w:pPr>
              <w:pStyle w:val="NoSpacing"/>
              <w:rPr>
                <w:sz w:val="20"/>
              </w:rPr>
            </w:pPr>
            <w:r w:rsidRPr="00945246">
              <w:rPr>
                <w:sz w:val="20"/>
              </w:rPr>
              <w:t>7</w:t>
            </w:r>
          </w:p>
        </w:tc>
        <w:tc>
          <w:tcPr>
            <w:tcW w:w="1546" w:type="dxa"/>
            <w:noWrap/>
            <w:hideMark/>
          </w:tcPr>
          <w:p w14:paraId="52482C1E" w14:textId="77777777" w:rsidR="00945246" w:rsidRPr="00945246" w:rsidRDefault="00945246" w:rsidP="00945246">
            <w:pPr>
              <w:pStyle w:val="NoSpacing"/>
              <w:rPr>
                <w:sz w:val="20"/>
              </w:rPr>
            </w:pPr>
            <w:r w:rsidRPr="00945246">
              <w:rPr>
                <w:sz w:val="20"/>
              </w:rPr>
              <w:t>9</w:t>
            </w:r>
          </w:p>
        </w:tc>
      </w:tr>
      <w:tr w:rsidR="00945246" w:rsidRPr="00945246" w14:paraId="004C543E" w14:textId="77777777" w:rsidTr="004C34A3">
        <w:trPr>
          <w:trHeight w:val="240"/>
        </w:trPr>
        <w:tc>
          <w:tcPr>
            <w:tcW w:w="993" w:type="dxa"/>
            <w:noWrap/>
            <w:hideMark/>
          </w:tcPr>
          <w:p w14:paraId="39901523" w14:textId="77777777" w:rsidR="00945246" w:rsidRPr="00945246" w:rsidRDefault="00945246" w:rsidP="00945246">
            <w:pPr>
              <w:pStyle w:val="NoSpacing"/>
              <w:rPr>
                <w:sz w:val="20"/>
              </w:rPr>
            </w:pPr>
            <w:r w:rsidRPr="00945246">
              <w:rPr>
                <w:sz w:val="20"/>
              </w:rPr>
              <w:t>17</w:t>
            </w:r>
          </w:p>
        </w:tc>
        <w:tc>
          <w:tcPr>
            <w:tcW w:w="1984" w:type="dxa"/>
            <w:noWrap/>
            <w:hideMark/>
          </w:tcPr>
          <w:p w14:paraId="6787AB17" w14:textId="77777777" w:rsidR="00945246" w:rsidRPr="00945246" w:rsidRDefault="00945246" w:rsidP="00945246">
            <w:pPr>
              <w:pStyle w:val="NoSpacing"/>
              <w:rPr>
                <w:sz w:val="20"/>
              </w:rPr>
            </w:pPr>
            <w:r w:rsidRPr="00945246">
              <w:rPr>
                <w:sz w:val="20"/>
              </w:rPr>
              <w:t>2</w:t>
            </w:r>
          </w:p>
        </w:tc>
        <w:tc>
          <w:tcPr>
            <w:tcW w:w="1856" w:type="dxa"/>
            <w:noWrap/>
            <w:hideMark/>
          </w:tcPr>
          <w:p w14:paraId="5ABB8737" w14:textId="77777777" w:rsidR="00945246" w:rsidRPr="00945246" w:rsidRDefault="00945246" w:rsidP="00945246">
            <w:pPr>
              <w:pStyle w:val="NoSpacing"/>
              <w:rPr>
                <w:sz w:val="20"/>
              </w:rPr>
            </w:pPr>
            <w:r w:rsidRPr="00945246">
              <w:rPr>
                <w:sz w:val="20"/>
              </w:rPr>
              <w:t>7</w:t>
            </w:r>
          </w:p>
        </w:tc>
        <w:tc>
          <w:tcPr>
            <w:tcW w:w="1546" w:type="dxa"/>
            <w:noWrap/>
            <w:hideMark/>
          </w:tcPr>
          <w:p w14:paraId="673F3E77" w14:textId="77777777" w:rsidR="00945246" w:rsidRPr="00945246" w:rsidRDefault="00945246" w:rsidP="00945246">
            <w:pPr>
              <w:pStyle w:val="NoSpacing"/>
              <w:rPr>
                <w:sz w:val="20"/>
              </w:rPr>
            </w:pPr>
            <w:r w:rsidRPr="00945246">
              <w:rPr>
                <w:sz w:val="20"/>
              </w:rPr>
              <w:t>9</w:t>
            </w:r>
          </w:p>
        </w:tc>
      </w:tr>
      <w:tr w:rsidR="00945246" w:rsidRPr="00945246" w14:paraId="0C565150" w14:textId="77777777" w:rsidTr="004C34A3">
        <w:trPr>
          <w:trHeight w:val="240"/>
        </w:trPr>
        <w:tc>
          <w:tcPr>
            <w:tcW w:w="993" w:type="dxa"/>
            <w:noWrap/>
            <w:hideMark/>
          </w:tcPr>
          <w:p w14:paraId="0B488F6A" w14:textId="77777777" w:rsidR="00945246" w:rsidRPr="00945246" w:rsidRDefault="00945246" w:rsidP="00945246">
            <w:pPr>
              <w:pStyle w:val="NoSpacing"/>
              <w:rPr>
                <w:sz w:val="20"/>
              </w:rPr>
            </w:pPr>
            <w:r w:rsidRPr="00945246">
              <w:rPr>
                <w:sz w:val="20"/>
              </w:rPr>
              <w:t>18</w:t>
            </w:r>
          </w:p>
        </w:tc>
        <w:tc>
          <w:tcPr>
            <w:tcW w:w="1984" w:type="dxa"/>
            <w:noWrap/>
            <w:hideMark/>
          </w:tcPr>
          <w:p w14:paraId="79B29485" w14:textId="77777777" w:rsidR="00945246" w:rsidRPr="00945246" w:rsidRDefault="00945246" w:rsidP="00945246">
            <w:pPr>
              <w:pStyle w:val="NoSpacing"/>
              <w:rPr>
                <w:sz w:val="20"/>
              </w:rPr>
            </w:pPr>
            <w:r w:rsidRPr="00945246">
              <w:rPr>
                <w:sz w:val="20"/>
              </w:rPr>
              <w:t>734</w:t>
            </w:r>
          </w:p>
        </w:tc>
        <w:tc>
          <w:tcPr>
            <w:tcW w:w="1856" w:type="dxa"/>
            <w:noWrap/>
            <w:hideMark/>
          </w:tcPr>
          <w:p w14:paraId="52F8B7AE" w14:textId="77777777" w:rsidR="00945246" w:rsidRPr="00945246" w:rsidRDefault="00945246" w:rsidP="00945246">
            <w:pPr>
              <w:pStyle w:val="NoSpacing"/>
              <w:rPr>
                <w:sz w:val="20"/>
              </w:rPr>
            </w:pPr>
            <w:r w:rsidRPr="00945246">
              <w:rPr>
                <w:sz w:val="20"/>
              </w:rPr>
              <w:t>7</w:t>
            </w:r>
          </w:p>
        </w:tc>
        <w:tc>
          <w:tcPr>
            <w:tcW w:w="1546" w:type="dxa"/>
            <w:noWrap/>
            <w:hideMark/>
          </w:tcPr>
          <w:p w14:paraId="2AAB6534" w14:textId="77777777" w:rsidR="00945246" w:rsidRPr="00945246" w:rsidRDefault="00945246" w:rsidP="00945246">
            <w:pPr>
              <w:pStyle w:val="NoSpacing"/>
              <w:rPr>
                <w:sz w:val="20"/>
              </w:rPr>
            </w:pPr>
            <w:r w:rsidRPr="00945246">
              <w:rPr>
                <w:sz w:val="20"/>
              </w:rPr>
              <w:t>9</w:t>
            </w:r>
          </w:p>
        </w:tc>
      </w:tr>
      <w:tr w:rsidR="00945246" w:rsidRPr="00945246" w14:paraId="40CA1B84" w14:textId="77777777" w:rsidTr="004C34A3">
        <w:trPr>
          <w:trHeight w:val="240"/>
        </w:trPr>
        <w:tc>
          <w:tcPr>
            <w:tcW w:w="993" w:type="dxa"/>
            <w:noWrap/>
            <w:hideMark/>
          </w:tcPr>
          <w:p w14:paraId="667A203C" w14:textId="77777777" w:rsidR="00945246" w:rsidRPr="00945246" w:rsidRDefault="00945246" w:rsidP="00945246">
            <w:pPr>
              <w:pStyle w:val="NoSpacing"/>
              <w:rPr>
                <w:sz w:val="20"/>
              </w:rPr>
            </w:pPr>
            <w:r w:rsidRPr="00945246">
              <w:rPr>
                <w:sz w:val="20"/>
              </w:rPr>
              <w:t>19</w:t>
            </w:r>
          </w:p>
        </w:tc>
        <w:tc>
          <w:tcPr>
            <w:tcW w:w="1984" w:type="dxa"/>
            <w:noWrap/>
            <w:hideMark/>
          </w:tcPr>
          <w:p w14:paraId="76338425" w14:textId="77777777" w:rsidR="00945246" w:rsidRPr="00945246" w:rsidRDefault="00945246" w:rsidP="00945246">
            <w:pPr>
              <w:pStyle w:val="NoSpacing"/>
              <w:rPr>
                <w:sz w:val="20"/>
              </w:rPr>
            </w:pPr>
            <w:r w:rsidRPr="00945246">
              <w:rPr>
                <w:sz w:val="20"/>
              </w:rPr>
              <w:t>2</w:t>
            </w:r>
          </w:p>
        </w:tc>
        <w:tc>
          <w:tcPr>
            <w:tcW w:w="1856" w:type="dxa"/>
            <w:noWrap/>
            <w:hideMark/>
          </w:tcPr>
          <w:p w14:paraId="3161844A" w14:textId="77777777" w:rsidR="00945246" w:rsidRPr="00945246" w:rsidRDefault="00945246" w:rsidP="00945246">
            <w:pPr>
              <w:pStyle w:val="NoSpacing"/>
              <w:rPr>
                <w:sz w:val="20"/>
              </w:rPr>
            </w:pPr>
            <w:r w:rsidRPr="00945246">
              <w:rPr>
                <w:sz w:val="20"/>
              </w:rPr>
              <w:t>7</w:t>
            </w:r>
          </w:p>
        </w:tc>
        <w:tc>
          <w:tcPr>
            <w:tcW w:w="1546" w:type="dxa"/>
            <w:noWrap/>
            <w:hideMark/>
          </w:tcPr>
          <w:p w14:paraId="051CE6AD" w14:textId="77777777" w:rsidR="00945246" w:rsidRPr="00945246" w:rsidRDefault="00945246" w:rsidP="00945246">
            <w:pPr>
              <w:pStyle w:val="NoSpacing"/>
              <w:rPr>
                <w:sz w:val="20"/>
              </w:rPr>
            </w:pPr>
            <w:r w:rsidRPr="00945246">
              <w:rPr>
                <w:sz w:val="20"/>
              </w:rPr>
              <w:t>9</w:t>
            </w:r>
          </w:p>
        </w:tc>
      </w:tr>
      <w:tr w:rsidR="00945246" w:rsidRPr="00945246" w14:paraId="65B43253" w14:textId="77777777" w:rsidTr="004C34A3">
        <w:trPr>
          <w:trHeight w:val="240"/>
        </w:trPr>
        <w:tc>
          <w:tcPr>
            <w:tcW w:w="993" w:type="dxa"/>
            <w:noWrap/>
            <w:hideMark/>
          </w:tcPr>
          <w:p w14:paraId="248E7849" w14:textId="77777777" w:rsidR="00945246" w:rsidRPr="00945246" w:rsidRDefault="00945246" w:rsidP="00945246">
            <w:pPr>
              <w:pStyle w:val="NoSpacing"/>
              <w:rPr>
                <w:sz w:val="20"/>
              </w:rPr>
            </w:pPr>
            <w:r w:rsidRPr="00945246">
              <w:rPr>
                <w:sz w:val="20"/>
              </w:rPr>
              <w:t>20</w:t>
            </w:r>
          </w:p>
        </w:tc>
        <w:tc>
          <w:tcPr>
            <w:tcW w:w="1984" w:type="dxa"/>
            <w:noWrap/>
            <w:hideMark/>
          </w:tcPr>
          <w:p w14:paraId="08A9607D" w14:textId="77777777" w:rsidR="00945246" w:rsidRPr="00945246" w:rsidRDefault="00945246" w:rsidP="00945246">
            <w:pPr>
              <w:pStyle w:val="NoSpacing"/>
              <w:rPr>
                <w:sz w:val="20"/>
              </w:rPr>
            </w:pPr>
            <w:r w:rsidRPr="00945246">
              <w:rPr>
                <w:sz w:val="20"/>
              </w:rPr>
              <w:t>17</w:t>
            </w:r>
          </w:p>
        </w:tc>
        <w:tc>
          <w:tcPr>
            <w:tcW w:w="1856" w:type="dxa"/>
            <w:noWrap/>
            <w:hideMark/>
          </w:tcPr>
          <w:p w14:paraId="64E75853" w14:textId="77777777" w:rsidR="00945246" w:rsidRPr="00945246" w:rsidRDefault="00945246" w:rsidP="00945246">
            <w:pPr>
              <w:pStyle w:val="NoSpacing"/>
              <w:rPr>
                <w:sz w:val="20"/>
              </w:rPr>
            </w:pPr>
            <w:r w:rsidRPr="00945246">
              <w:rPr>
                <w:sz w:val="20"/>
              </w:rPr>
              <w:t>7</w:t>
            </w:r>
          </w:p>
        </w:tc>
        <w:tc>
          <w:tcPr>
            <w:tcW w:w="1546" w:type="dxa"/>
            <w:noWrap/>
            <w:hideMark/>
          </w:tcPr>
          <w:p w14:paraId="1A345BD8" w14:textId="77777777" w:rsidR="00945246" w:rsidRPr="00945246" w:rsidRDefault="00945246" w:rsidP="00945246">
            <w:pPr>
              <w:pStyle w:val="NoSpacing"/>
              <w:rPr>
                <w:sz w:val="20"/>
              </w:rPr>
            </w:pPr>
            <w:r w:rsidRPr="00945246">
              <w:rPr>
                <w:sz w:val="20"/>
              </w:rPr>
              <w:t>9</w:t>
            </w:r>
          </w:p>
        </w:tc>
      </w:tr>
      <w:tr w:rsidR="00945246" w:rsidRPr="00945246" w14:paraId="4078CF57" w14:textId="77777777" w:rsidTr="004C34A3">
        <w:trPr>
          <w:trHeight w:val="240"/>
        </w:trPr>
        <w:tc>
          <w:tcPr>
            <w:tcW w:w="993" w:type="dxa"/>
            <w:noWrap/>
            <w:hideMark/>
          </w:tcPr>
          <w:p w14:paraId="4CFB9795" w14:textId="77777777" w:rsidR="00945246" w:rsidRPr="00945246" w:rsidRDefault="00945246" w:rsidP="00945246">
            <w:pPr>
              <w:pStyle w:val="NoSpacing"/>
              <w:rPr>
                <w:sz w:val="20"/>
              </w:rPr>
            </w:pPr>
            <w:r w:rsidRPr="00945246">
              <w:rPr>
                <w:sz w:val="20"/>
              </w:rPr>
              <w:t>21</w:t>
            </w:r>
          </w:p>
        </w:tc>
        <w:tc>
          <w:tcPr>
            <w:tcW w:w="1984" w:type="dxa"/>
            <w:noWrap/>
            <w:hideMark/>
          </w:tcPr>
          <w:p w14:paraId="6AF30B83" w14:textId="77777777" w:rsidR="00945246" w:rsidRPr="00945246" w:rsidRDefault="00945246" w:rsidP="00945246">
            <w:pPr>
              <w:pStyle w:val="NoSpacing"/>
              <w:rPr>
                <w:sz w:val="20"/>
              </w:rPr>
            </w:pPr>
            <w:r w:rsidRPr="00945246">
              <w:rPr>
                <w:sz w:val="20"/>
              </w:rPr>
              <w:t>2</w:t>
            </w:r>
          </w:p>
        </w:tc>
        <w:tc>
          <w:tcPr>
            <w:tcW w:w="1856" w:type="dxa"/>
            <w:noWrap/>
            <w:hideMark/>
          </w:tcPr>
          <w:p w14:paraId="090D9F5F" w14:textId="77777777" w:rsidR="00945246" w:rsidRPr="00945246" w:rsidRDefault="00945246" w:rsidP="00945246">
            <w:pPr>
              <w:pStyle w:val="NoSpacing"/>
              <w:rPr>
                <w:sz w:val="20"/>
              </w:rPr>
            </w:pPr>
            <w:r w:rsidRPr="00945246">
              <w:rPr>
                <w:sz w:val="20"/>
              </w:rPr>
              <w:t>7</w:t>
            </w:r>
          </w:p>
        </w:tc>
        <w:tc>
          <w:tcPr>
            <w:tcW w:w="1546" w:type="dxa"/>
            <w:noWrap/>
            <w:hideMark/>
          </w:tcPr>
          <w:p w14:paraId="6AA7BFDF" w14:textId="77777777" w:rsidR="00945246" w:rsidRPr="00945246" w:rsidRDefault="00945246" w:rsidP="00945246">
            <w:pPr>
              <w:pStyle w:val="NoSpacing"/>
              <w:rPr>
                <w:sz w:val="20"/>
              </w:rPr>
            </w:pPr>
            <w:r w:rsidRPr="00945246">
              <w:rPr>
                <w:sz w:val="20"/>
              </w:rPr>
              <w:t>9</w:t>
            </w:r>
          </w:p>
        </w:tc>
      </w:tr>
      <w:tr w:rsidR="00945246" w:rsidRPr="00945246" w14:paraId="23032D85" w14:textId="77777777" w:rsidTr="004C34A3">
        <w:trPr>
          <w:trHeight w:val="240"/>
        </w:trPr>
        <w:tc>
          <w:tcPr>
            <w:tcW w:w="993" w:type="dxa"/>
            <w:noWrap/>
            <w:hideMark/>
          </w:tcPr>
          <w:p w14:paraId="75B703B6" w14:textId="77777777" w:rsidR="00945246" w:rsidRPr="00945246" w:rsidRDefault="00945246" w:rsidP="00945246">
            <w:pPr>
              <w:pStyle w:val="NoSpacing"/>
              <w:rPr>
                <w:sz w:val="20"/>
              </w:rPr>
            </w:pPr>
            <w:r w:rsidRPr="00945246">
              <w:rPr>
                <w:sz w:val="20"/>
              </w:rPr>
              <w:t>22</w:t>
            </w:r>
          </w:p>
        </w:tc>
        <w:tc>
          <w:tcPr>
            <w:tcW w:w="1984" w:type="dxa"/>
            <w:noWrap/>
            <w:hideMark/>
          </w:tcPr>
          <w:p w14:paraId="0916456C" w14:textId="77777777" w:rsidR="00945246" w:rsidRPr="00945246" w:rsidRDefault="00945246" w:rsidP="00945246">
            <w:pPr>
              <w:pStyle w:val="NoSpacing"/>
              <w:rPr>
                <w:sz w:val="20"/>
              </w:rPr>
            </w:pPr>
            <w:r w:rsidRPr="00945246">
              <w:rPr>
                <w:sz w:val="20"/>
              </w:rPr>
              <w:t>2</w:t>
            </w:r>
          </w:p>
        </w:tc>
        <w:tc>
          <w:tcPr>
            <w:tcW w:w="1856" w:type="dxa"/>
            <w:noWrap/>
            <w:hideMark/>
          </w:tcPr>
          <w:p w14:paraId="3671EDB7" w14:textId="77777777" w:rsidR="00945246" w:rsidRPr="00945246" w:rsidRDefault="00945246" w:rsidP="00945246">
            <w:pPr>
              <w:pStyle w:val="NoSpacing"/>
              <w:rPr>
                <w:sz w:val="20"/>
              </w:rPr>
            </w:pPr>
            <w:r w:rsidRPr="00945246">
              <w:rPr>
                <w:sz w:val="20"/>
              </w:rPr>
              <w:t>7</w:t>
            </w:r>
          </w:p>
        </w:tc>
        <w:tc>
          <w:tcPr>
            <w:tcW w:w="1546" w:type="dxa"/>
            <w:noWrap/>
            <w:hideMark/>
          </w:tcPr>
          <w:p w14:paraId="4BB96922" w14:textId="77777777" w:rsidR="00945246" w:rsidRPr="00945246" w:rsidRDefault="00945246" w:rsidP="00945246">
            <w:pPr>
              <w:pStyle w:val="NoSpacing"/>
              <w:rPr>
                <w:sz w:val="20"/>
              </w:rPr>
            </w:pPr>
            <w:r w:rsidRPr="00945246">
              <w:rPr>
                <w:sz w:val="20"/>
              </w:rPr>
              <w:t>9</w:t>
            </w:r>
          </w:p>
        </w:tc>
      </w:tr>
      <w:tr w:rsidR="00945246" w:rsidRPr="00945246" w14:paraId="07984B7E" w14:textId="77777777" w:rsidTr="004C34A3">
        <w:trPr>
          <w:trHeight w:val="240"/>
        </w:trPr>
        <w:tc>
          <w:tcPr>
            <w:tcW w:w="993" w:type="dxa"/>
            <w:noWrap/>
            <w:hideMark/>
          </w:tcPr>
          <w:p w14:paraId="4BF61DEF" w14:textId="77777777" w:rsidR="00945246" w:rsidRPr="00945246" w:rsidRDefault="00945246" w:rsidP="00945246">
            <w:pPr>
              <w:pStyle w:val="NoSpacing"/>
              <w:rPr>
                <w:sz w:val="20"/>
              </w:rPr>
            </w:pPr>
            <w:r w:rsidRPr="00945246">
              <w:rPr>
                <w:sz w:val="20"/>
              </w:rPr>
              <w:t>23</w:t>
            </w:r>
          </w:p>
        </w:tc>
        <w:tc>
          <w:tcPr>
            <w:tcW w:w="1984" w:type="dxa"/>
            <w:noWrap/>
            <w:hideMark/>
          </w:tcPr>
          <w:p w14:paraId="3BE732C4" w14:textId="77777777" w:rsidR="00945246" w:rsidRPr="00945246" w:rsidRDefault="00945246" w:rsidP="00945246">
            <w:pPr>
              <w:pStyle w:val="NoSpacing"/>
              <w:rPr>
                <w:sz w:val="20"/>
              </w:rPr>
            </w:pPr>
            <w:r w:rsidRPr="00945246">
              <w:rPr>
                <w:sz w:val="20"/>
              </w:rPr>
              <w:t>2</w:t>
            </w:r>
          </w:p>
        </w:tc>
        <w:tc>
          <w:tcPr>
            <w:tcW w:w="1856" w:type="dxa"/>
            <w:noWrap/>
            <w:hideMark/>
          </w:tcPr>
          <w:p w14:paraId="2F9353FC" w14:textId="77777777" w:rsidR="00945246" w:rsidRPr="00945246" w:rsidRDefault="00945246" w:rsidP="00945246">
            <w:pPr>
              <w:pStyle w:val="NoSpacing"/>
              <w:rPr>
                <w:sz w:val="20"/>
              </w:rPr>
            </w:pPr>
            <w:r w:rsidRPr="00945246">
              <w:rPr>
                <w:sz w:val="20"/>
              </w:rPr>
              <w:t>7</w:t>
            </w:r>
          </w:p>
        </w:tc>
        <w:tc>
          <w:tcPr>
            <w:tcW w:w="1546" w:type="dxa"/>
            <w:noWrap/>
            <w:hideMark/>
          </w:tcPr>
          <w:p w14:paraId="4209A8AA" w14:textId="77777777" w:rsidR="00945246" w:rsidRPr="00945246" w:rsidRDefault="00945246" w:rsidP="00945246">
            <w:pPr>
              <w:pStyle w:val="NoSpacing"/>
              <w:rPr>
                <w:sz w:val="20"/>
              </w:rPr>
            </w:pPr>
            <w:r w:rsidRPr="00945246">
              <w:rPr>
                <w:sz w:val="20"/>
              </w:rPr>
              <w:t>9</w:t>
            </w:r>
          </w:p>
        </w:tc>
      </w:tr>
      <w:tr w:rsidR="00945246" w:rsidRPr="00945246" w14:paraId="7258A06A" w14:textId="77777777" w:rsidTr="004C34A3">
        <w:trPr>
          <w:trHeight w:val="240"/>
        </w:trPr>
        <w:tc>
          <w:tcPr>
            <w:tcW w:w="993" w:type="dxa"/>
            <w:noWrap/>
            <w:hideMark/>
          </w:tcPr>
          <w:p w14:paraId="7894CA0E" w14:textId="77777777" w:rsidR="00945246" w:rsidRPr="00945246" w:rsidRDefault="00945246" w:rsidP="00945246">
            <w:pPr>
              <w:pStyle w:val="NoSpacing"/>
              <w:rPr>
                <w:sz w:val="20"/>
              </w:rPr>
            </w:pPr>
            <w:r w:rsidRPr="00945246">
              <w:rPr>
                <w:sz w:val="20"/>
              </w:rPr>
              <w:t>24</w:t>
            </w:r>
          </w:p>
        </w:tc>
        <w:tc>
          <w:tcPr>
            <w:tcW w:w="1984" w:type="dxa"/>
            <w:noWrap/>
            <w:hideMark/>
          </w:tcPr>
          <w:p w14:paraId="7F187E82" w14:textId="77777777" w:rsidR="00945246" w:rsidRPr="00945246" w:rsidRDefault="00945246" w:rsidP="00945246">
            <w:pPr>
              <w:pStyle w:val="NoSpacing"/>
              <w:rPr>
                <w:sz w:val="20"/>
              </w:rPr>
            </w:pPr>
            <w:r w:rsidRPr="00945246">
              <w:rPr>
                <w:sz w:val="20"/>
              </w:rPr>
              <w:t>2</w:t>
            </w:r>
          </w:p>
        </w:tc>
        <w:tc>
          <w:tcPr>
            <w:tcW w:w="1856" w:type="dxa"/>
            <w:noWrap/>
            <w:hideMark/>
          </w:tcPr>
          <w:p w14:paraId="69BA3224" w14:textId="77777777" w:rsidR="00945246" w:rsidRPr="00945246" w:rsidRDefault="00945246" w:rsidP="00945246">
            <w:pPr>
              <w:pStyle w:val="NoSpacing"/>
              <w:rPr>
                <w:sz w:val="20"/>
              </w:rPr>
            </w:pPr>
            <w:r w:rsidRPr="00945246">
              <w:rPr>
                <w:sz w:val="20"/>
              </w:rPr>
              <w:t>7</w:t>
            </w:r>
          </w:p>
        </w:tc>
        <w:tc>
          <w:tcPr>
            <w:tcW w:w="1546" w:type="dxa"/>
            <w:noWrap/>
            <w:hideMark/>
          </w:tcPr>
          <w:p w14:paraId="27228518" w14:textId="77777777" w:rsidR="00945246" w:rsidRPr="00945246" w:rsidRDefault="00945246" w:rsidP="00945246">
            <w:pPr>
              <w:pStyle w:val="NoSpacing"/>
              <w:rPr>
                <w:sz w:val="20"/>
              </w:rPr>
            </w:pPr>
            <w:r w:rsidRPr="00945246">
              <w:rPr>
                <w:sz w:val="20"/>
              </w:rPr>
              <w:t>9</w:t>
            </w:r>
          </w:p>
        </w:tc>
      </w:tr>
      <w:tr w:rsidR="00945246" w:rsidRPr="00945246" w14:paraId="034BC17A" w14:textId="77777777" w:rsidTr="004C34A3">
        <w:trPr>
          <w:trHeight w:val="240"/>
        </w:trPr>
        <w:tc>
          <w:tcPr>
            <w:tcW w:w="993" w:type="dxa"/>
            <w:noWrap/>
            <w:hideMark/>
          </w:tcPr>
          <w:p w14:paraId="4D0EF346" w14:textId="77777777" w:rsidR="00945246" w:rsidRPr="00945246" w:rsidRDefault="00945246" w:rsidP="00945246">
            <w:pPr>
              <w:pStyle w:val="NoSpacing"/>
              <w:rPr>
                <w:sz w:val="20"/>
              </w:rPr>
            </w:pPr>
            <w:r w:rsidRPr="00945246">
              <w:rPr>
                <w:sz w:val="20"/>
              </w:rPr>
              <w:t>25</w:t>
            </w:r>
          </w:p>
        </w:tc>
        <w:tc>
          <w:tcPr>
            <w:tcW w:w="1984" w:type="dxa"/>
            <w:noWrap/>
            <w:hideMark/>
          </w:tcPr>
          <w:p w14:paraId="5197AC81" w14:textId="77777777" w:rsidR="00945246" w:rsidRPr="00945246" w:rsidRDefault="00945246" w:rsidP="00945246">
            <w:pPr>
              <w:pStyle w:val="NoSpacing"/>
              <w:rPr>
                <w:sz w:val="20"/>
              </w:rPr>
            </w:pPr>
            <w:r w:rsidRPr="00945246">
              <w:rPr>
                <w:sz w:val="20"/>
              </w:rPr>
              <w:t>21</w:t>
            </w:r>
          </w:p>
        </w:tc>
        <w:tc>
          <w:tcPr>
            <w:tcW w:w="1856" w:type="dxa"/>
            <w:noWrap/>
            <w:hideMark/>
          </w:tcPr>
          <w:p w14:paraId="42C1B62B" w14:textId="77777777" w:rsidR="00945246" w:rsidRPr="00945246" w:rsidRDefault="00945246" w:rsidP="00945246">
            <w:pPr>
              <w:pStyle w:val="NoSpacing"/>
              <w:rPr>
                <w:sz w:val="20"/>
              </w:rPr>
            </w:pPr>
            <w:r w:rsidRPr="00945246">
              <w:rPr>
                <w:sz w:val="20"/>
              </w:rPr>
              <w:t>7</w:t>
            </w:r>
          </w:p>
        </w:tc>
        <w:tc>
          <w:tcPr>
            <w:tcW w:w="1546" w:type="dxa"/>
            <w:noWrap/>
            <w:hideMark/>
          </w:tcPr>
          <w:p w14:paraId="1C765947" w14:textId="77777777" w:rsidR="00945246" w:rsidRPr="00945246" w:rsidRDefault="00945246" w:rsidP="00945246">
            <w:pPr>
              <w:pStyle w:val="NoSpacing"/>
              <w:rPr>
                <w:sz w:val="20"/>
              </w:rPr>
            </w:pPr>
            <w:r w:rsidRPr="00945246">
              <w:rPr>
                <w:sz w:val="20"/>
              </w:rPr>
              <w:t>9</w:t>
            </w:r>
          </w:p>
        </w:tc>
      </w:tr>
    </w:tbl>
    <w:p w14:paraId="0C4A2024" w14:textId="77777777" w:rsidR="00D67996" w:rsidRDefault="00D67996" w:rsidP="00854EFC">
      <w:pPr>
        <w:pStyle w:val="parrafonumerado"/>
      </w:pPr>
      <w:r>
        <w:t xml:space="preserve">En el caso del bosque </w:t>
      </w:r>
      <w:r w:rsidR="00945246">
        <w:t xml:space="preserve">privado </w:t>
      </w:r>
      <w:r>
        <w:t>con producción, en el año 18 se produce el primer raleo (corte) comercial, el cual acarrea costos adicionales por la</w:t>
      </w:r>
      <w:r w:rsidR="00DC0F50">
        <w:t>s</w:t>
      </w:r>
      <w:r>
        <w:t xml:space="preserve"> labores del corte de los árboles y los costos de transporte y trámites correspondientes.  Para las intervenciones de SAF y </w:t>
      </w:r>
      <w:r w:rsidR="00945246">
        <w:t>MAB</w:t>
      </w:r>
      <w:r>
        <w:t xml:space="preserve"> se ha asumido un costo de operación y mantenimiento equivalente al 15% de los costos anuales entre los años 1 y 5.</w:t>
      </w:r>
    </w:p>
    <w:p w14:paraId="12BFCF1D" w14:textId="77777777" w:rsidR="00CE1DEA" w:rsidRDefault="00CE1DEA" w:rsidP="00854EFC">
      <w:pPr>
        <w:pStyle w:val="parrafonumerado"/>
      </w:pPr>
      <w:r>
        <w:t xml:space="preserve">De la combinación de las áreas y tipos de intervención </w:t>
      </w:r>
      <w:r w:rsidR="00BA05AF">
        <w:t xml:space="preserve">por año (se asumen áreas crecientes de </w:t>
      </w:r>
      <w:r w:rsidR="005307C7">
        <w:t xml:space="preserve">cada </w:t>
      </w:r>
      <w:r w:rsidR="00BA05AF">
        <w:t xml:space="preserve">intervención entre el Año 1 y Año </w:t>
      </w:r>
      <w:r w:rsidR="005307C7">
        <w:t>3 (</w:t>
      </w:r>
      <w:r w:rsidR="00BA05AF">
        <w:t xml:space="preserve">ver explicación sobre supuestos más adelante) </w:t>
      </w:r>
      <w:r>
        <w:t xml:space="preserve">y la evolución </w:t>
      </w:r>
      <w:r w:rsidR="00BA05AF">
        <w:t xml:space="preserve">promedio anual </w:t>
      </w:r>
      <w:r>
        <w:t xml:space="preserve">de </w:t>
      </w:r>
      <w:r w:rsidR="00BA05AF">
        <w:t xml:space="preserve">los </w:t>
      </w:r>
      <w:r>
        <w:t>costos se obtiene la evolución de costos totales del componente y que se muestran en el siguiente gráfico.</w:t>
      </w:r>
    </w:p>
    <w:p w14:paraId="28657C2F" w14:textId="20845A73" w:rsidR="00695B82" w:rsidRDefault="00950270" w:rsidP="002E3F3A">
      <w:pPr>
        <w:pStyle w:val="NoSpacing"/>
      </w:pPr>
      <w:r>
        <w:t>Gráfico</w:t>
      </w:r>
      <w:r w:rsidR="00C85C68">
        <w:t xml:space="preserve"> 1</w:t>
      </w:r>
      <w:r>
        <w:t>.</w:t>
      </w:r>
      <w:r w:rsidR="00A74455">
        <w:t xml:space="preserve">  Evolución de costos totales </w:t>
      </w:r>
      <w:r w:rsidR="005307C7">
        <w:t xml:space="preserve">del proyecto </w:t>
      </w:r>
    </w:p>
    <w:p w14:paraId="3DCBE7C7" w14:textId="108EBE2E" w:rsidR="00950270" w:rsidRDefault="00695B82" w:rsidP="002E3F3A">
      <w:pPr>
        <w:pStyle w:val="NoSpacing"/>
      </w:pPr>
      <w:r w:rsidRPr="000C0768">
        <w:rPr>
          <w:noProof/>
          <w:lang w:val="en-US" w:eastAsia="en-US"/>
        </w:rPr>
        <w:drawing>
          <wp:anchor distT="0" distB="0" distL="114300" distR="114300" simplePos="0" relativeHeight="251684864" behindDoc="0" locked="0" layoutInCell="1" allowOverlap="1" wp14:anchorId="1E82A91A" wp14:editId="4569DB12">
            <wp:simplePos x="0" y="0"/>
            <wp:positionH relativeFrom="column">
              <wp:posOffset>857250</wp:posOffset>
            </wp:positionH>
            <wp:positionV relativeFrom="paragraph">
              <wp:posOffset>196215</wp:posOffset>
            </wp:positionV>
            <wp:extent cx="3905885" cy="2252980"/>
            <wp:effectExtent l="0" t="0" r="18415" b="13970"/>
            <wp:wrapTopAndBottom/>
            <wp:docPr id="10" name="Gráfico 10">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5307C7">
        <w:t xml:space="preserve">por tipo de intervención </w:t>
      </w:r>
      <w:r w:rsidR="00A74455">
        <w:t>(US$)</w:t>
      </w:r>
    </w:p>
    <w:p w14:paraId="37DA5839" w14:textId="77777777" w:rsidR="00D67996" w:rsidRDefault="00D67996" w:rsidP="00854EFC">
      <w:pPr>
        <w:pStyle w:val="parrafonumerado"/>
      </w:pPr>
      <w:r>
        <w:t xml:space="preserve">Se observa en el gráfico que los costos totales se concentran en los primeros años del horizonte del proyecto, y se genera un costo extraordinario en el año 18 asociado al corte comercial en bosque privado con producción.  </w:t>
      </w:r>
    </w:p>
    <w:p w14:paraId="4E7743BF" w14:textId="77777777" w:rsidR="00950270" w:rsidRDefault="00950270" w:rsidP="00854EFC">
      <w:pPr>
        <w:pStyle w:val="parrafonumerado"/>
      </w:pPr>
      <w:proofErr w:type="gramStart"/>
      <w:r>
        <w:t xml:space="preserve">Esta evolución de los costos </w:t>
      </w:r>
      <w:r w:rsidR="00BA05AF">
        <w:t xml:space="preserve">totales </w:t>
      </w:r>
      <w:r w:rsidR="005307C7">
        <w:t>del proyecto</w:t>
      </w:r>
      <w:r>
        <w:t xml:space="preserve"> deberán</w:t>
      </w:r>
      <w:proofErr w:type="gramEnd"/>
      <w:r>
        <w:t xml:space="preserve"> </w:t>
      </w:r>
      <w:r w:rsidR="005307C7">
        <w:t xml:space="preserve">ser </w:t>
      </w:r>
      <w:r>
        <w:t xml:space="preserve">contrastados con la evolución de </w:t>
      </w:r>
      <w:r w:rsidR="00DC0F50">
        <w:t>l</w:t>
      </w:r>
      <w:r>
        <w:t>os beneficios esperados descritos en la sección previa para poder simular la evolución del beneficio neto (beneficios menos costos) y poder realizar en análisis costo-beneficio en la sección siguiente.</w:t>
      </w:r>
    </w:p>
    <w:p w14:paraId="506EC356" w14:textId="77777777" w:rsidR="00A74455" w:rsidRDefault="00A74455">
      <w:pPr>
        <w:spacing w:after="160" w:line="259" w:lineRule="auto"/>
        <w:jc w:val="left"/>
        <w:rPr>
          <w:b/>
        </w:rPr>
      </w:pPr>
      <w:r>
        <w:br w:type="page"/>
      </w:r>
    </w:p>
    <w:p w14:paraId="4448A8FC" w14:textId="60A3C4DE" w:rsidR="00C20500" w:rsidRPr="003B16B3" w:rsidRDefault="00CE1DEA" w:rsidP="009522BD">
      <w:pPr>
        <w:pStyle w:val="Heading1"/>
      </w:pPr>
      <w:bookmarkStart w:id="19" w:name="_Toc17823753"/>
      <w:r w:rsidRPr="003B16B3">
        <w:lastRenderedPageBreak/>
        <w:t>S</w:t>
      </w:r>
      <w:r w:rsidR="00C20500" w:rsidRPr="003B16B3">
        <w:t xml:space="preserve">ección 5. Análisis de </w:t>
      </w:r>
      <w:r w:rsidR="00971746">
        <w:t>c</w:t>
      </w:r>
      <w:r w:rsidR="00C20500" w:rsidRPr="003B16B3">
        <w:t>osto-</w:t>
      </w:r>
      <w:r w:rsidR="00971746">
        <w:t>b</w:t>
      </w:r>
      <w:r w:rsidR="00C20500" w:rsidRPr="003B16B3">
        <w:t>eneficio</w:t>
      </w:r>
      <w:r w:rsidR="00971746">
        <w:t xml:space="preserve"> del </w:t>
      </w:r>
      <w:r w:rsidR="00F11EE2">
        <w:t xml:space="preserve">nuevo </w:t>
      </w:r>
      <w:r w:rsidR="005307C7">
        <w:t>proyecto</w:t>
      </w:r>
      <w:bookmarkEnd w:id="19"/>
    </w:p>
    <w:p w14:paraId="3287B738" w14:textId="5D801D30" w:rsidR="005166E7" w:rsidRDefault="005166E7" w:rsidP="00854EFC">
      <w:pPr>
        <w:pStyle w:val="parrafonumerado"/>
      </w:pPr>
      <w:r>
        <w:t>En esta sección aplicamos una metodología de costo-beneficio para generar indicadores de rentabilidad económica del proyecto.  Como es una evaluación ex ante se utilizan algunos supuestos sobre el comportamiento y parámetros de los costos y beneficios y su despliegue en el tiempo (en el horizonte del proyecto).  Igualmente, se establece un escenario base para la presente evaluación, que servirá de referente para el análisis de sensibilidad que se presenta en la siguiente sección.</w:t>
      </w:r>
    </w:p>
    <w:p w14:paraId="1B8CB9DC" w14:textId="77777777" w:rsidR="005166E7" w:rsidRDefault="005166E7" w:rsidP="00C53593">
      <w:pPr>
        <w:pStyle w:val="Heading2"/>
      </w:pPr>
      <w:bookmarkStart w:id="20" w:name="_Toc17823754"/>
      <w:r>
        <w:t>5.1. Supuestos principales del escenario base</w:t>
      </w:r>
      <w:bookmarkEnd w:id="20"/>
    </w:p>
    <w:p w14:paraId="00C2F096" w14:textId="77777777" w:rsidR="005166E7" w:rsidRDefault="00C53593" w:rsidP="00854EFC">
      <w:pPr>
        <w:pStyle w:val="parrafonumerado"/>
      </w:pPr>
      <w:r>
        <w:t xml:space="preserve">En el cuadro siguiente se presentan el conjunto de supuestos de las variables utilizadas </w:t>
      </w:r>
      <w:r w:rsidR="003071F3">
        <w:t xml:space="preserve">por tipo de intervención del proyecto </w:t>
      </w:r>
      <w:r>
        <w:t>en el escenario base.</w:t>
      </w:r>
    </w:p>
    <w:p w14:paraId="51945ECB" w14:textId="1478D192" w:rsidR="00C53593" w:rsidRDefault="003071F3" w:rsidP="004C34A3">
      <w:pPr>
        <w:pStyle w:val="NoSpacing"/>
      </w:pPr>
      <w:r>
        <w:t>Cuadro 1</w:t>
      </w:r>
      <w:r w:rsidR="00854EFC">
        <w:t>1</w:t>
      </w:r>
      <w:r>
        <w:t>.  Supuestos para el escenario base del proyecto</w:t>
      </w:r>
      <w:r w:rsidR="00695B82">
        <w:t xml:space="preserve"> </w:t>
      </w:r>
      <w:r>
        <w:t>por tipo de intervención</w:t>
      </w:r>
    </w:p>
    <w:tbl>
      <w:tblPr>
        <w:tblW w:w="5177" w:type="pct"/>
        <w:tblInd w:w="132" w:type="dxa"/>
        <w:tblLayout w:type="fixed"/>
        <w:tblLook w:val="04A0" w:firstRow="1" w:lastRow="0" w:firstColumn="1" w:lastColumn="0" w:noHBand="0" w:noVBand="1"/>
      </w:tblPr>
      <w:tblGrid>
        <w:gridCol w:w="3314"/>
        <w:gridCol w:w="1065"/>
        <w:gridCol w:w="1419"/>
        <w:gridCol w:w="1858"/>
        <w:gridCol w:w="1134"/>
      </w:tblGrid>
      <w:tr w:rsidR="004C34A3" w:rsidRPr="004C34A3" w14:paraId="114E5A8A" w14:textId="77777777" w:rsidTr="00B74C0D">
        <w:trPr>
          <w:trHeight w:val="840"/>
        </w:trPr>
        <w:tc>
          <w:tcPr>
            <w:tcW w:w="1885"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6D4373C" w14:textId="77777777" w:rsidR="004C34A3" w:rsidRPr="005A6EF5" w:rsidRDefault="004C34A3" w:rsidP="004C34A3">
            <w:pPr>
              <w:spacing w:before="0" w:after="0"/>
              <w:jc w:val="left"/>
              <w:rPr>
                <w:b/>
                <w:bCs/>
                <w:color w:val="000000"/>
                <w:sz w:val="20"/>
                <w:szCs w:val="20"/>
                <w:lang w:eastAsia="en-US"/>
              </w:rPr>
            </w:pPr>
            <w:r w:rsidRPr="005A6EF5">
              <w:rPr>
                <w:b/>
                <w:bCs/>
                <w:color w:val="000000"/>
                <w:sz w:val="20"/>
                <w:szCs w:val="20"/>
                <w:lang w:eastAsia="en-US"/>
              </w:rPr>
              <w:t> </w:t>
            </w:r>
          </w:p>
        </w:tc>
        <w:tc>
          <w:tcPr>
            <w:tcW w:w="606" w:type="pct"/>
            <w:tcBorders>
              <w:top w:val="single" w:sz="8" w:space="0" w:color="auto"/>
              <w:left w:val="nil"/>
              <w:bottom w:val="single" w:sz="8" w:space="0" w:color="auto"/>
              <w:right w:val="single" w:sz="4" w:space="0" w:color="auto"/>
            </w:tcBorders>
            <w:shd w:val="clear" w:color="auto" w:fill="auto"/>
            <w:noWrap/>
            <w:vAlign w:val="center"/>
            <w:hideMark/>
          </w:tcPr>
          <w:p w14:paraId="7657EBCF" w14:textId="77777777" w:rsidR="004C34A3" w:rsidRPr="004C34A3" w:rsidRDefault="004C34A3" w:rsidP="004C34A3">
            <w:pPr>
              <w:spacing w:before="0" w:after="0"/>
              <w:jc w:val="center"/>
              <w:rPr>
                <w:b/>
                <w:bCs/>
                <w:color w:val="000000"/>
                <w:sz w:val="20"/>
                <w:szCs w:val="20"/>
                <w:lang w:val="en-US" w:eastAsia="en-US"/>
              </w:rPr>
            </w:pPr>
            <w:r w:rsidRPr="004C34A3">
              <w:rPr>
                <w:b/>
                <w:bCs/>
                <w:color w:val="000000"/>
                <w:sz w:val="20"/>
                <w:szCs w:val="20"/>
                <w:lang w:val="en-US" w:eastAsia="en-US"/>
              </w:rPr>
              <w:t>UM</w:t>
            </w:r>
          </w:p>
        </w:tc>
        <w:tc>
          <w:tcPr>
            <w:tcW w:w="807" w:type="pct"/>
            <w:tcBorders>
              <w:top w:val="single" w:sz="8" w:space="0" w:color="auto"/>
              <w:left w:val="nil"/>
              <w:bottom w:val="single" w:sz="8" w:space="0" w:color="auto"/>
              <w:right w:val="single" w:sz="4" w:space="0" w:color="auto"/>
            </w:tcBorders>
            <w:shd w:val="clear" w:color="auto" w:fill="auto"/>
            <w:vAlign w:val="center"/>
            <w:hideMark/>
          </w:tcPr>
          <w:p w14:paraId="25FE5D6F" w14:textId="77777777" w:rsidR="004C34A3" w:rsidRPr="004C34A3" w:rsidRDefault="004C34A3" w:rsidP="004C34A3">
            <w:pPr>
              <w:spacing w:before="0" w:after="0"/>
              <w:jc w:val="center"/>
              <w:rPr>
                <w:b/>
                <w:bCs/>
                <w:color w:val="000000"/>
                <w:sz w:val="20"/>
                <w:szCs w:val="20"/>
                <w:lang w:val="en-US" w:eastAsia="en-US"/>
              </w:rPr>
            </w:pPr>
            <w:proofErr w:type="spellStart"/>
            <w:r w:rsidRPr="004C34A3">
              <w:rPr>
                <w:b/>
                <w:bCs/>
                <w:color w:val="000000"/>
                <w:sz w:val="20"/>
                <w:szCs w:val="20"/>
                <w:lang w:val="en-US" w:eastAsia="en-US"/>
              </w:rPr>
              <w:t>Restauración</w:t>
            </w:r>
            <w:proofErr w:type="spellEnd"/>
            <w:r w:rsidRPr="004C34A3">
              <w:rPr>
                <w:b/>
                <w:bCs/>
                <w:color w:val="000000"/>
                <w:sz w:val="20"/>
                <w:szCs w:val="20"/>
                <w:lang w:val="en-US" w:eastAsia="en-US"/>
              </w:rPr>
              <w:t xml:space="preserve"> </w:t>
            </w:r>
            <w:proofErr w:type="spellStart"/>
            <w:r w:rsidRPr="004C34A3">
              <w:rPr>
                <w:b/>
                <w:bCs/>
                <w:color w:val="000000"/>
                <w:sz w:val="20"/>
                <w:szCs w:val="20"/>
                <w:lang w:val="en-US" w:eastAsia="en-US"/>
              </w:rPr>
              <w:t>bosque</w:t>
            </w:r>
            <w:proofErr w:type="spellEnd"/>
            <w:r w:rsidRPr="004C34A3">
              <w:rPr>
                <w:b/>
                <w:bCs/>
                <w:color w:val="000000"/>
                <w:sz w:val="20"/>
                <w:szCs w:val="20"/>
                <w:lang w:val="en-US" w:eastAsia="en-US"/>
              </w:rPr>
              <w:t xml:space="preserve"> privado</w:t>
            </w:r>
          </w:p>
        </w:tc>
        <w:tc>
          <w:tcPr>
            <w:tcW w:w="1057" w:type="pct"/>
            <w:tcBorders>
              <w:top w:val="single" w:sz="8" w:space="0" w:color="auto"/>
              <w:left w:val="nil"/>
              <w:bottom w:val="single" w:sz="8" w:space="0" w:color="auto"/>
              <w:right w:val="single" w:sz="4" w:space="0" w:color="auto"/>
            </w:tcBorders>
            <w:shd w:val="clear" w:color="auto" w:fill="auto"/>
            <w:vAlign w:val="center"/>
            <w:hideMark/>
          </w:tcPr>
          <w:p w14:paraId="2A534145" w14:textId="77777777" w:rsidR="004C34A3" w:rsidRPr="004C34A3" w:rsidRDefault="004C34A3" w:rsidP="004C34A3">
            <w:pPr>
              <w:spacing w:before="0" w:after="0"/>
              <w:jc w:val="center"/>
              <w:rPr>
                <w:b/>
                <w:bCs/>
                <w:color w:val="000000"/>
                <w:sz w:val="20"/>
                <w:szCs w:val="20"/>
                <w:lang w:val="en-US" w:eastAsia="en-US"/>
              </w:rPr>
            </w:pPr>
            <w:proofErr w:type="spellStart"/>
            <w:r w:rsidRPr="004C34A3">
              <w:rPr>
                <w:b/>
                <w:bCs/>
                <w:color w:val="000000"/>
                <w:sz w:val="20"/>
                <w:szCs w:val="20"/>
                <w:lang w:val="en-US" w:eastAsia="en-US"/>
              </w:rPr>
              <w:t>Sistemas</w:t>
            </w:r>
            <w:proofErr w:type="spellEnd"/>
            <w:r w:rsidRPr="004C34A3">
              <w:rPr>
                <w:b/>
                <w:bCs/>
                <w:color w:val="000000"/>
                <w:sz w:val="20"/>
                <w:szCs w:val="20"/>
                <w:lang w:val="en-US" w:eastAsia="en-US"/>
              </w:rPr>
              <w:t xml:space="preserve"> </w:t>
            </w:r>
            <w:proofErr w:type="spellStart"/>
            <w:r w:rsidRPr="004C34A3">
              <w:rPr>
                <w:b/>
                <w:bCs/>
                <w:color w:val="000000"/>
                <w:sz w:val="20"/>
                <w:szCs w:val="20"/>
                <w:lang w:val="en-US" w:eastAsia="en-US"/>
              </w:rPr>
              <w:t>Agroforestales</w:t>
            </w:r>
            <w:proofErr w:type="spellEnd"/>
          </w:p>
        </w:tc>
        <w:tc>
          <w:tcPr>
            <w:tcW w:w="645" w:type="pct"/>
            <w:tcBorders>
              <w:top w:val="single" w:sz="8" w:space="0" w:color="auto"/>
              <w:left w:val="nil"/>
              <w:bottom w:val="single" w:sz="8" w:space="0" w:color="auto"/>
              <w:right w:val="single" w:sz="4" w:space="0" w:color="auto"/>
            </w:tcBorders>
            <w:shd w:val="clear" w:color="auto" w:fill="auto"/>
            <w:vAlign w:val="center"/>
            <w:hideMark/>
          </w:tcPr>
          <w:p w14:paraId="56FBB4A7" w14:textId="77777777" w:rsidR="004C34A3" w:rsidRPr="004C34A3" w:rsidRDefault="004C34A3" w:rsidP="004C34A3">
            <w:pPr>
              <w:spacing w:before="0" w:after="0"/>
              <w:jc w:val="center"/>
              <w:rPr>
                <w:b/>
                <w:bCs/>
                <w:color w:val="000000"/>
                <w:sz w:val="20"/>
                <w:szCs w:val="20"/>
                <w:lang w:val="en-US" w:eastAsia="en-US"/>
              </w:rPr>
            </w:pPr>
            <w:r w:rsidRPr="004C34A3">
              <w:rPr>
                <w:b/>
                <w:bCs/>
                <w:color w:val="000000"/>
                <w:sz w:val="20"/>
                <w:szCs w:val="20"/>
                <w:lang w:val="en-US" w:eastAsia="en-US"/>
              </w:rPr>
              <w:t>MFA</w:t>
            </w:r>
          </w:p>
        </w:tc>
      </w:tr>
      <w:tr w:rsidR="004C34A3" w:rsidRPr="004C34A3" w14:paraId="7F394275"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05F41AE1" w14:textId="77777777" w:rsidR="004C34A3" w:rsidRPr="004C34A3" w:rsidRDefault="004C34A3" w:rsidP="004C34A3">
            <w:pPr>
              <w:spacing w:before="0" w:after="0"/>
              <w:jc w:val="left"/>
              <w:rPr>
                <w:b/>
                <w:bCs/>
                <w:color w:val="000000"/>
                <w:sz w:val="20"/>
                <w:szCs w:val="20"/>
                <w:lang w:val="en-US" w:eastAsia="en-US"/>
              </w:rPr>
            </w:pPr>
            <w:proofErr w:type="spellStart"/>
            <w:r w:rsidRPr="004C34A3">
              <w:rPr>
                <w:b/>
                <w:bCs/>
                <w:color w:val="000000"/>
                <w:sz w:val="20"/>
                <w:szCs w:val="20"/>
                <w:lang w:val="en-US" w:eastAsia="en-US"/>
              </w:rPr>
              <w:t>Producción</w:t>
            </w:r>
            <w:proofErr w:type="spellEnd"/>
            <w:r w:rsidRPr="004C34A3">
              <w:rPr>
                <w:b/>
                <w:bCs/>
                <w:color w:val="000000"/>
                <w:sz w:val="20"/>
                <w:szCs w:val="20"/>
                <w:lang w:val="en-US" w:eastAsia="en-US"/>
              </w:rPr>
              <w:t xml:space="preserve"> de H2O</w:t>
            </w:r>
          </w:p>
        </w:tc>
        <w:tc>
          <w:tcPr>
            <w:tcW w:w="606" w:type="pct"/>
            <w:tcBorders>
              <w:top w:val="nil"/>
              <w:left w:val="nil"/>
              <w:bottom w:val="single" w:sz="4" w:space="0" w:color="auto"/>
              <w:right w:val="single" w:sz="4" w:space="0" w:color="auto"/>
            </w:tcBorders>
            <w:shd w:val="clear" w:color="auto" w:fill="auto"/>
            <w:noWrap/>
            <w:vAlign w:val="bottom"/>
            <w:hideMark/>
          </w:tcPr>
          <w:p w14:paraId="00B7ECCE"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807" w:type="pct"/>
            <w:tcBorders>
              <w:top w:val="nil"/>
              <w:left w:val="nil"/>
              <w:bottom w:val="single" w:sz="4" w:space="0" w:color="auto"/>
              <w:right w:val="single" w:sz="4" w:space="0" w:color="auto"/>
            </w:tcBorders>
            <w:shd w:val="clear" w:color="auto" w:fill="auto"/>
            <w:noWrap/>
            <w:vAlign w:val="bottom"/>
            <w:hideMark/>
          </w:tcPr>
          <w:p w14:paraId="2B043DC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1057" w:type="pct"/>
            <w:tcBorders>
              <w:top w:val="nil"/>
              <w:left w:val="nil"/>
              <w:bottom w:val="single" w:sz="4" w:space="0" w:color="auto"/>
              <w:right w:val="single" w:sz="4" w:space="0" w:color="auto"/>
            </w:tcBorders>
            <w:shd w:val="clear" w:color="auto" w:fill="auto"/>
            <w:noWrap/>
            <w:vAlign w:val="bottom"/>
            <w:hideMark/>
          </w:tcPr>
          <w:p w14:paraId="5CC1E15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14EDBB5B"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3D6533A9"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52B78FBE" w14:textId="77777777" w:rsidR="004C34A3" w:rsidRPr="004C34A3" w:rsidRDefault="004C34A3" w:rsidP="004C34A3">
            <w:pPr>
              <w:spacing w:before="0" w:after="0"/>
              <w:ind w:firstLineChars="100" w:firstLine="200"/>
              <w:jc w:val="left"/>
              <w:rPr>
                <w:color w:val="000000"/>
                <w:sz w:val="20"/>
                <w:szCs w:val="20"/>
                <w:lang w:val="en-US" w:eastAsia="en-US"/>
              </w:rPr>
            </w:pPr>
            <w:r w:rsidRPr="004C34A3">
              <w:rPr>
                <w:color w:val="000000"/>
                <w:sz w:val="20"/>
                <w:szCs w:val="20"/>
                <w:lang w:val="en-US" w:eastAsia="en-US"/>
              </w:rPr>
              <w:t>Meta BAU</w:t>
            </w:r>
          </w:p>
        </w:tc>
        <w:tc>
          <w:tcPr>
            <w:tcW w:w="6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254FF"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m3/Ha</w:t>
            </w:r>
          </w:p>
        </w:tc>
        <w:tc>
          <w:tcPr>
            <w:tcW w:w="807" w:type="pct"/>
            <w:tcBorders>
              <w:top w:val="single" w:sz="4" w:space="0" w:color="auto"/>
              <w:left w:val="nil"/>
              <w:bottom w:val="single" w:sz="4" w:space="0" w:color="auto"/>
              <w:right w:val="single" w:sz="4" w:space="0" w:color="auto"/>
            </w:tcBorders>
            <w:shd w:val="clear" w:color="auto" w:fill="auto"/>
            <w:noWrap/>
            <w:vAlign w:val="bottom"/>
            <w:hideMark/>
          </w:tcPr>
          <w:p w14:paraId="4553A6D5"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190.7</w:t>
            </w:r>
          </w:p>
        </w:tc>
        <w:tc>
          <w:tcPr>
            <w:tcW w:w="1057" w:type="pct"/>
            <w:tcBorders>
              <w:top w:val="single" w:sz="4" w:space="0" w:color="auto"/>
              <w:left w:val="nil"/>
              <w:bottom w:val="single" w:sz="4" w:space="0" w:color="auto"/>
              <w:right w:val="single" w:sz="4" w:space="0" w:color="auto"/>
            </w:tcBorders>
            <w:shd w:val="clear" w:color="auto" w:fill="auto"/>
            <w:noWrap/>
            <w:vAlign w:val="bottom"/>
            <w:hideMark/>
          </w:tcPr>
          <w:p w14:paraId="35341E4F"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single" w:sz="4" w:space="0" w:color="auto"/>
              <w:left w:val="nil"/>
              <w:bottom w:val="single" w:sz="4" w:space="0" w:color="auto"/>
              <w:right w:val="single" w:sz="4" w:space="0" w:color="auto"/>
            </w:tcBorders>
            <w:shd w:val="clear" w:color="auto" w:fill="auto"/>
            <w:noWrap/>
            <w:vAlign w:val="bottom"/>
            <w:hideMark/>
          </w:tcPr>
          <w:p w14:paraId="2B7B89E0"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638104BD"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6E7BB9B3" w14:textId="77777777" w:rsidR="004C34A3" w:rsidRPr="004C34A3" w:rsidRDefault="004C34A3" w:rsidP="004C34A3">
            <w:pPr>
              <w:spacing w:before="0" w:after="0"/>
              <w:ind w:firstLineChars="100" w:firstLine="200"/>
              <w:jc w:val="left"/>
              <w:rPr>
                <w:color w:val="000000"/>
                <w:sz w:val="20"/>
                <w:szCs w:val="20"/>
                <w:lang w:val="en-US" w:eastAsia="en-US"/>
              </w:rPr>
            </w:pPr>
            <w:r w:rsidRPr="004C34A3">
              <w:rPr>
                <w:color w:val="000000"/>
                <w:sz w:val="20"/>
                <w:szCs w:val="20"/>
                <w:lang w:val="en-US" w:eastAsia="en-US"/>
              </w:rPr>
              <w:t>Meta Proyecto</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1B900A0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m3/Ha</w:t>
            </w:r>
          </w:p>
        </w:tc>
        <w:tc>
          <w:tcPr>
            <w:tcW w:w="807" w:type="pct"/>
            <w:tcBorders>
              <w:top w:val="nil"/>
              <w:left w:val="nil"/>
              <w:bottom w:val="single" w:sz="4" w:space="0" w:color="auto"/>
              <w:right w:val="single" w:sz="4" w:space="0" w:color="auto"/>
            </w:tcBorders>
            <w:shd w:val="clear" w:color="auto" w:fill="auto"/>
            <w:noWrap/>
            <w:vAlign w:val="bottom"/>
            <w:hideMark/>
          </w:tcPr>
          <w:p w14:paraId="7FDD8E13"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252.5</w:t>
            </w:r>
          </w:p>
        </w:tc>
        <w:tc>
          <w:tcPr>
            <w:tcW w:w="1057" w:type="pct"/>
            <w:tcBorders>
              <w:top w:val="nil"/>
              <w:left w:val="nil"/>
              <w:bottom w:val="single" w:sz="4" w:space="0" w:color="auto"/>
              <w:right w:val="single" w:sz="4" w:space="0" w:color="auto"/>
            </w:tcBorders>
            <w:shd w:val="clear" w:color="auto" w:fill="auto"/>
            <w:noWrap/>
            <w:vAlign w:val="bottom"/>
            <w:hideMark/>
          </w:tcPr>
          <w:p w14:paraId="71A05F7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307A6BA9"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546EEACF"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679FB866" w14:textId="089BF6DA" w:rsidR="004C34A3" w:rsidRPr="004C34A3" w:rsidRDefault="004C34A3" w:rsidP="004C34A3">
            <w:pPr>
              <w:spacing w:before="0" w:after="0"/>
              <w:ind w:firstLineChars="100" w:firstLine="200"/>
              <w:jc w:val="left"/>
              <w:rPr>
                <w:color w:val="000000"/>
                <w:sz w:val="20"/>
                <w:szCs w:val="20"/>
                <w:lang w:val="en-US" w:eastAsia="en-US"/>
              </w:rPr>
            </w:pPr>
            <w:proofErr w:type="spellStart"/>
            <w:r>
              <w:rPr>
                <w:color w:val="000000"/>
                <w:sz w:val="20"/>
                <w:szCs w:val="20"/>
                <w:lang w:val="en-US" w:eastAsia="en-US"/>
              </w:rPr>
              <w:t>Incremento</w:t>
            </w:r>
            <w:proofErr w:type="spellEnd"/>
            <w:r>
              <w:rPr>
                <w:color w:val="000000"/>
                <w:sz w:val="20"/>
                <w:szCs w:val="20"/>
                <w:lang w:val="en-US" w:eastAsia="en-US"/>
              </w:rPr>
              <w:t xml:space="preserve"> H2O por MFA</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757216EA"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m3/Ha</w:t>
            </w:r>
          </w:p>
        </w:tc>
        <w:tc>
          <w:tcPr>
            <w:tcW w:w="807" w:type="pct"/>
            <w:tcBorders>
              <w:top w:val="nil"/>
              <w:left w:val="nil"/>
              <w:bottom w:val="nil"/>
              <w:right w:val="nil"/>
            </w:tcBorders>
            <w:shd w:val="clear" w:color="auto" w:fill="auto"/>
            <w:noWrap/>
            <w:vAlign w:val="bottom"/>
            <w:hideMark/>
          </w:tcPr>
          <w:p w14:paraId="34E6047F" w14:textId="77777777" w:rsidR="004C34A3" w:rsidRPr="004C34A3" w:rsidRDefault="004C34A3" w:rsidP="004C34A3">
            <w:pPr>
              <w:spacing w:before="0" w:after="0"/>
              <w:jc w:val="center"/>
              <w:rPr>
                <w:color w:val="000000"/>
                <w:sz w:val="20"/>
                <w:szCs w:val="20"/>
                <w:lang w:val="en-US" w:eastAsia="en-US"/>
              </w:rPr>
            </w:pPr>
          </w:p>
        </w:tc>
        <w:tc>
          <w:tcPr>
            <w:tcW w:w="1057" w:type="pct"/>
            <w:tcBorders>
              <w:top w:val="nil"/>
              <w:left w:val="single" w:sz="4" w:space="0" w:color="auto"/>
              <w:bottom w:val="single" w:sz="4" w:space="0" w:color="auto"/>
              <w:right w:val="single" w:sz="4" w:space="0" w:color="auto"/>
            </w:tcBorders>
            <w:shd w:val="clear" w:color="auto" w:fill="auto"/>
            <w:noWrap/>
            <w:vAlign w:val="bottom"/>
            <w:hideMark/>
          </w:tcPr>
          <w:p w14:paraId="77474EC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05A635E9"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155.4</w:t>
            </w:r>
          </w:p>
        </w:tc>
      </w:tr>
      <w:tr w:rsidR="004C34A3" w:rsidRPr="004C34A3" w14:paraId="1FB2FA3E"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3E32E5C2" w14:textId="77777777" w:rsidR="004C34A3" w:rsidRPr="004C34A3" w:rsidRDefault="004C34A3" w:rsidP="004C34A3">
            <w:pPr>
              <w:spacing w:before="0" w:after="0"/>
              <w:ind w:firstLineChars="100" w:firstLine="200"/>
              <w:jc w:val="left"/>
              <w:rPr>
                <w:color w:val="000000"/>
                <w:sz w:val="20"/>
                <w:szCs w:val="20"/>
                <w:lang w:val="en-US" w:eastAsia="en-US"/>
              </w:rPr>
            </w:pPr>
            <w:proofErr w:type="spellStart"/>
            <w:r w:rsidRPr="004C34A3">
              <w:rPr>
                <w:color w:val="000000"/>
                <w:sz w:val="20"/>
                <w:szCs w:val="20"/>
                <w:lang w:val="en-US" w:eastAsia="en-US"/>
              </w:rPr>
              <w:t>Periodo</w:t>
            </w:r>
            <w:proofErr w:type="spellEnd"/>
            <w:r w:rsidRPr="004C34A3">
              <w:rPr>
                <w:color w:val="000000"/>
                <w:sz w:val="20"/>
                <w:szCs w:val="20"/>
                <w:lang w:val="en-US" w:eastAsia="en-US"/>
              </w:rPr>
              <w:t xml:space="preserve"> </w:t>
            </w:r>
            <w:proofErr w:type="spellStart"/>
            <w:r w:rsidRPr="004C34A3">
              <w:rPr>
                <w:color w:val="000000"/>
                <w:sz w:val="20"/>
                <w:szCs w:val="20"/>
                <w:lang w:val="en-US" w:eastAsia="en-US"/>
              </w:rPr>
              <w:t>crecimiento</w:t>
            </w:r>
            <w:proofErr w:type="spellEnd"/>
            <w:r w:rsidRPr="004C34A3">
              <w:rPr>
                <w:color w:val="000000"/>
                <w:sz w:val="20"/>
                <w:szCs w:val="20"/>
                <w:lang w:val="en-US" w:eastAsia="en-US"/>
              </w:rPr>
              <w:t xml:space="preserve"> BAU</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41A52628" w14:textId="77777777" w:rsidR="004C34A3" w:rsidRPr="004C34A3" w:rsidRDefault="004C34A3" w:rsidP="004C34A3">
            <w:pPr>
              <w:spacing w:before="0" w:after="0"/>
              <w:jc w:val="center"/>
              <w:rPr>
                <w:color w:val="000000"/>
                <w:sz w:val="20"/>
                <w:szCs w:val="20"/>
                <w:lang w:val="en-US" w:eastAsia="en-US"/>
              </w:rPr>
            </w:pPr>
            <w:proofErr w:type="spellStart"/>
            <w:r w:rsidRPr="004C34A3">
              <w:rPr>
                <w:color w:val="000000"/>
                <w:sz w:val="20"/>
                <w:szCs w:val="20"/>
                <w:lang w:val="en-US" w:eastAsia="en-US"/>
              </w:rPr>
              <w:t>Años</w:t>
            </w:r>
            <w:proofErr w:type="spellEnd"/>
          </w:p>
        </w:tc>
        <w:tc>
          <w:tcPr>
            <w:tcW w:w="807" w:type="pct"/>
            <w:tcBorders>
              <w:top w:val="single" w:sz="4" w:space="0" w:color="auto"/>
              <w:left w:val="nil"/>
              <w:bottom w:val="single" w:sz="4" w:space="0" w:color="auto"/>
              <w:right w:val="single" w:sz="4" w:space="0" w:color="auto"/>
            </w:tcBorders>
            <w:shd w:val="clear" w:color="auto" w:fill="auto"/>
            <w:noWrap/>
            <w:vAlign w:val="bottom"/>
            <w:hideMark/>
          </w:tcPr>
          <w:p w14:paraId="77B5AED6"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25</w:t>
            </w:r>
          </w:p>
        </w:tc>
        <w:tc>
          <w:tcPr>
            <w:tcW w:w="1057" w:type="pct"/>
            <w:tcBorders>
              <w:top w:val="nil"/>
              <w:left w:val="nil"/>
              <w:bottom w:val="single" w:sz="4" w:space="0" w:color="auto"/>
              <w:right w:val="single" w:sz="4" w:space="0" w:color="auto"/>
            </w:tcBorders>
            <w:shd w:val="clear" w:color="auto" w:fill="auto"/>
            <w:noWrap/>
            <w:vAlign w:val="bottom"/>
            <w:hideMark/>
          </w:tcPr>
          <w:p w14:paraId="10012D93"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183E0E30"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3008A773"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3036D5D8" w14:textId="77777777" w:rsidR="004C34A3" w:rsidRPr="004C34A3" w:rsidRDefault="004C34A3" w:rsidP="004C34A3">
            <w:pPr>
              <w:spacing w:before="0" w:after="0"/>
              <w:ind w:firstLineChars="100" w:firstLine="200"/>
              <w:jc w:val="left"/>
              <w:rPr>
                <w:color w:val="000000"/>
                <w:sz w:val="20"/>
                <w:szCs w:val="20"/>
                <w:lang w:val="en-US" w:eastAsia="en-US"/>
              </w:rPr>
            </w:pPr>
            <w:proofErr w:type="spellStart"/>
            <w:r w:rsidRPr="004C34A3">
              <w:rPr>
                <w:color w:val="000000"/>
                <w:sz w:val="20"/>
                <w:szCs w:val="20"/>
                <w:lang w:val="en-US" w:eastAsia="en-US"/>
              </w:rPr>
              <w:t>Periodo</w:t>
            </w:r>
            <w:proofErr w:type="spellEnd"/>
            <w:r w:rsidRPr="004C34A3">
              <w:rPr>
                <w:color w:val="000000"/>
                <w:sz w:val="20"/>
                <w:szCs w:val="20"/>
                <w:lang w:val="en-US" w:eastAsia="en-US"/>
              </w:rPr>
              <w:t xml:space="preserve"> </w:t>
            </w:r>
            <w:proofErr w:type="spellStart"/>
            <w:r w:rsidRPr="004C34A3">
              <w:rPr>
                <w:color w:val="000000"/>
                <w:sz w:val="20"/>
                <w:szCs w:val="20"/>
                <w:lang w:val="en-US" w:eastAsia="en-US"/>
              </w:rPr>
              <w:t>crecimiento</w:t>
            </w:r>
            <w:proofErr w:type="spellEnd"/>
            <w:r w:rsidRPr="004C34A3">
              <w:rPr>
                <w:color w:val="000000"/>
                <w:sz w:val="20"/>
                <w:szCs w:val="20"/>
                <w:lang w:val="en-US" w:eastAsia="en-US"/>
              </w:rPr>
              <w:t xml:space="preserve"> con Proyecto</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42B69796" w14:textId="77777777" w:rsidR="004C34A3" w:rsidRPr="004C34A3" w:rsidRDefault="004C34A3" w:rsidP="004C34A3">
            <w:pPr>
              <w:spacing w:before="0" w:after="0"/>
              <w:jc w:val="center"/>
              <w:rPr>
                <w:color w:val="000000"/>
                <w:sz w:val="20"/>
                <w:szCs w:val="20"/>
                <w:lang w:val="en-US" w:eastAsia="en-US"/>
              </w:rPr>
            </w:pPr>
            <w:proofErr w:type="spellStart"/>
            <w:r w:rsidRPr="004C34A3">
              <w:rPr>
                <w:color w:val="000000"/>
                <w:sz w:val="20"/>
                <w:szCs w:val="20"/>
                <w:lang w:val="en-US" w:eastAsia="en-US"/>
              </w:rPr>
              <w:t>Años</w:t>
            </w:r>
            <w:proofErr w:type="spellEnd"/>
          </w:p>
        </w:tc>
        <w:tc>
          <w:tcPr>
            <w:tcW w:w="807" w:type="pct"/>
            <w:tcBorders>
              <w:top w:val="nil"/>
              <w:left w:val="nil"/>
              <w:bottom w:val="single" w:sz="4" w:space="0" w:color="auto"/>
              <w:right w:val="single" w:sz="4" w:space="0" w:color="auto"/>
            </w:tcBorders>
            <w:shd w:val="clear" w:color="auto" w:fill="auto"/>
            <w:noWrap/>
            <w:vAlign w:val="bottom"/>
            <w:hideMark/>
          </w:tcPr>
          <w:p w14:paraId="71E2205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12</w:t>
            </w:r>
          </w:p>
        </w:tc>
        <w:tc>
          <w:tcPr>
            <w:tcW w:w="1057" w:type="pct"/>
            <w:tcBorders>
              <w:top w:val="nil"/>
              <w:left w:val="nil"/>
              <w:bottom w:val="single" w:sz="4" w:space="0" w:color="auto"/>
              <w:right w:val="single" w:sz="4" w:space="0" w:color="auto"/>
            </w:tcBorders>
            <w:shd w:val="clear" w:color="auto" w:fill="auto"/>
            <w:noWrap/>
            <w:vAlign w:val="bottom"/>
            <w:hideMark/>
          </w:tcPr>
          <w:p w14:paraId="0AFFBB6B"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0FC5BDA2"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1D7883F2"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570CB813" w14:textId="77777777" w:rsidR="004C34A3" w:rsidRPr="004C34A3" w:rsidRDefault="004C34A3" w:rsidP="004C34A3">
            <w:pPr>
              <w:spacing w:before="0" w:after="0"/>
              <w:jc w:val="left"/>
              <w:rPr>
                <w:b/>
                <w:bCs/>
                <w:color w:val="000000"/>
                <w:sz w:val="20"/>
                <w:szCs w:val="20"/>
                <w:lang w:val="en-US" w:eastAsia="en-US"/>
              </w:rPr>
            </w:pPr>
            <w:proofErr w:type="spellStart"/>
            <w:r w:rsidRPr="004C34A3">
              <w:rPr>
                <w:b/>
                <w:bCs/>
                <w:color w:val="000000"/>
                <w:sz w:val="20"/>
                <w:szCs w:val="20"/>
                <w:lang w:val="en-US" w:eastAsia="en-US"/>
              </w:rPr>
              <w:t>Precios</w:t>
            </w:r>
            <w:proofErr w:type="spellEnd"/>
            <w:r w:rsidRPr="004C34A3">
              <w:rPr>
                <w:b/>
                <w:bCs/>
                <w:color w:val="000000"/>
                <w:sz w:val="20"/>
                <w:szCs w:val="20"/>
                <w:lang w:val="en-US" w:eastAsia="en-US"/>
              </w:rPr>
              <w:t xml:space="preserve"> H2O y </w:t>
            </w:r>
            <w:proofErr w:type="spellStart"/>
            <w:r w:rsidRPr="004C34A3">
              <w:rPr>
                <w:b/>
                <w:bCs/>
                <w:color w:val="000000"/>
                <w:sz w:val="20"/>
                <w:szCs w:val="20"/>
                <w:lang w:val="en-US" w:eastAsia="en-US"/>
              </w:rPr>
              <w:t>Forestales</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1DFE8DD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807" w:type="pct"/>
            <w:tcBorders>
              <w:top w:val="nil"/>
              <w:left w:val="nil"/>
              <w:bottom w:val="single" w:sz="4" w:space="0" w:color="auto"/>
              <w:right w:val="single" w:sz="4" w:space="0" w:color="auto"/>
            </w:tcBorders>
            <w:shd w:val="clear" w:color="auto" w:fill="auto"/>
            <w:noWrap/>
            <w:vAlign w:val="bottom"/>
            <w:hideMark/>
          </w:tcPr>
          <w:p w14:paraId="49934765"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1057" w:type="pct"/>
            <w:tcBorders>
              <w:top w:val="nil"/>
              <w:left w:val="nil"/>
              <w:bottom w:val="single" w:sz="4" w:space="0" w:color="auto"/>
              <w:right w:val="single" w:sz="4" w:space="0" w:color="auto"/>
            </w:tcBorders>
            <w:shd w:val="clear" w:color="auto" w:fill="auto"/>
            <w:noWrap/>
            <w:vAlign w:val="bottom"/>
            <w:hideMark/>
          </w:tcPr>
          <w:p w14:paraId="3226B792"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125D39A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41C5CE05"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336AA611" w14:textId="77777777" w:rsidR="004C34A3" w:rsidRPr="004C34A3" w:rsidRDefault="004C34A3" w:rsidP="004C34A3">
            <w:pPr>
              <w:spacing w:before="0" w:after="0"/>
              <w:ind w:firstLineChars="100" w:firstLine="200"/>
              <w:jc w:val="left"/>
              <w:rPr>
                <w:color w:val="000000"/>
                <w:sz w:val="20"/>
                <w:szCs w:val="20"/>
                <w:lang w:val="en-US" w:eastAsia="en-US"/>
              </w:rPr>
            </w:pPr>
            <w:proofErr w:type="spellStart"/>
            <w:r w:rsidRPr="004C34A3">
              <w:rPr>
                <w:color w:val="000000"/>
                <w:sz w:val="20"/>
                <w:szCs w:val="20"/>
                <w:lang w:val="en-US" w:eastAsia="en-US"/>
              </w:rPr>
              <w:t>Precio</w:t>
            </w:r>
            <w:proofErr w:type="spellEnd"/>
            <w:r w:rsidRPr="004C34A3">
              <w:rPr>
                <w:color w:val="000000"/>
                <w:sz w:val="20"/>
                <w:szCs w:val="20"/>
                <w:lang w:val="en-US" w:eastAsia="en-US"/>
              </w:rPr>
              <w:t xml:space="preserve"> H2O</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1D71BB23"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US$/m3</w:t>
            </w:r>
          </w:p>
        </w:tc>
        <w:tc>
          <w:tcPr>
            <w:tcW w:w="807" w:type="pct"/>
            <w:tcBorders>
              <w:top w:val="nil"/>
              <w:left w:val="nil"/>
              <w:bottom w:val="single" w:sz="4" w:space="0" w:color="auto"/>
              <w:right w:val="single" w:sz="4" w:space="0" w:color="auto"/>
            </w:tcBorders>
            <w:shd w:val="clear" w:color="auto" w:fill="auto"/>
            <w:noWrap/>
            <w:vAlign w:val="bottom"/>
            <w:hideMark/>
          </w:tcPr>
          <w:p w14:paraId="2F24E2D7"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0.296</w:t>
            </w:r>
          </w:p>
        </w:tc>
        <w:tc>
          <w:tcPr>
            <w:tcW w:w="1057" w:type="pct"/>
            <w:tcBorders>
              <w:top w:val="nil"/>
              <w:left w:val="nil"/>
              <w:bottom w:val="single" w:sz="4" w:space="0" w:color="auto"/>
              <w:right w:val="single" w:sz="4" w:space="0" w:color="auto"/>
            </w:tcBorders>
            <w:shd w:val="clear" w:color="auto" w:fill="auto"/>
            <w:noWrap/>
            <w:vAlign w:val="bottom"/>
            <w:hideMark/>
          </w:tcPr>
          <w:p w14:paraId="351F23A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06A6A2F2"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0.38</w:t>
            </w:r>
          </w:p>
        </w:tc>
      </w:tr>
      <w:tr w:rsidR="004C34A3" w:rsidRPr="004C34A3" w14:paraId="2893F423"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5C7D60D1" w14:textId="77777777" w:rsidR="004C34A3" w:rsidRPr="004C34A3" w:rsidRDefault="004C34A3" w:rsidP="004C34A3">
            <w:pPr>
              <w:spacing w:before="0" w:after="0"/>
              <w:ind w:firstLineChars="100" w:firstLine="200"/>
              <w:jc w:val="left"/>
              <w:rPr>
                <w:color w:val="000000"/>
                <w:sz w:val="20"/>
                <w:szCs w:val="20"/>
                <w:lang w:val="en-US" w:eastAsia="en-US"/>
              </w:rPr>
            </w:pPr>
            <w:proofErr w:type="spellStart"/>
            <w:r w:rsidRPr="004C34A3">
              <w:rPr>
                <w:color w:val="000000"/>
                <w:sz w:val="20"/>
                <w:szCs w:val="20"/>
                <w:lang w:val="en-US" w:eastAsia="en-US"/>
              </w:rPr>
              <w:t>Precio</w:t>
            </w:r>
            <w:proofErr w:type="spellEnd"/>
            <w:r w:rsidRPr="004C34A3">
              <w:rPr>
                <w:color w:val="000000"/>
                <w:sz w:val="20"/>
                <w:szCs w:val="20"/>
                <w:lang w:val="en-US" w:eastAsia="en-US"/>
              </w:rPr>
              <w:t xml:space="preserve"> </w:t>
            </w:r>
            <w:proofErr w:type="spellStart"/>
            <w:r w:rsidRPr="004C34A3">
              <w:rPr>
                <w:color w:val="000000"/>
                <w:sz w:val="20"/>
                <w:szCs w:val="20"/>
                <w:lang w:val="en-US" w:eastAsia="en-US"/>
              </w:rPr>
              <w:t>Leña</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50F82B4F"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US$/tm</w:t>
            </w:r>
          </w:p>
        </w:tc>
        <w:tc>
          <w:tcPr>
            <w:tcW w:w="807" w:type="pct"/>
            <w:tcBorders>
              <w:top w:val="nil"/>
              <w:left w:val="nil"/>
              <w:bottom w:val="single" w:sz="4" w:space="0" w:color="auto"/>
              <w:right w:val="single" w:sz="4" w:space="0" w:color="auto"/>
            </w:tcBorders>
            <w:shd w:val="clear" w:color="auto" w:fill="auto"/>
            <w:noWrap/>
            <w:vAlign w:val="bottom"/>
            <w:hideMark/>
          </w:tcPr>
          <w:p w14:paraId="5BA2596D"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14.6</w:t>
            </w:r>
          </w:p>
        </w:tc>
        <w:tc>
          <w:tcPr>
            <w:tcW w:w="1057" w:type="pct"/>
            <w:tcBorders>
              <w:top w:val="nil"/>
              <w:left w:val="nil"/>
              <w:bottom w:val="single" w:sz="4" w:space="0" w:color="auto"/>
              <w:right w:val="single" w:sz="4" w:space="0" w:color="auto"/>
            </w:tcBorders>
            <w:shd w:val="clear" w:color="auto" w:fill="auto"/>
            <w:noWrap/>
            <w:vAlign w:val="bottom"/>
            <w:hideMark/>
          </w:tcPr>
          <w:p w14:paraId="7E4DA1BB"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03427BCC"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03539041"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4F09B0F1" w14:textId="77777777" w:rsidR="004C34A3" w:rsidRPr="004C34A3" w:rsidRDefault="004C34A3" w:rsidP="004C34A3">
            <w:pPr>
              <w:spacing w:before="0" w:after="0"/>
              <w:ind w:firstLineChars="100" w:firstLine="200"/>
              <w:jc w:val="left"/>
              <w:rPr>
                <w:color w:val="000000"/>
                <w:sz w:val="20"/>
                <w:szCs w:val="20"/>
                <w:lang w:val="en-US" w:eastAsia="en-US"/>
              </w:rPr>
            </w:pPr>
            <w:proofErr w:type="spellStart"/>
            <w:r w:rsidRPr="004C34A3">
              <w:rPr>
                <w:color w:val="000000"/>
                <w:sz w:val="20"/>
                <w:szCs w:val="20"/>
                <w:lang w:val="en-US" w:eastAsia="en-US"/>
              </w:rPr>
              <w:t>Precio</w:t>
            </w:r>
            <w:proofErr w:type="spellEnd"/>
            <w:r w:rsidRPr="004C34A3">
              <w:rPr>
                <w:color w:val="000000"/>
                <w:sz w:val="20"/>
                <w:szCs w:val="20"/>
                <w:lang w:val="en-US" w:eastAsia="en-US"/>
              </w:rPr>
              <w:t xml:space="preserve"> Madera </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41D5F04E"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US$/tm</w:t>
            </w:r>
          </w:p>
        </w:tc>
        <w:tc>
          <w:tcPr>
            <w:tcW w:w="807" w:type="pct"/>
            <w:tcBorders>
              <w:top w:val="nil"/>
              <w:left w:val="nil"/>
              <w:bottom w:val="single" w:sz="4" w:space="0" w:color="auto"/>
              <w:right w:val="single" w:sz="4" w:space="0" w:color="auto"/>
            </w:tcBorders>
            <w:shd w:val="clear" w:color="auto" w:fill="auto"/>
            <w:noWrap/>
            <w:vAlign w:val="bottom"/>
            <w:hideMark/>
          </w:tcPr>
          <w:p w14:paraId="4770C99C"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56.9</w:t>
            </w:r>
          </w:p>
        </w:tc>
        <w:tc>
          <w:tcPr>
            <w:tcW w:w="1057" w:type="pct"/>
            <w:tcBorders>
              <w:top w:val="nil"/>
              <w:left w:val="nil"/>
              <w:bottom w:val="single" w:sz="4" w:space="0" w:color="auto"/>
              <w:right w:val="single" w:sz="4" w:space="0" w:color="auto"/>
            </w:tcBorders>
            <w:shd w:val="clear" w:color="auto" w:fill="auto"/>
            <w:noWrap/>
            <w:vAlign w:val="bottom"/>
            <w:hideMark/>
          </w:tcPr>
          <w:p w14:paraId="4CF3476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2C0628AF"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78382520"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37D1B673" w14:textId="77777777" w:rsidR="004C34A3" w:rsidRPr="004C34A3" w:rsidRDefault="004C34A3" w:rsidP="004C34A3">
            <w:pPr>
              <w:spacing w:before="0" w:after="0"/>
              <w:ind w:firstLineChars="100" w:firstLine="200"/>
              <w:jc w:val="left"/>
              <w:rPr>
                <w:color w:val="000000"/>
                <w:sz w:val="20"/>
                <w:szCs w:val="20"/>
                <w:lang w:val="en-US" w:eastAsia="en-US"/>
              </w:rPr>
            </w:pPr>
            <w:proofErr w:type="spellStart"/>
            <w:r w:rsidRPr="004C34A3">
              <w:rPr>
                <w:color w:val="000000"/>
                <w:sz w:val="20"/>
                <w:szCs w:val="20"/>
                <w:lang w:val="en-US" w:eastAsia="en-US"/>
              </w:rPr>
              <w:t>Precio</w:t>
            </w:r>
            <w:proofErr w:type="spellEnd"/>
            <w:r w:rsidRPr="004C34A3">
              <w:rPr>
                <w:color w:val="000000"/>
                <w:sz w:val="20"/>
                <w:szCs w:val="20"/>
                <w:lang w:val="en-US" w:eastAsia="en-US"/>
              </w:rPr>
              <w:t xml:space="preserve"> </w:t>
            </w:r>
            <w:proofErr w:type="spellStart"/>
            <w:r w:rsidRPr="004C34A3">
              <w:rPr>
                <w:color w:val="000000"/>
                <w:sz w:val="20"/>
                <w:szCs w:val="20"/>
                <w:lang w:val="en-US" w:eastAsia="en-US"/>
              </w:rPr>
              <w:t>Resina</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03513366"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US$/tm</w:t>
            </w:r>
          </w:p>
        </w:tc>
        <w:tc>
          <w:tcPr>
            <w:tcW w:w="807" w:type="pct"/>
            <w:tcBorders>
              <w:top w:val="nil"/>
              <w:left w:val="nil"/>
              <w:bottom w:val="single" w:sz="4" w:space="0" w:color="auto"/>
              <w:right w:val="single" w:sz="4" w:space="0" w:color="auto"/>
            </w:tcBorders>
            <w:shd w:val="clear" w:color="auto" w:fill="auto"/>
            <w:noWrap/>
            <w:vAlign w:val="bottom"/>
            <w:hideMark/>
          </w:tcPr>
          <w:p w14:paraId="5D2D7D76"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100.6</w:t>
            </w:r>
          </w:p>
        </w:tc>
        <w:tc>
          <w:tcPr>
            <w:tcW w:w="1057" w:type="pct"/>
            <w:tcBorders>
              <w:top w:val="nil"/>
              <w:left w:val="nil"/>
              <w:bottom w:val="single" w:sz="4" w:space="0" w:color="auto"/>
              <w:right w:val="single" w:sz="4" w:space="0" w:color="auto"/>
            </w:tcBorders>
            <w:shd w:val="clear" w:color="auto" w:fill="auto"/>
            <w:noWrap/>
            <w:vAlign w:val="bottom"/>
            <w:hideMark/>
          </w:tcPr>
          <w:p w14:paraId="3532F48F"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7EDCD083"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0AF65827"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1CF5406D" w14:textId="67D1A1F6" w:rsidR="004C34A3" w:rsidRPr="004C34A3" w:rsidRDefault="004C34A3" w:rsidP="004C34A3">
            <w:pPr>
              <w:spacing w:before="0" w:after="0"/>
              <w:jc w:val="left"/>
              <w:rPr>
                <w:b/>
                <w:bCs/>
                <w:color w:val="000000"/>
                <w:sz w:val="20"/>
                <w:szCs w:val="20"/>
                <w:lang w:val="en-US" w:eastAsia="en-US"/>
              </w:rPr>
            </w:pPr>
            <w:proofErr w:type="spellStart"/>
            <w:r w:rsidRPr="004C34A3">
              <w:rPr>
                <w:b/>
                <w:bCs/>
                <w:color w:val="000000"/>
                <w:sz w:val="20"/>
                <w:szCs w:val="20"/>
                <w:lang w:val="en-US" w:eastAsia="en-US"/>
              </w:rPr>
              <w:t>Ingreso</w:t>
            </w:r>
            <w:proofErr w:type="spellEnd"/>
            <w:r w:rsidRPr="004C34A3">
              <w:rPr>
                <w:b/>
                <w:bCs/>
                <w:color w:val="000000"/>
                <w:sz w:val="20"/>
                <w:szCs w:val="20"/>
                <w:lang w:val="en-US" w:eastAsia="en-US"/>
              </w:rPr>
              <w:t xml:space="preserve"> Neto </w:t>
            </w:r>
            <w:proofErr w:type="spellStart"/>
            <w:r>
              <w:rPr>
                <w:b/>
                <w:bCs/>
                <w:color w:val="000000"/>
                <w:sz w:val="20"/>
                <w:szCs w:val="20"/>
                <w:lang w:val="en-US" w:eastAsia="en-US"/>
              </w:rPr>
              <w:t>Anual</w:t>
            </w:r>
            <w:proofErr w:type="spellEnd"/>
            <w:r>
              <w:rPr>
                <w:b/>
                <w:bCs/>
                <w:color w:val="000000"/>
                <w:sz w:val="20"/>
                <w:szCs w:val="20"/>
                <w:lang w:val="en-US" w:eastAsia="en-US"/>
              </w:rPr>
              <w:t xml:space="preserve"> por </w:t>
            </w:r>
            <w:proofErr w:type="spellStart"/>
            <w:r>
              <w:rPr>
                <w:b/>
                <w:bCs/>
                <w:color w:val="000000"/>
                <w:sz w:val="20"/>
                <w:szCs w:val="20"/>
                <w:lang w:val="en-US" w:eastAsia="en-US"/>
              </w:rPr>
              <w:t>Beneficiario</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07B55C8F" w14:textId="305159EA"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US$</w:t>
            </w:r>
          </w:p>
        </w:tc>
        <w:tc>
          <w:tcPr>
            <w:tcW w:w="807" w:type="pct"/>
            <w:tcBorders>
              <w:top w:val="nil"/>
              <w:left w:val="nil"/>
              <w:bottom w:val="single" w:sz="4" w:space="0" w:color="auto"/>
              <w:right w:val="single" w:sz="4" w:space="0" w:color="auto"/>
            </w:tcBorders>
            <w:shd w:val="clear" w:color="auto" w:fill="auto"/>
            <w:noWrap/>
            <w:vAlign w:val="bottom"/>
            <w:hideMark/>
          </w:tcPr>
          <w:p w14:paraId="53AC8DF3"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1057" w:type="pct"/>
            <w:tcBorders>
              <w:top w:val="nil"/>
              <w:left w:val="nil"/>
              <w:bottom w:val="single" w:sz="4" w:space="0" w:color="auto"/>
              <w:right w:val="single" w:sz="4" w:space="0" w:color="auto"/>
            </w:tcBorders>
            <w:shd w:val="clear" w:color="auto" w:fill="auto"/>
            <w:noWrap/>
            <w:vAlign w:val="bottom"/>
            <w:hideMark/>
          </w:tcPr>
          <w:p w14:paraId="6633EAC3" w14:textId="61C83B8F" w:rsidR="00B74C0D" w:rsidRPr="005A6EF5" w:rsidRDefault="00B74C0D" w:rsidP="00B74C0D">
            <w:pPr>
              <w:spacing w:before="0" w:after="0"/>
              <w:jc w:val="center"/>
              <w:rPr>
                <w:color w:val="000000"/>
                <w:sz w:val="20"/>
                <w:szCs w:val="20"/>
                <w:lang w:eastAsia="en-US"/>
              </w:rPr>
            </w:pPr>
            <w:r w:rsidRPr="005A6EF5">
              <w:rPr>
                <w:color w:val="000000"/>
                <w:sz w:val="20"/>
                <w:szCs w:val="20"/>
                <w:lang w:eastAsia="en-US"/>
              </w:rPr>
              <w:t>US$ 63 en años 3-5</w:t>
            </w:r>
          </w:p>
          <w:p w14:paraId="1DCE7F5E" w14:textId="7368EFF2" w:rsidR="004C34A3" w:rsidRPr="005A6EF5" w:rsidRDefault="00B74C0D" w:rsidP="004F01D4">
            <w:pPr>
              <w:spacing w:before="0" w:after="0"/>
              <w:jc w:val="center"/>
              <w:rPr>
                <w:color w:val="000000"/>
                <w:sz w:val="20"/>
                <w:szCs w:val="20"/>
                <w:lang w:eastAsia="en-US"/>
              </w:rPr>
            </w:pPr>
            <w:r w:rsidRPr="005A6EF5">
              <w:rPr>
                <w:color w:val="000000"/>
                <w:sz w:val="20"/>
                <w:szCs w:val="20"/>
                <w:lang w:eastAsia="en-US"/>
              </w:rPr>
              <w:t xml:space="preserve">US$ 114 </w:t>
            </w:r>
            <w:r w:rsidR="004F01D4" w:rsidRPr="005A6EF5">
              <w:rPr>
                <w:color w:val="000000"/>
                <w:sz w:val="20"/>
                <w:szCs w:val="20"/>
                <w:lang w:eastAsia="en-US"/>
              </w:rPr>
              <w:t>a partir de</w:t>
            </w:r>
            <w:r w:rsidRPr="005A6EF5">
              <w:rPr>
                <w:color w:val="000000"/>
                <w:sz w:val="20"/>
                <w:szCs w:val="20"/>
                <w:lang w:eastAsia="en-US"/>
              </w:rPr>
              <w:t xml:space="preserve"> año 10 </w:t>
            </w:r>
          </w:p>
        </w:tc>
        <w:tc>
          <w:tcPr>
            <w:tcW w:w="645" w:type="pct"/>
            <w:tcBorders>
              <w:top w:val="nil"/>
              <w:left w:val="nil"/>
              <w:bottom w:val="single" w:sz="4" w:space="0" w:color="auto"/>
              <w:right w:val="single" w:sz="4" w:space="0" w:color="auto"/>
            </w:tcBorders>
            <w:shd w:val="clear" w:color="auto" w:fill="auto"/>
            <w:noWrap/>
            <w:vAlign w:val="bottom"/>
            <w:hideMark/>
          </w:tcPr>
          <w:p w14:paraId="15F8F5B2" w14:textId="77777777" w:rsidR="004C34A3" w:rsidRPr="005A6EF5" w:rsidRDefault="004C34A3" w:rsidP="004C34A3">
            <w:pPr>
              <w:spacing w:before="0" w:after="0"/>
              <w:jc w:val="center"/>
              <w:rPr>
                <w:color w:val="000000"/>
                <w:sz w:val="20"/>
                <w:szCs w:val="20"/>
                <w:lang w:eastAsia="en-US"/>
              </w:rPr>
            </w:pPr>
            <w:r w:rsidRPr="005A6EF5">
              <w:rPr>
                <w:color w:val="000000"/>
                <w:sz w:val="20"/>
                <w:szCs w:val="20"/>
                <w:lang w:eastAsia="en-US"/>
              </w:rPr>
              <w:t> </w:t>
            </w:r>
          </w:p>
        </w:tc>
      </w:tr>
      <w:tr w:rsidR="004C34A3" w:rsidRPr="004C34A3" w14:paraId="0331ACB6"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6EC73296" w14:textId="70C21C65" w:rsidR="004C34A3" w:rsidRPr="004C34A3" w:rsidRDefault="004C34A3" w:rsidP="004C34A3">
            <w:pPr>
              <w:spacing w:before="0" w:after="0"/>
              <w:jc w:val="left"/>
              <w:rPr>
                <w:b/>
                <w:bCs/>
                <w:color w:val="000000"/>
                <w:sz w:val="20"/>
                <w:szCs w:val="20"/>
                <w:lang w:val="en-US" w:eastAsia="en-US"/>
              </w:rPr>
            </w:pPr>
            <w:proofErr w:type="spellStart"/>
            <w:r w:rsidRPr="004C34A3">
              <w:rPr>
                <w:b/>
                <w:bCs/>
                <w:color w:val="000000"/>
                <w:sz w:val="20"/>
                <w:szCs w:val="20"/>
                <w:lang w:val="en-US" w:eastAsia="en-US"/>
              </w:rPr>
              <w:t>Sedimentacion</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6AEC8453"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807" w:type="pct"/>
            <w:tcBorders>
              <w:top w:val="nil"/>
              <w:left w:val="nil"/>
              <w:bottom w:val="single" w:sz="4" w:space="0" w:color="auto"/>
              <w:right w:val="single" w:sz="4" w:space="0" w:color="auto"/>
            </w:tcBorders>
            <w:shd w:val="clear" w:color="auto" w:fill="auto"/>
            <w:noWrap/>
            <w:vAlign w:val="bottom"/>
            <w:hideMark/>
          </w:tcPr>
          <w:p w14:paraId="0E9D4A4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1057" w:type="pct"/>
            <w:tcBorders>
              <w:top w:val="nil"/>
              <w:left w:val="nil"/>
              <w:bottom w:val="single" w:sz="4" w:space="0" w:color="auto"/>
              <w:right w:val="single" w:sz="4" w:space="0" w:color="auto"/>
            </w:tcBorders>
            <w:shd w:val="clear" w:color="auto" w:fill="auto"/>
            <w:noWrap/>
            <w:vAlign w:val="bottom"/>
            <w:hideMark/>
          </w:tcPr>
          <w:p w14:paraId="433775D0"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41AF753E"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69CE7BB6"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23BB65C9" w14:textId="77777777" w:rsidR="004C34A3" w:rsidRPr="004C34A3" w:rsidRDefault="004C34A3" w:rsidP="004C34A3">
            <w:pPr>
              <w:spacing w:before="0" w:after="0"/>
              <w:ind w:firstLineChars="100" w:firstLine="200"/>
              <w:jc w:val="left"/>
              <w:rPr>
                <w:color w:val="000000"/>
                <w:sz w:val="20"/>
                <w:szCs w:val="20"/>
                <w:lang w:val="en-US" w:eastAsia="en-US"/>
              </w:rPr>
            </w:pPr>
            <w:proofErr w:type="spellStart"/>
            <w:r w:rsidRPr="004C34A3">
              <w:rPr>
                <w:color w:val="000000"/>
                <w:sz w:val="20"/>
                <w:szCs w:val="20"/>
                <w:lang w:val="en-US" w:eastAsia="en-US"/>
              </w:rPr>
              <w:t>Sedimentación</w:t>
            </w:r>
            <w:proofErr w:type="spellEnd"/>
            <w:r w:rsidRPr="004C34A3">
              <w:rPr>
                <w:color w:val="000000"/>
                <w:sz w:val="20"/>
                <w:szCs w:val="20"/>
                <w:lang w:val="en-US" w:eastAsia="en-US"/>
              </w:rPr>
              <w:t xml:space="preserve"> </w:t>
            </w:r>
            <w:proofErr w:type="spellStart"/>
            <w:r w:rsidRPr="004C34A3">
              <w:rPr>
                <w:color w:val="000000"/>
                <w:sz w:val="20"/>
                <w:szCs w:val="20"/>
                <w:lang w:val="en-US" w:eastAsia="en-US"/>
              </w:rPr>
              <w:t>anual</w:t>
            </w:r>
            <w:proofErr w:type="spellEnd"/>
            <w:r w:rsidRPr="004C34A3">
              <w:rPr>
                <w:color w:val="000000"/>
                <w:sz w:val="20"/>
                <w:szCs w:val="20"/>
                <w:lang w:val="en-US" w:eastAsia="en-US"/>
              </w:rPr>
              <w:t xml:space="preserve"> </w:t>
            </w:r>
            <w:proofErr w:type="spellStart"/>
            <w:r w:rsidRPr="004C34A3">
              <w:rPr>
                <w:color w:val="000000"/>
                <w:sz w:val="20"/>
                <w:szCs w:val="20"/>
                <w:lang w:val="en-US" w:eastAsia="en-US"/>
              </w:rPr>
              <w:t>evitada</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673C952E"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mill m3</w:t>
            </w:r>
          </w:p>
        </w:tc>
        <w:tc>
          <w:tcPr>
            <w:tcW w:w="807" w:type="pct"/>
            <w:tcBorders>
              <w:top w:val="nil"/>
              <w:left w:val="nil"/>
              <w:bottom w:val="single" w:sz="4" w:space="0" w:color="auto"/>
              <w:right w:val="single" w:sz="4" w:space="0" w:color="auto"/>
            </w:tcBorders>
            <w:shd w:val="clear" w:color="auto" w:fill="auto"/>
            <w:noWrap/>
            <w:vAlign w:val="bottom"/>
            <w:hideMark/>
          </w:tcPr>
          <w:p w14:paraId="1A33E94B"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0.37</w:t>
            </w:r>
          </w:p>
        </w:tc>
        <w:tc>
          <w:tcPr>
            <w:tcW w:w="1057" w:type="pct"/>
            <w:tcBorders>
              <w:top w:val="nil"/>
              <w:left w:val="nil"/>
              <w:bottom w:val="single" w:sz="4" w:space="0" w:color="auto"/>
              <w:right w:val="single" w:sz="4" w:space="0" w:color="auto"/>
            </w:tcBorders>
            <w:shd w:val="clear" w:color="auto" w:fill="auto"/>
            <w:noWrap/>
            <w:vAlign w:val="bottom"/>
            <w:hideMark/>
          </w:tcPr>
          <w:p w14:paraId="5489A515"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3F8EF15E"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259B0A67" w14:textId="77777777" w:rsidTr="00B74C0D">
        <w:trPr>
          <w:trHeight w:val="570"/>
        </w:trPr>
        <w:tc>
          <w:tcPr>
            <w:tcW w:w="1885" w:type="pct"/>
            <w:tcBorders>
              <w:top w:val="nil"/>
              <w:left w:val="single" w:sz="8" w:space="0" w:color="auto"/>
              <w:bottom w:val="single" w:sz="4" w:space="0" w:color="auto"/>
              <w:right w:val="single" w:sz="4" w:space="0" w:color="auto"/>
            </w:tcBorders>
            <w:shd w:val="clear" w:color="auto" w:fill="auto"/>
            <w:vAlign w:val="center"/>
            <w:hideMark/>
          </w:tcPr>
          <w:p w14:paraId="316CE9C8" w14:textId="77777777" w:rsidR="004C34A3" w:rsidRPr="005A6EF5" w:rsidRDefault="004C34A3" w:rsidP="004C34A3">
            <w:pPr>
              <w:spacing w:before="0" w:after="0"/>
              <w:ind w:firstLineChars="100" w:firstLine="200"/>
              <w:jc w:val="left"/>
              <w:rPr>
                <w:color w:val="000000"/>
                <w:sz w:val="20"/>
                <w:szCs w:val="20"/>
                <w:lang w:eastAsia="en-US"/>
              </w:rPr>
            </w:pPr>
            <w:r w:rsidRPr="005A6EF5">
              <w:rPr>
                <w:color w:val="000000"/>
                <w:sz w:val="20"/>
                <w:szCs w:val="20"/>
                <w:lang w:eastAsia="en-US"/>
              </w:rPr>
              <w:t>% Reducción Coyolar, Concepción y Laureles</w:t>
            </w:r>
          </w:p>
        </w:tc>
        <w:tc>
          <w:tcPr>
            <w:tcW w:w="606" w:type="pct"/>
            <w:tcBorders>
              <w:top w:val="nil"/>
              <w:left w:val="single" w:sz="4" w:space="0" w:color="auto"/>
              <w:bottom w:val="single" w:sz="4" w:space="0" w:color="auto"/>
              <w:right w:val="single" w:sz="4" w:space="0" w:color="auto"/>
            </w:tcBorders>
            <w:shd w:val="clear" w:color="auto" w:fill="auto"/>
            <w:noWrap/>
            <w:vAlign w:val="center"/>
            <w:hideMark/>
          </w:tcPr>
          <w:p w14:paraId="3A517061" w14:textId="77777777" w:rsidR="004C34A3" w:rsidRPr="005A6EF5" w:rsidRDefault="004C34A3" w:rsidP="004C34A3">
            <w:pPr>
              <w:spacing w:before="0" w:after="0"/>
              <w:jc w:val="center"/>
              <w:rPr>
                <w:color w:val="000000"/>
                <w:sz w:val="20"/>
                <w:szCs w:val="20"/>
                <w:lang w:eastAsia="en-US"/>
              </w:rPr>
            </w:pPr>
            <w:r w:rsidRPr="005A6EF5">
              <w:rPr>
                <w:color w:val="000000"/>
                <w:sz w:val="20"/>
                <w:szCs w:val="20"/>
                <w:lang w:eastAsia="en-US"/>
              </w:rPr>
              <w:t> </w:t>
            </w:r>
          </w:p>
        </w:tc>
        <w:tc>
          <w:tcPr>
            <w:tcW w:w="807" w:type="pct"/>
            <w:tcBorders>
              <w:top w:val="nil"/>
              <w:left w:val="nil"/>
              <w:bottom w:val="single" w:sz="4" w:space="0" w:color="auto"/>
              <w:right w:val="single" w:sz="4" w:space="0" w:color="auto"/>
            </w:tcBorders>
            <w:shd w:val="clear" w:color="auto" w:fill="auto"/>
            <w:noWrap/>
            <w:vAlign w:val="center"/>
            <w:hideMark/>
          </w:tcPr>
          <w:p w14:paraId="6151011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34%</w:t>
            </w:r>
          </w:p>
        </w:tc>
        <w:tc>
          <w:tcPr>
            <w:tcW w:w="1057" w:type="pct"/>
            <w:tcBorders>
              <w:top w:val="nil"/>
              <w:left w:val="nil"/>
              <w:bottom w:val="single" w:sz="4" w:space="0" w:color="auto"/>
              <w:right w:val="single" w:sz="4" w:space="0" w:color="auto"/>
            </w:tcBorders>
            <w:shd w:val="clear" w:color="auto" w:fill="auto"/>
            <w:noWrap/>
            <w:vAlign w:val="bottom"/>
            <w:hideMark/>
          </w:tcPr>
          <w:p w14:paraId="7BA3D6F9"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577B05D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47E9937F"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47EAE556" w14:textId="77777777" w:rsidR="004C34A3" w:rsidRPr="004C34A3" w:rsidRDefault="004C34A3" w:rsidP="004C34A3">
            <w:pPr>
              <w:spacing w:before="0" w:after="0"/>
              <w:ind w:firstLineChars="100" w:firstLine="200"/>
              <w:jc w:val="left"/>
              <w:rPr>
                <w:color w:val="000000"/>
                <w:sz w:val="20"/>
                <w:szCs w:val="20"/>
                <w:lang w:val="en-US" w:eastAsia="en-US"/>
              </w:rPr>
            </w:pPr>
            <w:r w:rsidRPr="004C34A3">
              <w:rPr>
                <w:color w:val="000000"/>
                <w:sz w:val="20"/>
                <w:szCs w:val="20"/>
                <w:lang w:val="en-US" w:eastAsia="en-US"/>
              </w:rPr>
              <w:t xml:space="preserve">% </w:t>
            </w:r>
            <w:proofErr w:type="spellStart"/>
            <w:r w:rsidRPr="004C34A3">
              <w:rPr>
                <w:color w:val="000000"/>
                <w:sz w:val="20"/>
                <w:szCs w:val="20"/>
                <w:lang w:val="en-US" w:eastAsia="en-US"/>
              </w:rPr>
              <w:t>Reducción</w:t>
            </w:r>
            <w:proofErr w:type="spellEnd"/>
            <w:r w:rsidRPr="004C34A3">
              <w:rPr>
                <w:color w:val="000000"/>
                <w:sz w:val="20"/>
                <w:szCs w:val="20"/>
                <w:lang w:val="en-US" w:eastAsia="en-US"/>
              </w:rPr>
              <w:t xml:space="preserve"> El </w:t>
            </w:r>
            <w:proofErr w:type="spellStart"/>
            <w:r w:rsidRPr="004C34A3">
              <w:rPr>
                <w:color w:val="000000"/>
                <w:sz w:val="20"/>
                <w:szCs w:val="20"/>
                <w:lang w:val="en-US" w:eastAsia="en-US"/>
              </w:rPr>
              <w:t>Cajón</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196CFEDE"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807" w:type="pct"/>
            <w:tcBorders>
              <w:top w:val="nil"/>
              <w:left w:val="nil"/>
              <w:bottom w:val="single" w:sz="4" w:space="0" w:color="auto"/>
              <w:right w:val="single" w:sz="4" w:space="0" w:color="auto"/>
            </w:tcBorders>
            <w:shd w:val="clear" w:color="auto" w:fill="auto"/>
            <w:noWrap/>
            <w:vAlign w:val="bottom"/>
            <w:hideMark/>
          </w:tcPr>
          <w:p w14:paraId="057A5056"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4%</w:t>
            </w:r>
          </w:p>
        </w:tc>
        <w:tc>
          <w:tcPr>
            <w:tcW w:w="1057" w:type="pct"/>
            <w:tcBorders>
              <w:top w:val="nil"/>
              <w:left w:val="nil"/>
              <w:bottom w:val="single" w:sz="4" w:space="0" w:color="auto"/>
              <w:right w:val="single" w:sz="4" w:space="0" w:color="auto"/>
            </w:tcBorders>
            <w:shd w:val="clear" w:color="auto" w:fill="auto"/>
            <w:noWrap/>
            <w:vAlign w:val="bottom"/>
            <w:hideMark/>
          </w:tcPr>
          <w:p w14:paraId="4068A3DF"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0963776F"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5CB4C1F9"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66CC557D" w14:textId="77777777" w:rsidR="004C34A3" w:rsidRPr="004C34A3" w:rsidRDefault="004C34A3" w:rsidP="004C34A3">
            <w:pPr>
              <w:spacing w:before="0" w:after="0"/>
              <w:ind w:firstLineChars="200" w:firstLine="400"/>
              <w:jc w:val="left"/>
              <w:rPr>
                <w:color w:val="000000"/>
                <w:sz w:val="20"/>
                <w:szCs w:val="20"/>
                <w:lang w:val="en-US" w:eastAsia="en-US"/>
              </w:rPr>
            </w:pPr>
            <w:proofErr w:type="spellStart"/>
            <w:r w:rsidRPr="004C34A3">
              <w:rPr>
                <w:color w:val="000000"/>
                <w:sz w:val="20"/>
                <w:szCs w:val="20"/>
                <w:lang w:val="en-US" w:eastAsia="en-US"/>
              </w:rPr>
              <w:t>Costo</w:t>
            </w:r>
            <w:proofErr w:type="spellEnd"/>
            <w:r w:rsidRPr="004C34A3">
              <w:rPr>
                <w:color w:val="000000"/>
                <w:sz w:val="20"/>
                <w:szCs w:val="20"/>
                <w:lang w:val="en-US" w:eastAsia="en-US"/>
              </w:rPr>
              <w:t xml:space="preserve"> de </w:t>
            </w:r>
            <w:proofErr w:type="spellStart"/>
            <w:r w:rsidRPr="004C34A3">
              <w:rPr>
                <w:color w:val="000000"/>
                <w:sz w:val="20"/>
                <w:szCs w:val="20"/>
                <w:lang w:val="en-US" w:eastAsia="en-US"/>
              </w:rPr>
              <w:t>manejo</w:t>
            </w:r>
            <w:proofErr w:type="spellEnd"/>
            <w:r w:rsidRPr="004C34A3">
              <w:rPr>
                <w:color w:val="000000"/>
                <w:sz w:val="20"/>
                <w:szCs w:val="20"/>
                <w:lang w:val="en-US" w:eastAsia="en-US"/>
              </w:rPr>
              <w:t xml:space="preserve"> </w:t>
            </w:r>
            <w:proofErr w:type="spellStart"/>
            <w:r w:rsidRPr="004C34A3">
              <w:rPr>
                <w:color w:val="000000"/>
                <w:sz w:val="20"/>
                <w:szCs w:val="20"/>
                <w:lang w:val="en-US" w:eastAsia="en-US"/>
              </w:rPr>
              <w:t>sedimentos</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47F87AE5"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US$/m3</w:t>
            </w:r>
          </w:p>
        </w:tc>
        <w:tc>
          <w:tcPr>
            <w:tcW w:w="807" w:type="pct"/>
            <w:tcBorders>
              <w:top w:val="nil"/>
              <w:left w:val="nil"/>
              <w:bottom w:val="single" w:sz="4" w:space="0" w:color="auto"/>
              <w:right w:val="single" w:sz="4" w:space="0" w:color="auto"/>
            </w:tcBorders>
            <w:shd w:val="clear" w:color="auto" w:fill="auto"/>
            <w:noWrap/>
            <w:vAlign w:val="bottom"/>
            <w:hideMark/>
          </w:tcPr>
          <w:p w14:paraId="228F7EE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7.50</w:t>
            </w:r>
          </w:p>
        </w:tc>
        <w:tc>
          <w:tcPr>
            <w:tcW w:w="1057" w:type="pct"/>
            <w:tcBorders>
              <w:top w:val="nil"/>
              <w:left w:val="nil"/>
              <w:bottom w:val="single" w:sz="4" w:space="0" w:color="auto"/>
              <w:right w:val="single" w:sz="4" w:space="0" w:color="auto"/>
            </w:tcBorders>
            <w:shd w:val="clear" w:color="auto" w:fill="auto"/>
            <w:noWrap/>
            <w:vAlign w:val="bottom"/>
            <w:hideMark/>
          </w:tcPr>
          <w:p w14:paraId="76044A5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1DA4F76D"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79963DA6"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1F81AE6B" w14:textId="77777777" w:rsidR="004C34A3" w:rsidRPr="004C34A3" w:rsidRDefault="004C34A3" w:rsidP="004C34A3">
            <w:pPr>
              <w:spacing w:before="0" w:after="0"/>
              <w:jc w:val="left"/>
              <w:rPr>
                <w:b/>
                <w:bCs/>
                <w:color w:val="000000"/>
                <w:sz w:val="20"/>
                <w:szCs w:val="20"/>
                <w:lang w:val="en-US" w:eastAsia="en-US"/>
              </w:rPr>
            </w:pPr>
            <w:proofErr w:type="spellStart"/>
            <w:r w:rsidRPr="004C34A3">
              <w:rPr>
                <w:b/>
                <w:bCs/>
                <w:color w:val="000000"/>
                <w:sz w:val="20"/>
                <w:szCs w:val="20"/>
                <w:lang w:val="en-US" w:eastAsia="en-US"/>
              </w:rPr>
              <w:t>Carbono</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4D0CF67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807" w:type="pct"/>
            <w:tcBorders>
              <w:top w:val="nil"/>
              <w:left w:val="nil"/>
              <w:bottom w:val="single" w:sz="4" w:space="0" w:color="auto"/>
              <w:right w:val="single" w:sz="4" w:space="0" w:color="auto"/>
            </w:tcBorders>
            <w:shd w:val="clear" w:color="auto" w:fill="auto"/>
            <w:noWrap/>
            <w:vAlign w:val="bottom"/>
            <w:hideMark/>
          </w:tcPr>
          <w:p w14:paraId="05582AE5"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1057" w:type="pct"/>
            <w:tcBorders>
              <w:top w:val="nil"/>
              <w:left w:val="nil"/>
              <w:bottom w:val="single" w:sz="4" w:space="0" w:color="auto"/>
              <w:right w:val="single" w:sz="4" w:space="0" w:color="auto"/>
            </w:tcBorders>
            <w:shd w:val="clear" w:color="auto" w:fill="auto"/>
            <w:noWrap/>
            <w:vAlign w:val="bottom"/>
            <w:hideMark/>
          </w:tcPr>
          <w:p w14:paraId="227249BE"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1583BA7E"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r>
      <w:tr w:rsidR="004C34A3" w:rsidRPr="004C34A3" w14:paraId="377E230D"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13C80D42" w14:textId="77777777" w:rsidR="004C34A3" w:rsidRPr="004C34A3" w:rsidRDefault="004C34A3" w:rsidP="004C34A3">
            <w:pPr>
              <w:spacing w:before="0" w:after="0"/>
              <w:ind w:firstLineChars="100" w:firstLine="200"/>
              <w:jc w:val="left"/>
              <w:rPr>
                <w:color w:val="000000"/>
                <w:sz w:val="20"/>
                <w:szCs w:val="20"/>
                <w:lang w:val="en-US" w:eastAsia="en-US"/>
              </w:rPr>
            </w:pPr>
            <w:proofErr w:type="spellStart"/>
            <w:r w:rsidRPr="004C34A3">
              <w:rPr>
                <w:color w:val="000000"/>
                <w:sz w:val="20"/>
                <w:szCs w:val="20"/>
                <w:lang w:val="en-US" w:eastAsia="en-US"/>
              </w:rPr>
              <w:t>Carbono</w:t>
            </w:r>
            <w:proofErr w:type="spellEnd"/>
            <w:r w:rsidRPr="004C34A3">
              <w:rPr>
                <w:color w:val="000000"/>
                <w:sz w:val="20"/>
                <w:szCs w:val="20"/>
                <w:lang w:val="en-US" w:eastAsia="en-US"/>
              </w:rPr>
              <w:t xml:space="preserve"> CO2e por Ha Pino</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7CB14B8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tm CO2e/Ha</w:t>
            </w:r>
          </w:p>
        </w:tc>
        <w:tc>
          <w:tcPr>
            <w:tcW w:w="807" w:type="pct"/>
            <w:tcBorders>
              <w:top w:val="nil"/>
              <w:left w:val="nil"/>
              <w:bottom w:val="single" w:sz="4" w:space="0" w:color="auto"/>
              <w:right w:val="single" w:sz="4" w:space="0" w:color="auto"/>
            </w:tcBorders>
            <w:shd w:val="clear" w:color="auto" w:fill="auto"/>
            <w:noWrap/>
            <w:vAlign w:val="bottom"/>
            <w:hideMark/>
          </w:tcPr>
          <w:p w14:paraId="38AA8C59"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150</w:t>
            </w:r>
          </w:p>
        </w:tc>
        <w:tc>
          <w:tcPr>
            <w:tcW w:w="1057" w:type="pct"/>
            <w:tcBorders>
              <w:top w:val="nil"/>
              <w:left w:val="nil"/>
              <w:bottom w:val="single" w:sz="4" w:space="0" w:color="auto"/>
              <w:right w:val="single" w:sz="4" w:space="0" w:color="auto"/>
            </w:tcBorders>
            <w:shd w:val="clear" w:color="auto" w:fill="auto"/>
            <w:noWrap/>
            <w:vAlign w:val="bottom"/>
            <w:hideMark/>
          </w:tcPr>
          <w:p w14:paraId="01D70F2C"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326DC07C"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150</w:t>
            </w:r>
          </w:p>
        </w:tc>
      </w:tr>
      <w:tr w:rsidR="004C34A3" w:rsidRPr="004C34A3" w14:paraId="2DE29A74"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7D137792" w14:textId="77777777" w:rsidR="004C34A3" w:rsidRPr="004C34A3" w:rsidRDefault="004C34A3" w:rsidP="004C34A3">
            <w:pPr>
              <w:spacing w:before="0" w:after="0"/>
              <w:ind w:firstLineChars="100" w:firstLine="200"/>
              <w:jc w:val="left"/>
              <w:rPr>
                <w:color w:val="000000"/>
                <w:sz w:val="20"/>
                <w:szCs w:val="20"/>
                <w:lang w:val="en-US" w:eastAsia="en-US"/>
              </w:rPr>
            </w:pPr>
            <w:proofErr w:type="spellStart"/>
            <w:r w:rsidRPr="004C34A3">
              <w:rPr>
                <w:color w:val="000000"/>
                <w:sz w:val="20"/>
                <w:szCs w:val="20"/>
                <w:lang w:val="en-US" w:eastAsia="en-US"/>
              </w:rPr>
              <w:t>Precio</w:t>
            </w:r>
            <w:proofErr w:type="spellEnd"/>
            <w:r w:rsidRPr="004C34A3">
              <w:rPr>
                <w:color w:val="000000"/>
                <w:sz w:val="20"/>
                <w:szCs w:val="20"/>
                <w:lang w:val="en-US" w:eastAsia="en-US"/>
              </w:rPr>
              <w:t xml:space="preserve"> CO2e </w:t>
            </w:r>
            <w:proofErr w:type="spellStart"/>
            <w:r w:rsidRPr="004C34A3">
              <w:rPr>
                <w:color w:val="000000"/>
                <w:sz w:val="20"/>
                <w:szCs w:val="20"/>
                <w:lang w:val="en-US" w:eastAsia="en-US"/>
              </w:rPr>
              <w:t>mercado</w:t>
            </w:r>
            <w:proofErr w:type="spellEnd"/>
            <w:r w:rsidRPr="004C34A3">
              <w:rPr>
                <w:color w:val="000000"/>
                <w:sz w:val="20"/>
                <w:szCs w:val="20"/>
                <w:lang w:val="en-US" w:eastAsia="en-US"/>
              </w:rPr>
              <w:t xml:space="preserve"> </w:t>
            </w:r>
            <w:proofErr w:type="spellStart"/>
            <w:r w:rsidRPr="004C34A3">
              <w:rPr>
                <w:color w:val="000000"/>
                <w:sz w:val="20"/>
                <w:szCs w:val="20"/>
                <w:lang w:val="en-US" w:eastAsia="en-US"/>
              </w:rPr>
              <w:t>voluntario</w:t>
            </w:r>
            <w:proofErr w:type="spellEnd"/>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6EDF11AD"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US$/tm</w:t>
            </w:r>
          </w:p>
        </w:tc>
        <w:tc>
          <w:tcPr>
            <w:tcW w:w="807" w:type="pct"/>
            <w:tcBorders>
              <w:top w:val="nil"/>
              <w:left w:val="nil"/>
              <w:bottom w:val="single" w:sz="4" w:space="0" w:color="auto"/>
              <w:right w:val="single" w:sz="4" w:space="0" w:color="auto"/>
            </w:tcBorders>
            <w:shd w:val="clear" w:color="auto" w:fill="auto"/>
            <w:noWrap/>
            <w:vAlign w:val="bottom"/>
            <w:hideMark/>
          </w:tcPr>
          <w:p w14:paraId="7EB5FA94"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4.2</w:t>
            </w:r>
          </w:p>
        </w:tc>
        <w:tc>
          <w:tcPr>
            <w:tcW w:w="1057" w:type="pct"/>
            <w:tcBorders>
              <w:top w:val="nil"/>
              <w:left w:val="nil"/>
              <w:bottom w:val="single" w:sz="4" w:space="0" w:color="auto"/>
              <w:right w:val="single" w:sz="4" w:space="0" w:color="auto"/>
            </w:tcBorders>
            <w:shd w:val="clear" w:color="auto" w:fill="auto"/>
            <w:noWrap/>
            <w:vAlign w:val="bottom"/>
            <w:hideMark/>
          </w:tcPr>
          <w:p w14:paraId="265AECCA"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14:paraId="093ABFF4"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4.2</w:t>
            </w:r>
          </w:p>
        </w:tc>
      </w:tr>
      <w:tr w:rsidR="004C34A3" w:rsidRPr="004C34A3" w14:paraId="465D8639"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5EC0FCDC" w14:textId="77777777" w:rsidR="004C34A3" w:rsidRPr="004C34A3" w:rsidRDefault="004C34A3" w:rsidP="004C34A3">
            <w:pPr>
              <w:spacing w:before="0" w:after="0"/>
              <w:jc w:val="left"/>
              <w:rPr>
                <w:b/>
                <w:bCs/>
                <w:color w:val="000000"/>
                <w:sz w:val="20"/>
                <w:szCs w:val="20"/>
                <w:lang w:val="en-US" w:eastAsia="en-US"/>
              </w:rPr>
            </w:pPr>
            <w:proofErr w:type="spellStart"/>
            <w:r w:rsidRPr="004C34A3">
              <w:rPr>
                <w:b/>
                <w:bCs/>
                <w:color w:val="000000"/>
                <w:sz w:val="20"/>
                <w:szCs w:val="20"/>
                <w:lang w:val="en-US" w:eastAsia="en-US"/>
              </w:rPr>
              <w:t>Área</w:t>
            </w:r>
            <w:proofErr w:type="spellEnd"/>
            <w:r w:rsidRPr="004C34A3">
              <w:rPr>
                <w:b/>
                <w:bCs/>
                <w:color w:val="000000"/>
                <w:sz w:val="20"/>
                <w:szCs w:val="20"/>
                <w:lang w:val="en-US" w:eastAsia="en-US"/>
              </w:rPr>
              <w:t xml:space="preserve"> meta</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2CB17A76"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Ha.</w:t>
            </w:r>
          </w:p>
        </w:tc>
        <w:tc>
          <w:tcPr>
            <w:tcW w:w="807" w:type="pct"/>
            <w:tcBorders>
              <w:top w:val="nil"/>
              <w:left w:val="nil"/>
              <w:bottom w:val="single" w:sz="4" w:space="0" w:color="auto"/>
              <w:right w:val="single" w:sz="4" w:space="0" w:color="auto"/>
            </w:tcBorders>
            <w:shd w:val="clear" w:color="auto" w:fill="auto"/>
            <w:noWrap/>
            <w:vAlign w:val="bottom"/>
            <w:hideMark/>
          </w:tcPr>
          <w:p w14:paraId="2FB3C1FB"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10,664</w:t>
            </w:r>
          </w:p>
        </w:tc>
        <w:tc>
          <w:tcPr>
            <w:tcW w:w="1057" w:type="pct"/>
            <w:tcBorders>
              <w:top w:val="nil"/>
              <w:left w:val="nil"/>
              <w:bottom w:val="single" w:sz="4" w:space="0" w:color="auto"/>
              <w:right w:val="single" w:sz="4" w:space="0" w:color="auto"/>
            </w:tcBorders>
            <w:shd w:val="clear" w:color="auto" w:fill="auto"/>
            <w:noWrap/>
            <w:vAlign w:val="bottom"/>
            <w:hideMark/>
          </w:tcPr>
          <w:p w14:paraId="1E258E1B"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28,400</w:t>
            </w:r>
          </w:p>
        </w:tc>
        <w:tc>
          <w:tcPr>
            <w:tcW w:w="645" w:type="pct"/>
            <w:tcBorders>
              <w:top w:val="nil"/>
              <w:left w:val="nil"/>
              <w:bottom w:val="single" w:sz="4" w:space="0" w:color="auto"/>
              <w:right w:val="single" w:sz="4" w:space="0" w:color="auto"/>
            </w:tcBorders>
            <w:shd w:val="clear" w:color="auto" w:fill="auto"/>
            <w:noWrap/>
            <w:vAlign w:val="bottom"/>
            <w:hideMark/>
          </w:tcPr>
          <w:p w14:paraId="21C96612"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188,836</w:t>
            </w:r>
          </w:p>
        </w:tc>
      </w:tr>
      <w:tr w:rsidR="004C34A3" w:rsidRPr="004C34A3" w14:paraId="43FD022B"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0CF30FB4" w14:textId="77777777" w:rsidR="004C34A3" w:rsidRPr="004C34A3" w:rsidRDefault="004C34A3" w:rsidP="004C34A3">
            <w:pPr>
              <w:spacing w:before="0" w:after="0"/>
              <w:ind w:firstLineChars="100" w:firstLine="200"/>
              <w:jc w:val="left"/>
              <w:rPr>
                <w:color w:val="000000"/>
                <w:sz w:val="20"/>
                <w:szCs w:val="20"/>
                <w:lang w:val="en-US" w:eastAsia="en-US"/>
              </w:rPr>
            </w:pPr>
            <w:r w:rsidRPr="004C34A3">
              <w:rPr>
                <w:color w:val="000000"/>
                <w:sz w:val="20"/>
                <w:szCs w:val="20"/>
                <w:lang w:val="en-US" w:eastAsia="en-US"/>
              </w:rPr>
              <w:t xml:space="preserve">% Area </w:t>
            </w:r>
            <w:proofErr w:type="spellStart"/>
            <w:r w:rsidRPr="004C34A3">
              <w:rPr>
                <w:color w:val="000000"/>
                <w:sz w:val="20"/>
                <w:szCs w:val="20"/>
                <w:lang w:val="en-US" w:eastAsia="en-US"/>
              </w:rPr>
              <w:t>año</w:t>
            </w:r>
            <w:proofErr w:type="spellEnd"/>
            <w:r w:rsidRPr="004C34A3">
              <w:rPr>
                <w:color w:val="000000"/>
                <w:sz w:val="20"/>
                <w:szCs w:val="20"/>
                <w:lang w:val="en-US" w:eastAsia="en-US"/>
              </w:rPr>
              <w:t xml:space="preserve"> 1</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63AE1B72"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w:t>
            </w:r>
          </w:p>
        </w:tc>
        <w:tc>
          <w:tcPr>
            <w:tcW w:w="807" w:type="pct"/>
            <w:tcBorders>
              <w:top w:val="nil"/>
              <w:left w:val="nil"/>
              <w:bottom w:val="single" w:sz="4" w:space="0" w:color="auto"/>
              <w:right w:val="single" w:sz="4" w:space="0" w:color="auto"/>
            </w:tcBorders>
            <w:shd w:val="clear" w:color="auto" w:fill="auto"/>
            <w:noWrap/>
            <w:vAlign w:val="bottom"/>
            <w:hideMark/>
          </w:tcPr>
          <w:p w14:paraId="295FC0F4"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w:t>
            </w:r>
          </w:p>
        </w:tc>
        <w:tc>
          <w:tcPr>
            <w:tcW w:w="1057" w:type="pct"/>
            <w:tcBorders>
              <w:top w:val="nil"/>
              <w:left w:val="nil"/>
              <w:bottom w:val="single" w:sz="4" w:space="0" w:color="auto"/>
              <w:right w:val="single" w:sz="4" w:space="0" w:color="auto"/>
            </w:tcBorders>
            <w:shd w:val="clear" w:color="auto" w:fill="auto"/>
            <w:noWrap/>
            <w:vAlign w:val="bottom"/>
            <w:hideMark/>
          </w:tcPr>
          <w:p w14:paraId="597A10A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14:paraId="3ADCCEF9"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w:t>
            </w:r>
          </w:p>
        </w:tc>
      </w:tr>
      <w:tr w:rsidR="004C34A3" w:rsidRPr="004C34A3" w14:paraId="0A91DD4B"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5C49120C" w14:textId="77777777" w:rsidR="004C34A3" w:rsidRPr="004C34A3" w:rsidRDefault="004C34A3" w:rsidP="004C34A3">
            <w:pPr>
              <w:spacing w:before="0" w:after="0"/>
              <w:ind w:firstLineChars="100" w:firstLine="200"/>
              <w:jc w:val="left"/>
              <w:rPr>
                <w:color w:val="000000"/>
                <w:sz w:val="20"/>
                <w:szCs w:val="20"/>
                <w:lang w:val="en-US" w:eastAsia="en-US"/>
              </w:rPr>
            </w:pPr>
            <w:r w:rsidRPr="004C34A3">
              <w:rPr>
                <w:color w:val="000000"/>
                <w:sz w:val="20"/>
                <w:szCs w:val="20"/>
                <w:lang w:val="en-US" w:eastAsia="en-US"/>
              </w:rPr>
              <w:t xml:space="preserve">% Area </w:t>
            </w:r>
            <w:proofErr w:type="spellStart"/>
            <w:r w:rsidRPr="004C34A3">
              <w:rPr>
                <w:color w:val="000000"/>
                <w:sz w:val="20"/>
                <w:szCs w:val="20"/>
                <w:lang w:val="en-US" w:eastAsia="en-US"/>
              </w:rPr>
              <w:t>año</w:t>
            </w:r>
            <w:proofErr w:type="spellEnd"/>
            <w:r w:rsidRPr="004C34A3">
              <w:rPr>
                <w:color w:val="000000"/>
                <w:sz w:val="20"/>
                <w:szCs w:val="20"/>
                <w:lang w:val="en-US" w:eastAsia="en-US"/>
              </w:rPr>
              <w:t xml:space="preserve"> 2</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7A463BCF"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w:t>
            </w:r>
          </w:p>
        </w:tc>
        <w:tc>
          <w:tcPr>
            <w:tcW w:w="807" w:type="pct"/>
            <w:tcBorders>
              <w:top w:val="nil"/>
              <w:left w:val="nil"/>
              <w:bottom w:val="single" w:sz="4" w:space="0" w:color="auto"/>
              <w:right w:val="single" w:sz="4" w:space="0" w:color="auto"/>
            </w:tcBorders>
            <w:shd w:val="clear" w:color="auto" w:fill="auto"/>
            <w:noWrap/>
            <w:vAlign w:val="bottom"/>
            <w:hideMark/>
          </w:tcPr>
          <w:p w14:paraId="73717227"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w:t>
            </w:r>
          </w:p>
        </w:tc>
        <w:tc>
          <w:tcPr>
            <w:tcW w:w="1057" w:type="pct"/>
            <w:tcBorders>
              <w:top w:val="nil"/>
              <w:left w:val="nil"/>
              <w:bottom w:val="single" w:sz="4" w:space="0" w:color="auto"/>
              <w:right w:val="single" w:sz="4" w:space="0" w:color="auto"/>
            </w:tcBorders>
            <w:shd w:val="clear" w:color="auto" w:fill="auto"/>
            <w:noWrap/>
            <w:vAlign w:val="bottom"/>
            <w:hideMark/>
          </w:tcPr>
          <w:p w14:paraId="6235290B"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14:paraId="2C7473F9"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w:t>
            </w:r>
          </w:p>
        </w:tc>
      </w:tr>
      <w:tr w:rsidR="004C34A3" w:rsidRPr="004C34A3" w14:paraId="55F8EF80"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18E344D0" w14:textId="77777777" w:rsidR="004C34A3" w:rsidRPr="004C34A3" w:rsidRDefault="004C34A3" w:rsidP="004C34A3">
            <w:pPr>
              <w:spacing w:before="0" w:after="0"/>
              <w:ind w:firstLineChars="100" w:firstLine="200"/>
              <w:jc w:val="left"/>
              <w:rPr>
                <w:color w:val="000000"/>
                <w:sz w:val="20"/>
                <w:szCs w:val="20"/>
                <w:lang w:val="en-US" w:eastAsia="en-US"/>
              </w:rPr>
            </w:pPr>
            <w:r w:rsidRPr="004C34A3">
              <w:rPr>
                <w:color w:val="000000"/>
                <w:sz w:val="20"/>
                <w:szCs w:val="20"/>
                <w:lang w:val="en-US" w:eastAsia="en-US"/>
              </w:rPr>
              <w:t xml:space="preserve">% Area </w:t>
            </w:r>
            <w:proofErr w:type="spellStart"/>
            <w:r w:rsidRPr="004C34A3">
              <w:rPr>
                <w:color w:val="000000"/>
                <w:sz w:val="20"/>
                <w:szCs w:val="20"/>
                <w:lang w:val="en-US" w:eastAsia="en-US"/>
              </w:rPr>
              <w:t>año</w:t>
            </w:r>
            <w:proofErr w:type="spellEnd"/>
            <w:r w:rsidRPr="004C34A3">
              <w:rPr>
                <w:color w:val="000000"/>
                <w:sz w:val="20"/>
                <w:szCs w:val="20"/>
                <w:lang w:val="en-US" w:eastAsia="en-US"/>
              </w:rPr>
              <w:t xml:space="preserve"> 3</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61D3ACBD"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w:t>
            </w:r>
          </w:p>
        </w:tc>
        <w:tc>
          <w:tcPr>
            <w:tcW w:w="807" w:type="pct"/>
            <w:tcBorders>
              <w:top w:val="nil"/>
              <w:left w:val="nil"/>
              <w:bottom w:val="single" w:sz="4" w:space="0" w:color="auto"/>
              <w:right w:val="single" w:sz="4" w:space="0" w:color="auto"/>
            </w:tcBorders>
            <w:shd w:val="clear" w:color="auto" w:fill="auto"/>
            <w:noWrap/>
            <w:vAlign w:val="bottom"/>
            <w:hideMark/>
          </w:tcPr>
          <w:p w14:paraId="1096ABF3"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45%</w:t>
            </w:r>
          </w:p>
        </w:tc>
        <w:tc>
          <w:tcPr>
            <w:tcW w:w="1057" w:type="pct"/>
            <w:tcBorders>
              <w:top w:val="nil"/>
              <w:left w:val="nil"/>
              <w:bottom w:val="single" w:sz="4" w:space="0" w:color="auto"/>
              <w:right w:val="single" w:sz="4" w:space="0" w:color="auto"/>
            </w:tcBorders>
            <w:shd w:val="clear" w:color="auto" w:fill="auto"/>
            <w:noWrap/>
            <w:vAlign w:val="bottom"/>
            <w:hideMark/>
          </w:tcPr>
          <w:p w14:paraId="7F4F423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45%</w:t>
            </w:r>
          </w:p>
        </w:tc>
        <w:tc>
          <w:tcPr>
            <w:tcW w:w="645" w:type="pct"/>
            <w:tcBorders>
              <w:top w:val="nil"/>
              <w:left w:val="nil"/>
              <w:bottom w:val="single" w:sz="4" w:space="0" w:color="auto"/>
              <w:right w:val="single" w:sz="4" w:space="0" w:color="auto"/>
            </w:tcBorders>
            <w:shd w:val="clear" w:color="auto" w:fill="auto"/>
            <w:noWrap/>
            <w:vAlign w:val="bottom"/>
            <w:hideMark/>
          </w:tcPr>
          <w:p w14:paraId="1EAC6059"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45%</w:t>
            </w:r>
          </w:p>
        </w:tc>
      </w:tr>
      <w:tr w:rsidR="004C34A3" w:rsidRPr="004C34A3" w14:paraId="45CE1959"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4A08F20B" w14:textId="77777777" w:rsidR="004C34A3" w:rsidRPr="004C34A3" w:rsidRDefault="004C34A3" w:rsidP="004C34A3">
            <w:pPr>
              <w:spacing w:before="0" w:after="0"/>
              <w:ind w:firstLineChars="100" w:firstLine="200"/>
              <w:jc w:val="left"/>
              <w:rPr>
                <w:color w:val="000000"/>
                <w:sz w:val="20"/>
                <w:szCs w:val="20"/>
                <w:lang w:val="en-US" w:eastAsia="en-US"/>
              </w:rPr>
            </w:pPr>
            <w:r w:rsidRPr="004C34A3">
              <w:rPr>
                <w:color w:val="000000"/>
                <w:sz w:val="20"/>
                <w:szCs w:val="20"/>
                <w:lang w:val="en-US" w:eastAsia="en-US"/>
              </w:rPr>
              <w:t xml:space="preserve">% Area </w:t>
            </w:r>
            <w:proofErr w:type="spellStart"/>
            <w:r w:rsidRPr="004C34A3">
              <w:rPr>
                <w:color w:val="000000"/>
                <w:sz w:val="20"/>
                <w:szCs w:val="20"/>
                <w:lang w:val="en-US" w:eastAsia="en-US"/>
              </w:rPr>
              <w:t>año</w:t>
            </w:r>
            <w:proofErr w:type="spellEnd"/>
            <w:r w:rsidRPr="004C34A3">
              <w:rPr>
                <w:color w:val="000000"/>
                <w:sz w:val="20"/>
                <w:szCs w:val="20"/>
                <w:lang w:val="en-US" w:eastAsia="en-US"/>
              </w:rPr>
              <w:t xml:space="preserve"> 4</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543A6317"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w:t>
            </w:r>
          </w:p>
        </w:tc>
        <w:tc>
          <w:tcPr>
            <w:tcW w:w="807" w:type="pct"/>
            <w:tcBorders>
              <w:top w:val="nil"/>
              <w:left w:val="nil"/>
              <w:bottom w:val="single" w:sz="4" w:space="0" w:color="auto"/>
              <w:right w:val="single" w:sz="4" w:space="0" w:color="auto"/>
            </w:tcBorders>
            <w:shd w:val="clear" w:color="auto" w:fill="auto"/>
            <w:noWrap/>
            <w:vAlign w:val="bottom"/>
            <w:hideMark/>
          </w:tcPr>
          <w:p w14:paraId="5EF8540D"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40%</w:t>
            </w:r>
          </w:p>
        </w:tc>
        <w:tc>
          <w:tcPr>
            <w:tcW w:w="1057" w:type="pct"/>
            <w:tcBorders>
              <w:top w:val="nil"/>
              <w:left w:val="nil"/>
              <w:bottom w:val="single" w:sz="4" w:space="0" w:color="auto"/>
              <w:right w:val="single" w:sz="4" w:space="0" w:color="auto"/>
            </w:tcBorders>
            <w:shd w:val="clear" w:color="auto" w:fill="auto"/>
            <w:noWrap/>
            <w:vAlign w:val="bottom"/>
            <w:hideMark/>
          </w:tcPr>
          <w:p w14:paraId="77BD69BC"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40%</w:t>
            </w:r>
          </w:p>
        </w:tc>
        <w:tc>
          <w:tcPr>
            <w:tcW w:w="645" w:type="pct"/>
            <w:tcBorders>
              <w:top w:val="nil"/>
              <w:left w:val="nil"/>
              <w:bottom w:val="single" w:sz="4" w:space="0" w:color="auto"/>
              <w:right w:val="single" w:sz="4" w:space="0" w:color="auto"/>
            </w:tcBorders>
            <w:shd w:val="clear" w:color="auto" w:fill="auto"/>
            <w:noWrap/>
            <w:vAlign w:val="bottom"/>
            <w:hideMark/>
          </w:tcPr>
          <w:p w14:paraId="388E4A8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40%</w:t>
            </w:r>
          </w:p>
        </w:tc>
      </w:tr>
      <w:tr w:rsidR="004C34A3" w:rsidRPr="004C34A3" w14:paraId="5A3B0B5D" w14:textId="77777777" w:rsidTr="00B74C0D">
        <w:trPr>
          <w:trHeight w:val="285"/>
        </w:trPr>
        <w:tc>
          <w:tcPr>
            <w:tcW w:w="1885" w:type="pct"/>
            <w:tcBorders>
              <w:top w:val="nil"/>
              <w:left w:val="single" w:sz="8" w:space="0" w:color="auto"/>
              <w:bottom w:val="single" w:sz="4" w:space="0" w:color="auto"/>
              <w:right w:val="single" w:sz="4" w:space="0" w:color="auto"/>
            </w:tcBorders>
            <w:shd w:val="clear" w:color="auto" w:fill="auto"/>
            <w:noWrap/>
            <w:vAlign w:val="bottom"/>
            <w:hideMark/>
          </w:tcPr>
          <w:p w14:paraId="0EAF5249" w14:textId="77777777" w:rsidR="004C34A3" w:rsidRPr="004C34A3" w:rsidRDefault="004C34A3" w:rsidP="004C34A3">
            <w:pPr>
              <w:spacing w:before="0" w:after="0"/>
              <w:ind w:firstLineChars="100" w:firstLine="200"/>
              <w:jc w:val="left"/>
              <w:rPr>
                <w:color w:val="000000"/>
                <w:sz w:val="20"/>
                <w:szCs w:val="20"/>
                <w:lang w:val="en-US" w:eastAsia="en-US"/>
              </w:rPr>
            </w:pPr>
            <w:r w:rsidRPr="004C34A3">
              <w:rPr>
                <w:color w:val="000000"/>
                <w:sz w:val="20"/>
                <w:szCs w:val="20"/>
                <w:lang w:val="en-US" w:eastAsia="en-US"/>
              </w:rPr>
              <w:t xml:space="preserve">% Area </w:t>
            </w:r>
            <w:proofErr w:type="spellStart"/>
            <w:r w:rsidRPr="004C34A3">
              <w:rPr>
                <w:color w:val="000000"/>
                <w:sz w:val="20"/>
                <w:szCs w:val="20"/>
                <w:lang w:val="en-US" w:eastAsia="en-US"/>
              </w:rPr>
              <w:t>año</w:t>
            </w:r>
            <w:proofErr w:type="spellEnd"/>
            <w:r w:rsidRPr="004C34A3">
              <w:rPr>
                <w:color w:val="000000"/>
                <w:sz w:val="20"/>
                <w:szCs w:val="20"/>
                <w:lang w:val="en-US" w:eastAsia="en-US"/>
              </w:rPr>
              <w:t xml:space="preserve"> 5</w:t>
            </w:r>
          </w:p>
        </w:tc>
        <w:tc>
          <w:tcPr>
            <w:tcW w:w="606" w:type="pct"/>
            <w:tcBorders>
              <w:top w:val="nil"/>
              <w:left w:val="single" w:sz="4" w:space="0" w:color="auto"/>
              <w:bottom w:val="single" w:sz="4" w:space="0" w:color="auto"/>
              <w:right w:val="single" w:sz="4" w:space="0" w:color="auto"/>
            </w:tcBorders>
            <w:shd w:val="clear" w:color="auto" w:fill="auto"/>
            <w:noWrap/>
            <w:vAlign w:val="bottom"/>
            <w:hideMark/>
          </w:tcPr>
          <w:p w14:paraId="76F48405"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w:t>
            </w:r>
          </w:p>
        </w:tc>
        <w:tc>
          <w:tcPr>
            <w:tcW w:w="807" w:type="pct"/>
            <w:tcBorders>
              <w:top w:val="single" w:sz="4" w:space="0" w:color="auto"/>
              <w:left w:val="single" w:sz="4" w:space="0" w:color="auto"/>
              <w:bottom w:val="nil"/>
              <w:right w:val="single" w:sz="4" w:space="0" w:color="auto"/>
            </w:tcBorders>
            <w:shd w:val="clear" w:color="auto" w:fill="auto"/>
            <w:noWrap/>
            <w:vAlign w:val="bottom"/>
            <w:hideMark/>
          </w:tcPr>
          <w:p w14:paraId="1D79BB4A"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15%</w:t>
            </w:r>
          </w:p>
        </w:tc>
        <w:tc>
          <w:tcPr>
            <w:tcW w:w="1057" w:type="pct"/>
            <w:tcBorders>
              <w:top w:val="single" w:sz="4" w:space="0" w:color="auto"/>
              <w:left w:val="nil"/>
              <w:bottom w:val="nil"/>
              <w:right w:val="single" w:sz="4" w:space="0" w:color="auto"/>
            </w:tcBorders>
            <w:shd w:val="clear" w:color="auto" w:fill="auto"/>
            <w:noWrap/>
            <w:vAlign w:val="bottom"/>
            <w:hideMark/>
          </w:tcPr>
          <w:p w14:paraId="6212C8F1"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15%</w:t>
            </w:r>
          </w:p>
        </w:tc>
        <w:tc>
          <w:tcPr>
            <w:tcW w:w="645" w:type="pct"/>
            <w:tcBorders>
              <w:top w:val="single" w:sz="4" w:space="0" w:color="auto"/>
              <w:left w:val="nil"/>
              <w:bottom w:val="nil"/>
              <w:right w:val="single" w:sz="4" w:space="0" w:color="auto"/>
            </w:tcBorders>
            <w:shd w:val="clear" w:color="auto" w:fill="auto"/>
            <w:noWrap/>
            <w:vAlign w:val="bottom"/>
            <w:hideMark/>
          </w:tcPr>
          <w:p w14:paraId="05B3B533"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15%</w:t>
            </w:r>
          </w:p>
        </w:tc>
      </w:tr>
      <w:tr w:rsidR="004C34A3" w:rsidRPr="004C34A3" w14:paraId="48ADAD3B" w14:textId="77777777" w:rsidTr="00B74C0D">
        <w:trPr>
          <w:trHeight w:val="300"/>
        </w:trPr>
        <w:tc>
          <w:tcPr>
            <w:tcW w:w="1885" w:type="pct"/>
            <w:tcBorders>
              <w:top w:val="nil"/>
              <w:left w:val="single" w:sz="8" w:space="0" w:color="auto"/>
              <w:bottom w:val="single" w:sz="8" w:space="0" w:color="auto"/>
              <w:right w:val="single" w:sz="4" w:space="0" w:color="auto"/>
            </w:tcBorders>
            <w:shd w:val="clear" w:color="auto" w:fill="auto"/>
            <w:noWrap/>
            <w:vAlign w:val="bottom"/>
            <w:hideMark/>
          </w:tcPr>
          <w:p w14:paraId="262FE493" w14:textId="77777777" w:rsidR="004C34A3" w:rsidRPr="005A6EF5" w:rsidRDefault="004C34A3" w:rsidP="004C34A3">
            <w:pPr>
              <w:spacing w:before="0" w:after="0"/>
              <w:jc w:val="left"/>
              <w:rPr>
                <w:b/>
                <w:bCs/>
                <w:color w:val="000000"/>
                <w:sz w:val="20"/>
                <w:szCs w:val="20"/>
                <w:lang w:eastAsia="en-US"/>
              </w:rPr>
            </w:pPr>
            <w:r w:rsidRPr="005A6EF5">
              <w:rPr>
                <w:b/>
                <w:bCs/>
                <w:color w:val="000000"/>
                <w:sz w:val="20"/>
                <w:szCs w:val="20"/>
                <w:lang w:eastAsia="en-US"/>
              </w:rPr>
              <w:t>Costo O&amp;M anual en años 6 a 25</w:t>
            </w:r>
          </w:p>
        </w:tc>
        <w:tc>
          <w:tcPr>
            <w:tcW w:w="606" w:type="pct"/>
            <w:tcBorders>
              <w:top w:val="single" w:sz="4" w:space="0" w:color="auto"/>
              <w:left w:val="nil"/>
              <w:bottom w:val="single" w:sz="8" w:space="0" w:color="auto"/>
              <w:right w:val="single" w:sz="4" w:space="0" w:color="auto"/>
            </w:tcBorders>
            <w:shd w:val="clear" w:color="auto" w:fill="auto"/>
            <w:noWrap/>
            <w:vAlign w:val="bottom"/>
            <w:hideMark/>
          </w:tcPr>
          <w:p w14:paraId="1660A390"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US$/Ha</w:t>
            </w:r>
          </w:p>
        </w:tc>
        <w:tc>
          <w:tcPr>
            <w:tcW w:w="807" w:type="pct"/>
            <w:tcBorders>
              <w:top w:val="single" w:sz="4" w:space="0" w:color="auto"/>
              <w:left w:val="nil"/>
              <w:bottom w:val="single" w:sz="8" w:space="0" w:color="auto"/>
              <w:right w:val="single" w:sz="4" w:space="0" w:color="auto"/>
            </w:tcBorders>
            <w:shd w:val="clear" w:color="auto" w:fill="auto"/>
            <w:noWrap/>
            <w:vAlign w:val="bottom"/>
            <w:hideMark/>
          </w:tcPr>
          <w:p w14:paraId="146F7BB8"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249.3</w:t>
            </w:r>
          </w:p>
        </w:tc>
        <w:tc>
          <w:tcPr>
            <w:tcW w:w="1057" w:type="pct"/>
            <w:tcBorders>
              <w:top w:val="single" w:sz="4" w:space="0" w:color="auto"/>
              <w:left w:val="nil"/>
              <w:bottom w:val="single" w:sz="8" w:space="0" w:color="auto"/>
              <w:right w:val="single" w:sz="4" w:space="0" w:color="auto"/>
            </w:tcBorders>
            <w:shd w:val="clear" w:color="auto" w:fill="auto"/>
            <w:noWrap/>
            <w:vAlign w:val="bottom"/>
            <w:hideMark/>
          </w:tcPr>
          <w:p w14:paraId="13EA025C"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0</w:t>
            </w:r>
          </w:p>
        </w:tc>
        <w:tc>
          <w:tcPr>
            <w:tcW w:w="645" w:type="pct"/>
            <w:tcBorders>
              <w:top w:val="single" w:sz="4" w:space="0" w:color="auto"/>
              <w:left w:val="nil"/>
              <w:bottom w:val="single" w:sz="8" w:space="0" w:color="auto"/>
              <w:right w:val="single" w:sz="4" w:space="0" w:color="auto"/>
            </w:tcBorders>
            <w:shd w:val="clear" w:color="auto" w:fill="auto"/>
            <w:noWrap/>
            <w:vAlign w:val="bottom"/>
            <w:hideMark/>
          </w:tcPr>
          <w:p w14:paraId="136945F6" w14:textId="77777777" w:rsidR="004C34A3" w:rsidRPr="004C34A3" w:rsidRDefault="004C34A3" w:rsidP="004C34A3">
            <w:pPr>
              <w:spacing w:before="0" w:after="0"/>
              <w:jc w:val="center"/>
              <w:rPr>
                <w:color w:val="000000"/>
                <w:sz w:val="20"/>
                <w:szCs w:val="20"/>
                <w:lang w:val="en-US" w:eastAsia="en-US"/>
              </w:rPr>
            </w:pPr>
            <w:r w:rsidRPr="004C34A3">
              <w:rPr>
                <w:color w:val="000000"/>
                <w:sz w:val="20"/>
                <w:szCs w:val="20"/>
                <w:lang w:val="en-US" w:eastAsia="en-US"/>
              </w:rPr>
              <w:t>21.9</w:t>
            </w:r>
          </w:p>
        </w:tc>
      </w:tr>
    </w:tbl>
    <w:p w14:paraId="643A49DF" w14:textId="77777777" w:rsidR="003071F3" w:rsidRDefault="004A1090" w:rsidP="00854EFC">
      <w:pPr>
        <w:pStyle w:val="parrafonumerado"/>
      </w:pPr>
      <w:r>
        <w:lastRenderedPageBreak/>
        <w:t xml:space="preserve">El cuadro muestra, para cada tipo de intervención, el valor de los parámetros claves que definen tanto el nivel como la evolución de los costos en los primeros cinco años del horizonte del </w:t>
      </w:r>
      <w:proofErr w:type="gramStart"/>
      <w:r>
        <w:t>proyecto</w:t>
      </w:r>
      <w:proofErr w:type="gramEnd"/>
      <w:r w:rsidR="00D4445F">
        <w:t xml:space="preserve"> así como el promedio de los costos de operación y mantenimiento (O&amp;M) para los años 6 al 25</w:t>
      </w:r>
      <w:r>
        <w:t xml:space="preserve">. </w:t>
      </w:r>
      <w:r w:rsidR="00D4445F">
        <w:t xml:space="preserve"> </w:t>
      </w:r>
    </w:p>
    <w:p w14:paraId="2B30CE7F" w14:textId="0716AA66" w:rsidR="00D4445F" w:rsidRDefault="00D4445F" w:rsidP="00854EFC">
      <w:pPr>
        <w:pStyle w:val="parrafonumerado"/>
      </w:pPr>
      <w:r>
        <w:t>Un supuesto importante se refiere al despliegue de las acciones del proyecto en el tiempo.  Se ha asumido que las acciones se despliegan</w:t>
      </w:r>
      <w:r w:rsidR="00695B82">
        <w:t xml:space="preserve"> de acuerdo a la evolución de las inversiones previstas en el presupuesto detallado del proyecto</w:t>
      </w:r>
      <w:r>
        <w:t xml:space="preserve">.  </w:t>
      </w:r>
    </w:p>
    <w:p w14:paraId="0A6EB9DA" w14:textId="77777777" w:rsidR="00D4445F" w:rsidRDefault="00D4445F" w:rsidP="00D4445F">
      <w:pPr>
        <w:pStyle w:val="Heading2"/>
      </w:pPr>
      <w:bookmarkStart w:id="21" w:name="_Toc17823755"/>
      <w:r>
        <w:t>5.2.  Horizonte del proyecto y tasa de descuento</w:t>
      </w:r>
      <w:bookmarkEnd w:id="21"/>
    </w:p>
    <w:p w14:paraId="54DCA042" w14:textId="77777777" w:rsidR="00D4445F" w:rsidRDefault="00D4445F" w:rsidP="00854EFC">
      <w:pPr>
        <w:pStyle w:val="parrafonumerado"/>
      </w:pPr>
      <w:r>
        <w:t xml:space="preserve">Para el horizonte de evaluación del costo-beneficio del proyecto se han considerado 25 años, que representan un ciclo completo de restauración y producción del bosque de pino de acuerdo a las prácticas recomendadas.  Este horizonte permite que en las intervenciones de restauración con producción se consideren la mayor parte de los beneficios esperados del proyecto.  </w:t>
      </w:r>
    </w:p>
    <w:p w14:paraId="2EFCE96E" w14:textId="77777777" w:rsidR="00D4445F" w:rsidRDefault="00D4445F" w:rsidP="00854EFC">
      <w:pPr>
        <w:pStyle w:val="parrafonumerado"/>
      </w:pPr>
      <w:r>
        <w:t xml:space="preserve">Para la tasa de descuento anual se utiliza 12%, que es la tasa utilizada por el Banco Interamericano de Desarrollo (BID) para proyectos de inversión pública en la región.  En el análisis de sensibilidad se consideran los impactos en el Valor </w:t>
      </w:r>
      <w:r w:rsidR="000C0768">
        <w:t>Actual</w:t>
      </w:r>
      <w:r>
        <w:t xml:space="preserve"> Neto (V</w:t>
      </w:r>
      <w:r w:rsidR="000C0768">
        <w:t>A</w:t>
      </w:r>
      <w:r>
        <w:t>N) del proyecto de tasas de descuento de 15% y 8%.</w:t>
      </w:r>
    </w:p>
    <w:p w14:paraId="3793F88E" w14:textId="77777777" w:rsidR="00D4445F" w:rsidRDefault="00D4445F" w:rsidP="00D4445F">
      <w:pPr>
        <w:pStyle w:val="Heading2"/>
      </w:pPr>
      <w:bookmarkStart w:id="22" w:name="_Toc17823756"/>
      <w:r>
        <w:t>5.3.  Indicadores de costo beneficio del proyecto</w:t>
      </w:r>
      <w:bookmarkEnd w:id="22"/>
    </w:p>
    <w:p w14:paraId="42B32006" w14:textId="77777777" w:rsidR="008006A8" w:rsidRDefault="00D4445F" w:rsidP="00854EFC">
      <w:pPr>
        <w:pStyle w:val="parrafonumerado"/>
      </w:pPr>
      <w:r>
        <w:t xml:space="preserve">Se han calculado tres indicadores de costo beneficio de cada intervención y del proyecto en su conjunto.  En primer lugar, se estima el Valor </w:t>
      </w:r>
      <w:r w:rsidR="008006A8">
        <w:t>Actual</w:t>
      </w:r>
      <w:r>
        <w:t xml:space="preserve"> Neto (V</w:t>
      </w:r>
      <w:r w:rsidR="008006A8">
        <w:t>A</w:t>
      </w:r>
      <w:r>
        <w:t>N)</w:t>
      </w:r>
      <w:r w:rsidR="008006A8">
        <w:t xml:space="preserve">.  En este indicador se suman los valores del ingreso neto anual (ingresos menos egresos) del proyecto descontados por la tasa de descuento del 12%.  El segundo indicador es la Tasa Interna de Retorno (TIR).  Esta tasa indica la tasa de descuento que igualaría a cero el flujo de ingresos netos del proyecto.  Es un indicador de rentabilidad relativa.  Una TIR inferior a 12% estaría asociada a un VAN negativo con la tasa de 12%.  Finalmente, se considera </w:t>
      </w:r>
      <w:proofErr w:type="gramStart"/>
      <w:r w:rsidR="008006A8">
        <w:t>el ratio</w:t>
      </w:r>
      <w:proofErr w:type="gramEnd"/>
      <w:r w:rsidR="008006A8">
        <w:t xml:space="preserve"> beneficio-costo del proyecto.  Este indicador divide el beneficio bruto a valor presente entre el costo bruto a valor presente.  Cuando el indicador es mayor a 1 indica una rentabilidad positiva de la intervención y/o proyecto a la tasa de descuento correspondiente (en este caso 12%), y cuando es menor a 1 indica que no es rentable a dicha tasa de descuento.</w:t>
      </w:r>
    </w:p>
    <w:p w14:paraId="6CE0681C" w14:textId="271E39B1" w:rsidR="008006A8" w:rsidRDefault="00D67996" w:rsidP="00854EFC">
      <w:pPr>
        <w:pStyle w:val="parrafonumerado"/>
      </w:pPr>
      <w:r>
        <w:t>En el cuadro siguiente se consign</w:t>
      </w:r>
      <w:r w:rsidR="004F0BA4">
        <w:t>an</w:t>
      </w:r>
      <w:r>
        <w:t xml:space="preserve"> los tres indicadores para el escenario base del proyecto, tanto por tipo de intervención como en el conjunto del proyecto.</w:t>
      </w:r>
    </w:p>
    <w:p w14:paraId="7806E385" w14:textId="4B505EF5" w:rsidR="00D67996" w:rsidRDefault="00D67996" w:rsidP="000C0768">
      <w:pPr>
        <w:pStyle w:val="NoSpacing"/>
      </w:pPr>
      <w:r w:rsidRPr="00D67996">
        <w:t>Cuadro 1</w:t>
      </w:r>
      <w:r w:rsidR="00854EFC">
        <w:t>2</w:t>
      </w:r>
      <w:r w:rsidRPr="00D67996">
        <w:t>.  Indicadores de costo-beneficio del proyecto en escenario base</w:t>
      </w:r>
    </w:p>
    <w:tbl>
      <w:tblPr>
        <w:tblW w:w="8500" w:type="dxa"/>
        <w:tblInd w:w="-10" w:type="dxa"/>
        <w:tblLook w:val="04A0" w:firstRow="1" w:lastRow="0" w:firstColumn="1" w:lastColumn="0" w:noHBand="0" w:noVBand="1"/>
      </w:tblPr>
      <w:tblGrid>
        <w:gridCol w:w="2840"/>
        <w:gridCol w:w="1440"/>
        <w:gridCol w:w="1420"/>
        <w:gridCol w:w="1440"/>
        <w:gridCol w:w="1360"/>
      </w:tblGrid>
      <w:tr w:rsidR="004F01D4" w:rsidRPr="004F01D4" w14:paraId="75827FAE" w14:textId="77777777" w:rsidTr="004F01D4">
        <w:trPr>
          <w:trHeight w:val="615"/>
        </w:trPr>
        <w:tc>
          <w:tcPr>
            <w:tcW w:w="28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FC5E2CB" w14:textId="77777777" w:rsidR="004F01D4" w:rsidRPr="005A6EF5" w:rsidRDefault="004F01D4" w:rsidP="004F01D4">
            <w:pPr>
              <w:spacing w:before="0" w:after="0"/>
              <w:jc w:val="left"/>
              <w:rPr>
                <w:color w:val="000000"/>
                <w:sz w:val="18"/>
                <w:szCs w:val="18"/>
                <w:lang w:eastAsia="en-US"/>
              </w:rPr>
            </w:pPr>
            <w:r w:rsidRPr="005A6EF5">
              <w:rPr>
                <w:color w:val="000000"/>
                <w:sz w:val="18"/>
                <w:szCs w:val="18"/>
                <w:lang w:eastAsia="en-US"/>
              </w:rPr>
              <w:t> </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14:paraId="359A3613" w14:textId="77777777" w:rsidR="004F01D4" w:rsidRPr="004F01D4" w:rsidRDefault="004F01D4" w:rsidP="004F01D4">
            <w:pPr>
              <w:spacing w:before="0" w:after="0"/>
              <w:jc w:val="center"/>
              <w:rPr>
                <w:b/>
                <w:bCs/>
                <w:color w:val="000000"/>
                <w:sz w:val="18"/>
                <w:szCs w:val="18"/>
                <w:lang w:val="en-US" w:eastAsia="en-US"/>
              </w:rPr>
            </w:pPr>
            <w:proofErr w:type="spellStart"/>
            <w:r w:rsidRPr="004F01D4">
              <w:rPr>
                <w:b/>
                <w:bCs/>
                <w:color w:val="000000"/>
                <w:sz w:val="18"/>
                <w:szCs w:val="18"/>
                <w:lang w:val="en-US" w:eastAsia="en-US"/>
              </w:rPr>
              <w:t>Restauración</w:t>
            </w:r>
            <w:proofErr w:type="spellEnd"/>
            <w:r w:rsidRPr="004F01D4">
              <w:rPr>
                <w:b/>
                <w:bCs/>
                <w:color w:val="000000"/>
                <w:sz w:val="18"/>
                <w:szCs w:val="18"/>
                <w:lang w:val="en-US" w:eastAsia="en-US"/>
              </w:rPr>
              <w:t xml:space="preserve"> </w:t>
            </w:r>
            <w:proofErr w:type="spellStart"/>
            <w:r w:rsidRPr="004F01D4">
              <w:rPr>
                <w:b/>
                <w:bCs/>
                <w:color w:val="000000"/>
                <w:sz w:val="18"/>
                <w:szCs w:val="18"/>
                <w:lang w:val="en-US" w:eastAsia="en-US"/>
              </w:rPr>
              <w:t>Privada</w:t>
            </w:r>
            <w:proofErr w:type="spellEnd"/>
          </w:p>
        </w:tc>
        <w:tc>
          <w:tcPr>
            <w:tcW w:w="1420" w:type="dxa"/>
            <w:tcBorders>
              <w:top w:val="single" w:sz="8" w:space="0" w:color="auto"/>
              <w:left w:val="nil"/>
              <w:bottom w:val="single" w:sz="8" w:space="0" w:color="auto"/>
              <w:right w:val="single" w:sz="4" w:space="0" w:color="auto"/>
            </w:tcBorders>
            <w:shd w:val="clear" w:color="auto" w:fill="auto"/>
            <w:noWrap/>
            <w:vAlign w:val="center"/>
            <w:hideMark/>
          </w:tcPr>
          <w:p w14:paraId="781956CF" w14:textId="77777777" w:rsidR="004F01D4" w:rsidRPr="004F01D4" w:rsidRDefault="004F01D4" w:rsidP="004F01D4">
            <w:pPr>
              <w:spacing w:before="0" w:after="0"/>
              <w:jc w:val="center"/>
              <w:rPr>
                <w:b/>
                <w:bCs/>
                <w:color w:val="000000"/>
                <w:sz w:val="18"/>
                <w:szCs w:val="18"/>
                <w:lang w:val="en-US" w:eastAsia="en-US"/>
              </w:rPr>
            </w:pPr>
            <w:r w:rsidRPr="004F01D4">
              <w:rPr>
                <w:b/>
                <w:bCs/>
                <w:color w:val="000000"/>
                <w:sz w:val="18"/>
                <w:szCs w:val="18"/>
                <w:lang w:val="en-US" w:eastAsia="en-US"/>
              </w:rPr>
              <w:t>MFA</w:t>
            </w:r>
          </w:p>
        </w:tc>
        <w:tc>
          <w:tcPr>
            <w:tcW w:w="1440" w:type="dxa"/>
            <w:tcBorders>
              <w:top w:val="single" w:sz="8" w:space="0" w:color="auto"/>
              <w:left w:val="nil"/>
              <w:bottom w:val="single" w:sz="8" w:space="0" w:color="auto"/>
              <w:right w:val="single" w:sz="4" w:space="0" w:color="auto"/>
            </w:tcBorders>
            <w:shd w:val="clear" w:color="auto" w:fill="auto"/>
            <w:noWrap/>
            <w:vAlign w:val="center"/>
            <w:hideMark/>
          </w:tcPr>
          <w:p w14:paraId="7F243037" w14:textId="77777777" w:rsidR="004F01D4" w:rsidRPr="004F01D4" w:rsidRDefault="004F01D4" w:rsidP="004F01D4">
            <w:pPr>
              <w:spacing w:before="0" w:after="0"/>
              <w:jc w:val="center"/>
              <w:rPr>
                <w:b/>
                <w:bCs/>
                <w:color w:val="000000"/>
                <w:sz w:val="18"/>
                <w:szCs w:val="18"/>
                <w:lang w:val="en-US" w:eastAsia="en-US"/>
              </w:rPr>
            </w:pPr>
            <w:r w:rsidRPr="004F01D4">
              <w:rPr>
                <w:b/>
                <w:bCs/>
                <w:color w:val="000000"/>
                <w:sz w:val="18"/>
                <w:szCs w:val="18"/>
                <w:lang w:val="en-US" w:eastAsia="en-US"/>
              </w:rPr>
              <w:t>SAF</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2A5AB946" w14:textId="77777777" w:rsidR="004F01D4" w:rsidRPr="004F01D4" w:rsidRDefault="004F01D4" w:rsidP="004F01D4">
            <w:pPr>
              <w:spacing w:before="0" w:after="0"/>
              <w:jc w:val="center"/>
              <w:rPr>
                <w:b/>
                <w:bCs/>
                <w:color w:val="000000"/>
                <w:sz w:val="18"/>
                <w:szCs w:val="18"/>
                <w:lang w:val="en-US" w:eastAsia="en-US"/>
              </w:rPr>
            </w:pPr>
            <w:r w:rsidRPr="004F01D4">
              <w:rPr>
                <w:b/>
                <w:bCs/>
                <w:color w:val="000000"/>
                <w:sz w:val="18"/>
                <w:szCs w:val="18"/>
                <w:lang w:val="en-US" w:eastAsia="en-US"/>
              </w:rPr>
              <w:t>TOTAL</w:t>
            </w:r>
          </w:p>
        </w:tc>
      </w:tr>
      <w:tr w:rsidR="004F01D4" w:rsidRPr="004F01D4" w14:paraId="5B075FC6" w14:textId="77777777" w:rsidTr="004F01D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2A691A77" w14:textId="77777777" w:rsidR="004F01D4" w:rsidRPr="004F01D4" w:rsidRDefault="004F01D4" w:rsidP="004F01D4">
            <w:pPr>
              <w:spacing w:before="0" w:after="0"/>
              <w:jc w:val="left"/>
              <w:rPr>
                <w:b/>
                <w:bCs/>
                <w:color w:val="000000"/>
                <w:sz w:val="18"/>
                <w:szCs w:val="18"/>
                <w:lang w:val="en-US" w:eastAsia="en-US"/>
              </w:rPr>
            </w:pPr>
            <w:r w:rsidRPr="004F01D4">
              <w:rPr>
                <w:b/>
                <w:bCs/>
                <w:color w:val="000000"/>
                <w:sz w:val="18"/>
                <w:szCs w:val="18"/>
                <w:lang w:val="en-US" w:eastAsia="en-US"/>
              </w:rPr>
              <w:t>ESCENARIO BASE</w:t>
            </w:r>
          </w:p>
        </w:tc>
        <w:tc>
          <w:tcPr>
            <w:tcW w:w="1440" w:type="dxa"/>
            <w:tcBorders>
              <w:top w:val="nil"/>
              <w:left w:val="nil"/>
              <w:bottom w:val="single" w:sz="4" w:space="0" w:color="auto"/>
              <w:right w:val="single" w:sz="4" w:space="0" w:color="auto"/>
            </w:tcBorders>
            <w:shd w:val="clear" w:color="auto" w:fill="auto"/>
            <w:noWrap/>
            <w:vAlign w:val="center"/>
            <w:hideMark/>
          </w:tcPr>
          <w:p w14:paraId="1D292292"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w:t>
            </w:r>
          </w:p>
        </w:tc>
        <w:tc>
          <w:tcPr>
            <w:tcW w:w="1420" w:type="dxa"/>
            <w:tcBorders>
              <w:top w:val="nil"/>
              <w:left w:val="nil"/>
              <w:bottom w:val="single" w:sz="4" w:space="0" w:color="auto"/>
              <w:right w:val="single" w:sz="4" w:space="0" w:color="auto"/>
            </w:tcBorders>
            <w:shd w:val="clear" w:color="auto" w:fill="auto"/>
            <w:noWrap/>
            <w:vAlign w:val="center"/>
            <w:hideMark/>
          </w:tcPr>
          <w:p w14:paraId="4E1FFEA0"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14:paraId="3C7813D2"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w:t>
            </w:r>
          </w:p>
        </w:tc>
        <w:tc>
          <w:tcPr>
            <w:tcW w:w="1360" w:type="dxa"/>
            <w:tcBorders>
              <w:top w:val="nil"/>
              <w:left w:val="nil"/>
              <w:bottom w:val="single" w:sz="4" w:space="0" w:color="auto"/>
              <w:right w:val="single" w:sz="8" w:space="0" w:color="auto"/>
            </w:tcBorders>
            <w:shd w:val="clear" w:color="auto" w:fill="auto"/>
            <w:noWrap/>
            <w:vAlign w:val="center"/>
            <w:hideMark/>
          </w:tcPr>
          <w:p w14:paraId="659D3501"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w:t>
            </w:r>
          </w:p>
        </w:tc>
      </w:tr>
      <w:tr w:rsidR="004F01D4" w:rsidRPr="004F01D4" w14:paraId="6D98E557" w14:textId="77777777" w:rsidTr="004F01D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44F204CC" w14:textId="77777777" w:rsidR="004F01D4" w:rsidRPr="004F01D4" w:rsidRDefault="004F01D4" w:rsidP="004F01D4">
            <w:pPr>
              <w:spacing w:before="0" w:after="0"/>
              <w:jc w:val="left"/>
              <w:rPr>
                <w:color w:val="000000"/>
                <w:sz w:val="18"/>
                <w:szCs w:val="18"/>
                <w:lang w:val="en-US" w:eastAsia="en-US"/>
              </w:rPr>
            </w:pPr>
            <w:r w:rsidRPr="004F01D4">
              <w:rPr>
                <w:color w:val="000000"/>
                <w:sz w:val="18"/>
                <w:szCs w:val="18"/>
                <w:lang w:val="en-US" w:eastAsia="en-US"/>
              </w:rPr>
              <w:t>ÁREA CUBIERTA (HAS)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EE618"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10,664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37BDF458"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188,836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0D53B4B4"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28,400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5F4823F9"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227,900 </w:t>
            </w:r>
          </w:p>
        </w:tc>
      </w:tr>
      <w:tr w:rsidR="004F01D4" w:rsidRPr="004F01D4" w14:paraId="29AB5103" w14:textId="77777777" w:rsidTr="004F01D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1DA32B4D" w14:textId="77777777" w:rsidR="004F01D4" w:rsidRPr="004F01D4" w:rsidRDefault="004F01D4" w:rsidP="004F01D4">
            <w:pPr>
              <w:spacing w:before="0" w:after="0"/>
              <w:jc w:val="left"/>
              <w:rPr>
                <w:color w:val="000000"/>
                <w:sz w:val="18"/>
                <w:szCs w:val="18"/>
                <w:lang w:val="en-US" w:eastAsia="en-US"/>
              </w:rPr>
            </w:pPr>
            <w:r w:rsidRPr="004F01D4">
              <w:rPr>
                <w:color w:val="000000"/>
                <w:sz w:val="18"/>
                <w:szCs w:val="18"/>
                <w:lang w:val="en-US" w:eastAsia="en-US"/>
              </w:rPr>
              <w:t>VPN TD 12%</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17C0E3A5"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4,834,137 </w:t>
            </w:r>
          </w:p>
        </w:tc>
        <w:tc>
          <w:tcPr>
            <w:tcW w:w="1420" w:type="dxa"/>
            <w:tcBorders>
              <w:top w:val="nil"/>
              <w:left w:val="nil"/>
              <w:bottom w:val="single" w:sz="4" w:space="0" w:color="auto"/>
              <w:right w:val="single" w:sz="4" w:space="0" w:color="auto"/>
            </w:tcBorders>
            <w:shd w:val="clear" w:color="auto" w:fill="auto"/>
            <w:noWrap/>
            <w:vAlign w:val="center"/>
            <w:hideMark/>
          </w:tcPr>
          <w:p w14:paraId="5DE9ED08"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21,707,741 </w:t>
            </w:r>
          </w:p>
        </w:tc>
        <w:tc>
          <w:tcPr>
            <w:tcW w:w="1440" w:type="dxa"/>
            <w:tcBorders>
              <w:top w:val="nil"/>
              <w:left w:val="nil"/>
              <w:bottom w:val="single" w:sz="4" w:space="0" w:color="auto"/>
              <w:right w:val="single" w:sz="4" w:space="0" w:color="auto"/>
            </w:tcBorders>
            <w:shd w:val="clear" w:color="auto" w:fill="auto"/>
            <w:noWrap/>
            <w:vAlign w:val="center"/>
            <w:hideMark/>
          </w:tcPr>
          <w:p w14:paraId="72373FAB" w14:textId="77777777" w:rsidR="004F01D4" w:rsidRPr="004F01D4" w:rsidRDefault="004F01D4" w:rsidP="004F01D4">
            <w:pPr>
              <w:spacing w:before="0" w:after="0"/>
              <w:jc w:val="center"/>
              <w:rPr>
                <w:color w:val="000000"/>
                <w:sz w:val="18"/>
                <w:szCs w:val="18"/>
                <w:lang w:val="en-US" w:eastAsia="en-US"/>
              </w:rPr>
            </w:pPr>
            <w:r w:rsidRPr="004F01D4">
              <w:rPr>
                <w:color w:val="FF0000"/>
                <w:sz w:val="18"/>
                <w:szCs w:val="18"/>
                <w:lang w:val="en-US" w:eastAsia="en-US"/>
              </w:rPr>
              <w:t xml:space="preserve">-1,194,520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4C927550"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25,347,359 </w:t>
            </w:r>
          </w:p>
        </w:tc>
      </w:tr>
      <w:tr w:rsidR="004F01D4" w:rsidRPr="004F01D4" w14:paraId="78883F97" w14:textId="77777777" w:rsidTr="004F01D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2C4F967D" w14:textId="77777777" w:rsidR="004F01D4" w:rsidRPr="004F01D4" w:rsidRDefault="004F01D4" w:rsidP="004F01D4">
            <w:pPr>
              <w:spacing w:before="0" w:after="0"/>
              <w:jc w:val="left"/>
              <w:rPr>
                <w:color w:val="000000"/>
                <w:sz w:val="18"/>
                <w:szCs w:val="18"/>
                <w:lang w:val="en-US" w:eastAsia="en-US"/>
              </w:rPr>
            </w:pPr>
            <w:r w:rsidRPr="004F01D4">
              <w:rPr>
                <w:color w:val="000000"/>
                <w:sz w:val="18"/>
                <w:szCs w:val="18"/>
                <w:lang w:val="en-US" w:eastAsia="en-US"/>
              </w:rPr>
              <w:t>TIR %</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044D0E4F"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16.9%</w:t>
            </w:r>
          </w:p>
        </w:tc>
        <w:tc>
          <w:tcPr>
            <w:tcW w:w="1420" w:type="dxa"/>
            <w:tcBorders>
              <w:top w:val="nil"/>
              <w:left w:val="nil"/>
              <w:bottom w:val="single" w:sz="4" w:space="0" w:color="auto"/>
              <w:right w:val="single" w:sz="4" w:space="0" w:color="auto"/>
            </w:tcBorders>
            <w:shd w:val="clear" w:color="auto" w:fill="auto"/>
            <w:noWrap/>
            <w:vAlign w:val="center"/>
            <w:hideMark/>
          </w:tcPr>
          <w:p w14:paraId="1B2A9876"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24.5%</w:t>
            </w:r>
          </w:p>
        </w:tc>
        <w:tc>
          <w:tcPr>
            <w:tcW w:w="1440" w:type="dxa"/>
            <w:tcBorders>
              <w:top w:val="nil"/>
              <w:left w:val="nil"/>
              <w:bottom w:val="single" w:sz="4" w:space="0" w:color="auto"/>
              <w:right w:val="single" w:sz="4" w:space="0" w:color="auto"/>
            </w:tcBorders>
            <w:shd w:val="clear" w:color="auto" w:fill="auto"/>
            <w:noWrap/>
            <w:vAlign w:val="center"/>
            <w:hideMark/>
          </w:tcPr>
          <w:p w14:paraId="4C279D57"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8.5%</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26CBEE78"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20.4%</w:t>
            </w:r>
          </w:p>
        </w:tc>
      </w:tr>
      <w:tr w:rsidR="004F01D4" w:rsidRPr="004F01D4" w14:paraId="38D5E877" w14:textId="77777777" w:rsidTr="004F01D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1DFC876F" w14:textId="77777777" w:rsidR="004F01D4" w:rsidRPr="005A6EF5" w:rsidRDefault="004F01D4" w:rsidP="004F01D4">
            <w:pPr>
              <w:spacing w:before="0" w:after="0"/>
              <w:jc w:val="left"/>
              <w:rPr>
                <w:color w:val="000000"/>
                <w:sz w:val="18"/>
                <w:szCs w:val="18"/>
                <w:lang w:eastAsia="en-US"/>
              </w:rPr>
            </w:pPr>
            <w:r w:rsidRPr="005A6EF5">
              <w:rPr>
                <w:color w:val="000000"/>
                <w:sz w:val="18"/>
                <w:szCs w:val="18"/>
                <w:lang w:eastAsia="en-US"/>
              </w:rPr>
              <w:t>VPN POR HECTÁREA (US$/HA)</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BE45F4C"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453 </w:t>
            </w:r>
          </w:p>
        </w:tc>
        <w:tc>
          <w:tcPr>
            <w:tcW w:w="1420" w:type="dxa"/>
            <w:tcBorders>
              <w:top w:val="nil"/>
              <w:left w:val="nil"/>
              <w:bottom w:val="single" w:sz="4" w:space="0" w:color="auto"/>
              <w:right w:val="single" w:sz="4" w:space="0" w:color="auto"/>
            </w:tcBorders>
            <w:shd w:val="clear" w:color="auto" w:fill="auto"/>
            <w:noWrap/>
            <w:vAlign w:val="center"/>
            <w:hideMark/>
          </w:tcPr>
          <w:p w14:paraId="0328ECBC"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115 </w:t>
            </w:r>
          </w:p>
        </w:tc>
        <w:tc>
          <w:tcPr>
            <w:tcW w:w="1440" w:type="dxa"/>
            <w:tcBorders>
              <w:top w:val="nil"/>
              <w:left w:val="nil"/>
              <w:bottom w:val="single" w:sz="4" w:space="0" w:color="auto"/>
              <w:right w:val="single" w:sz="4" w:space="0" w:color="auto"/>
            </w:tcBorders>
            <w:shd w:val="clear" w:color="auto" w:fill="auto"/>
            <w:noWrap/>
            <w:vAlign w:val="center"/>
            <w:hideMark/>
          </w:tcPr>
          <w:p w14:paraId="540EA12B" w14:textId="77777777" w:rsidR="004F01D4" w:rsidRPr="004F01D4" w:rsidRDefault="004F01D4" w:rsidP="004F01D4">
            <w:pPr>
              <w:spacing w:before="0" w:after="0"/>
              <w:jc w:val="center"/>
              <w:rPr>
                <w:color w:val="000000"/>
                <w:sz w:val="18"/>
                <w:szCs w:val="18"/>
                <w:lang w:val="en-US" w:eastAsia="en-US"/>
              </w:rPr>
            </w:pPr>
            <w:r w:rsidRPr="004F01D4">
              <w:rPr>
                <w:color w:val="FF0000"/>
                <w:sz w:val="18"/>
                <w:szCs w:val="18"/>
                <w:lang w:val="en-US" w:eastAsia="en-US"/>
              </w:rPr>
              <w:t xml:space="preserve">-42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5049C34B"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111 </w:t>
            </w:r>
          </w:p>
        </w:tc>
      </w:tr>
      <w:tr w:rsidR="004F01D4" w:rsidRPr="004F01D4" w14:paraId="53B9EB17" w14:textId="77777777" w:rsidTr="004F01D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0143FD5E" w14:textId="77777777" w:rsidR="004F01D4" w:rsidRPr="004F01D4" w:rsidRDefault="004F01D4" w:rsidP="004F01D4">
            <w:pPr>
              <w:spacing w:before="0" w:after="0"/>
              <w:jc w:val="left"/>
              <w:rPr>
                <w:color w:val="000000"/>
                <w:sz w:val="18"/>
                <w:szCs w:val="18"/>
                <w:lang w:val="en-US" w:eastAsia="en-US"/>
              </w:rPr>
            </w:pPr>
            <w:r w:rsidRPr="004F01D4">
              <w:rPr>
                <w:color w:val="000000"/>
                <w:sz w:val="18"/>
                <w:szCs w:val="18"/>
                <w:lang w:val="en-US" w:eastAsia="en-US"/>
              </w:rPr>
              <w:t>BENEFICIOS A VP (US$)</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285BB459"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19,019,933 </w:t>
            </w:r>
          </w:p>
        </w:tc>
        <w:tc>
          <w:tcPr>
            <w:tcW w:w="1420" w:type="dxa"/>
            <w:tcBorders>
              <w:top w:val="nil"/>
              <w:left w:val="nil"/>
              <w:bottom w:val="single" w:sz="4" w:space="0" w:color="auto"/>
              <w:right w:val="single" w:sz="4" w:space="0" w:color="auto"/>
            </w:tcBorders>
            <w:shd w:val="clear" w:color="auto" w:fill="auto"/>
            <w:noWrap/>
            <w:vAlign w:val="center"/>
            <w:hideMark/>
          </w:tcPr>
          <w:p w14:paraId="612292D2"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52,674,982 </w:t>
            </w:r>
          </w:p>
        </w:tc>
        <w:tc>
          <w:tcPr>
            <w:tcW w:w="1440" w:type="dxa"/>
            <w:tcBorders>
              <w:top w:val="nil"/>
              <w:left w:val="nil"/>
              <w:bottom w:val="single" w:sz="4" w:space="0" w:color="auto"/>
              <w:right w:val="single" w:sz="4" w:space="0" w:color="auto"/>
            </w:tcBorders>
            <w:shd w:val="clear" w:color="auto" w:fill="auto"/>
            <w:noWrap/>
            <w:vAlign w:val="center"/>
            <w:hideMark/>
          </w:tcPr>
          <w:p w14:paraId="06677B7D"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4,144,464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4AF92980"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75,839,379 </w:t>
            </w:r>
          </w:p>
        </w:tc>
      </w:tr>
      <w:tr w:rsidR="004F01D4" w:rsidRPr="004F01D4" w14:paraId="1F96611D" w14:textId="77777777" w:rsidTr="004F01D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1E7CB829" w14:textId="77777777" w:rsidR="004F01D4" w:rsidRPr="004F01D4" w:rsidRDefault="004F01D4" w:rsidP="004F01D4">
            <w:pPr>
              <w:spacing w:before="0" w:after="0"/>
              <w:jc w:val="left"/>
              <w:rPr>
                <w:color w:val="000000"/>
                <w:sz w:val="18"/>
                <w:szCs w:val="18"/>
                <w:lang w:val="en-US" w:eastAsia="en-US"/>
              </w:rPr>
            </w:pPr>
            <w:r w:rsidRPr="004F01D4">
              <w:rPr>
                <w:color w:val="000000"/>
                <w:sz w:val="18"/>
                <w:szCs w:val="18"/>
                <w:lang w:val="en-US" w:eastAsia="en-US"/>
              </w:rPr>
              <w:t>COSTOS A VP (US$)</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31B1B877"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14,185,796 </w:t>
            </w:r>
          </w:p>
        </w:tc>
        <w:tc>
          <w:tcPr>
            <w:tcW w:w="1420" w:type="dxa"/>
            <w:tcBorders>
              <w:top w:val="nil"/>
              <w:left w:val="nil"/>
              <w:bottom w:val="single" w:sz="4" w:space="0" w:color="auto"/>
              <w:right w:val="single" w:sz="4" w:space="0" w:color="auto"/>
            </w:tcBorders>
            <w:shd w:val="clear" w:color="auto" w:fill="auto"/>
            <w:noWrap/>
            <w:vAlign w:val="center"/>
            <w:hideMark/>
          </w:tcPr>
          <w:p w14:paraId="09FE7038"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30,967,241 </w:t>
            </w:r>
          </w:p>
        </w:tc>
        <w:tc>
          <w:tcPr>
            <w:tcW w:w="1440" w:type="dxa"/>
            <w:tcBorders>
              <w:top w:val="nil"/>
              <w:left w:val="nil"/>
              <w:bottom w:val="single" w:sz="4" w:space="0" w:color="auto"/>
              <w:right w:val="single" w:sz="4" w:space="0" w:color="auto"/>
            </w:tcBorders>
            <w:shd w:val="clear" w:color="auto" w:fill="auto"/>
            <w:noWrap/>
            <w:vAlign w:val="center"/>
            <w:hideMark/>
          </w:tcPr>
          <w:p w14:paraId="0123D6A9"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5,338,983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56EEBB5A"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50,492,020 </w:t>
            </w:r>
          </w:p>
        </w:tc>
      </w:tr>
      <w:tr w:rsidR="004F01D4" w:rsidRPr="004F01D4" w14:paraId="591E5826" w14:textId="77777777" w:rsidTr="004F01D4">
        <w:trPr>
          <w:trHeight w:val="27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67184650" w14:textId="77777777" w:rsidR="004F01D4" w:rsidRPr="004F01D4" w:rsidRDefault="004F01D4" w:rsidP="004F01D4">
            <w:pPr>
              <w:spacing w:before="0" w:after="0"/>
              <w:jc w:val="left"/>
              <w:rPr>
                <w:color w:val="000000"/>
                <w:sz w:val="18"/>
                <w:szCs w:val="18"/>
                <w:lang w:val="en-US" w:eastAsia="en-US"/>
              </w:rPr>
            </w:pPr>
            <w:r w:rsidRPr="004F01D4">
              <w:rPr>
                <w:color w:val="000000"/>
                <w:sz w:val="18"/>
                <w:szCs w:val="18"/>
                <w:lang w:val="en-US" w:eastAsia="en-US"/>
              </w:rPr>
              <w:t>RATIO COSTO BENEFICIO</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294E4E6B"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1.34 </w:t>
            </w:r>
          </w:p>
        </w:tc>
        <w:tc>
          <w:tcPr>
            <w:tcW w:w="1420" w:type="dxa"/>
            <w:tcBorders>
              <w:top w:val="single" w:sz="4" w:space="0" w:color="auto"/>
              <w:left w:val="nil"/>
              <w:bottom w:val="single" w:sz="8" w:space="0" w:color="auto"/>
              <w:right w:val="single" w:sz="4" w:space="0" w:color="auto"/>
            </w:tcBorders>
            <w:shd w:val="clear" w:color="auto" w:fill="auto"/>
            <w:noWrap/>
            <w:vAlign w:val="center"/>
            <w:hideMark/>
          </w:tcPr>
          <w:p w14:paraId="3C23332A"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1.70 </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2D6EB95C"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0.78 </w:t>
            </w:r>
          </w:p>
        </w:tc>
        <w:tc>
          <w:tcPr>
            <w:tcW w:w="1360" w:type="dxa"/>
            <w:tcBorders>
              <w:top w:val="nil"/>
              <w:left w:val="nil"/>
              <w:bottom w:val="single" w:sz="8" w:space="0" w:color="auto"/>
              <w:right w:val="single" w:sz="8" w:space="0" w:color="auto"/>
            </w:tcBorders>
            <w:shd w:val="clear" w:color="auto" w:fill="auto"/>
            <w:noWrap/>
            <w:vAlign w:val="center"/>
            <w:hideMark/>
          </w:tcPr>
          <w:p w14:paraId="0BC9D5DE" w14:textId="77777777" w:rsidR="004F01D4" w:rsidRPr="004F01D4" w:rsidRDefault="004F01D4" w:rsidP="004F01D4">
            <w:pPr>
              <w:spacing w:before="0" w:after="0"/>
              <w:jc w:val="center"/>
              <w:rPr>
                <w:color w:val="000000"/>
                <w:sz w:val="18"/>
                <w:szCs w:val="18"/>
                <w:lang w:val="en-US" w:eastAsia="en-US"/>
              </w:rPr>
            </w:pPr>
            <w:r w:rsidRPr="004F01D4">
              <w:rPr>
                <w:color w:val="000000"/>
                <w:sz w:val="18"/>
                <w:szCs w:val="18"/>
                <w:lang w:val="en-US" w:eastAsia="en-US"/>
              </w:rPr>
              <w:t xml:space="preserve">1.50 </w:t>
            </w:r>
          </w:p>
        </w:tc>
      </w:tr>
    </w:tbl>
    <w:p w14:paraId="0A3DA8B7" w14:textId="77777777" w:rsidR="00854EFC" w:rsidRDefault="00854EFC" w:rsidP="000C0768">
      <w:pPr>
        <w:pStyle w:val="NoSpacing"/>
      </w:pPr>
    </w:p>
    <w:p w14:paraId="11608F2F" w14:textId="32B3DA34" w:rsidR="008006A8" w:rsidRDefault="00854EFC" w:rsidP="00854EFC">
      <w:pPr>
        <w:pStyle w:val="parrafonumerado"/>
      </w:pPr>
      <w:r>
        <w:lastRenderedPageBreak/>
        <w:t>El conjunto del pro</w:t>
      </w:r>
      <w:r w:rsidR="007837FB">
        <w:t xml:space="preserve">yecto tiene un VAN de US$ </w:t>
      </w:r>
      <w:r>
        <w:t>2</w:t>
      </w:r>
      <w:r w:rsidR="004F01D4">
        <w:t>5</w:t>
      </w:r>
      <w:r>
        <w:t>.</w:t>
      </w:r>
      <w:r w:rsidR="004F01D4">
        <w:t>3</w:t>
      </w:r>
      <w:r w:rsidR="007837FB">
        <w:t xml:space="preserve"> millones (con tasa de descuento de 12%).  El flujo neto de ingresos del proyecto tiene una TIR de </w:t>
      </w:r>
      <w:r>
        <w:t>20</w:t>
      </w:r>
      <w:r w:rsidR="007837FB">
        <w:t>.</w:t>
      </w:r>
      <w:r w:rsidR="004F01D4">
        <w:t>4</w:t>
      </w:r>
      <w:r w:rsidR="007837FB">
        <w:t xml:space="preserve">%, con </w:t>
      </w:r>
      <w:proofErr w:type="gramStart"/>
      <w:r w:rsidR="007837FB">
        <w:t>un ratio</w:t>
      </w:r>
      <w:proofErr w:type="gramEnd"/>
      <w:r w:rsidR="007837FB">
        <w:t xml:space="preserve"> costo beneficio de </w:t>
      </w:r>
      <w:r>
        <w:t>1</w:t>
      </w:r>
      <w:r w:rsidR="007837FB">
        <w:t>.</w:t>
      </w:r>
      <w:r w:rsidR="004F01D4">
        <w:t>50</w:t>
      </w:r>
      <w:r w:rsidR="007837FB">
        <w:t xml:space="preserve">. El VAN por hectárea del proyecto es de US$ </w:t>
      </w:r>
      <w:r>
        <w:t>11</w:t>
      </w:r>
      <w:r w:rsidR="004F01D4">
        <w:t>1</w:t>
      </w:r>
      <w:r w:rsidR="007837FB">
        <w:t xml:space="preserve">.  Los beneficios a valor presente ascienden a US$ </w:t>
      </w:r>
      <w:r>
        <w:t>75.</w:t>
      </w:r>
      <w:r w:rsidR="004F01D4">
        <w:t>8</w:t>
      </w:r>
      <w:r w:rsidR="007837FB">
        <w:t xml:space="preserve"> millones, mientras los costos a US$ </w:t>
      </w:r>
      <w:r>
        <w:t>50</w:t>
      </w:r>
      <w:r w:rsidR="007837FB">
        <w:t>.</w:t>
      </w:r>
      <w:r>
        <w:t>5</w:t>
      </w:r>
      <w:r w:rsidR="007837FB">
        <w:t xml:space="preserve"> millones.</w:t>
      </w:r>
    </w:p>
    <w:p w14:paraId="4061A99C" w14:textId="638EA921" w:rsidR="007837FB" w:rsidRDefault="007837FB" w:rsidP="00854EFC">
      <w:pPr>
        <w:pStyle w:val="parrafonumerado"/>
      </w:pPr>
      <w:r>
        <w:t xml:space="preserve">En el siguiente gráfico se presentan los indicadores del VAN y TIR para las </w:t>
      </w:r>
      <w:r w:rsidR="00CE3432">
        <w:t>tres</w:t>
      </w:r>
      <w:r>
        <w:t xml:space="preserve"> intervenciones del </w:t>
      </w:r>
      <w:r w:rsidR="00CE3432">
        <w:t>proyecto y el total</w:t>
      </w:r>
      <w:r>
        <w:t xml:space="preserve">.  </w:t>
      </w:r>
    </w:p>
    <w:p w14:paraId="7DB4991A" w14:textId="6D0CCC4E" w:rsidR="007837FB" w:rsidRDefault="004F01D4" w:rsidP="007837FB">
      <w:pPr>
        <w:jc w:val="center"/>
      </w:pPr>
      <w:r w:rsidRPr="004F01D4">
        <w:rPr>
          <w:noProof/>
          <w:color w:val="000000" w:themeColor="text1"/>
          <w:lang w:val="en-US"/>
        </w:rPr>
        <w:drawing>
          <wp:anchor distT="0" distB="0" distL="114300" distR="114300" simplePos="0" relativeHeight="251689984" behindDoc="0" locked="0" layoutInCell="1" allowOverlap="1" wp14:anchorId="29B1B9A4" wp14:editId="034BDF81">
            <wp:simplePos x="0" y="0"/>
            <wp:positionH relativeFrom="column">
              <wp:posOffset>253365</wp:posOffset>
            </wp:positionH>
            <wp:positionV relativeFrom="paragraph">
              <wp:posOffset>250825</wp:posOffset>
            </wp:positionV>
            <wp:extent cx="5019675" cy="2933700"/>
            <wp:effectExtent l="0" t="0" r="9525" b="0"/>
            <wp:wrapTopAndBottom/>
            <wp:docPr id="2" name="Gráfico 2">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sidR="007837FB">
        <w:t xml:space="preserve">Gráfico 3. Indicadores de costo-beneficio </w:t>
      </w:r>
      <w:r w:rsidR="00854EFC">
        <w:t>por tipo de intervención y total</w:t>
      </w:r>
    </w:p>
    <w:p w14:paraId="6206F6AC" w14:textId="7CDAB2DD" w:rsidR="00854EFC" w:rsidRDefault="00854EFC" w:rsidP="007837FB">
      <w:pPr>
        <w:jc w:val="center"/>
      </w:pPr>
    </w:p>
    <w:p w14:paraId="7D7A344F" w14:textId="08A0F181" w:rsidR="00854EFC" w:rsidRDefault="00854EFC" w:rsidP="00854EFC">
      <w:pPr>
        <w:pStyle w:val="parrafonumerado"/>
      </w:pPr>
      <w:r w:rsidRPr="00EF63D8">
        <w:t xml:space="preserve">Se puede ver en el cuadro que la intervención en manejo adaptativo del bosque tiene la más alta rentabilidad (TIR de </w:t>
      </w:r>
      <w:r>
        <w:t>25</w:t>
      </w:r>
      <w:r w:rsidRPr="00EF63D8">
        <w:t xml:space="preserve">%), mientras que la restauración tiene </w:t>
      </w:r>
      <w:r>
        <w:t>una</w:t>
      </w:r>
      <w:r w:rsidRPr="00EF63D8">
        <w:t xml:space="preserve"> rentabilidad </w:t>
      </w:r>
      <w:r>
        <w:t>esperada de</w:t>
      </w:r>
      <w:r w:rsidRPr="00EF63D8">
        <w:t xml:space="preserve"> </w:t>
      </w:r>
      <w:r>
        <w:t>17</w:t>
      </w:r>
      <w:r w:rsidRPr="00EF63D8">
        <w:t>%</w:t>
      </w:r>
      <w:r>
        <w:t xml:space="preserve"> y </w:t>
      </w:r>
      <w:r w:rsidRPr="00EF63D8">
        <w:t xml:space="preserve">la promoción de sistemas agroforestales </w:t>
      </w:r>
      <w:proofErr w:type="gramStart"/>
      <w:r>
        <w:t>un rentabilidad</w:t>
      </w:r>
      <w:proofErr w:type="gramEnd"/>
      <w:r>
        <w:t xml:space="preserve"> </w:t>
      </w:r>
      <w:r w:rsidRPr="00EF63D8">
        <w:t xml:space="preserve">de </w:t>
      </w:r>
      <w:r>
        <w:t>sólo 7</w:t>
      </w:r>
      <w:r w:rsidRPr="00EF63D8">
        <w:t>%</w:t>
      </w:r>
      <w:r>
        <w:t xml:space="preserve"> (con un VNA negativo de US$ 1.6 millones)</w:t>
      </w:r>
      <w:r w:rsidRPr="00EF63D8">
        <w:t>.</w:t>
      </w:r>
    </w:p>
    <w:p w14:paraId="5071B66E" w14:textId="77777777" w:rsidR="00854EFC" w:rsidRDefault="00854EFC">
      <w:pPr>
        <w:spacing w:before="0" w:after="160" w:line="259" w:lineRule="auto"/>
        <w:jc w:val="left"/>
        <w:rPr>
          <w:b/>
          <w:lang w:val="es-ES"/>
        </w:rPr>
      </w:pPr>
      <w:bookmarkStart w:id="23" w:name="_Toc17823757"/>
      <w:r>
        <w:br w:type="page"/>
      </w:r>
    </w:p>
    <w:p w14:paraId="7331729E" w14:textId="0873758F" w:rsidR="00C20500" w:rsidRPr="003B16B3" w:rsidRDefault="00C20500" w:rsidP="00E21C8D">
      <w:pPr>
        <w:pStyle w:val="Heading1"/>
      </w:pPr>
      <w:r w:rsidRPr="003B16B3">
        <w:lastRenderedPageBreak/>
        <w:t>Sección 6. Análisis de Sensibilidad</w:t>
      </w:r>
      <w:bookmarkEnd w:id="23"/>
    </w:p>
    <w:p w14:paraId="4B06FB47" w14:textId="77777777" w:rsidR="00C20500" w:rsidRDefault="001D0DDD" w:rsidP="00854EFC">
      <w:pPr>
        <w:pStyle w:val="parrafonumerado"/>
      </w:pPr>
      <w:r>
        <w:t xml:space="preserve">El objetivo del </w:t>
      </w:r>
      <w:r w:rsidRPr="00854EFC">
        <w:t>análisis</w:t>
      </w:r>
      <w:r>
        <w:t xml:space="preserve"> de sensibilidad es poder identificar las variables o parámetros con mayor impacto en los indicadores de costo-beneficio del escenario base.  </w:t>
      </w:r>
    </w:p>
    <w:p w14:paraId="65E2B193" w14:textId="77777777" w:rsidR="001D0DDD" w:rsidRDefault="001D0DDD" w:rsidP="00854EFC">
      <w:pPr>
        <w:pStyle w:val="parrafonumerado"/>
      </w:pPr>
      <w:r>
        <w:t>Para fines de este análisis se han considerado variaciones de 30% hacia arriba y hacia abajo en l</w:t>
      </w:r>
      <w:r w:rsidR="00EF63D8">
        <w:t>os siguientes parámetros: valor</w:t>
      </w:r>
      <w:r>
        <w:t xml:space="preserve"> de</w:t>
      </w:r>
      <w:r w:rsidR="00EF63D8">
        <w:t>l agua</w:t>
      </w:r>
      <w:r>
        <w:t xml:space="preserve"> precio de bienes forestales, rentabilidad de SAF</w:t>
      </w:r>
      <w:r w:rsidR="00EF63D8">
        <w:t xml:space="preserve"> y</w:t>
      </w:r>
      <w:r>
        <w:t xml:space="preserve"> precio del carbono.  Igualmente, se</w:t>
      </w:r>
      <w:r w:rsidR="007A003E">
        <w:t xml:space="preserve"> han considerado dos tasas de descuento alternativas: 15% y 8%.  Las variaciones a los parámetros del escenario base se muestran a continuación.</w:t>
      </w:r>
      <w:r>
        <w:t xml:space="preserve"> </w:t>
      </w:r>
    </w:p>
    <w:p w14:paraId="44C34BFD" w14:textId="71E8C44F" w:rsidR="001D0DDD" w:rsidRDefault="007A003E" w:rsidP="002E3F3A">
      <w:pPr>
        <w:pStyle w:val="NoSpacing"/>
      </w:pPr>
      <w:r>
        <w:t>Cuadro 1</w:t>
      </w:r>
      <w:r w:rsidR="00854EFC">
        <w:t>3</w:t>
      </w:r>
      <w:r>
        <w:t>. Parámetros para análisis de sensibilidad</w:t>
      </w:r>
    </w:p>
    <w:tbl>
      <w:tblPr>
        <w:tblW w:w="6379" w:type="dxa"/>
        <w:tblInd w:w="846" w:type="dxa"/>
        <w:tblCellMar>
          <w:left w:w="0" w:type="dxa"/>
          <w:right w:w="0" w:type="dxa"/>
        </w:tblCellMar>
        <w:tblLook w:val="04A0" w:firstRow="1" w:lastRow="0" w:firstColumn="1" w:lastColumn="0" w:noHBand="0" w:noVBand="1"/>
      </w:tblPr>
      <w:tblGrid>
        <w:gridCol w:w="2835"/>
        <w:gridCol w:w="1134"/>
        <w:gridCol w:w="1276"/>
        <w:gridCol w:w="1134"/>
      </w:tblGrid>
      <w:tr w:rsidR="001D0DDD" w:rsidRPr="00D6653E" w14:paraId="4EBD0E42" w14:textId="77777777" w:rsidTr="00D6653E">
        <w:trPr>
          <w:trHeight w:val="405"/>
        </w:trPr>
        <w:tc>
          <w:tcPr>
            <w:tcW w:w="283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46FEDB" w14:textId="77777777" w:rsidR="001D0DDD" w:rsidRPr="00D6653E" w:rsidRDefault="001D0DDD">
            <w:pPr>
              <w:spacing w:after="0"/>
              <w:jc w:val="left"/>
              <w:rPr>
                <w:color w:val="000000"/>
                <w:sz w:val="20"/>
                <w:szCs w:val="22"/>
                <w:lang w:val="es-PE" w:eastAsia="es-PE"/>
              </w:rPr>
            </w:pPr>
            <w:r w:rsidRPr="00D6653E">
              <w:rPr>
                <w:color w:val="000000"/>
                <w:sz w:val="20"/>
                <w:szCs w:val="22"/>
              </w:rPr>
              <w:t> </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ABD826" w14:textId="77777777" w:rsidR="001D0DDD" w:rsidRPr="00D6653E" w:rsidRDefault="001D0DDD" w:rsidP="007A003E">
            <w:pPr>
              <w:jc w:val="center"/>
              <w:rPr>
                <w:color w:val="000000"/>
                <w:sz w:val="20"/>
                <w:szCs w:val="22"/>
              </w:rPr>
            </w:pPr>
            <w:r w:rsidRPr="00D6653E">
              <w:rPr>
                <w:color w:val="000000"/>
                <w:sz w:val="20"/>
                <w:szCs w:val="22"/>
              </w:rPr>
              <w:t>B</w:t>
            </w:r>
            <w:r w:rsidR="007A003E" w:rsidRPr="00D6653E">
              <w:rPr>
                <w:color w:val="000000"/>
                <w:sz w:val="20"/>
                <w:szCs w:val="22"/>
              </w:rPr>
              <w:t>ase</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8FF34F" w14:textId="77777777" w:rsidR="001D0DDD" w:rsidRPr="00D6653E" w:rsidRDefault="001D0DDD" w:rsidP="007A003E">
            <w:pPr>
              <w:jc w:val="center"/>
              <w:rPr>
                <w:color w:val="000000"/>
                <w:sz w:val="20"/>
                <w:szCs w:val="22"/>
              </w:rPr>
            </w:pPr>
            <w:r w:rsidRPr="00D6653E">
              <w:rPr>
                <w:color w:val="000000"/>
                <w:sz w:val="20"/>
                <w:szCs w:val="22"/>
              </w:rPr>
              <w:t>B</w:t>
            </w:r>
            <w:r w:rsidR="007A003E" w:rsidRPr="00D6653E">
              <w:rPr>
                <w:color w:val="000000"/>
                <w:sz w:val="20"/>
                <w:szCs w:val="22"/>
              </w:rPr>
              <w:t>ajo</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75FECE" w14:textId="77777777" w:rsidR="001D0DDD" w:rsidRPr="00D6653E" w:rsidRDefault="001D0DDD" w:rsidP="007A003E">
            <w:pPr>
              <w:jc w:val="center"/>
              <w:rPr>
                <w:color w:val="000000"/>
                <w:sz w:val="20"/>
                <w:szCs w:val="22"/>
              </w:rPr>
            </w:pPr>
            <w:r w:rsidRPr="00D6653E">
              <w:rPr>
                <w:color w:val="000000"/>
                <w:sz w:val="20"/>
                <w:szCs w:val="22"/>
              </w:rPr>
              <w:t>A</w:t>
            </w:r>
            <w:r w:rsidR="007A003E" w:rsidRPr="00D6653E">
              <w:rPr>
                <w:color w:val="000000"/>
                <w:sz w:val="20"/>
                <w:szCs w:val="22"/>
              </w:rPr>
              <w:t>lto</w:t>
            </w:r>
          </w:p>
        </w:tc>
      </w:tr>
      <w:tr w:rsidR="001D0DDD" w:rsidRPr="00D6653E" w14:paraId="670723B4" w14:textId="77777777" w:rsidTr="00D6653E">
        <w:trPr>
          <w:trHeight w:val="405"/>
        </w:trPr>
        <w:tc>
          <w:tcPr>
            <w:tcW w:w="283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D8E99F" w14:textId="77777777" w:rsidR="001D0DDD" w:rsidRPr="00D6653E" w:rsidRDefault="00EF63D8" w:rsidP="00EF63D8">
            <w:pPr>
              <w:jc w:val="left"/>
              <w:rPr>
                <w:color w:val="000000"/>
                <w:sz w:val="20"/>
                <w:szCs w:val="22"/>
              </w:rPr>
            </w:pPr>
            <w:r w:rsidRPr="00D6653E">
              <w:rPr>
                <w:color w:val="000000"/>
                <w:sz w:val="20"/>
                <w:szCs w:val="22"/>
              </w:rPr>
              <w:t>Valor del</w:t>
            </w:r>
            <w:r w:rsidR="001D0DDD" w:rsidRPr="00D6653E">
              <w:rPr>
                <w:color w:val="000000"/>
                <w:sz w:val="20"/>
                <w:szCs w:val="22"/>
              </w:rPr>
              <w:t xml:space="preserve"> </w:t>
            </w:r>
            <w:r w:rsidRPr="00D6653E">
              <w:rPr>
                <w:color w:val="000000"/>
                <w:sz w:val="20"/>
                <w:szCs w:val="22"/>
              </w:rPr>
              <w:t>agua</w:t>
            </w:r>
            <w:r w:rsidR="001D0DDD" w:rsidRPr="00D6653E">
              <w:rPr>
                <w:color w:val="000000"/>
                <w:sz w:val="20"/>
                <w:szCs w:val="22"/>
              </w:rPr>
              <w:t xml:space="preserve"> (US$/m3)</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8744F7" w14:textId="77777777" w:rsidR="001D0DDD" w:rsidRPr="00D6653E" w:rsidRDefault="001D0DDD">
            <w:pPr>
              <w:jc w:val="center"/>
              <w:rPr>
                <w:color w:val="000000"/>
                <w:sz w:val="20"/>
                <w:szCs w:val="22"/>
              </w:rPr>
            </w:pPr>
            <w:r w:rsidRPr="00D6653E">
              <w:rPr>
                <w:color w:val="000000"/>
                <w:sz w:val="20"/>
                <w:szCs w:val="22"/>
              </w:rPr>
              <w:t>0.385</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6D8728" w14:textId="77777777" w:rsidR="001D0DDD" w:rsidRPr="00D6653E" w:rsidRDefault="001D0DDD">
            <w:pPr>
              <w:jc w:val="center"/>
              <w:rPr>
                <w:color w:val="000000"/>
                <w:sz w:val="20"/>
                <w:szCs w:val="22"/>
              </w:rPr>
            </w:pPr>
            <w:r w:rsidRPr="00D6653E">
              <w:rPr>
                <w:color w:val="000000"/>
                <w:sz w:val="20"/>
                <w:szCs w:val="22"/>
              </w:rPr>
              <w:t>0.269</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E6D1B0" w14:textId="77777777" w:rsidR="001D0DDD" w:rsidRPr="00D6653E" w:rsidRDefault="001D0DDD">
            <w:pPr>
              <w:jc w:val="center"/>
              <w:rPr>
                <w:color w:val="000000"/>
                <w:sz w:val="20"/>
                <w:szCs w:val="22"/>
              </w:rPr>
            </w:pPr>
            <w:r w:rsidRPr="00D6653E">
              <w:rPr>
                <w:color w:val="000000"/>
                <w:sz w:val="20"/>
                <w:szCs w:val="22"/>
              </w:rPr>
              <w:t>0.500</w:t>
            </w:r>
          </w:p>
        </w:tc>
      </w:tr>
      <w:tr w:rsidR="001D0DDD" w:rsidRPr="00D6653E" w14:paraId="49564812" w14:textId="77777777" w:rsidTr="00D6653E">
        <w:trPr>
          <w:trHeight w:val="405"/>
        </w:trPr>
        <w:tc>
          <w:tcPr>
            <w:tcW w:w="283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F19745" w14:textId="77777777" w:rsidR="001D0DDD" w:rsidRPr="00D6653E" w:rsidRDefault="001D0DDD">
            <w:pPr>
              <w:jc w:val="left"/>
              <w:rPr>
                <w:color w:val="000000"/>
                <w:sz w:val="20"/>
                <w:szCs w:val="22"/>
              </w:rPr>
            </w:pPr>
            <w:r w:rsidRPr="00D6653E">
              <w:rPr>
                <w:color w:val="000000"/>
                <w:sz w:val="20"/>
                <w:szCs w:val="22"/>
              </w:rPr>
              <w:t>Precio Bienes Forestales (factor)</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44F49B" w14:textId="77777777" w:rsidR="001D0DDD" w:rsidRPr="00D6653E" w:rsidRDefault="001D0DDD">
            <w:pPr>
              <w:jc w:val="center"/>
              <w:rPr>
                <w:color w:val="000000"/>
                <w:sz w:val="20"/>
                <w:szCs w:val="22"/>
              </w:rPr>
            </w:pPr>
            <w:r w:rsidRPr="00D6653E">
              <w:rPr>
                <w:color w:val="000000"/>
                <w:sz w:val="20"/>
                <w:szCs w:val="22"/>
              </w:rPr>
              <w:t>1.0</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689D2D" w14:textId="77777777" w:rsidR="001D0DDD" w:rsidRPr="00D6653E" w:rsidRDefault="001D0DDD">
            <w:pPr>
              <w:jc w:val="center"/>
              <w:rPr>
                <w:color w:val="000000"/>
                <w:sz w:val="20"/>
                <w:szCs w:val="22"/>
              </w:rPr>
            </w:pPr>
            <w:r w:rsidRPr="00D6653E">
              <w:rPr>
                <w:color w:val="000000"/>
                <w:sz w:val="20"/>
                <w:szCs w:val="22"/>
              </w:rPr>
              <w:t>0.7</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628A08" w14:textId="77777777" w:rsidR="001D0DDD" w:rsidRPr="00D6653E" w:rsidRDefault="001D0DDD">
            <w:pPr>
              <w:jc w:val="center"/>
              <w:rPr>
                <w:color w:val="000000"/>
                <w:sz w:val="20"/>
                <w:szCs w:val="22"/>
              </w:rPr>
            </w:pPr>
            <w:r w:rsidRPr="00D6653E">
              <w:rPr>
                <w:color w:val="000000"/>
                <w:sz w:val="20"/>
                <w:szCs w:val="22"/>
              </w:rPr>
              <w:t>1.3</w:t>
            </w:r>
          </w:p>
        </w:tc>
      </w:tr>
      <w:tr w:rsidR="001D0DDD" w:rsidRPr="00D6653E" w14:paraId="6EF0AD93" w14:textId="77777777" w:rsidTr="00D6653E">
        <w:trPr>
          <w:trHeight w:val="405"/>
        </w:trPr>
        <w:tc>
          <w:tcPr>
            <w:tcW w:w="283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17BB6D" w14:textId="34E96E03" w:rsidR="001D0DDD" w:rsidRPr="00D6653E" w:rsidRDefault="00854EFC">
            <w:pPr>
              <w:jc w:val="left"/>
              <w:rPr>
                <w:color w:val="000000"/>
                <w:sz w:val="20"/>
                <w:szCs w:val="22"/>
              </w:rPr>
            </w:pPr>
            <w:r>
              <w:rPr>
                <w:color w:val="000000"/>
                <w:sz w:val="20"/>
                <w:szCs w:val="22"/>
              </w:rPr>
              <w:t>Ingresos</w:t>
            </w:r>
            <w:r w:rsidR="001D0DDD" w:rsidRPr="00D6653E">
              <w:rPr>
                <w:color w:val="000000"/>
                <w:sz w:val="20"/>
                <w:szCs w:val="22"/>
              </w:rPr>
              <w:t xml:space="preserve"> SAF (factor)</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7DF2C1" w14:textId="77777777" w:rsidR="001D0DDD" w:rsidRPr="00D6653E" w:rsidRDefault="001D0DDD">
            <w:pPr>
              <w:jc w:val="center"/>
              <w:rPr>
                <w:color w:val="000000"/>
                <w:sz w:val="20"/>
                <w:szCs w:val="22"/>
              </w:rPr>
            </w:pPr>
            <w:r w:rsidRPr="00D6653E">
              <w:rPr>
                <w:color w:val="000000"/>
                <w:sz w:val="20"/>
                <w:szCs w:val="22"/>
              </w:rPr>
              <w:t>1.0</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D6ABC1" w14:textId="77777777" w:rsidR="001D0DDD" w:rsidRPr="00D6653E" w:rsidRDefault="001D0DDD">
            <w:pPr>
              <w:jc w:val="center"/>
              <w:rPr>
                <w:color w:val="000000"/>
                <w:sz w:val="20"/>
                <w:szCs w:val="22"/>
              </w:rPr>
            </w:pPr>
            <w:r w:rsidRPr="00D6653E">
              <w:rPr>
                <w:color w:val="000000"/>
                <w:sz w:val="20"/>
                <w:szCs w:val="22"/>
              </w:rPr>
              <w:t>0.7</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87FC8F" w14:textId="77777777" w:rsidR="001D0DDD" w:rsidRPr="00D6653E" w:rsidRDefault="001D0DDD">
            <w:pPr>
              <w:jc w:val="center"/>
              <w:rPr>
                <w:color w:val="000000"/>
                <w:sz w:val="20"/>
                <w:szCs w:val="22"/>
              </w:rPr>
            </w:pPr>
            <w:r w:rsidRPr="00D6653E">
              <w:rPr>
                <w:color w:val="000000"/>
                <w:sz w:val="20"/>
                <w:szCs w:val="22"/>
              </w:rPr>
              <w:t>1.3</w:t>
            </w:r>
          </w:p>
        </w:tc>
      </w:tr>
      <w:tr w:rsidR="001D0DDD" w:rsidRPr="00D6653E" w14:paraId="6F6B2BBA" w14:textId="77777777" w:rsidTr="00D6653E">
        <w:trPr>
          <w:trHeight w:val="405"/>
        </w:trPr>
        <w:tc>
          <w:tcPr>
            <w:tcW w:w="283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3FC003" w14:textId="77777777" w:rsidR="001D0DDD" w:rsidRPr="00D6653E" w:rsidRDefault="001D0DDD">
            <w:pPr>
              <w:jc w:val="left"/>
              <w:rPr>
                <w:color w:val="000000"/>
                <w:sz w:val="20"/>
                <w:szCs w:val="22"/>
              </w:rPr>
            </w:pPr>
            <w:r w:rsidRPr="00D6653E">
              <w:rPr>
                <w:color w:val="000000"/>
                <w:sz w:val="20"/>
                <w:szCs w:val="22"/>
              </w:rPr>
              <w:t>Precio Carbono (factor)</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B6043E" w14:textId="77777777" w:rsidR="001D0DDD" w:rsidRPr="00D6653E" w:rsidRDefault="001D0DDD">
            <w:pPr>
              <w:jc w:val="center"/>
              <w:rPr>
                <w:color w:val="000000"/>
                <w:sz w:val="20"/>
                <w:szCs w:val="22"/>
              </w:rPr>
            </w:pPr>
            <w:r w:rsidRPr="00D6653E">
              <w:rPr>
                <w:color w:val="000000"/>
                <w:sz w:val="20"/>
                <w:szCs w:val="22"/>
              </w:rPr>
              <w:t>1.0</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CD6723" w14:textId="77777777" w:rsidR="001D0DDD" w:rsidRPr="00D6653E" w:rsidRDefault="001D0DDD">
            <w:pPr>
              <w:jc w:val="center"/>
              <w:rPr>
                <w:color w:val="000000"/>
                <w:sz w:val="20"/>
                <w:szCs w:val="22"/>
              </w:rPr>
            </w:pPr>
            <w:r w:rsidRPr="00D6653E">
              <w:rPr>
                <w:color w:val="000000"/>
                <w:sz w:val="20"/>
                <w:szCs w:val="22"/>
              </w:rPr>
              <w:t>0.7</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FA6E6D" w14:textId="77777777" w:rsidR="001D0DDD" w:rsidRPr="00D6653E" w:rsidRDefault="001D0DDD">
            <w:pPr>
              <w:jc w:val="center"/>
              <w:rPr>
                <w:color w:val="000000"/>
                <w:sz w:val="20"/>
                <w:szCs w:val="22"/>
              </w:rPr>
            </w:pPr>
            <w:r w:rsidRPr="00D6653E">
              <w:rPr>
                <w:color w:val="000000"/>
                <w:sz w:val="20"/>
                <w:szCs w:val="22"/>
              </w:rPr>
              <w:t>1.3</w:t>
            </w:r>
          </w:p>
        </w:tc>
      </w:tr>
      <w:tr w:rsidR="001D0DDD" w:rsidRPr="00D6653E" w14:paraId="4B98DC21" w14:textId="77777777" w:rsidTr="00D6653E">
        <w:trPr>
          <w:trHeight w:val="405"/>
        </w:trPr>
        <w:tc>
          <w:tcPr>
            <w:tcW w:w="283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79807E" w14:textId="77777777" w:rsidR="001D0DDD" w:rsidRPr="00D6653E" w:rsidRDefault="001D0DDD">
            <w:pPr>
              <w:jc w:val="left"/>
              <w:rPr>
                <w:color w:val="000000"/>
                <w:sz w:val="20"/>
                <w:szCs w:val="22"/>
              </w:rPr>
            </w:pPr>
            <w:r w:rsidRPr="00D6653E">
              <w:rPr>
                <w:color w:val="000000"/>
                <w:sz w:val="20"/>
                <w:szCs w:val="22"/>
              </w:rPr>
              <w:t>Tasa Descuento</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4360C7" w14:textId="77777777" w:rsidR="001D0DDD" w:rsidRPr="00D6653E" w:rsidRDefault="001D0DDD">
            <w:pPr>
              <w:jc w:val="center"/>
              <w:rPr>
                <w:color w:val="000000"/>
                <w:sz w:val="20"/>
                <w:szCs w:val="22"/>
              </w:rPr>
            </w:pPr>
            <w:r w:rsidRPr="00D6653E">
              <w:rPr>
                <w:color w:val="000000"/>
                <w:sz w:val="20"/>
                <w:szCs w:val="22"/>
              </w:rPr>
              <w:t>12%</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E487A2" w14:textId="77777777" w:rsidR="001D0DDD" w:rsidRPr="00D6653E" w:rsidRDefault="001D0DDD">
            <w:pPr>
              <w:jc w:val="center"/>
              <w:rPr>
                <w:color w:val="000000"/>
                <w:sz w:val="20"/>
                <w:szCs w:val="22"/>
              </w:rPr>
            </w:pPr>
            <w:r w:rsidRPr="00D6653E">
              <w:rPr>
                <w:color w:val="000000"/>
                <w:sz w:val="20"/>
                <w:szCs w:val="22"/>
              </w:rPr>
              <w:t>15%</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344DC9" w14:textId="77777777" w:rsidR="001D0DDD" w:rsidRPr="00D6653E" w:rsidRDefault="001D0DDD">
            <w:pPr>
              <w:jc w:val="center"/>
              <w:rPr>
                <w:color w:val="000000"/>
                <w:sz w:val="20"/>
                <w:szCs w:val="22"/>
              </w:rPr>
            </w:pPr>
            <w:r w:rsidRPr="00D6653E">
              <w:rPr>
                <w:color w:val="000000"/>
                <w:sz w:val="20"/>
                <w:szCs w:val="22"/>
              </w:rPr>
              <w:t>8%</w:t>
            </w:r>
          </w:p>
        </w:tc>
      </w:tr>
    </w:tbl>
    <w:p w14:paraId="4241BC19" w14:textId="77777777" w:rsidR="007A003E" w:rsidRDefault="001D0DDD" w:rsidP="007A003E">
      <w:r>
        <w:t xml:space="preserve"> </w:t>
      </w:r>
    </w:p>
    <w:p w14:paraId="6ED9EA50" w14:textId="77777777" w:rsidR="007A003E" w:rsidRDefault="007A003E" w:rsidP="002F75F2">
      <w:pPr>
        <w:pStyle w:val="Heading2"/>
      </w:pPr>
      <w:bookmarkStart w:id="24" w:name="_Toc17823758"/>
      <w:r>
        <w:t>6.1.  Variaciones en el precio del agua</w:t>
      </w:r>
      <w:bookmarkEnd w:id="24"/>
    </w:p>
    <w:p w14:paraId="38FEFA18" w14:textId="77777777" w:rsidR="007A003E" w:rsidRDefault="007A003E" w:rsidP="00854EFC">
      <w:pPr>
        <w:pStyle w:val="parrafonumerado"/>
      </w:pPr>
      <w:r>
        <w:t>Los impactos de variar el valor del agua en los indicadores se presentan a continuación.</w:t>
      </w:r>
    </w:p>
    <w:p w14:paraId="28CD4E73" w14:textId="288B660A" w:rsidR="007A003E" w:rsidRDefault="007A003E" w:rsidP="002E3F3A">
      <w:pPr>
        <w:pStyle w:val="NoSpacing"/>
      </w:pPr>
      <w:r>
        <w:t>Cuadro 1</w:t>
      </w:r>
      <w:r w:rsidR="00854EFC">
        <w:t>4</w:t>
      </w:r>
      <w:r>
        <w:t>.  Sensibilidad a cambios en el valor del agua</w:t>
      </w:r>
    </w:p>
    <w:tbl>
      <w:tblPr>
        <w:tblW w:w="8500" w:type="dxa"/>
        <w:tblInd w:w="-10" w:type="dxa"/>
        <w:tblLook w:val="04A0" w:firstRow="1" w:lastRow="0" w:firstColumn="1" w:lastColumn="0" w:noHBand="0" w:noVBand="1"/>
      </w:tblPr>
      <w:tblGrid>
        <w:gridCol w:w="2840"/>
        <w:gridCol w:w="1440"/>
        <w:gridCol w:w="1420"/>
        <w:gridCol w:w="1440"/>
        <w:gridCol w:w="1360"/>
      </w:tblGrid>
      <w:tr w:rsidR="00075A74" w:rsidRPr="00075A74" w14:paraId="305D0E08" w14:textId="77777777" w:rsidTr="00075A74">
        <w:trPr>
          <w:trHeight w:val="720"/>
        </w:trPr>
        <w:tc>
          <w:tcPr>
            <w:tcW w:w="28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185D8EB" w14:textId="77777777" w:rsidR="00075A74" w:rsidRPr="005A6EF5" w:rsidRDefault="00075A74" w:rsidP="00075A74">
            <w:pPr>
              <w:spacing w:before="0" w:after="0"/>
              <w:jc w:val="left"/>
              <w:rPr>
                <w:b/>
                <w:bCs/>
                <w:color w:val="000000"/>
                <w:sz w:val="18"/>
                <w:szCs w:val="18"/>
                <w:lang w:eastAsia="en-US"/>
              </w:rPr>
            </w:pPr>
            <w:r w:rsidRPr="005A6EF5">
              <w:rPr>
                <w:b/>
                <w:bCs/>
                <w:color w:val="000000"/>
                <w:sz w:val="18"/>
                <w:szCs w:val="18"/>
                <w:lang w:eastAsia="en-US"/>
              </w:rPr>
              <w:t> </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14:paraId="16DF8DEF" w14:textId="77777777" w:rsidR="00075A74" w:rsidRPr="00075A74" w:rsidRDefault="00075A74" w:rsidP="00075A74">
            <w:pPr>
              <w:spacing w:before="0" w:after="0"/>
              <w:jc w:val="center"/>
              <w:rPr>
                <w:b/>
                <w:bCs/>
                <w:color w:val="000000"/>
                <w:sz w:val="18"/>
                <w:szCs w:val="18"/>
                <w:lang w:val="en-US" w:eastAsia="en-US"/>
              </w:rPr>
            </w:pPr>
            <w:proofErr w:type="spellStart"/>
            <w:r w:rsidRPr="00075A74">
              <w:rPr>
                <w:b/>
                <w:bCs/>
                <w:color w:val="000000"/>
                <w:sz w:val="18"/>
                <w:szCs w:val="18"/>
                <w:lang w:val="en-US" w:eastAsia="en-US"/>
              </w:rPr>
              <w:t>Restauración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producción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privada</w:t>
            </w:r>
            <w:proofErr w:type="spellEnd"/>
          </w:p>
        </w:tc>
        <w:tc>
          <w:tcPr>
            <w:tcW w:w="1420" w:type="dxa"/>
            <w:tcBorders>
              <w:top w:val="single" w:sz="8" w:space="0" w:color="auto"/>
              <w:left w:val="nil"/>
              <w:bottom w:val="single" w:sz="8" w:space="0" w:color="auto"/>
              <w:right w:val="single" w:sz="4" w:space="0" w:color="auto"/>
            </w:tcBorders>
            <w:shd w:val="clear" w:color="auto" w:fill="auto"/>
            <w:vAlign w:val="center"/>
            <w:hideMark/>
          </w:tcPr>
          <w:p w14:paraId="1954C625"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MFA</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14:paraId="64423562"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SAF</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14:paraId="5B06D66E"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TOTAL</w:t>
            </w:r>
          </w:p>
        </w:tc>
      </w:tr>
      <w:tr w:rsidR="00075A74" w:rsidRPr="00075A74" w14:paraId="25497B1D" w14:textId="77777777" w:rsidTr="00075A74">
        <w:trPr>
          <w:trHeight w:val="270"/>
        </w:trPr>
        <w:tc>
          <w:tcPr>
            <w:tcW w:w="2840" w:type="dxa"/>
            <w:tcBorders>
              <w:top w:val="nil"/>
              <w:left w:val="single" w:sz="8" w:space="0" w:color="auto"/>
              <w:bottom w:val="nil"/>
              <w:right w:val="single" w:sz="4" w:space="0" w:color="auto"/>
            </w:tcBorders>
            <w:shd w:val="clear" w:color="auto" w:fill="auto"/>
            <w:noWrap/>
            <w:vAlign w:val="center"/>
            <w:hideMark/>
          </w:tcPr>
          <w:p w14:paraId="7CF01B19"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Escenario</w:t>
            </w:r>
            <w:proofErr w:type="spellEnd"/>
            <w:r w:rsidRPr="00075A74">
              <w:rPr>
                <w:b/>
                <w:bCs/>
                <w:color w:val="000000"/>
                <w:sz w:val="18"/>
                <w:szCs w:val="18"/>
                <w:lang w:val="en-US" w:eastAsia="en-US"/>
              </w:rPr>
              <w:t xml:space="preserve"> Base</w:t>
            </w:r>
          </w:p>
        </w:tc>
        <w:tc>
          <w:tcPr>
            <w:tcW w:w="1440" w:type="dxa"/>
            <w:tcBorders>
              <w:top w:val="nil"/>
              <w:left w:val="nil"/>
              <w:bottom w:val="nil"/>
              <w:right w:val="single" w:sz="4" w:space="0" w:color="auto"/>
            </w:tcBorders>
            <w:shd w:val="clear" w:color="auto" w:fill="auto"/>
            <w:noWrap/>
            <w:vAlign w:val="center"/>
            <w:hideMark/>
          </w:tcPr>
          <w:p w14:paraId="224C984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tcBorders>
              <w:top w:val="nil"/>
              <w:left w:val="nil"/>
              <w:bottom w:val="nil"/>
              <w:right w:val="single" w:sz="4" w:space="0" w:color="auto"/>
            </w:tcBorders>
            <w:shd w:val="clear" w:color="auto" w:fill="auto"/>
            <w:noWrap/>
            <w:vAlign w:val="center"/>
            <w:hideMark/>
          </w:tcPr>
          <w:p w14:paraId="6F79A6F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tcBorders>
              <w:top w:val="nil"/>
              <w:left w:val="nil"/>
              <w:bottom w:val="nil"/>
              <w:right w:val="single" w:sz="4" w:space="0" w:color="auto"/>
            </w:tcBorders>
            <w:shd w:val="clear" w:color="auto" w:fill="auto"/>
            <w:noWrap/>
            <w:vAlign w:val="center"/>
            <w:hideMark/>
          </w:tcPr>
          <w:p w14:paraId="29082CA6"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tcBorders>
              <w:top w:val="nil"/>
              <w:left w:val="nil"/>
              <w:bottom w:val="nil"/>
              <w:right w:val="single" w:sz="8" w:space="0" w:color="auto"/>
            </w:tcBorders>
            <w:shd w:val="clear" w:color="auto" w:fill="auto"/>
            <w:noWrap/>
            <w:vAlign w:val="center"/>
            <w:hideMark/>
          </w:tcPr>
          <w:p w14:paraId="39A5B625"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373D8971" w14:textId="77777777" w:rsidTr="00075A74">
        <w:trPr>
          <w:trHeight w:val="270"/>
        </w:trPr>
        <w:tc>
          <w:tcPr>
            <w:tcW w:w="2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F04E0EE"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5B253"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4,834,137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C06E5E8"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21,707,741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FAEC143"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E38E1D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25,347,359 </w:t>
            </w:r>
          </w:p>
        </w:tc>
      </w:tr>
      <w:tr w:rsidR="00075A74" w:rsidRPr="00075A74" w14:paraId="01621E54" w14:textId="77777777" w:rsidTr="00075A74">
        <w:trPr>
          <w:trHeight w:val="27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4ECE89B1"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64853CB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16.9%</w:t>
            </w:r>
          </w:p>
        </w:tc>
        <w:tc>
          <w:tcPr>
            <w:tcW w:w="1420" w:type="dxa"/>
            <w:tcBorders>
              <w:top w:val="single" w:sz="4" w:space="0" w:color="auto"/>
              <w:left w:val="nil"/>
              <w:bottom w:val="single" w:sz="8" w:space="0" w:color="auto"/>
              <w:right w:val="single" w:sz="4" w:space="0" w:color="auto"/>
            </w:tcBorders>
            <w:shd w:val="clear" w:color="auto" w:fill="auto"/>
            <w:noWrap/>
            <w:vAlign w:val="center"/>
            <w:hideMark/>
          </w:tcPr>
          <w:p w14:paraId="66781F03"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24.5%</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294A95B3"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tcBorders>
              <w:top w:val="nil"/>
              <w:left w:val="nil"/>
              <w:bottom w:val="single" w:sz="8" w:space="0" w:color="auto"/>
              <w:right w:val="single" w:sz="8" w:space="0" w:color="auto"/>
            </w:tcBorders>
            <w:shd w:val="clear" w:color="auto" w:fill="auto"/>
            <w:noWrap/>
            <w:vAlign w:val="center"/>
            <w:hideMark/>
          </w:tcPr>
          <w:p w14:paraId="2D5DC52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20.4%</w:t>
            </w:r>
          </w:p>
        </w:tc>
      </w:tr>
      <w:tr w:rsidR="00075A74" w:rsidRPr="00075A74" w14:paraId="394FDEBA" w14:textId="77777777" w:rsidTr="00075A74">
        <w:trPr>
          <w:trHeight w:val="270"/>
        </w:trPr>
        <w:tc>
          <w:tcPr>
            <w:tcW w:w="2840" w:type="dxa"/>
            <w:tcBorders>
              <w:top w:val="nil"/>
              <w:left w:val="single" w:sz="8" w:space="0" w:color="auto"/>
              <w:bottom w:val="nil"/>
              <w:right w:val="single" w:sz="4" w:space="0" w:color="auto"/>
            </w:tcBorders>
            <w:shd w:val="clear" w:color="auto" w:fill="auto"/>
            <w:noWrap/>
            <w:vAlign w:val="center"/>
            <w:hideMark/>
          </w:tcPr>
          <w:p w14:paraId="2C321ADD" w14:textId="77777777" w:rsidR="00075A74" w:rsidRPr="00075A74" w:rsidRDefault="00075A74" w:rsidP="00075A74">
            <w:pPr>
              <w:spacing w:before="0" w:after="0"/>
              <w:jc w:val="left"/>
              <w:rPr>
                <w:b/>
                <w:bCs/>
                <w:color w:val="000000"/>
                <w:sz w:val="18"/>
                <w:szCs w:val="18"/>
                <w:lang w:val="en-US" w:eastAsia="en-US"/>
              </w:rPr>
            </w:pPr>
            <w:r w:rsidRPr="00075A74">
              <w:rPr>
                <w:b/>
                <w:bCs/>
                <w:color w:val="000000"/>
                <w:sz w:val="18"/>
                <w:szCs w:val="18"/>
                <w:lang w:val="en-US" w:eastAsia="en-US"/>
              </w:rPr>
              <w:t>PRECIO H20</w:t>
            </w:r>
          </w:p>
        </w:tc>
        <w:tc>
          <w:tcPr>
            <w:tcW w:w="1440" w:type="dxa"/>
            <w:tcBorders>
              <w:top w:val="nil"/>
              <w:left w:val="single" w:sz="4" w:space="0" w:color="auto"/>
              <w:bottom w:val="nil"/>
              <w:right w:val="single" w:sz="4" w:space="0" w:color="auto"/>
            </w:tcBorders>
            <w:shd w:val="clear" w:color="auto" w:fill="auto"/>
            <w:vAlign w:val="center"/>
            <w:hideMark/>
          </w:tcPr>
          <w:p w14:paraId="193D596B"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 </w:t>
            </w:r>
          </w:p>
        </w:tc>
        <w:tc>
          <w:tcPr>
            <w:tcW w:w="1420" w:type="dxa"/>
            <w:tcBorders>
              <w:top w:val="nil"/>
              <w:left w:val="nil"/>
              <w:bottom w:val="nil"/>
              <w:right w:val="single" w:sz="4" w:space="0" w:color="auto"/>
            </w:tcBorders>
            <w:shd w:val="clear" w:color="auto" w:fill="auto"/>
            <w:vAlign w:val="center"/>
            <w:hideMark/>
          </w:tcPr>
          <w:p w14:paraId="619C27A3"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 </w:t>
            </w:r>
          </w:p>
        </w:tc>
        <w:tc>
          <w:tcPr>
            <w:tcW w:w="1440" w:type="dxa"/>
            <w:tcBorders>
              <w:top w:val="nil"/>
              <w:left w:val="nil"/>
              <w:bottom w:val="nil"/>
              <w:right w:val="single" w:sz="4" w:space="0" w:color="auto"/>
            </w:tcBorders>
            <w:shd w:val="clear" w:color="auto" w:fill="auto"/>
            <w:vAlign w:val="center"/>
            <w:hideMark/>
          </w:tcPr>
          <w:p w14:paraId="3EA97E88"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 </w:t>
            </w:r>
          </w:p>
        </w:tc>
        <w:tc>
          <w:tcPr>
            <w:tcW w:w="1360" w:type="dxa"/>
            <w:tcBorders>
              <w:top w:val="nil"/>
              <w:left w:val="single" w:sz="4" w:space="0" w:color="auto"/>
              <w:bottom w:val="nil"/>
              <w:right w:val="single" w:sz="8" w:space="0" w:color="auto"/>
            </w:tcBorders>
            <w:shd w:val="clear" w:color="auto" w:fill="auto"/>
            <w:vAlign w:val="center"/>
            <w:hideMark/>
          </w:tcPr>
          <w:p w14:paraId="0767EF31"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 </w:t>
            </w:r>
          </w:p>
        </w:tc>
      </w:tr>
      <w:tr w:rsidR="00075A74" w:rsidRPr="00075A74" w14:paraId="1A9BCDFB" w14:textId="77777777" w:rsidTr="00075A74">
        <w:trPr>
          <w:trHeight w:val="270"/>
        </w:trPr>
        <w:tc>
          <w:tcPr>
            <w:tcW w:w="2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8205AB0"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Reducción</w:t>
            </w:r>
            <w:proofErr w:type="spellEnd"/>
            <w:r w:rsidRPr="00075A74">
              <w:rPr>
                <w:b/>
                <w:bCs/>
                <w:color w:val="000000"/>
                <w:sz w:val="18"/>
                <w:szCs w:val="18"/>
                <w:lang w:val="en-US" w:eastAsia="en-US"/>
              </w:rPr>
              <w:t xml:space="preserve"> 30%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3F8F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76B2EC33"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91C63E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130723F"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6AD1C276"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6639C9A8"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51FA2A11"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4,385,201 </w:t>
            </w:r>
          </w:p>
        </w:tc>
        <w:tc>
          <w:tcPr>
            <w:tcW w:w="1420" w:type="dxa"/>
            <w:tcBorders>
              <w:top w:val="nil"/>
              <w:left w:val="nil"/>
              <w:bottom w:val="single" w:sz="4" w:space="0" w:color="auto"/>
              <w:right w:val="single" w:sz="4" w:space="0" w:color="auto"/>
            </w:tcBorders>
            <w:shd w:val="clear" w:color="auto" w:fill="auto"/>
            <w:noWrap/>
            <w:vAlign w:val="center"/>
            <w:hideMark/>
          </w:tcPr>
          <w:p w14:paraId="052CA792"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6,956,539 </w:t>
            </w:r>
          </w:p>
        </w:tc>
        <w:tc>
          <w:tcPr>
            <w:tcW w:w="1440" w:type="dxa"/>
            <w:tcBorders>
              <w:top w:val="nil"/>
              <w:left w:val="nil"/>
              <w:bottom w:val="single" w:sz="4" w:space="0" w:color="auto"/>
              <w:right w:val="single" w:sz="4" w:space="0" w:color="auto"/>
            </w:tcBorders>
            <w:shd w:val="clear" w:color="auto" w:fill="auto"/>
            <w:noWrap/>
            <w:vAlign w:val="center"/>
            <w:hideMark/>
          </w:tcPr>
          <w:p w14:paraId="1D2533E7"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3744F0A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10,147,220 </w:t>
            </w:r>
          </w:p>
        </w:tc>
      </w:tr>
      <w:tr w:rsidR="00075A74" w:rsidRPr="00075A74" w14:paraId="0754CB26"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0C1E09C1"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-30%</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768DF5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16.4%</w:t>
            </w:r>
          </w:p>
        </w:tc>
        <w:tc>
          <w:tcPr>
            <w:tcW w:w="1420" w:type="dxa"/>
            <w:tcBorders>
              <w:top w:val="nil"/>
              <w:left w:val="nil"/>
              <w:bottom w:val="single" w:sz="4" w:space="0" w:color="auto"/>
              <w:right w:val="single" w:sz="4" w:space="0" w:color="auto"/>
            </w:tcBorders>
            <w:shd w:val="clear" w:color="auto" w:fill="auto"/>
            <w:noWrap/>
            <w:vAlign w:val="center"/>
            <w:hideMark/>
          </w:tcPr>
          <w:p w14:paraId="0D4D0F95"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14.0%</w:t>
            </w:r>
          </w:p>
        </w:tc>
        <w:tc>
          <w:tcPr>
            <w:tcW w:w="1440" w:type="dxa"/>
            <w:tcBorders>
              <w:top w:val="nil"/>
              <w:left w:val="nil"/>
              <w:bottom w:val="single" w:sz="4" w:space="0" w:color="auto"/>
              <w:right w:val="single" w:sz="4" w:space="0" w:color="auto"/>
            </w:tcBorders>
            <w:shd w:val="clear" w:color="auto" w:fill="auto"/>
            <w:noWrap/>
            <w:vAlign w:val="center"/>
            <w:hideMark/>
          </w:tcPr>
          <w:p w14:paraId="605B8E16"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3366BC5B"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15.3%</w:t>
            </w:r>
          </w:p>
        </w:tc>
      </w:tr>
      <w:tr w:rsidR="00075A74" w:rsidRPr="00075A74" w14:paraId="36D1BEFE"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5B022D58"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Aumento</w:t>
            </w:r>
            <w:proofErr w:type="spellEnd"/>
            <w:r w:rsidRPr="00075A74">
              <w:rPr>
                <w:b/>
                <w:bCs/>
                <w:color w:val="000000"/>
                <w:sz w:val="18"/>
                <w:szCs w:val="18"/>
                <w:lang w:val="en-US" w:eastAsia="en-US"/>
              </w:rPr>
              <w:t xml:space="preserve"> 30%</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D92802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tcBorders>
              <w:top w:val="nil"/>
              <w:left w:val="nil"/>
              <w:bottom w:val="single" w:sz="4" w:space="0" w:color="auto"/>
              <w:right w:val="single" w:sz="4" w:space="0" w:color="auto"/>
            </w:tcBorders>
            <w:shd w:val="clear" w:color="auto" w:fill="auto"/>
            <w:noWrap/>
            <w:vAlign w:val="center"/>
            <w:hideMark/>
          </w:tcPr>
          <w:p w14:paraId="784C3E2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14:paraId="1FFA19B1"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58B870F1"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77CA11A9"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2798F044"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314619F3"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7,004,418 </w:t>
            </w:r>
          </w:p>
        </w:tc>
        <w:tc>
          <w:tcPr>
            <w:tcW w:w="1420" w:type="dxa"/>
            <w:tcBorders>
              <w:top w:val="nil"/>
              <w:left w:val="nil"/>
              <w:bottom w:val="single" w:sz="4" w:space="0" w:color="auto"/>
              <w:right w:val="single" w:sz="4" w:space="0" w:color="auto"/>
            </w:tcBorders>
            <w:shd w:val="clear" w:color="auto" w:fill="auto"/>
            <w:noWrap/>
            <w:vAlign w:val="center"/>
            <w:hideMark/>
          </w:tcPr>
          <w:p w14:paraId="695E506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36,458,944 </w:t>
            </w:r>
          </w:p>
        </w:tc>
        <w:tc>
          <w:tcPr>
            <w:tcW w:w="1440" w:type="dxa"/>
            <w:tcBorders>
              <w:top w:val="nil"/>
              <w:left w:val="nil"/>
              <w:bottom w:val="single" w:sz="4" w:space="0" w:color="auto"/>
              <w:right w:val="single" w:sz="4" w:space="0" w:color="auto"/>
            </w:tcBorders>
            <w:shd w:val="clear" w:color="auto" w:fill="auto"/>
            <w:noWrap/>
            <w:vAlign w:val="center"/>
            <w:hideMark/>
          </w:tcPr>
          <w:p w14:paraId="62403492"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542DB01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42,268,842 </w:t>
            </w:r>
          </w:p>
        </w:tc>
      </w:tr>
      <w:tr w:rsidR="00075A74" w:rsidRPr="00075A74" w14:paraId="45EBD88C" w14:textId="77777777" w:rsidTr="00075A74">
        <w:trPr>
          <w:trHeight w:val="27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1E148B64"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+30 %</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15342CB5"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17.4%</w:t>
            </w:r>
          </w:p>
        </w:tc>
        <w:tc>
          <w:tcPr>
            <w:tcW w:w="1420" w:type="dxa"/>
            <w:tcBorders>
              <w:top w:val="single" w:sz="4" w:space="0" w:color="auto"/>
              <w:left w:val="nil"/>
              <w:bottom w:val="single" w:sz="8" w:space="0" w:color="auto"/>
              <w:right w:val="single" w:sz="4" w:space="0" w:color="auto"/>
            </w:tcBorders>
            <w:shd w:val="clear" w:color="auto" w:fill="auto"/>
            <w:noWrap/>
            <w:vAlign w:val="center"/>
            <w:hideMark/>
          </w:tcPr>
          <w:p w14:paraId="0DA3EA22"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30.6%</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6459CDA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tcBorders>
              <w:top w:val="nil"/>
              <w:left w:val="nil"/>
              <w:bottom w:val="single" w:sz="8" w:space="0" w:color="auto"/>
              <w:right w:val="single" w:sz="8" w:space="0" w:color="auto"/>
            </w:tcBorders>
            <w:shd w:val="clear" w:color="auto" w:fill="auto"/>
            <w:noWrap/>
            <w:vAlign w:val="center"/>
            <w:hideMark/>
          </w:tcPr>
          <w:p w14:paraId="64344FF2"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25.5%</w:t>
            </w:r>
          </w:p>
        </w:tc>
      </w:tr>
    </w:tbl>
    <w:p w14:paraId="215DAA19" w14:textId="77777777" w:rsidR="00854EFC" w:rsidRDefault="00854EFC" w:rsidP="002E3F3A">
      <w:pPr>
        <w:pStyle w:val="NoSpacing"/>
      </w:pPr>
    </w:p>
    <w:p w14:paraId="56886334" w14:textId="6D5B8B98" w:rsidR="000D7CD9" w:rsidRDefault="002F75F2" w:rsidP="00854EFC">
      <w:pPr>
        <w:pStyle w:val="parrafonumerado"/>
      </w:pPr>
      <w:r>
        <w:t xml:space="preserve">Este parámetro tiene </w:t>
      </w:r>
      <w:r w:rsidR="00854EFC">
        <w:t xml:space="preserve">un </w:t>
      </w:r>
      <w:r>
        <w:t>efecto</w:t>
      </w:r>
      <w:r w:rsidR="00854EFC">
        <w:t xml:space="preserve"> pequeño</w:t>
      </w:r>
      <w:r>
        <w:t xml:space="preserve"> en la restauración de bosque </w:t>
      </w:r>
      <w:proofErr w:type="gramStart"/>
      <w:r w:rsidR="00EF63D8">
        <w:t>privado</w:t>
      </w:r>
      <w:proofErr w:type="gramEnd"/>
      <w:r w:rsidR="00EF63D8">
        <w:t xml:space="preserve"> </w:t>
      </w:r>
      <w:r w:rsidR="00854EFC">
        <w:t xml:space="preserve">pero uno significativo </w:t>
      </w:r>
      <w:r w:rsidR="00EF63D8">
        <w:t>en M</w:t>
      </w:r>
      <w:r w:rsidR="00F11EE2">
        <w:t>FA</w:t>
      </w:r>
      <w:r w:rsidR="00EF63D8">
        <w:t xml:space="preserve"> en </w:t>
      </w:r>
      <w:r w:rsidR="00854EFC">
        <w:t xml:space="preserve">el que </w:t>
      </w:r>
      <w:r w:rsidR="00EF63D8">
        <w:t xml:space="preserve">el mayor </w:t>
      </w:r>
      <w:r>
        <w:t xml:space="preserve">beneficio proviene de este servicio ecosistémico.  </w:t>
      </w:r>
      <w:r w:rsidR="00EF63D8">
        <w:t xml:space="preserve">En el caso de la reducción del valor del agua en 30% la TIR general se reduce de </w:t>
      </w:r>
      <w:r w:rsidR="00854EFC">
        <w:t>20</w:t>
      </w:r>
      <w:r w:rsidR="00EF63D8">
        <w:t xml:space="preserve"> a </w:t>
      </w:r>
      <w:r w:rsidR="00854EFC">
        <w:t>15</w:t>
      </w:r>
      <w:r w:rsidR="00EF63D8">
        <w:t xml:space="preserve">%.  El aumento del valor </w:t>
      </w:r>
      <w:r w:rsidR="00075A74">
        <w:t xml:space="preserve">del agua </w:t>
      </w:r>
      <w:r w:rsidR="00EF63D8">
        <w:t xml:space="preserve">en 30%, de otro lado, incrementa la TIR a </w:t>
      </w:r>
      <w:r w:rsidR="00854EFC">
        <w:t>26</w:t>
      </w:r>
      <w:r w:rsidR="00EF63D8">
        <w:t>%.</w:t>
      </w:r>
    </w:p>
    <w:p w14:paraId="3286F43A" w14:textId="77777777" w:rsidR="00854EFC" w:rsidRDefault="00854EFC" w:rsidP="00DA41C3">
      <w:pPr>
        <w:pStyle w:val="Heading2"/>
      </w:pPr>
      <w:bookmarkStart w:id="25" w:name="_Toc17823759"/>
    </w:p>
    <w:p w14:paraId="49529FC7" w14:textId="77777777" w:rsidR="002F75F2" w:rsidRDefault="00CF4B07" w:rsidP="00DA41C3">
      <w:pPr>
        <w:pStyle w:val="Heading2"/>
      </w:pPr>
      <w:r>
        <w:lastRenderedPageBreak/>
        <w:t>6.2. Variaciones en el precio de los bienes forestales</w:t>
      </w:r>
      <w:bookmarkEnd w:id="25"/>
    </w:p>
    <w:p w14:paraId="01C85FA0" w14:textId="51B573FB" w:rsidR="00CF4B07" w:rsidRDefault="00CF4B07" w:rsidP="00854EFC">
      <w:pPr>
        <w:pStyle w:val="parrafonumerado"/>
      </w:pPr>
      <w:r>
        <w:t xml:space="preserve">En el siguiente cuadro se presenta el análisis de sensibilidad para cambios en los </w:t>
      </w:r>
      <w:r w:rsidR="00D01185">
        <w:t xml:space="preserve">precios de </w:t>
      </w:r>
      <w:r>
        <w:t xml:space="preserve">bienes forestales (leña, madera, resina) de menos 30% y más 30%. </w:t>
      </w:r>
    </w:p>
    <w:p w14:paraId="7F0937CA" w14:textId="6550180C" w:rsidR="00E2068B" w:rsidRDefault="00CF4B07" w:rsidP="002E3F3A">
      <w:pPr>
        <w:pStyle w:val="NoSpacing"/>
      </w:pPr>
      <w:r>
        <w:t>Cuadro 1</w:t>
      </w:r>
      <w:r w:rsidR="00854EFC">
        <w:t>5</w:t>
      </w:r>
      <w:r>
        <w:t>.  Sensibilidad a cambios en el precio de bienes forestales</w:t>
      </w:r>
    </w:p>
    <w:tbl>
      <w:tblPr>
        <w:tblW w:w="8500" w:type="dxa"/>
        <w:tblInd w:w="-10" w:type="dxa"/>
        <w:tblLook w:val="04A0" w:firstRow="1" w:lastRow="0" w:firstColumn="1" w:lastColumn="0" w:noHBand="0" w:noVBand="1"/>
      </w:tblPr>
      <w:tblGrid>
        <w:gridCol w:w="2840"/>
        <w:gridCol w:w="1440"/>
        <w:gridCol w:w="1420"/>
        <w:gridCol w:w="1440"/>
        <w:gridCol w:w="1360"/>
      </w:tblGrid>
      <w:tr w:rsidR="00075A74" w:rsidRPr="00075A74" w14:paraId="45A20AFD" w14:textId="77777777" w:rsidTr="00075A74">
        <w:trPr>
          <w:trHeight w:val="735"/>
        </w:trPr>
        <w:tc>
          <w:tcPr>
            <w:tcW w:w="28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94BA780" w14:textId="77777777" w:rsidR="00075A74" w:rsidRPr="005A6EF5" w:rsidRDefault="00075A74" w:rsidP="00075A74">
            <w:pPr>
              <w:spacing w:before="0" w:after="0"/>
              <w:jc w:val="left"/>
              <w:rPr>
                <w:b/>
                <w:bCs/>
                <w:color w:val="000000"/>
                <w:sz w:val="18"/>
                <w:szCs w:val="18"/>
                <w:lang w:eastAsia="en-US"/>
              </w:rPr>
            </w:pPr>
            <w:r w:rsidRPr="005A6EF5">
              <w:rPr>
                <w:b/>
                <w:bCs/>
                <w:color w:val="000000"/>
                <w:sz w:val="18"/>
                <w:szCs w:val="18"/>
                <w:lang w:eastAsia="en-US"/>
              </w:rPr>
              <w:t> </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14:paraId="5665B330" w14:textId="77777777" w:rsidR="00075A74" w:rsidRPr="00075A74" w:rsidRDefault="00075A74" w:rsidP="00075A74">
            <w:pPr>
              <w:spacing w:before="0" w:after="0"/>
              <w:jc w:val="center"/>
              <w:rPr>
                <w:b/>
                <w:bCs/>
                <w:color w:val="000000"/>
                <w:sz w:val="18"/>
                <w:szCs w:val="18"/>
                <w:lang w:val="en-US" w:eastAsia="en-US"/>
              </w:rPr>
            </w:pPr>
            <w:proofErr w:type="spellStart"/>
            <w:r w:rsidRPr="00075A74">
              <w:rPr>
                <w:b/>
                <w:bCs/>
                <w:color w:val="000000"/>
                <w:sz w:val="18"/>
                <w:szCs w:val="18"/>
                <w:lang w:val="en-US" w:eastAsia="en-US"/>
              </w:rPr>
              <w:t>Restauración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producción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privada</w:t>
            </w:r>
            <w:proofErr w:type="spellEnd"/>
          </w:p>
        </w:tc>
        <w:tc>
          <w:tcPr>
            <w:tcW w:w="1420" w:type="dxa"/>
            <w:tcBorders>
              <w:top w:val="single" w:sz="8" w:space="0" w:color="auto"/>
              <w:left w:val="nil"/>
              <w:bottom w:val="single" w:sz="8" w:space="0" w:color="auto"/>
              <w:right w:val="single" w:sz="4" w:space="0" w:color="auto"/>
            </w:tcBorders>
            <w:shd w:val="clear" w:color="auto" w:fill="auto"/>
            <w:vAlign w:val="center"/>
            <w:hideMark/>
          </w:tcPr>
          <w:p w14:paraId="1698228A"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MFA</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14:paraId="6571C366"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SAF</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14:paraId="586213E5"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TOTAL</w:t>
            </w:r>
          </w:p>
        </w:tc>
      </w:tr>
      <w:tr w:rsidR="00075A74" w:rsidRPr="00075A74" w14:paraId="37230CB6" w14:textId="77777777" w:rsidTr="00075A74">
        <w:trPr>
          <w:trHeight w:val="270"/>
        </w:trPr>
        <w:tc>
          <w:tcPr>
            <w:tcW w:w="2840" w:type="dxa"/>
            <w:tcBorders>
              <w:top w:val="nil"/>
              <w:left w:val="single" w:sz="8" w:space="0" w:color="auto"/>
              <w:bottom w:val="nil"/>
              <w:right w:val="single" w:sz="4" w:space="0" w:color="auto"/>
            </w:tcBorders>
            <w:shd w:val="clear" w:color="auto" w:fill="auto"/>
            <w:noWrap/>
            <w:vAlign w:val="center"/>
            <w:hideMark/>
          </w:tcPr>
          <w:p w14:paraId="748C5ABB"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Escenario</w:t>
            </w:r>
            <w:proofErr w:type="spellEnd"/>
            <w:r w:rsidRPr="00075A74">
              <w:rPr>
                <w:b/>
                <w:bCs/>
                <w:color w:val="000000"/>
                <w:sz w:val="18"/>
                <w:szCs w:val="18"/>
                <w:lang w:val="en-US" w:eastAsia="en-US"/>
              </w:rPr>
              <w:t xml:space="preserve"> Base</w:t>
            </w:r>
          </w:p>
        </w:tc>
        <w:tc>
          <w:tcPr>
            <w:tcW w:w="1440" w:type="dxa"/>
            <w:tcBorders>
              <w:top w:val="nil"/>
              <w:left w:val="nil"/>
              <w:bottom w:val="nil"/>
              <w:right w:val="single" w:sz="4" w:space="0" w:color="auto"/>
            </w:tcBorders>
            <w:shd w:val="clear" w:color="auto" w:fill="auto"/>
            <w:noWrap/>
            <w:vAlign w:val="center"/>
            <w:hideMark/>
          </w:tcPr>
          <w:p w14:paraId="4781BB6F"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tcBorders>
              <w:top w:val="nil"/>
              <w:left w:val="nil"/>
              <w:bottom w:val="nil"/>
              <w:right w:val="single" w:sz="4" w:space="0" w:color="auto"/>
            </w:tcBorders>
            <w:shd w:val="clear" w:color="auto" w:fill="auto"/>
            <w:noWrap/>
            <w:vAlign w:val="center"/>
            <w:hideMark/>
          </w:tcPr>
          <w:p w14:paraId="570062C5"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tcBorders>
              <w:top w:val="nil"/>
              <w:left w:val="nil"/>
              <w:bottom w:val="nil"/>
              <w:right w:val="single" w:sz="4" w:space="0" w:color="auto"/>
            </w:tcBorders>
            <w:shd w:val="clear" w:color="auto" w:fill="auto"/>
            <w:noWrap/>
            <w:vAlign w:val="center"/>
            <w:hideMark/>
          </w:tcPr>
          <w:p w14:paraId="44DA0A6A"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tcBorders>
              <w:top w:val="nil"/>
              <w:left w:val="nil"/>
              <w:bottom w:val="nil"/>
              <w:right w:val="single" w:sz="8" w:space="0" w:color="auto"/>
            </w:tcBorders>
            <w:shd w:val="clear" w:color="auto" w:fill="auto"/>
            <w:noWrap/>
            <w:vAlign w:val="center"/>
            <w:hideMark/>
          </w:tcPr>
          <w:p w14:paraId="7BCE5F18"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0D1822F1" w14:textId="77777777" w:rsidTr="00075A74">
        <w:trPr>
          <w:trHeight w:val="270"/>
        </w:trPr>
        <w:tc>
          <w:tcPr>
            <w:tcW w:w="2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6AB78A9"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0BD5F"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4,834,137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4DAD8E0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21,707,741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62F4677"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EAF107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25,347,359 </w:t>
            </w:r>
          </w:p>
        </w:tc>
      </w:tr>
      <w:tr w:rsidR="00075A74" w:rsidRPr="00075A74" w14:paraId="60FCA2E0" w14:textId="77777777" w:rsidTr="00075A74">
        <w:trPr>
          <w:trHeight w:val="27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72012C5F"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32103AE3"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16.9%</w:t>
            </w:r>
          </w:p>
        </w:tc>
        <w:tc>
          <w:tcPr>
            <w:tcW w:w="1420" w:type="dxa"/>
            <w:tcBorders>
              <w:top w:val="single" w:sz="4" w:space="0" w:color="auto"/>
              <w:left w:val="nil"/>
              <w:bottom w:val="single" w:sz="8" w:space="0" w:color="auto"/>
              <w:right w:val="single" w:sz="4" w:space="0" w:color="auto"/>
            </w:tcBorders>
            <w:shd w:val="clear" w:color="auto" w:fill="auto"/>
            <w:noWrap/>
            <w:vAlign w:val="center"/>
            <w:hideMark/>
          </w:tcPr>
          <w:p w14:paraId="33AFF26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24.5%</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7FF32E62"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tcBorders>
              <w:top w:val="nil"/>
              <w:left w:val="nil"/>
              <w:bottom w:val="single" w:sz="8" w:space="0" w:color="auto"/>
              <w:right w:val="single" w:sz="8" w:space="0" w:color="auto"/>
            </w:tcBorders>
            <w:shd w:val="clear" w:color="auto" w:fill="auto"/>
            <w:noWrap/>
            <w:vAlign w:val="center"/>
            <w:hideMark/>
          </w:tcPr>
          <w:p w14:paraId="2F47650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20.4%</w:t>
            </w:r>
          </w:p>
        </w:tc>
      </w:tr>
      <w:tr w:rsidR="00075A74" w:rsidRPr="00075A74" w14:paraId="34AE183B" w14:textId="77777777" w:rsidTr="00075A74">
        <w:trPr>
          <w:trHeight w:val="270"/>
        </w:trPr>
        <w:tc>
          <w:tcPr>
            <w:tcW w:w="2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7014E94"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Reducción</w:t>
            </w:r>
            <w:proofErr w:type="spellEnd"/>
            <w:r w:rsidRPr="00075A74">
              <w:rPr>
                <w:b/>
                <w:bCs/>
                <w:color w:val="000000"/>
                <w:sz w:val="18"/>
                <w:szCs w:val="18"/>
                <w:lang w:val="en-US" w:eastAsia="en-US"/>
              </w:rPr>
              <w:t xml:space="preserve"> 30%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0707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5583464"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3DEB705"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2201AB9"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78E76DF5"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15E44DED"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28E434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3,277,638 </w:t>
            </w:r>
          </w:p>
        </w:tc>
        <w:tc>
          <w:tcPr>
            <w:tcW w:w="1420" w:type="dxa"/>
            <w:tcBorders>
              <w:top w:val="nil"/>
              <w:left w:val="nil"/>
              <w:bottom w:val="single" w:sz="4" w:space="0" w:color="auto"/>
              <w:right w:val="single" w:sz="4" w:space="0" w:color="auto"/>
            </w:tcBorders>
            <w:shd w:val="clear" w:color="auto" w:fill="auto"/>
            <w:noWrap/>
            <w:vAlign w:val="center"/>
            <w:hideMark/>
          </w:tcPr>
          <w:p w14:paraId="56B8E8B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21,707,741 </w:t>
            </w:r>
          </w:p>
        </w:tc>
        <w:tc>
          <w:tcPr>
            <w:tcW w:w="1440" w:type="dxa"/>
            <w:tcBorders>
              <w:top w:val="nil"/>
              <w:left w:val="nil"/>
              <w:bottom w:val="single" w:sz="4" w:space="0" w:color="auto"/>
              <w:right w:val="single" w:sz="4" w:space="0" w:color="auto"/>
            </w:tcBorders>
            <w:shd w:val="clear" w:color="auto" w:fill="auto"/>
            <w:noWrap/>
            <w:vAlign w:val="center"/>
            <w:hideMark/>
          </w:tcPr>
          <w:p w14:paraId="0EC59FF6"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4E96592A"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23,790,860 </w:t>
            </w:r>
          </w:p>
        </w:tc>
      </w:tr>
      <w:tr w:rsidR="00075A74" w:rsidRPr="00075A74" w14:paraId="620A7F98"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617237B4"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-30%</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5CFDD36"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15.6%</w:t>
            </w:r>
          </w:p>
        </w:tc>
        <w:tc>
          <w:tcPr>
            <w:tcW w:w="1420" w:type="dxa"/>
            <w:tcBorders>
              <w:top w:val="nil"/>
              <w:left w:val="nil"/>
              <w:bottom w:val="single" w:sz="4" w:space="0" w:color="auto"/>
              <w:right w:val="single" w:sz="4" w:space="0" w:color="auto"/>
            </w:tcBorders>
            <w:shd w:val="clear" w:color="auto" w:fill="auto"/>
            <w:noWrap/>
            <w:vAlign w:val="center"/>
            <w:hideMark/>
          </w:tcPr>
          <w:p w14:paraId="4266653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24.5%</w:t>
            </w:r>
          </w:p>
        </w:tc>
        <w:tc>
          <w:tcPr>
            <w:tcW w:w="1440" w:type="dxa"/>
            <w:tcBorders>
              <w:top w:val="nil"/>
              <w:left w:val="nil"/>
              <w:bottom w:val="single" w:sz="4" w:space="0" w:color="auto"/>
              <w:right w:val="single" w:sz="4" w:space="0" w:color="auto"/>
            </w:tcBorders>
            <w:shd w:val="clear" w:color="auto" w:fill="auto"/>
            <w:noWrap/>
            <w:vAlign w:val="center"/>
            <w:hideMark/>
          </w:tcPr>
          <w:p w14:paraId="6D46C27A"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4E9FC30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20.0%</w:t>
            </w:r>
          </w:p>
        </w:tc>
      </w:tr>
      <w:tr w:rsidR="00075A74" w:rsidRPr="00075A74" w14:paraId="56AC970A"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47CDDB10"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Aumento</w:t>
            </w:r>
            <w:proofErr w:type="spellEnd"/>
            <w:r w:rsidRPr="00075A74">
              <w:rPr>
                <w:b/>
                <w:bCs/>
                <w:color w:val="000000"/>
                <w:sz w:val="18"/>
                <w:szCs w:val="18"/>
                <w:lang w:val="en-US" w:eastAsia="en-US"/>
              </w:rPr>
              <w:t xml:space="preserve"> 30%</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3F59BD6B"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tcBorders>
              <w:top w:val="nil"/>
              <w:left w:val="nil"/>
              <w:bottom w:val="single" w:sz="4" w:space="0" w:color="auto"/>
              <w:right w:val="single" w:sz="4" w:space="0" w:color="auto"/>
            </w:tcBorders>
            <w:shd w:val="clear" w:color="auto" w:fill="auto"/>
            <w:noWrap/>
            <w:vAlign w:val="center"/>
            <w:hideMark/>
          </w:tcPr>
          <w:p w14:paraId="70C48C15"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14:paraId="3F3EF625"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6D75AE4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4F83CDA8"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362B372C"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32F052F9"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6,390,636 </w:t>
            </w:r>
          </w:p>
        </w:tc>
        <w:tc>
          <w:tcPr>
            <w:tcW w:w="1420" w:type="dxa"/>
            <w:tcBorders>
              <w:top w:val="nil"/>
              <w:left w:val="nil"/>
              <w:bottom w:val="single" w:sz="4" w:space="0" w:color="auto"/>
              <w:right w:val="single" w:sz="4" w:space="0" w:color="auto"/>
            </w:tcBorders>
            <w:shd w:val="clear" w:color="auto" w:fill="auto"/>
            <w:noWrap/>
            <w:vAlign w:val="center"/>
            <w:hideMark/>
          </w:tcPr>
          <w:p w14:paraId="48ABF8F1"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21,707,741 </w:t>
            </w:r>
          </w:p>
        </w:tc>
        <w:tc>
          <w:tcPr>
            <w:tcW w:w="1440" w:type="dxa"/>
            <w:tcBorders>
              <w:top w:val="nil"/>
              <w:left w:val="nil"/>
              <w:bottom w:val="single" w:sz="4" w:space="0" w:color="auto"/>
              <w:right w:val="single" w:sz="4" w:space="0" w:color="auto"/>
            </w:tcBorders>
            <w:shd w:val="clear" w:color="auto" w:fill="auto"/>
            <w:noWrap/>
            <w:vAlign w:val="center"/>
            <w:hideMark/>
          </w:tcPr>
          <w:p w14:paraId="087A1144"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4DF51DC4"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26,903,858 </w:t>
            </w:r>
          </w:p>
        </w:tc>
      </w:tr>
      <w:tr w:rsidR="00075A74" w:rsidRPr="00075A74" w14:paraId="16A14343" w14:textId="77777777" w:rsidTr="00075A74">
        <w:trPr>
          <w:trHeight w:val="27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0E757DA0"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+30 %</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4C61239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18.0%</w:t>
            </w:r>
          </w:p>
        </w:tc>
        <w:tc>
          <w:tcPr>
            <w:tcW w:w="1420" w:type="dxa"/>
            <w:tcBorders>
              <w:top w:val="single" w:sz="4" w:space="0" w:color="auto"/>
              <w:left w:val="nil"/>
              <w:bottom w:val="single" w:sz="8" w:space="0" w:color="auto"/>
              <w:right w:val="single" w:sz="4" w:space="0" w:color="auto"/>
            </w:tcBorders>
            <w:shd w:val="clear" w:color="auto" w:fill="auto"/>
            <w:noWrap/>
            <w:vAlign w:val="center"/>
            <w:hideMark/>
          </w:tcPr>
          <w:p w14:paraId="459E2D3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24.5%</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603A8CDF"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tcBorders>
              <w:top w:val="nil"/>
              <w:left w:val="nil"/>
              <w:bottom w:val="single" w:sz="8" w:space="0" w:color="auto"/>
              <w:right w:val="single" w:sz="8" w:space="0" w:color="auto"/>
            </w:tcBorders>
            <w:shd w:val="clear" w:color="auto" w:fill="auto"/>
            <w:noWrap/>
            <w:vAlign w:val="center"/>
            <w:hideMark/>
          </w:tcPr>
          <w:p w14:paraId="413B2FB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20.7%</w:t>
            </w:r>
          </w:p>
        </w:tc>
      </w:tr>
    </w:tbl>
    <w:p w14:paraId="7E54349A" w14:textId="77777777" w:rsidR="00854EFC" w:rsidRDefault="00854EFC" w:rsidP="002E3F3A">
      <w:pPr>
        <w:pStyle w:val="NoSpacing"/>
      </w:pPr>
    </w:p>
    <w:p w14:paraId="6BF14AB7" w14:textId="5AFBF229" w:rsidR="007A003E" w:rsidRDefault="008B66EB" w:rsidP="00854EFC">
      <w:pPr>
        <w:pStyle w:val="parrafonumerado"/>
      </w:pPr>
      <w:r>
        <w:t>La variación del precio de los bienes forestales afecta solamente a las intervenciones de restauración de bosque privado con producción</w:t>
      </w:r>
      <w:r w:rsidR="00854EFC">
        <w:t xml:space="preserve"> y en magnitudes pequeñas</w:t>
      </w:r>
      <w:r>
        <w:t xml:space="preserve">.  La TIR del escenario base en restauración de bosque baja de </w:t>
      </w:r>
      <w:r w:rsidR="00854EFC">
        <w:t>17</w:t>
      </w:r>
      <w:r>
        <w:t xml:space="preserve">% a </w:t>
      </w:r>
      <w:r w:rsidR="00854EFC">
        <w:t>1</w:t>
      </w:r>
      <w:r w:rsidR="00D01185">
        <w:t>6</w:t>
      </w:r>
      <w:r>
        <w:t xml:space="preserve">% con una reducción de 30% en el precio de los bienes forestales. Las otras intervenciones no </w:t>
      </w:r>
      <w:r w:rsidR="00AD6B91">
        <w:t>tienen variaciones y el conjunto de la operación tampoco tiene variaciones importantes en la TIR</w:t>
      </w:r>
    </w:p>
    <w:p w14:paraId="22CC2E8A" w14:textId="5CFAB611" w:rsidR="00E21C8D" w:rsidRDefault="00E21C8D" w:rsidP="00FB3C47">
      <w:pPr>
        <w:pStyle w:val="Heading2"/>
      </w:pPr>
      <w:bookmarkStart w:id="26" w:name="_Toc17823760"/>
      <w:r>
        <w:t xml:space="preserve">6.3.  Variación en </w:t>
      </w:r>
      <w:r w:rsidR="00854EFC">
        <w:t>ingresos</w:t>
      </w:r>
      <w:r>
        <w:t xml:space="preserve"> SAF</w:t>
      </w:r>
      <w:bookmarkEnd w:id="26"/>
    </w:p>
    <w:p w14:paraId="0E2238E1" w14:textId="77777777" w:rsidR="00E21C8D" w:rsidRDefault="00E21C8D" w:rsidP="00854EFC">
      <w:pPr>
        <w:pStyle w:val="parrafonumerado"/>
      </w:pPr>
      <w:r>
        <w:t>En el cuadro siguiente se da cuenta de las variaciones en los indicadores de costo-beneficio cuando varía la rentabilidad de las actividades SAF del proyecto.</w:t>
      </w:r>
    </w:p>
    <w:p w14:paraId="51ECD3EC" w14:textId="3593AEF0" w:rsidR="00E21C8D" w:rsidRDefault="00E21C8D" w:rsidP="002E3F3A">
      <w:pPr>
        <w:pStyle w:val="NoSpacing"/>
      </w:pPr>
      <w:r>
        <w:t>C</w:t>
      </w:r>
      <w:r w:rsidR="00854EFC">
        <w:t>uadro 16</w:t>
      </w:r>
      <w:r>
        <w:t xml:space="preserve">. Sensibilidad a cambios en </w:t>
      </w:r>
      <w:r w:rsidR="00854EFC">
        <w:t>ingresos</w:t>
      </w:r>
      <w:r>
        <w:t xml:space="preserve"> de SAF</w:t>
      </w:r>
    </w:p>
    <w:tbl>
      <w:tblPr>
        <w:tblW w:w="8500" w:type="dxa"/>
        <w:tblInd w:w="-10" w:type="dxa"/>
        <w:tblLook w:val="04A0" w:firstRow="1" w:lastRow="0" w:firstColumn="1" w:lastColumn="0" w:noHBand="0" w:noVBand="1"/>
      </w:tblPr>
      <w:tblGrid>
        <w:gridCol w:w="2840"/>
        <w:gridCol w:w="1440"/>
        <w:gridCol w:w="1420"/>
        <w:gridCol w:w="1440"/>
        <w:gridCol w:w="1360"/>
      </w:tblGrid>
      <w:tr w:rsidR="00075A74" w:rsidRPr="00075A74" w14:paraId="3680E630" w14:textId="77777777" w:rsidTr="00075A74">
        <w:trPr>
          <w:trHeight w:val="825"/>
        </w:trPr>
        <w:tc>
          <w:tcPr>
            <w:tcW w:w="28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F7F7BE6" w14:textId="77777777" w:rsidR="00075A74" w:rsidRPr="005A6EF5" w:rsidRDefault="00075A74" w:rsidP="00075A74">
            <w:pPr>
              <w:spacing w:before="0" w:after="0"/>
              <w:jc w:val="left"/>
              <w:rPr>
                <w:b/>
                <w:bCs/>
                <w:color w:val="000000"/>
                <w:sz w:val="18"/>
                <w:szCs w:val="18"/>
                <w:lang w:eastAsia="en-US"/>
              </w:rPr>
            </w:pPr>
            <w:r w:rsidRPr="005A6EF5">
              <w:rPr>
                <w:b/>
                <w:bCs/>
                <w:color w:val="000000"/>
                <w:sz w:val="18"/>
                <w:szCs w:val="18"/>
                <w:lang w:eastAsia="en-US"/>
              </w:rPr>
              <w:t> </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14:paraId="78C0F6A6" w14:textId="77777777" w:rsidR="00075A74" w:rsidRPr="00075A74" w:rsidRDefault="00075A74" w:rsidP="00075A74">
            <w:pPr>
              <w:spacing w:before="0" w:after="0"/>
              <w:jc w:val="center"/>
              <w:rPr>
                <w:b/>
                <w:bCs/>
                <w:color w:val="000000"/>
                <w:sz w:val="18"/>
                <w:szCs w:val="18"/>
                <w:lang w:val="en-US" w:eastAsia="en-US"/>
              </w:rPr>
            </w:pPr>
            <w:proofErr w:type="spellStart"/>
            <w:r w:rsidRPr="00075A74">
              <w:rPr>
                <w:b/>
                <w:bCs/>
                <w:color w:val="000000"/>
                <w:sz w:val="18"/>
                <w:szCs w:val="18"/>
                <w:lang w:val="en-US" w:eastAsia="en-US"/>
              </w:rPr>
              <w:t>Restauración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producción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privada</w:t>
            </w:r>
            <w:proofErr w:type="spellEnd"/>
          </w:p>
        </w:tc>
        <w:tc>
          <w:tcPr>
            <w:tcW w:w="1420" w:type="dxa"/>
            <w:tcBorders>
              <w:top w:val="single" w:sz="8" w:space="0" w:color="auto"/>
              <w:left w:val="nil"/>
              <w:bottom w:val="single" w:sz="8" w:space="0" w:color="auto"/>
              <w:right w:val="single" w:sz="4" w:space="0" w:color="auto"/>
            </w:tcBorders>
            <w:shd w:val="clear" w:color="auto" w:fill="auto"/>
            <w:vAlign w:val="center"/>
            <w:hideMark/>
          </w:tcPr>
          <w:p w14:paraId="1DC3452E"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MFA</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14:paraId="6741A763"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SAF</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14:paraId="5CBF6B36"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TOTAL</w:t>
            </w:r>
          </w:p>
        </w:tc>
      </w:tr>
      <w:tr w:rsidR="00075A74" w:rsidRPr="00075A74" w14:paraId="7A9DF43E" w14:textId="77777777" w:rsidTr="00075A74">
        <w:trPr>
          <w:trHeight w:val="270"/>
        </w:trPr>
        <w:tc>
          <w:tcPr>
            <w:tcW w:w="2840" w:type="dxa"/>
            <w:tcBorders>
              <w:top w:val="nil"/>
              <w:left w:val="single" w:sz="8" w:space="0" w:color="auto"/>
              <w:bottom w:val="nil"/>
              <w:right w:val="single" w:sz="4" w:space="0" w:color="auto"/>
            </w:tcBorders>
            <w:shd w:val="clear" w:color="auto" w:fill="auto"/>
            <w:noWrap/>
            <w:vAlign w:val="center"/>
            <w:hideMark/>
          </w:tcPr>
          <w:p w14:paraId="0A0B84AD"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Escenario</w:t>
            </w:r>
            <w:proofErr w:type="spellEnd"/>
            <w:r w:rsidRPr="00075A74">
              <w:rPr>
                <w:b/>
                <w:bCs/>
                <w:color w:val="000000"/>
                <w:sz w:val="18"/>
                <w:szCs w:val="18"/>
                <w:lang w:val="en-US" w:eastAsia="en-US"/>
              </w:rPr>
              <w:t xml:space="preserve"> Base</w:t>
            </w:r>
          </w:p>
        </w:tc>
        <w:tc>
          <w:tcPr>
            <w:tcW w:w="1440" w:type="dxa"/>
            <w:tcBorders>
              <w:top w:val="nil"/>
              <w:left w:val="nil"/>
              <w:bottom w:val="nil"/>
              <w:right w:val="single" w:sz="4" w:space="0" w:color="auto"/>
            </w:tcBorders>
            <w:shd w:val="clear" w:color="auto" w:fill="auto"/>
            <w:noWrap/>
            <w:vAlign w:val="center"/>
            <w:hideMark/>
          </w:tcPr>
          <w:p w14:paraId="76ED8E0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tcBorders>
              <w:top w:val="nil"/>
              <w:left w:val="nil"/>
              <w:bottom w:val="nil"/>
              <w:right w:val="single" w:sz="4" w:space="0" w:color="auto"/>
            </w:tcBorders>
            <w:shd w:val="clear" w:color="auto" w:fill="auto"/>
            <w:noWrap/>
            <w:vAlign w:val="center"/>
            <w:hideMark/>
          </w:tcPr>
          <w:p w14:paraId="126E90B1"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tcBorders>
              <w:top w:val="nil"/>
              <w:left w:val="nil"/>
              <w:bottom w:val="nil"/>
              <w:right w:val="single" w:sz="4" w:space="0" w:color="auto"/>
            </w:tcBorders>
            <w:shd w:val="clear" w:color="auto" w:fill="auto"/>
            <w:noWrap/>
            <w:vAlign w:val="center"/>
            <w:hideMark/>
          </w:tcPr>
          <w:p w14:paraId="36B18A6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tcBorders>
              <w:top w:val="nil"/>
              <w:left w:val="nil"/>
              <w:bottom w:val="nil"/>
              <w:right w:val="single" w:sz="8" w:space="0" w:color="auto"/>
            </w:tcBorders>
            <w:shd w:val="clear" w:color="auto" w:fill="auto"/>
            <w:noWrap/>
            <w:vAlign w:val="center"/>
            <w:hideMark/>
          </w:tcPr>
          <w:p w14:paraId="541667E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620880F5" w14:textId="77777777" w:rsidTr="00075A74">
        <w:trPr>
          <w:trHeight w:val="270"/>
        </w:trPr>
        <w:tc>
          <w:tcPr>
            <w:tcW w:w="2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8AFE61D"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B961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4,834,137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505ABD7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21,707,741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4242DEA"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B024B1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25,347,359 </w:t>
            </w:r>
          </w:p>
        </w:tc>
      </w:tr>
      <w:tr w:rsidR="00075A74" w:rsidRPr="00075A74" w14:paraId="05CC8AF4" w14:textId="77777777" w:rsidTr="00075A74">
        <w:trPr>
          <w:trHeight w:val="27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7B4826A5"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19FF7A82"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16.9%</w:t>
            </w:r>
          </w:p>
        </w:tc>
        <w:tc>
          <w:tcPr>
            <w:tcW w:w="1420" w:type="dxa"/>
            <w:tcBorders>
              <w:top w:val="single" w:sz="4" w:space="0" w:color="auto"/>
              <w:left w:val="nil"/>
              <w:bottom w:val="single" w:sz="8" w:space="0" w:color="auto"/>
              <w:right w:val="single" w:sz="4" w:space="0" w:color="auto"/>
            </w:tcBorders>
            <w:shd w:val="clear" w:color="auto" w:fill="auto"/>
            <w:noWrap/>
            <w:vAlign w:val="center"/>
            <w:hideMark/>
          </w:tcPr>
          <w:p w14:paraId="790B9CB9"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24.5%</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4D885AB2"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tcBorders>
              <w:top w:val="nil"/>
              <w:left w:val="nil"/>
              <w:bottom w:val="single" w:sz="8" w:space="0" w:color="auto"/>
              <w:right w:val="single" w:sz="8" w:space="0" w:color="auto"/>
            </w:tcBorders>
            <w:shd w:val="clear" w:color="auto" w:fill="auto"/>
            <w:noWrap/>
            <w:vAlign w:val="center"/>
            <w:hideMark/>
          </w:tcPr>
          <w:p w14:paraId="030C315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20.4%</w:t>
            </w:r>
          </w:p>
        </w:tc>
      </w:tr>
      <w:tr w:rsidR="00075A74" w:rsidRPr="00075A74" w14:paraId="3C9AB0B4" w14:textId="77777777" w:rsidTr="00075A74">
        <w:trPr>
          <w:trHeight w:val="270"/>
        </w:trPr>
        <w:tc>
          <w:tcPr>
            <w:tcW w:w="2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2FB71A9"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Reducción</w:t>
            </w:r>
            <w:proofErr w:type="spellEnd"/>
            <w:r w:rsidRPr="00075A74">
              <w:rPr>
                <w:b/>
                <w:bCs/>
                <w:color w:val="000000"/>
                <w:sz w:val="18"/>
                <w:szCs w:val="18"/>
                <w:lang w:val="en-US" w:eastAsia="en-US"/>
              </w:rPr>
              <w:t xml:space="preserve"> 30%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421A6"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77CBAFE9"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5C2874A1"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70F2F6A"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4EC602A7"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1579AFE7"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85DE178"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4,834,137 </w:t>
            </w:r>
          </w:p>
        </w:tc>
        <w:tc>
          <w:tcPr>
            <w:tcW w:w="1420" w:type="dxa"/>
            <w:tcBorders>
              <w:top w:val="nil"/>
              <w:left w:val="nil"/>
              <w:bottom w:val="single" w:sz="4" w:space="0" w:color="auto"/>
              <w:right w:val="single" w:sz="4" w:space="0" w:color="auto"/>
            </w:tcBorders>
            <w:shd w:val="clear" w:color="auto" w:fill="auto"/>
            <w:noWrap/>
            <w:vAlign w:val="center"/>
            <w:hideMark/>
          </w:tcPr>
          <w:p w14:paraId="449FAD68"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21,707,741 </w:t>
            </w:r>
          </w:p>
        </w:tc>
        <w:tc>
          <w:tcPr>
            <w:tcW w:w="1440" w:type="dxa"/>
            <w:tcBorders>
              <w:top w:val="nil"/>
              <w:left w:val="nil"/>
              <w:bottom w:val="single" w:sz="4" w:space="0" w:color="auto"/>
              <w:right w:val="single" w:sz="4" w:space="0" w:color="auto"/>
            </w:tcBorders>
            <w:shd w:val="clear" w:color="auto" w:fill="auto"/>
            <w:noWrap/>
            <w:vAlign w:val="center"/>
            <w:hideMark/>
          </w:tcPr>
          <w:p w14:paraId="3CCC4F84"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-3,659,808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0513418A"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22,882,071 </w:t>
            </w:r>
          </w:p>
        </w:tc>
      </w:tr>
      <w:tr w:rsidR="00075A74" w:rsidRPr="00075A74" w14:paraId="49770DB1"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1D60B15D"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-30%</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2180F775"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16.9%</w:t>
            </w:r>
          </w:p>
        </w:tc>
        <w:tc>
          <w:tcPr>
            <w:tcW w:w="1420" w:type="dxa"/>
            <w:tcBorders>
              <w:top w:val="nil"/>
              <w:left w:val="nil"/>
              <w:bottom w:val="single" w:sz="4" w:space="0" w:color="auto"/>
              <w:right w:val="single" w:sz="4" w:space="0" w:color="auto"/>
            </w:tcBorders>
            <w:shd w:val="clear" w:color="auto" w:fill="auto"/>
            <w:noWrap/>
            <w:vAlign w:val="center"/>
            <w:hideMark/>
          </w:tcPr>
          <w:p w14:paraId="6BA1FF98"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24.5%</w:t>
            </w:r>
          </w:p>
        </w:tc>
        <w:tc>
          <w:tcPr>
            <w:tcW w:w="1440" w:type="dxa"/>
            <w:tcBorders>
              <w:top w:val="nil"/>
              <w:left w:val="nil"/>
              <w:bottom w:val="single" w:sz="4" w:space="0" w:color="auto"/>
              <w:right w:val="single" w:sz="4" w:space="0" w:color="auto"/>
            </w:tcBorders>
            <w:shd w:val="clear" w:color="auto" w:fill="auto"/>
            <w:noWrap/>
            <w:vAlign w:val="center"/>
            <w:hideMark/>
          </w:tcPr>
          <w:p w14:paraId="40D75DF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2.3%</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213D5874"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19.4%</w:t>
            </w:r>
          </w:p>
        </w:tc>
      </w:tr>
      <w:tr w:rsidR="00075A74" w:rsidRPr="00075A74" w14:paraId="104CDCFB"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775517F0"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Aumento</w:t>
            </w:r>
            <w:proofErr w:type="spellEnd"/>
            <w:r w:rsidRPr="00075A74">
              <w:rPr>
                <w:b/>
                <w:bCs/>
                <w:color w:val="000000"/>
                <w:sz w:val="18"/>
                <w:szCs w:val="18"/>
                <w:lang w:val="en-US" w:eastAsia="en-US"/>
              </w:rPr>
              <w:t xml:space="preserve"> 30%</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16844DD2"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tcBorders>
              <w:top w:val="nil"/>
              <w:left w:val="nil"/>
              <w:bottom w:val="single" w:sz="4" w:space="0" w:color="auto"/>
              <w:right w:val="single" w:sz="4" w:space="0" w:color="auto"/>
            </w:tcBorders>
            <w:shd w:val="clear" w:color="auto" w:fill="auto"/>
            <w:noWrap/>
            <w:vAlign w:val="center"/>
            <w:hideMark/>
          </w:tcPr>
          <w:p w14:paraId="6CAA4009"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14:paraId="5A6795C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52EAAF1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2118BF47"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6FC63CCE"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2317B0CF"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4,834,137 </w:t>
            </w:r>
          </w:p>
        </w:tc>
        <w:tc>
          <w:tcPr>
            <w:tcW w:w="1420" w:type="dxa"/>
            <w:tcBorders>
              <w:top w:val="nil"/>
              <w:left w:val="nil"/>
              <w:bottom w:val="single" w:sz="4" w:space="0" w:color="auto"/>
              <w:right w:val="single" w:sz="4" w:space="0" w:color="auto"/>
            </w:tcBorders>
            <w:shd w:val="clear" w:color="auto" w:fill="auto"/>
            <w:noWrap/>
            <w:vAlign w:val="center"/>
            <w:hideMark/>
          </w:tcPr>
          <w:p w14:paraId="5EE6C658"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21,707,741 </w:t>
            </w:r>
          </w:p>
        </w:tc>
        <w:tc>
          <w:tcPr>
            <w:tcW w:w="1440" w:type="dxa"/>
            <w:tcBorders>
              <w:top w:val="nil"/>
              <w:left w:val="nil"/>
              <w:bottom w:val="single" w:sz="4" w:space="0" w:color="auto"/>
              <w:right w:val="single" w:sz="4" w:space="0" w:color="auto"/>
            </w:tcBorders>
            <w:shd w:val="clear" w:color="auto" w:fill="auto"/>
            <w:noWrap/>
            <w:vAlign w:val="center"/>
            <w:hideMark/>
          </w:tcPr>
          <w:p w14:paraId="5654134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1,270,768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72758268"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27,812,647 </w:t>
            </w:r>
          </w:p>
        </w:tc>
      </w:tr>
      <w:tr w:rsidR="00075A74" w:rsidRPr="00075A74" w14:paraId="3714B57D" w14:textId="77777777" w:rsidTr="00075A74">
        <w:trPr>
          <w:trHeight w:val="27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4D6EC50F"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+30 %</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2D8AA81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16.9%</w:t>
            </w:r>
          </w:p>
        </w:tc>
        <w:tc>
          <w:tcPr>
            <w:tcW w:w="1420" w:type="dxa"/>
            <w:tcBorders>
              <w:top w:val="single" w:sz="4" w:space="0" w:color="auto"/>
              <w:left w:val="nil"/>
              <w:bottom w:val="single" w:sz="8" w:space="0" w:color="auto"/>
              <w:right w:val="single" w:sz="4" w:space="0" w:color="auto"/>
            </w:tcBorders>
            <w:shd w:val="clear" w:color="auto" w:fill="auto"/>
            <w:noWrap/>
            <w:vAlign w:val="center"/>
            <w:hideMark/>
          </w:tcPr>
          <w:p w14:paraId="3B604E4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24.5%</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78A8E425"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16.5%</w:t>
            </w:r>
          </w:p>
        </w:tc>
        <w:tc>
          <w:tcPr>
            <w:tcW w:w="1360" w:type="dxa"/>
            <w:tcBorders>
              <w:top w:val="nil"/>
              <w:left w:val="nil"/>
              <w:bottom w:val="single" w:sz="8" w:space="0" w:color="auto"/>
              <w:right w:val="single" w:sz="8" w:space="0" w:color="auto"/>
            </w:tcBorders>
            <w:shd w:val="clear" w:color="auto" w:fill="auto"/>
            <w:noWrap/>
            <w:vAlign w:val="center"/>
            <w:hideMark/>
          </w:tcPr>
          <w:p w14:paraId="0245492B"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21.4%</w:t>
            </w:r>
          </w:p>
        </w:tc>
      </w:tr>
    </w:tbl>
    <w:p w14:paraId="50BF5565" w14:textId="77777777" w:rsidR="00854EFC" w:rsidRDefault="00854EFC" w:rsidP="002E3F3A">
      <w:pPr>
        <w:pStyle w:val="NoSpacing"/>
      </w:pPr>
    </w:p>
    <w:p w14:paraId="0F0D7DBC" w14:textId="0644A03D" w:rsidR="00E21C8D" w:rsidRDefault="00854EFC" w:rsidP="00854EFC">
      <w:pPr>
        <w:pStyle w:val="parrafonumerado"/>
      </w:pPr>
      <w:r>
        <w:t>E</w:t>
      </w:r>
      <w:r w:rsidR="00E21C8D">
        <w:t xml:space="preserve">sta variación sólo afecta a SAF, que reduce su TIR de </w:t>
      </w:r>
      <w:r w:rsidR="00075A74">
        <w:t>8</w:t>
      </w:r>
      <w:r w:rsidR="00D01185">
        <w:t>.</w:t>
      </w:r>
      <w:r w:rsidR="00075A74">
        <w:t>5</w:t>
      </w:r>
      <w:r w:rsidR="00E21C8D">
        <w:t xml:space="preserve">% a </w:t>
      </w:r>
      <w:r w:rsidR="00075A74">
        <w:t>2</w:t>
      </w:r>
      <w:r>
        <w:t>.</w:t>
      </w:r>
      <w:r w:rsidR="00075A74">
        <w:t>3</w:t>
      </w:r>
      <w:r w:rsidR="00E21C8D">
        <w:t>% con la caída en 30% de</w:t>
      </w:r>
      <w:r>
        <w:t>l incremento en ingreso esperado</w:t>
      </w:r>
      <w:r w:rsidR="00E21C8D">
        <w:t xml:space="preserve"> y sube a </w:t>
      </w:r>
      <w:r>
        <w:t>1</w:t>
      </w:r>
      <w:r w:rsidR="00075A74">
        <w:t>6</w:t>
      </w:r>
      <w:r w:rsidR="00E21C8D">
        <w:t>.</w:t>
      </w:r>
      <w:r w:rsidR="00075A74">
        <w:t>5</w:t>
      </w:r>
      <w:r w:rsidR="00E21C8D">
        <w:t>% con el aumento</w:t>
      </w:r>
      <w:r>
        <w:t xml:space="preserve"> de 30%</w:t>
      </w:r>
      <w:r w:rsidR="00075A74">
        <w:t xml:space="preserve"> (en este caso esta intervención se vuelve rentable desde el punto de vista económico)</w:t>
      </w:r>
      <w:r w:rsidR="00E21C8D">
        <w:t xml:space="preserve">.  Cabe señalar que este cambio </w:t>
      </w:r>
      <w:r>
        <w:t>no tiene efectos significativos en la rentabilidad global del</w:t>
      </w:r>
      <w:r w:rsidR="00075A74">
        <w:t xml:space="preserve"> </w:t>
      </w:r>
      <w:r>
        <w:t>proyecto.</w:t>
      </w:r>
    </w:p>
    <w:p w14:paraId="23EF6567" w14:textId="77777777" w:rsidR="00854EFC" w:rsidRDefault="00854EFC" w:rsidP="00854EFC">
      <w:pPr>
        <w:pStyle w:val="parrafonumerado"/>
        <w:numPr>
          <w:ilvl w:val="0"/>
          <w:numId w:val="0"/>
        </w:numPr>
        <w:ind w:left="567"/>
      </w:pPr>
    </w:p>
    <w:p w14:paraId="139D55AA" w14:textId="77777777" w:rsidR="00FB3C47" w:rsidRDefault="00FB3C47" w:rsidP="006969BC">
      <w:pPr>
        <w:pStyle w:val="Heading2"/>
      </w:pPr>
      <w:bookmarkStart w:id="27" w:name="_Toc17823761"/>
      <w:r>
        <w:t>6.4.  Variación en el precio del carbono</w:t>
      </w:r>
      <w:bookmarkEnd w:id="27"/>
    </w:p>
    <w:p w14:paraId="15EC0F5C" w14:textId="77777777" w:rsidR="00E21C8D" w:rsidRDefault="00FB3C47" w:rsidP="00854EFC">
      <w:pPr>
        <w:pStyle w:val="parrafonumerado"/>
      </w:pPr>
      <w:r>
        <w:t>En cuanto al precio del carbono, los efectos de un cambio en 30% para abajo y para arriba se muestran en el cuadro siguiente.</w:t>
      </w:r>
    </w:p>
    <w:p w14:paraId="6BD515D0" w14:textId="21B89191" w:rsidR="00FB3C47" w:rsidRDefault="00FB3C47" w:rsidP="00A86046">
      <w:pPr>
        <w:pStyle w:val="NoSpacing"/>
      </w:pPr>
      <w:r>
        <w:t>Cuadro 1</w:t>
      </w:r>
      <w:r w:rsidR="00854EFC">
        <w:t>7</w:t>
      </w:r>
      <w:r>
        <w:t>. Sensibilidad a cambios en precio de carbono</w:t>
      </w:r>
    </w:p>
    <w:tbl>
      <w:tblPr>
        <w:tblW w:w="85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1440"/>
        <w:gridCol w:w="1420"/>
        <w:gridCol w:w="1440"/>
        <w:gridCol w:w="1360"/>
      </w:tblGrid>
      <w:tr w:rsidR="00075A74" w:rsidRPr="00075A74" w14:paraId="293A3777" w14:textId="77777777" w:rsidTr="00075A74">
        <w:trPr>
          <w:trHeight w:val="780"/>
        </w:trPr>
        <w:tc>
          <w:tcPr>
            <w:tcW w:w="2840" w:type="dxa"/>
            <w:shd w:val="clear" w:color="auto" w:fill="auto"/>
            <w:noWrap/>
            <w:vAlign w:val="center"/>
            <w:hideMark/>
          </w:tcPr>
          <w:p w14:paraId="596E2857" w14:textId="77777777" w:rsidR="00075A74" w:rsidRPr="005A6EF5" w:rsidRDefault="00075A74" w:rsidP="00075A74">
            <w:pPr>
              <w:spacing w:before="0" w:after="0"/>
              <w:jc w:val="left"/>
              <w:rPr>
                <w:b/>
                <w:bCs/>
                <w:color w:val="000000"/>
                <w:sz w:val="18"/>
                <w:szCs w:val="18"/>
                <w:lang w:eastAsia="en-US"/>
              </w:rPr>
            </w:pPr>
            <w:r w:rsidRPr="005A6EF5">
              <w:rPr>
                <w:b/>
                <w:bCs/>
                <w:color w:val="000000"/>
                <w:sz w:val="18"/>
                <w:szCs w:val="18"/>
                <w:lang w:eastAsia="en-US"/>
              </w:rPr>
              <w:t> </w:t>
            </w:r>
          </w:p>
        </w:tc>
        <w:tc>
          <w:tcPr>
            <w:tcW w:w="1440" w:type="dxa"/>
            <w:shd w:val="clear" w:color="auto" w:fill="auto"/>
            <w:vAlign w:val="center"/>
            <w:hideMark/>
          </w:tcPr>
          <w:p w14:paraId="720E8225" w14:textId="77777777" w:rsidR="00075A74" w:rsidRPr="00075A74" w:rsidRDefault="00075A74" w:rsidP="00075A74">
            <w:pPr>
              <w:spacing w:before="0" w:after="0"/>
              <w:jc w:val="center"/>
              <w:rPr>
                <w:b/>
                <w:bCs/>
                <w:color w:val="000000"/>
                <w:sz w:val="18"/>
                <w:szCs w:val="18"/>
                <w:lang w:val="en-US" w:eastAsia="en-US"/>
              </w:rPr>
            </w:pPr>
            <w:proofErr w:type="spellStart"/>
            <w:r w:rsidRPr="00075A74">
              <w:rPr>
                <w:b/>
                <w:bCs/>
                <w:color w:val="000000"/>
                <w:sz w:val="18"/>
                <w:szCs w:val="18"/>
                <w:lang w:val="en-US" w:eastAsia="en-US"/>
              </w:rPr>
              <w:t>Restauración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producción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privada</w:t>
            </w:r>
            <w:proofErr w:type="spellEnd"/>
          </w:p>
        </w:tc>
        <w:tc>
          <w:tcPr>
            <w:tcW w:w="1420" w:type="dxa"/>
            <w:shd w:val="clear" w:color="auto" w:fill="auto"/>
            <w:vAlign w:val="center"/>
            <w:hideMark/>
          </w:tcPr>
          <w:p w14:paraId="31A3BEE7"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MFA</w:t>
            </w:r>
          </w:p>
        </w:tc>
        <w:tc>
          <w:tcPr>
            <w:tcW w:w="1440" w:type="dxa"/>
            <w:shd w:val="clear" w:color="auto" w:fill="auto"/>
            <w:vAlign w:val="center"/>
            <w:hideMark/>
          </w:tcPr>
          <w:p w14:paraId="71DF6853"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SAF</w:t>
            </w:r>
          </w:p>
        </w:tc>
        <w:tc>
          <w:tcPr>
            <w:tcW w:w="1360" w:type="dxa"/>
            <w:shd w:val="clear" w:color="auto" w:fill="auto"/>
            <w:vAlign w:val="center"/>
            <w:hideMark/>
          </w:tcPr>
          <w:p w14:paraId="22B23223"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TOTAL</w:t>
            </w:r>
          </w:p>
        </w:tc>
      </w:tr>
      <w:tr w:rsidR="00075A74" w:rsidRPr="00075A74" w14:paraId="1C5DD141" w14:textId="77777777" w:rsidTr="00075A74">
        <w:trPr>
          <w:trHeight w:val="270"/>
        </w:trPr>
        <w:tc>
          <w:tcPr>
            <w:tcW w:w="2840" w:type="dxa"/>
            <w:shd w:val="clear" w:color="auto" w:fill="auto"/>
            <w:noWrap/>
            <w:vAlign w:val="center"/>
            <w:hideMark/>
          </w:tcPr>
          <w:p w14:paraId="396EA666"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Escenario</w:t>
            </w:r>
            <w:proofErr w:type="spellEnd"/>
            <w:r w:rsidRPr="00075A74">
              <w:rPr>
                <w:b/>
                <w:bCs/>
                <w:color w:val="000000"/>
                <w:sz w:val="18"/>
                <w:szCs w:val="18"/>
                <w:lang w:val="en-US" w:eastAsia="en-US"/>
              </w:rPr>
              <w:t xml:space="preserve"> Base</w:t>
            </w:r>
          </w:p>
        </w:tc>
        <w:tc>
          <w:tcPr>
            <w:tcW w:w="1440" w:type="dxa"/>
            <w:shd w:val="clear" w:color="auto" w:fill="auto"/>
            <w:noWrap/>
            <w:vAlign w:val="center"/>
            <w:hideMark/>
          </w:tcPr>
          <w:p w14:paraId="64F26C8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shd w:val="clear" w:color="auto" w:fill="auto"/>
            <w:noWrap/>
            <w:vAlign w:val="center"/>
            <w:hideMark/>
          </w:tcPr>
          <w:p w14:paraId="433B1A5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shd w:val="clear" w:color="auto" w:fill="auto"/>
            <w:noWrap/>
            <w:vAlign w:val="center"/>
            <w:hideMark/>
          </w:tcPr>
          <w:p w14:paraId="4D6F4404"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shd w:val="clear" w:color="auto" w:fill="auto"/>
            <w:noWrap/>
            <w:vAlign w:val="center"/>
            <w:hideMark/>
          </w:tcPr>
          <w:p w14:paraId="40912C5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3E92CD68" w14:textId="77777777" w:rsidTr="00075A74">
        <w:trPr>
          <w:trHeight w:val="270"/>
        </w:trPr>
        <w:tc>
          <w:tcPr>
            <w:tcW w:w="2840" w:type="dxa"/>
            <w:shd w:val="clear" w:color="auto" w:fill="auto"/>
            <w:noWrap/>
            <w:vAlign w:val="center"/>
            <w:hideMark/>
          </w:tcPr>
          <w:p w14:paraId="56317C6F"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shd w:val="clear" w:color="auto" w:fill="auto"/>
            <w:noWrap/>
            <w:vAlign w:val="center"/>
            <w:hideMark/>
          </w:tcPr>
          <w:p w14:paraId="437F95A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4,834,137 </w:t>
            </w:r>
          </w:p>
        </w:tc>
        <w:tc>
          <w:tcPr>
            <w:tcW w:w="1420" w:type="dxa"/>
            <w:shd w:val="clear" w:color="auto" w:fill="auto"/>
            <w:noWrap/>
            <w:vAlign w:val="center"/>
            <w:hideMark/>
          </w:tcPr>
          <w:p w14:paraId="109CEDA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21,707,741 </w:t>
            </w:r>
          </w:p>
        </w:tc>
        <w:tc>
          <w:tcPr>
            <w:tcW w:w="1440" w:type="dxa"/>
            <w:shd w:val="clear" w:color="auto" w:fill="auto"/>
            <w:noWrap/>
            <w:vAlign w:val="center"/>
            <w:hideMark/>
          </w:tcPr>
          <w:p w14:paraId="6F55EC2B"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shd w:val="clear" w:color="auto" w:fill="auto"/>
            <w:noWrap/>
            <w:vAlign w:val="center"/>
            <w:hideMark/>
          </w:tcPr>
          <w:p w14:paraId="4E5218EB"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25,347,359 </w:t>
            </w:r>
          </w:p>
        </w:tc>
      </w:tr>
      <w:tr w:rsidR="00075A74" w:rsidRPr="00075A74" w14:paraId="093C972C" w14:textId="77777777" w:rsidTr="00075A74">
        <w:trPr>
          <w:trHeight w:val="270"/>
        </w:trPr>
        <w:tc>
          <w:tcPr>
            <w:tcW w:w="2840" w:type="dxa"/>
            <w:shd w:val="clear" w:color="auto" w:fill="auto"/>
            <w:noWrap/>
            <w:vAlign w:val="center"/>
            <w:hideMark/>
          </w:tcPr>
          <w:p w14:paraId="20DEE70D"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w:t>
            </w:r>
          </w:p>
        </w:tc>
        <w:tc>
          <w:tcPr>
            <w:tcW w:w="1440" w:type="dxa"/>
            <w:shd w:val="clear" w:color="auto" w:fill="auto"/>
            <w:noWrap/>
            <w:vAlign w:val="center"/>
            <w:hideMark/>
          </w:tcPr>
          <w:p w14:paraId="2252902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16.89%</w:t>
            </w:r>
          </w:p>
        </w:tc>
        <w:tc>
          <w:tcPr>
            <w:tcW w:w="1420" w:type="dxa"/>
            <w:shd w:val="clear" w:color="auto" w:fill="auto"/>
            <w:noWrap/>
            <w:vAlign w:val="center"/>
            <w:hideMark/>
          </w:tcPr>
          <w:p w14:paraId="5470E502"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24.5%</w:t>
            </w:r>
          </w:p>
        </w:tc>
        <w:tc>
          <w:tcPr>
            <w:tcW w:w="1440" w:type="dxa"/>
            <w:shd w:val="clear" w:color="auto" w:fill="auto"/>
            <w:noWrap/>
            <w:vAlign w:val="center"/>
            <w:hideMark/>
          </w:tcPr>
          <w:p w14:paraId="0A0E6A73"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shd w:val="clear" w:color="auto" w:fill="auto"/>
            <w:noWrap/>
            <w:vAlign w:val="center"/>
            <w:hideMark/>
          </w:tcPr>
          <w:p w14:paraId="661686C1"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20.4%</w:t>
            </w:r>
          </w:p>
        </w:tc>
      </w:tr>
      <w:tr w:rsidR="00075A74" w:rsidRPr="00075A74" w14:paraId="48601DC3" w14:textId="77777777" w:rsidTr="00075A74">
        <w:trPr>
          <w:trHeight w:val="270"/>
        </w:trPr>
        <w:tc>
          <w:tcPr>
            <w:tcW w:w="2840" w:type="dxa"/>
            <w:shd w:val="clear" w:color="auto" w:fill="auto"/>
            <w:noWrap/>
            <w:vAlign w:val="center"/>
            <w:hideMark/>
          </w:tcPr>
          <w:p w14:paraId="74802C87"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Reducción</w:t>
            </w:r>
            <w:proofErr w:type="spellEnd"/>
            <w:r w:rsidRPr="00075A74">
              <w:rPr>
                <w:b/>
                <w:bCs/>
                <w:color w:val="000000"/>
                <w:sz w:val="18"/>
                <w:szCs w:val="18"/>
                <w:lang w:val="en-US" w:eastAsia="en-US"/>
              </w:rPr>
              <w:t xml:space="preserve"> 30%</w:t>
            </w:r>
          </w:p>
        </w:tc>
        <w:tc>
          <w:tcPr>
            <w:tcW w:w="1440" w:type="dxa"/>
            <w:shd w:val="clear" w:color="auto" w:fill="auto"/>
            <w:noWrap/>
            <w:vAlign w:val="center"/>
            <w:hideMark/>
          </w:tcPr>
          <w:p w14:paraId="7439241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shd w:val="clear" w:color="auto" w:fill="auto"/>
            <w:noWrap/>
            <w:vAlign w:val="center"/>
            <w:hideMark/>
          </w:tcPr>
          <w:p w14:paraId="4F295EB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shd w:val="clear" w:color="auto" w:fill="auto"/>
            <w:noWrap/>
            <w:vAlign w:val="center"/>
            <w:hideMark/>
          </w:tcPr>
          <w:p w14:paraId="01246C4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shd w:val="clear" w:color="auto" w:fill="auto"/>
            <w:noWrap/>
            <w:vAlign w:val="center"/>
            <w:hideMark/>
          </w:tcPr>
          <w:p w14:paraId="6D5A9DA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0CBDF3E1" w14:textId="77777777" w:rsidTr="00075A74">
        <w:trPr>
          <w:trHeight w:val="270"/>
        </w:trPr>
        <w:tc>
          <w:tcPr>
            <w:tcW w:w="2840" w:type="dxa"/>
            <w:shd w:val="clear" w:color="auto" w:fill="auto"/>
            <w:noWrap/>
            <w:vAlign w:val="center"/>
            <w:hideMark/>
          </w:tcPr>
          <w:p w14:paraId="2A62A978"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shd w:val="clear" w:color="auto" w:fill="auto"/>
            <w:noWrap/>
            <w:vAlign w:val="center"/>
            <w:hideMark/>
          </w:tcPr>
          <w:p w14:paraId="260C1C1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4,766,366 </w:t>
            </w:r>
          </w:p>
        </w:tc>
        <w:tc>
          <w:tcPr>
            <w:tcW w:w="1420" w:type="dxa"/>
            <w:shd w:val="clear" w:color="auto" w:fill="auto"/>
            <w:noWrap/>
            <w:vAlign w:val="center"/>
            <w:hideMark/>
          </w:tcPr>
          <w:p w14:paraId="399E5A6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3,452,232 </w:t>
            </w:r>
          </w:p>
        </w:tc>
        <w:tc>
          <w:tcPr>
            <w:tcW w:w="1440" w:type="dxa"/>
            <w:shd w:val="clear" w:color="auto" w:fill="auto"/>
            <w:noWrap/>
            <w:vAlign w:val="center"/>
            <w:hideMark/>
          </w:tcPr>
          <w:p w14:paraId="0AFDDB50"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shd w:val="clear" w:color="auto" w:fill="auto"/>
            <w:noWrap/>
            <w:vAlign w:val="center"/>
            <w:hideMark/>
          </w:tcPr>
          <w:p w14:paraId="47D335A6"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7,024,078 </w:t>
            </w:r>
          </w:p>
        </w:tc>
      </w:tr>
      <w:tr w:rsidR="00075A74" w:rsidRPr="00075A74" w14:paraId="19D08F9F" w14:textId="77777777" w:rsidTr="00075A74">
        <w:trPr>
          <w:trHeight w:val="270"/>
        </w:trPr>
        <w:tc>
          <w:tcPr>
            <w:tcW w:w="2840" w:type="dxa"/>
            <w:shd w:val="clear" w:color="auto" w:fill="auto"/>
            <w:noWrap/>
            <w:vAlign w:val="center"/>
            <w:hideMark/>
          </w:tcPr>
          <w:p w14:paraId="6E41B8A8"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-30%</w:t>
            </w:r>
          </w:p>
        </w:tc>
        <w:tc>
          <w:tcPr>
            <w:tcW w:w="1440" w:type="dxa"/>
            <w:shd w:val="clear" w:color="auto" w:fill="auto"/>
            <w:noWrap/>
            <w:vAlign w:val="center"/>
            <w:hideMark/>
          </w:tcPr>
          <w:p w14:paraId="6A55EE8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16.83%</w:t>
            </w:r>
          </w:p>
        </w:tc>
        <w:tc>
          <w:tcPr>
            <w:tcW w:w="1420" w:type="dxa"/>
            <w:shd w:val="clear" w:color="auto" w:fill="auto"/>
            <w:noWrap/>
            <w:vAlign w:val="center"/>
            <w:hideMark/>
          </w:tcPr>
          <w:p w14:paraId="7DACA7A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14.0%</w:t>
            </w:r>
          </w:p>
        </w:tc>
        <w:tc>
          <w:tcPr>
            <w:tcW w:w="1440" w:type="dxa"/>
            <w:shd w:val="clear" w:color="auto" w:fill="auto"/>
            <w:noWrap/>
            <w:vAlign w:val="center"/>
            <w:hideMark/>
          </w:tcPr>
          <w:p w14:paraId="63A8A01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shd w:val="clear" w:color="auto" w:fill="auto"/>
            <w:noWrap/>
            <w:vAlign w:val="center"/>
            <w:hideMark/>
          </w:tcPr>
          <w:p w14:paraId="5713487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15.5%</w:t>
            </w:r>
          </w:p>
        </w:tc>
      </w:tr>
      <w:tr w:rsidR="00075A74" w:rsidRPr="00075A74" w14:paraId="50DC656E" w14:textId="77777777" w:rsidTr="00075A74">
        <w:trPr>
          <w:trHeight w:val="270"/>
        </w:trPr>
        <w:tc>
          <w:tcPr>
            <w:tcW w:w="2840" w:type="dxa"/>
            <w:shd w:val="clear" w:color="auto" w:fill="auto"/>
            <w:noWrap/>
            <w:vAlign w:val="center"/>
            <w:hideMark/>
          </w:tcPr>
          <w:p w14:paraId="712280AE" w14:textId="77777777" w:rsidR="00075A74" w:rsidRPr="00075A74" w:rsidRDefault="00075A74" w:rsidP="00075A74">
            <w:pPr>
              <w:spacing w:before="0" w:after="0"/>
              <w:jc w:val="left"/>
              <w:rPr>
                <w:b/>
                <w:bCs/>
                <w:color w:val="000000"/>
                <w:sz w:val="18"/>
                <w:szCs w:val="18"/>
                <w:lang w:val="en-US" w:eastAsia="en-US"/>
              </w:rPr>
            </w:pPr>
            <w:proofErr w:type="spellStart"/>
            <w:r w:rsidRPr="00075A74">
              <w:rPr>
                <w:b/>
                <w:bCs/>
                <w:color w:val="000000"/>
                <w:sz w:val="18"/>
                <w:szCs w:val="18"/>
                <w:lang w:val="en-US" w:eastAsia="en-US"/>
              </w:rPr>
              <w:t>Aumento</w:t>
            </w:r>
            <w:proofErr w:type="spellEnd"/>
            <w:r w:rsidRPr="00075A74">
              <w:rPr>
                <w:b/>
                <w:bCs/>
                <w:color w:val="000000"/>
                <w:sz w:val="18"/>
                <w:szCs w:val="18"/>
                <w:lang w:val="en-US" w:eastAsia="en-US"/>
              </w:rPr>
              <w:t xml:space="preserve"> 30%</w:t>
            </w:r>
          </w:p>
        </w:tc>
        <w:tc>
          <w:tcPr>
            <w:tcW w:w="1440" w:type="dxa"/>
            <w:shd w:val="clear" w:color="auto" w:fill="auto"/>
            <w:noWrap/>
            <w:vAlign w:val="center"/>
            <w:hideMark/>
          </w:tcPr>
          <w:p w14:paraId="53AF7CB6"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20" w:type="dxa"/>
            <w:shd w:val="clear" w:color="auto" w:fill="auto"/>
            <w:noWrap/>
            <w:vAlign w:val="center"/>
            <w:hideMark/>
          </w:tcPr>
          <w:p w14:paraId="0E50225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440" w:type="dxa"/>
            <w:shd w:val="clear" w:color="auto" w:fill="auto"/>
            <w:noWrap/>
            <w:vAlign w:val="center"/>
            <w:hideMark/>
          </w:tcPr>
          <w:p w14:paraId="3343383B"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c>
          <w:tcPr>
            <w:tcW w:w="1360" w:type="dxa"/>
            <w:shd w:val="clear" w:color="auto" w:fill="auto"/>
            <w:noWrap/>
            <w:vAlign w:val="center"/>
            <w:hideMark/>
          </w:tcPr>
          <w:p w14:paraId="34D0FF3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w:t>
            </w:r>
          </w:p>
        </w:tc>
      </w:tr>
      <w:tr w:rsidR="00075A74" w:rsidRPr="00075A74" w14:paraId="3FBE0687" w14:textId="77777777" w:rsidTr="00075A74">
        <w:trPr>
          <w:trHeight w:val="270"/>
        </w:trPr>
        <w:tc>
          <w:tcPr>
            <w:tcW w:w="2840" w:type="dxa"/>
            <w:shd w:val="clear" w:color="auto" w:fill="auto"/>
            <w:noWrap/>
            <w:vAlign w:val="center"/>
            <w:hideMark/>
          </w:tcPr>
          <w:p w14:paraId="322C157D"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VAN a 12%</w:t>
            </w:r>
          </w:p>
        </w:tc>
        <w:tc>
          <w:tcPr>
            <w:tcW w:w="1440" w:type="dxa"/>
            <w:shd w:val="clear" w:color="auto" w:fill="auto"/>
            <w:noWrap/>
            <w:vAlign w:val="center"/>
            <w:hideMark/>
          </w:tcPr>
          <w:p w14:paraId="60411EC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4,901,909 </w:t>
            </w:r>
          </w:p>
        </w:tc>
        <w:tc>
          <w:tcPr>
            <w:tcW w:w="1420" w:type="dxa"/>
            <w:shd w:val="clear" w:color="auto" w:fill="auto"/>
            <w:noWrap/>
            <w:vAlign w:val="center"/>
            <w:hideMark/>
          </w:tcPr>
          <w:p w14:paraId="3D474F67"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32,954,637 </w:t>
            </w:r>
          </w:p>
        </w:tc>
        <w:tc>
          <w:tcPr>
            <w:tcW w:w="1440" w:type="dxa"/>
            <w:shd w:val="clear" w:color="auto" w:fill="auto"/>
            <w:noWrap/>
            <w:vAlign w:val="center"/>
            <w:hideMark/>
          </w:tcPr>
          <w:p w14:paraId="73BDED58"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shd w:val="clear" w:color="auto" w:fill="auto"/>
            <w:noWrap/>
            <w:vAlign w:val="center"/>
            <w:hideMark/>
          </w:tcPr>
          <w:p w14:paraId="58473B62"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36,662,027 </w:t>
            </w:r>
          </w:p>
        </w:tc>
      </w:tr>
      <w:tr w:rsidR="00075A74" w:rsidRPr="00075A74" w14:paraId="447A8885" w14:textId="77777777" w:rsidTr="00075A74">
        <w:trPr>
          <w:trHeight w:val="270"/>
        </w:trPr>
        <w:tc>
          <w:tcPr>
            <w:tcW w:w="2840" w:type="dxa"/>
            <w:shd w:val="clear" w:color="auto" w:fill="auto"/>
            <w:noWrap/>
            <w:vAlign w:val="center"/>
            <w:hideMark/>
          </w:tcPr>
          <w:p w14:paraId="780D4068"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TIR +30 %</w:t>
            </w:r>
          </w:p>
        </w:tc>
        <w:tc>
          <w:tcPr>
            <w:tcW w:w="1440" w:type="dxa"/>
            <w:shd w:val="clear" w:color="auto" w:fill="auto"/>
            <w:noWrap/>
            <w:vAlign w:val="center"/>
            <w:hideMark/>
          </w:tcPr>
          <w:p w14:paraId="2F6CCE0B"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16.94%</w:t>
            </w:r>
          </w:p>
        </w:tc>
        <w:tc>
          <w:tcPr>
            <w:tcW w:w="1420" w:type="dxa"/>
            <w:shd w:val="clear" w:color="auto" w:fill="auto"/>
            <w:noWrap/>
            <w:vAlign w:val="center"/>
            <w:hideMark/>
          </w:tcPr>
          <w:p w14:paraId="7C294400"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30.6%</w:t>
            </w:r>
          </w:p>
        </w:tc>
        <w:tc>
          <w:tcPr>
            <w:tcW w:w="1440" w:type="dxa"/>
            <w:shd w:val="clear" w:color="auto" w:fill="auto"/>
            <w:noWrap/>
            <w:vAlign w:val="center"/>
            <w:hideMark/>
          </w:tcPr>
          <w:p w14:paraId="5622A331"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8.5%</w:t>
            </w:r>
          </w:p>
        </w:tc>
        <w:tc>
          <w:tcPr>
            <w:tcW w:w="1360" w:type="dxa"/>
            <w:shd w:val="clear" w:color="auto" w:fill="auto"/>
            <w:noWrap/>
            <w:vAlign w:val="center"/>
            <w:hideMark/>
          </w:tcPr>
          <w:p w14:paraId="09DB7DE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24.1%</w:t>
            </w:r>
          </w:p>
        </w:tc>
      </w:tr>
    </w:tbl>
    <w:p w14:paraId="75B2138B" w14:textId="77777777" w:rsidR="00854EFC" w:rsidRDefault="00854EFC" w:rsidP="00A86046">
      <w:pPr>
        <w:pStyle w:val="NoSpacing"/>
      </w:pPr>
    </w:p>
    <w:p w14:paraId="00B2C463" w14:textId="3B218805" w:rsidR="00FB3C47" w:rsidRDefault="00FB3C47" w:rsidP="00854EFC">
      <w:pPr>
        <w:pStyle w:val="parrafonumerado"/>
      </w:pPr>
      <w:r>
        <w:t xml:space="preserve">El precio del carbono influye en la rentabilidad de las intervenciones </w:t>
      </w:r>
      <w:r w:rsidR="00C91510">
        <w:t>de restauración (muy poco) y en M</w:t>
      </w:r>
      <w:r w:rsidR="00854EFC">
        <w:t>FA</w:t>
      </w:r>
      <w:r>
        <w:t>.  Se pueden ver efectos en la TIR de M</w:t>
      </w:r>
      <w:r w:rsidR="00F11EE2">
        <w:t>FA</w:t>
      </w:r>
      <w:r>
        <w:t xml:space="preserve"> que baja de </w:t>
      </w:r>
      <w:r w:rsidR="00854EFC">
        <w:t>2</w:t>
      </w:r>
      <w:r w:rsidR="00D01185">
        <w:t>4.</w:t>
      </w:r>
      <w:r w:rsidR="00854EFC">
        <w:t>5</w:t>
      </w:r>
      <w:r>
        <w:t xml:space="preserve">% a </w:t>
      </w:r>
      <w:r w:rsidR="00854EFC">
        <w:t>14</w:t>
      </w:r>
      <w:r>
        <w:t xml:space="preserve">% y sube a </w:t>
      </w:r>
      <w:r w:rsidR="00854EFC">
        <w:t>30</w:t>
      </w:r>
      <w:r w:rsidR="00D01185">
        <w:t>.</w:t>
      </w:r>
      <w:r w:rsidR="00854EFC">
        <w:t>6</w:t>
      </w:r>
      <w:r>
        <w:t xml:space="preserve">% ante variaciones de 30% para abajo y arriba en el precio del carbono.  </w:t>
      </w:r>
    </w:p>
    <w:p w14:paraId="6524AAEE" w14:textId="41EE9D9E" w:rsidR="00FB3C47" w:rsidRDefault="006969BC" w:rsidP="00854EFC">
      <w:pPr>
        <w:pStyle w:val="parrafonumerado"/>
      </w:pPr>
      <w:r>
        <w:t xml:space="preserve">Los </w:t>
      </w:r>
      <w:r w:rsidR="00FB3C47">
        <w:t xml:space="preserve">cambios en el precio del carbono tienen impactos </w:t>
      </w:r>
      <w:r>
        <w:t xml:space="preserve">relativamente </w:t>
      </w:r>
      <w:r w:rsidR="00FB3C47">
        <w:t xml:space="preserve">importantes en el conjunto de la operación, que baja de </w:t>
      </w:r>
      <w:r w:rsidR="00854EFC">
        <w:t>2</w:t>
      </w:r>
      <w:r w:rsidR="00D01185">
        <w:t>0.</w:t>
      </w:r>
      <w:r w:rsidR="00075A74">
        <w:t>4</w:t>
      </w:r>
      <w:r w:rsidR="00FB3C47">
        <w:t xml:space="preserve">% a </w:t>
      </w:r>
      <w:r w:rsidR="00854EFC">
        <w:t>15</w:t>
      </w:r>
      <w:r w:rsidR="00D01185">
        <w:t>.</w:t>
      </w:r>
      <w:r w:rsidR="00075A74">
        <w:t>5</w:t>
      </w:r>
      <w:r w:rsidR="00FB3C47">
        <w:t xml:space="preserve">% cuando el precio cae en 30%, y sube a </w:t>
      </w:r>
      <w:r w:rsidR="00854EFC">
        <w:t>24.1</w:t>
      </w:r>
      <w:r w:rsidR="00FB3C47">
        <w:t>% cuando el precio sube en 30%.</w:t>
      </w:r>
    </w:p>
    <w:p w14:paraId="4ABE69AB" w14:textId="77777777" w:rsidR="00FB3C47" w:rsidRDefault="00FB3C47" w:rsidP="00DB7221">
      <w:pPr>
        <w:pStyle w:val="Heading2"/>
      </w:pPr>
      <w:bookmarkStart w:id="28" w:name="_Toc17823762"/>
      <w:r>
        <w:t>6.5.  Cambios en la tasa de descuento</w:t>
      </w:r>
      <w:bookmarkEnd w:id="28"/>
    </w:p>
    <w:p w14:paraId="05E89812" w14:textId="77777777" w:rsidR="00FB3C47" w:rsidRDefault="00FB3C47" w:rsidP="00854EFC">
      <w:pPr>
        <w:pStyle w:val="parrafonumerado"/>
      </w:pPr>
      <w:r>
        <w:t xml:space="preserve">En análisis de sensibilidad para la tasa de descuento es distinto al de los otros parámetros en la medida que esta variable es argumento en la función del </w:t>
      </w:r>
      <w:proofErr w:type="gramStart"/>
      <w:r>
        <w:t>VAN</w:t>
      </w:r>
      <w:proofErr w:type="gramEnd"/>
      <w:r>
        <w:t xml:space="preserve"> pero no en la TIR.  </w:t>
      </w:r>
      <w:r w:rsidR="00DB7221">
        <w:t>Por este motivo solamente se pueden presentar valores alternativos para el VAN de acuerdo a la tasa de descuento considerada.</w:t>
      </w:r>
    </w:p>
    <w:p w14:paraId="471EA0F0" w14:textId="77777777" w:rsidR="00DB7221" w:rsidRDefault="00DB7221" w:rsidP="00854EFC">
      <w:pPr>
        <w:pStyle w:val="parrafonumerado"/>
      </w:pPr>
      <w:r>
        <w:t>Los resultados del análisis de sensibilidad de la tasa de descuento se presentan en el cuadro siguiente.</w:t>
      </w:r>
    </w:p>
    <w:p w14:paraId="7D10EC14" w14:textId="01CAD738" w:rsidR="00DB7221" w:rsidRDefault="00DB7221" w:rsidP="00C91510">
      <w:pPr>
        <w:pStyle w:val="NoSpacing"/>
      </w:pPr>
      <w:r>
        <w:t>Cuadro 1</w:t>
      </w:r>
      <w:r w:rsidR="00854EFC">
        <w:t>8</w:t>
      </w:r>
      <w:r>
        <w:t>.  Sensibilidad a la tasa de descuento</w:t>
      </w:r>
    </w:p>
    <w:tbl>
      <w:tblPr>
        <w:tblW w:w="8500" w:type="dxa"/>
        <w:tblInd w:w="-10" w:type="dxa"/>
        <w:tblLook w:val="04A0" w:firstRow="1" w:lastRow="0" w:firstColumn="1" w:lastColumn="0" w:noHBand="0" w:noVBand="1"/>
      </w:tblPr>
      <w:tblGrid>
        <w:gridCol w:w="2840"/>
        <w:gridCol w:w="1440"/>
        <w:gridCol w:w="1420"/>
        <w:gridCol w:w="1440"/>
        <w:gridCol w:w="1360"/>
      </w:tblGrid>
      <w:tr w:rsidR="00075A74" w:rsidRPr="00075A74" w14:paraId="19106937" w14:textId="77777777" w:rsidTr="00075A74">
        <w:trPr>
          <w:trHeight w:val="870"/>
        </w:trPr>
        <w:tc>
          <w:tcPr>
            <w:tcW w:w="28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4C08E93" w14:textId="77777777" w:rsidR="00075A74" w:rsidRPr="005A6EF5" w:rsidRDefault="00075A74" w:rsidP="00075A74">
            <w:pPr>
              <w:spacing w:before="0" w:after="0"/>
              <w:jc w:val="left"/>
              <w:rPr>
                <w:b/>
                <w:bCs/>
                <w:color w:val="000000"/>
                <w:sz w:val="18"/>
                <w:szCs w:val="18"/>
                <w:lang w:eastAsia="en-US"/>
              </w:rPr>
            </w:pPr>
            <w:r w:rsidRPr="005A6EF5">
              <w:rPr>
                <w:b/>
                <w:bCs/>
                <w:color w:val="000000"/>
                <w:sz w:val="18"/>
                <w:szCs w:val="18"/>
                <w:lang w:eastAsia="en-US"/>
              </w:rPr>
              <w:t> </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14:paraId="0A2A70BA" w14:textId="77777777" w:rsidR="00075A74" w:rsidRPr="00075A74" w:rsidRDefault="00075A74" w:rsidP="00075A74">
            <w:pPr>
              <w:spacing w:before="0" w:after="0"/>
              <w:jc w:val="center"/>
              <w:rPr>
                <w:b/>
                <w:bCs/>
                <w:color w:val="000000"/>
                <w:sz w:val="18"/>
                <w:szCs w:val="18"/>
                <w:lang w:val="en-US" w:eastAsia="en-US"/>
              </w:rPr>
            </w:pPr>
            <w:proofErr w:type="spellStart"/>
            <w:r w:rsidRPr="00075A74">
              <w:rPr>
                <w:b/>
                <w:bCs/>
                <w:color w:val="000000"/>
                <w:sz w:val="18"/>
                <w:szCs w:val="18"/>
                <w:lang w:val="en-US" w:eastAsia="en-US"/>
              </w:rPr>
              <w:t>Restauración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producción</w:t>
            </w:r>
            <w:proofErr w:type="spellEnd"/>
            <w:r w:rsidRPr="00075A74">
              <w:rPr>
                <w:b/>
                <w:bCs/>
                <w:color w:val="000000"/>
                <w:sz w:val="18"/>
                <w:szCs w:val="18"/>
                <w:lang w:val="en-US" w:eastAsia="en-US"/>
              </w:rPr>
              <w:t xml:space="preserve"> </w:t>
            </w:r>
            <w:proofErr w:type="spellStart"/>
            <w:r w:rsidRPr="00075A74">
              <w:rPr>
                <w:b/>
                <w:bCs/>
                <w:color w:val="000000"/>
                <w:sz w:val="18"/>
                <w:szCs w:val="18"/>
                <w:lang w:val="en-US" w:eastAsia="en-US"/>
              </w:rPr>
              <w:t>privada</w:t>
            </w:r>
            <w:proofErr w:type="spellEnd"/>
          </w:p>
        </w:tc>
        <w:tc>
          <w:tcPr>
            <w:tcW w:w="1420" w:type="dxa"/>
            <w:tcBorders>
              <w:top w:val="single" w:sz="8" w:space="0" w:color="auto"/>
              <w:left w:val="nil"/>
              <w:bottom w:val="single" w:sz="8" w:space="0" w:color="auto"/>
              <w:right w:val="single" w:sz="4" w:space="0" w:color="auto"/>
            </w:tcBorders>
            <w:shd w:val="clear" w:color="auto" w:fill="auto"/>
            <w:vAlign w:val="center"/>
            <w:hideMark/>
          </w:tcPr>
          <w:p w14:paraId="19334273"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MFA</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14:paraId="5E88F610"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SAF</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14:paraId="4754BE2C" w14:textId="77777777" w:rsidR="00075A74" w:rsidRPr="00075A74" w:rsidRDefault="00075A74" w:rsidP="00075A74">
            <w:pPr>
              <w:spacing w:before="0" w:after="0"/>
              <w:jc w:val="center"/>
              <w:rPr>
                <w:b/>
                <w:bCs/>
                <w:color w:val="000000"/>
                <w:sz w:val="18"/>
                <w:szCs w:val="18"/>
                <w:lang w:val="en-US" w:eastAsia="en-US"/>
              </w:rPr>
            </w:pPr>
            <w:r w:rsidRPr="00075A74">
              <w:rPr>
                <w:b/>
                <w:bCs/>
                <w:color w:val="000000"/>
                <w:sz w:val="18"/>
                <w:szCs w:val="18"/>
                <w:lang w:val="en-US" w:eastAsia="en-US"/>
              </w:rPr>
              <w:t>TOTAL</w:t>
            </w:r>
          </w:p>
        </w:tc>
      </w:tr>
      <w:tr w:rsidR="00075A74" w:rsidRPr="00075A74" w14:paraId="239ACDBC" w14:textId="77777777" w:rsidTr="00075A74">
        <w:trPr>
          <w:trHeight w:val="270"/>
        </w:trPr>
        <w:tc>
          <w:tcPr>
            <w:tcW w:w="2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5A1248B"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 xml:space="preserve">VAN </w:t>
            </w:r>
            <w:proofErr w:type="spellStart"/>
            <w:r w:rsidRPr="00075A74">
              <w:rPr>
                <w:color w:val="000000"/>
                <w:sz w:val="18"/>
                <w:szCs w:val="18"/>
                <w:lang w:val="en-US" w:eastAsia="en-US"/>
              </w:rPr>
              <w:t>Tasa</w:t>
            </w:r>
            <w:proofErr w:type="spellEnd"/>
            <w:r w:rsidRPr="00075A74">
              <w:rPr>
                <w:color w:val="000000"/>
                <w:sz w:val="18"/>
                <w:szCs w:val="18"/>
                <w:lang w:val="en-US" w:eastAsia="en-US"/>
              </w:rPr>
              <w:t xml:space="preserve"> </w:t>
            </w:r>
            <w:proofErr w:type="spellStart"/>
            <w:r w:rsidRPr="00075A74">
              <w:rPr>
                <w:color w:val="000000"/>
                <w:sz w:val="18"/>
                <w:szCs w:val="18"/>
                <w:lang w:val="en-US" w:eastAsia="en-US"/>
              </w:rPr>
              <w:t>Descuento</w:t>
            </w:r>
            <w:proofErr w:type="spellEnd"/>
            <w:r w:rsidRPr="00075A74">
              <w:rPr>
                <w:color w:val="000000"/>
                <w:sz w:val="18"/>
                <w:szCs w:val="18"/>
                <w:lang w:val="en-US" w:eastAsia="en-US"/>
              </w:rPr>
              <w:t xml:space="preserve"> 12% (BASE)</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3BFDD"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4,834,137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54E4532E"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21,707,741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5657FA01"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-1,194,520 </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81EE098"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25,347,359 </w:t>
            </w:r>
          </w:p>
        </w:tc>
      </w:tr>
      <w:tr w:rsidR="00075A74" w:rsidRPr="00075A74" w14:paraId="411728E8" w14:textId="77777777" w:rsidTr="00075A74">
        <w:trPr>
          <w:trHeight w:val="270"/>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04D366B7"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 xml:space="preserve">VAN </w:t>
            </w:r>
            <w:proofErr w:type="spellStart"/>
            <w:r w:rsidRPr="00075A74">
              <w:rPr>
                <w:color w:val="000000"/>
                <w:sz w:val="18"/>
                <w:szCs w:val="18"/>
                <w:lang w:val="en-US" w:eastAsia="en-US"/>
              </w:rPr>
              <w:t>Tasa</w:t>
            </w:r>
            <w:proofErr w:type="spellEnd"/>
            <w:r w:rsidRPr="00075A74">
              <w:rPr>
                <w:color w:val="000000"/>
                <w:sz w:val="18"/>
                <w:szCs w:val="18"/>
                <w:lang w:val="en-US" w:eastAsia="en-US"/>
              </w:rPr>
              <w:t xml:space="preserve"> </w:t>
            </w:r>
            <w:proofErr w:type="spellStart"/>
            <w:r w:rsidRPr="00075A74">
              <w:rPr>
                <w:color w:val="000000"/>
                <w:sz w:val="18"/>
                <w:szCs w:val="18"/>
                <w:lang w:val="en-US" w:eastAsia="en-US"/>
              </w:rPr>
              <w:t>Descuento</w:t>
            </w:r>
            <w:proofErr w:type="spellEnd"/>
            <w:r w:rsidRPr="00075A74">
              <w:rPr>
                <w:color w:val="000000"/>
                <w:sz w:val="18"/>
                <w:szCs w:val="18"/>
                <w:lang w:val="en-US" w:eastAsia="en-US"/>
              </w:rPr>
              <w:t xml:space="preserve"> 15%</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3D181D8C"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1,414,744 </w:t>
            </w:r>
          </w:p>
        </w:tc>
        <w:tc>
          <w:tcPr>
            <w:tcW w:w="1420" w:type="dxa"/>
            <w:tcBorders>
              <w:top w:val="nil"/>
              <w:left w:val="nil"/>
              <w:bottom w:val="single" w:sz="4" w:space="0" w:color="auto"/>
              <w:right w:val="single" w:sz="4" w:space="0" w:color="auto"/>
            </w:tcBorders>
            <w:shd w:val="clear" w:color="auto" w:fill="auto"/>
            <w:noWrap/>
            <w:vAlign w:val="center"/>
            <w:hideMark/>
          </w:tcPr>
          <w:p w14:paraId="61325DFF"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12,880,768 </w:t>
            </w:r>
          </w:p>
        </w:tc>
        <w:tc>
          <w:tcPr>
            <w:tcW w:w="1440" w:type="dxa"/>
            <w:tcBorders>
              <w:top w:val="nil"/>
              <w:left w:val="nil"/>
              <w:bottom w:val="single" w:sz="4" w:space="0" w:color="auto"/>
              <w:right w:val="single" w:sz="4" w:space="0" w:color="auto"/>
            </w:tcBorders>
            <w:shd w:val="clear" w:color="auto" w:fill="auto"/>
            <w:noWrap/>
            <w:vAlign w:val="center"/>
            <w:hideMark/>
          </w:tcPr>
          <w:p w14:paraId="644CED2E" w14:textId="77777777" w:rsidR="00075A74" w:rsidRPr="00075A74" w:rsidRDefault="00075A74" w:rsidP="00075A74">
            <w:pPr>
              <w:spacing w:before="0" w:after="0"/>
              <w:jc w:val="center"/>
              <w:rPr>
                <w:color w:val="000000"/>
                <w:sz w:val="18"/>
                <w:szCs w:val="18"/>
                <w:lang w:val="en-US" w:eastAsia="en-US"/>
              </w:rPr>
            </w:pPr>
            <w:r w:rsidRPr="00075A74">
              <w:rPr>
                <w:color w:val="FF0000"/>
                <w:sz w:val="18"/>
                <w:szCs w:val="18"/>
                <w:lang w:val="en-US" w:eastAsia="en-US"/>
              </w:rPr>
              <w:t xml:space="preserve">-1,727,594 </w:t>
            </w:r>
          </w:p>
        </w:tc>
        <w:tc>
          <w:tcPr>
            <w:tcW w:w="1360" w:type="dxa"/>
            <w:tcBorders>
              <w:top w:val="nil"/>
              <w:left w:val="single" w:sz="4" w:space="0" w:color="auto"/>
              <w:bottom w:val="single" w:sz="4" w:space="0" w:color="auto"/>
              <w:right w:val="single" w:sz="8" w:space="0" w:color="auto"/>
            </w:tcBorders>
            <w:shd w:val="clear" w:color="auto" w:fill="auto"/>
            <w:noWrap/>
            <w:vAlign w:val="center"/>
            <w:hideMark/>
          </w:tcPr>
          <w:p w14:paraId="7633ECFA"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12,567,917 </w:t>
            </w:r>
          </w:p>
        </w:tc>
      </w:tr>
      <w:tr w:rsidR="00075A74" w:rsidRPr="00075A74" w14:paraId="42B88EFB" w14:textId="77777777" w:rsidTr="00075A74">
        <w:trPr>
          <w:trHeight w:val="27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30893050" w14:textId="77777777" w:rsidR="00075A74" w:rsidRPr="00075A74" w:rsidRDefault="00075A74" w:rsidP="00075A74">
            <w:pPr>
              <w:spacing w:before="0" w:after="0"/>
              <w:jc w:val="left"/>
              <w:rPr>
                <w:color w:val="000000"/>
                <w:sz w:val="18"/>
                <w:szCs w:val="18"/>
                <w:lang w:val="en-US" w:eastAsia="en-US"/>
              </w:rPr>
            </w:pPr>
            <w:r w:rsidRPr="00075A74">
              <w:rPr>
                <w:color w:val="000000"/>
                <w:sz w:val="18"/>
                <w:szCs w:val="18"/>
                <w:lang w:val="en-US" w:eastAsia="en-US"/>
              </w:rPr>
              <w:t xml:space="preserve">VAN </w:t>
            </w:r>
            <w:proofErr w:type="spellStart"/>
            <w:r w:rsidRPr="00075A74">
              <w:rPr>
                <w:color w:val="000000"/>
                <w:sz w:val="18"/>
                <w:szCs w:val="18"/>
                <w:lang w:val="en-US" w:eastAsia="en-US"/>
              </w:rPr>
              <w:t>Tasa</w:t>
            </w:r>
            <w:proofErr w:type="spellEnd"/>
            <w:r w:rsidRPr="00075A74">
              <w:rPr>
                <w:color w:val="000000"/>
                <w:sz w:val="18"/>
                <w:szCs w:val="18"/>
                <w:lang w:val="en-US" w:eastAsia="en-US"/>
              </w:rPr>
              <w:t xml:space="preserve"> </w:t>
            </w:r>
            <w:proofErr w:type="spellStart"/>
            <w:r w:rsidRPr="00075A74">
              <w:rPr>
                <w:color w:val="000000"/>
                <w:sz w:val="18"/>
                <w:szCs w:val="18"/>
                <w:lang w:val="en-US" w:eastAsia="en-US"/>
              </w:rPr>
              <w:t>Descuento</w:t>
            </w:r>
            <w:proofErr w:type="spellEnd"/>
            <w:r w:rsidRPr="00075A74">
              <w:rPr>
                <w:color w:val="000000"/>
                <w:sz w:val="18"/>
                <w:szCs w:val="18"/>
                <w:lang w:val="en-US" w:eastAsia="en-US"/>
              </w:rPr>
              <w:t xml:space="preserve"> 8%</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1A0F3359"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13,340,953 </w:t>
            </w:r>
          </w:p>
        </w:tc>
        <w:tc>
          <w:tcPr>
            <w:tcW w:w="1420" w:type="dxa"/>
            <w:tcBorders>
              <w:top w:val="single" w:sz="4" w:space="0" w:color="auto"/>
              <w:left w:val="nil"/>
              <w:bottom w:val="single" w:sz="8" w:space="0" w:color="auto"/>
              <w:right w:val="single" w:sz="4" w:space="0" w:color="auto"/>
            </w:tcBorders>
            <w:shd w:val="clear" w:color="auto" w:fill="auto"/>
            <w:noWrap/>
            <w:vAlign w:val="center"/>
            <w:hideMark/>
          </w:tcPr>
          <w:p w14:paraId="54319F58"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41,466,523 </w:t>
            </w:r>
          </w:p>
        </w:tc>
        <w:tc>
          <w:tcPr>
            <w:tcW w:w="1440" w:type="dxa"/>
            <w:tcBorders>
              <w:top w:val="single" w:sz="4" w:space="0" w:color="auto"/>
              <w:left w:val="nil"/>
              <w:bottom w:val="single" w:sz="8" w:space="0" w:color="auto"/>
              <w:right w:val="single" w:sz="4" w:space="0" w:color="auto"/>
            </w:tcBorders>
            <w:shd w:val="clear" w:color="auto" w:fill="auto"/>
            <w:noWrap/>
            <w:vAlign w:val="center"/>
            <w:hideMark/>
          </w:tcPr>
          <w:p w14:paraId="0EBACDC9"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244,605 </w:t>
            </w:r>
          </w:p>
        </w:tc>
        <w:tc>
          <w:tcPr>
            <w:tcW w:w="1360" w:type="dxa"/>
            <w:tcBorders>
              <w:top w:val="nil"/>
              <w:left w:val="nil"/>
              <w:bottom w:val="single" w:sz="8" w:space="0" w:color="auto"/>
              <w:right w:val="single" w:sz="8" w:space="0" w:color="auto"/>
            </w:tcBorders>
            <w:shd w:val="clear" w:color="auto" w:fill="auto"/>
            <w:noWrap/>
            <w:vAlign w:val="center"/>
            <w:hideMark/>
          </w:tcPr>
          <w:p w14:paraId="2F755131" w14:textId="77777777" w:rsidR="00075A74" w:rsidRPr="00075A74" w:rsidRDefault="00075A74" w:rsidP="00075A74">
            <w:pPr>
              <w:spacing w:before="0" w:after="0"/>
              <w:jc w:val="center"/>
              <w:rPr>
                <w:color w:val="000000"/>
                <w:sz w:val="18"/>
                <w:szCs w:val="18"/>
                <w:lang w:val="en-US" w:eastAsia="en-US"/>
              </w:rPr>
            </w:pPr>
            <w:r w:rsidRPr="00075A74">
              <w:rPr>
                <w:color w:val="000000"/>
                <w:sz w:val="18"/>
                <w:szCs w:val="18"/>
                <w:lang w:val="en-US" w:eastAsia="en-US"/>
              </w:rPr>
              <w:t xml:space="preserve">55,052,080 </w:t>
            </w:r>
          </w:p>
        </w:tc>
      </w:tr>
    </w:tbl>
    <w:p w14:paraId="3870AAF2" w14:textId="77777777" w:rsidR="00854EFC" w:rsidRDefault="00854EFC" w:rsidP="00C91510">
      <w:pPr>
        <w:pStyle w:val="NoSpacing"/>
      </w:pPr>
    </w:p>
    <w:p w14:paraId="6F5B8DE9" w14:textId="3B1F29D6" w:rsidR="006969BC" w:rsidRDefault="00D01185" w:rsidP="00146014">
      <w:pPr>
        <w:pStyle w:val="parrafonumerado"/>
        <w:spacing w:after="160" w:line="259" w:lineRule="auto"/>
      </w:pPr>
      <w:r>
        <w:lastRenderedPageBreak/>
        <w:t>E</w:t>
      </w:r>
      <w:r w:rsidR="006969BC">
        <w:t xml:space="preserve">l aumento en la tasa de descuento a 15% reduce el VAN del proyecto de US$ </w:t>
      </w:r>
      <w:r w:rsidR="00854EFC">
        <w:t>25</w:t>
      </w:r>
      <w:r w:rsidR="006969BC">
        <w:t xml:space="preserve"> millones a </w:t>
      </w:r>
      <w:r w:rsidR="00E36A2B">
        <w:t xml:space="preserve">aproximadamente la mitad, </w:t>
      </w:r>
      <w:r w:rsidR="006969BC">
        <w:t xml:space="preserve">US$ </w:t>
      </w:r>
      <w:r w:rsidR="00854EFC">
        <w:t>12.3</w:t>
      </w:r>
      <w:r w:rsidR="006969BC">
        <w:t xml:space="preserve"> millones.  De otro lado, una reducción de la tasa de descuento a 8% </w:t>
      </w:r>
      <w:r w:rsidR="00854EFC">
        <w:t xml:space="preserve">más que duplica </w:t>
      </w:r>
      <w:r w:rsidR="006969BC">
        <w:t xml:space="preserve">el VAN del proyecto a US$ </w:t>
      </w:r>
      <w:r w:rsidR="00854EFC">
        <w:t>54</w:t>
      </w:r>
      <w:r w:rsidR="006969BC">
        <w:t xml:space="preserve"> millones.  </w:t>
      </w:r>
    </w:p>
    <w:p w14:paraId="4DD6F0E0" w14:textId="77777777" w:rsidR="00C20500" w:rsidRDefault="00C20500" w:rsidP="009522BD">
      <w:pPr>
        <w:pStyle w:val="Heading1"/>
      </w:pPr>
      <w:bookmarkStart w:id="29" w:name="_Toc17823763"/>
      <w:r w:rsidRPr="003B16B3">
        <w:t xml:space="preserve">Sección 7.  </w:t>
      </w:r>
      <w:r w:rsidR="000E0B48">
        <w:t>C</w:t>
      </w:r>
      <w:r w:rsidRPr="003B16B3">
        <w:t>onclusiones</w:t>
      </w:r>
      <w:bookmarkEnd w:id="29"/>
    </w:p>
    <w:p w14:paraId="4C0E3BCD" w14:textId="7EA6FE5B" w:rsidR="00E36A2B" w:rsidRPr="00E36A2B" w:rsidRDefault="00AA22F1" w:rsidP="00E36A2B">
      <w:pPr>
        <w:pStyle w:val="parrafonumerado"/>
        <w:rPr>
          <w:lang w:val="es-ES_tradnl"/>
        </w:rPr>
      </w:pPr>
      <w:r>
        <w:rPr>
          <w:lang w:val="es-ES"/>
        </w:rPr>
        <w:t xml:space="preserve">En el presente informe se presentan los resultados de la evaluación económica ex ante del proyecto </w:t>
      </w:r>
      <w:r w:rsidR="00E36A2B">
        <w:rPr>
          <w:lang w:val="es-ES_tradnl"/>
        </w:rPr>
        <w:t>HO-L1200</w:t>
      </w:r>
      <w:r w:rsidR="00E36A2B" w:rsidRPr="00062B1E">
        <w:t xml:space="preserve"> </w:t>
      </w:r>
      <w:r w:rsidRPr="00062B1E">
        <w:t>“</w:t>
      </w:r>
      <w:r w:rsidR="00E36A2B" w:rsidRPr="00E36A2B">
        <w:rPr>
          <w:lang w:val="es-ES_tradnl"/>
        </w:rPr>
        <w:t>R</w:t>
      </w:r>
      <w:r w:rsidR="00E36A2B">
        <w:rPr>
          <w:lang w:val="es-ES_tradnl"/>
        </w:rPr>
        <w:t xml:space="preserve">estauración de bosques resilientes al clima y silvicultura para la sostenibilidad de los servicios ecosistémicos relacionados al agua". </w:t>
      </w:r>
    </w:p>
    <w:p w14:paraId="6558F6E4" w14:textId="0B6B8D8D" w:rsidR="00140706" w:rsidRDefault="00AA22F1" w:rsidP="00146014">
      <w:pPr>
        <w:pStyle w:val="parrafonumerado"/>
      </w:pPr>
      <w:r>
        <w:t xml:space="preserve">En las primeras dos secciones del informe se presentaron </w:t>
      </w:r>
      <w:r w:rsidR="00140706">
        <w:t>l</w:t>
      </w:r>
      <w:r>
        <w:t>as</w:t>
      </w:r>
      <w:r w:rsidR="00140706">
        <w:t xml:space="preserve"> características del proyecto en cuanto a enfoque de las intervenciones y ámbito de acción.  A partir de la tercera sección </w:t>
      </w:r>
      <w:r w:rsidR="00E36A2B">
        <w:t xml:space="preserve">el informe </w:t>
      </w:r>
      <w:r w:rsidR="00140706">
        <w:t>se enfoc</w:t>
      </w:r>
      <w:r w:rsidR="00E36A2B">
        <w:t>a en</w:t>
      </w:r>
      <w:r w:rsidR="00140706">
        <w:t xml:space="preserve"> el análisis </w:t>
      </w:r>
      <w:r w:rsidR="00E36A2B">
        <w:t>de</w:t>
      </w:r>
      <w:r w:rsidR="00140706">
        <w:t xml:space="preserve"> beneficios y costos en base a la información disponible y supuestos sustentados técnicamente.</w:t>
      </w:r>
      <w:r w:rsidR="00E36A2B">
        <w:t xml:space="preserve"> </w:t>
      </w:r>
      <w:r w:rsidR="000E0B48">
        <w:t>Se aplicó la metodología de análisis de costo-beneficio para generar tres indicadores: Valor Actual Neto (VAN); Tasa Interna de Retorno (TIR); y Ratio Beneficio Costo (RBC), los que son utilizados para evaluar la rentabilidad económica tanto de los componentes específicos como del conjunto de la operación propuesta.</w:t>
      </w:r>
    </w:p>
    <w:p w14:paraId="21046B83" w14:textId="3F21A482" w:rsidR="00C91510" w:rsidRPr="00AA22F1" w:rsidRDefault="000E0B48" w:rsidP="00854EFC">
      <w:pPr>
        <w:pStyle w:val="parrafonumerado"/>
      </w:pPr>
      <w:r>
        <w:t xml:space="preserve">El conjunto del proyecto tiene un VAN de US$ </w:t>
      </w:r>
      <w:r w:rsidR="00E36A2B">
        <w:t>25</w:t>
      </w:r>
      <w:r w:rsidR="00075A74">
        <w:t>.3</w:t>
      </w:r>
      <w:r>
        <w:t xml:space="preserve"> millones (con tasa de descuento de 12%).  El flujo neto de ingresos del proyecto tiene una TIR de </w:t>
      </w:r>
      <w:r w:rsidR="00E36A2B">
        <w:t>20</w:t>
      </w:r>
      <w:r>
        <w:t>.</w:t>
      </w:r>
      <w:r w:rsidR="00075A74">
        <w:t>4</w:t>
      </w:r>
      <w:r>
        <w:t xml:space="preserve">%, con </w:t>
      </w:r>
      <w:proofErr w:type="gramStart"/>
      <w:r>
        <w:t>un ratio</w:t>
      </w:r>
      <w:proofErr w:type="gramEnd"/>
      <w:r>
        <w:t xml:space="preserve"> costo beneficio de </w:t>
      </w:r>
      <w:r w:rsidR="00E36A2B">
        <w:t>1</w:t>
      </w:r>
      <w:r>
        <w:t>.</w:t>
      </w:r>
      <w:r w:rsidR="00075A74">
        <w:t>5</w:t>
      </w:r>
      <w:r>
        <w:t xml:space="preserve">. </w:t>
      </w:r>
      <w:r w:rsidR="00E36A2B">
        <w:t xml:space="preserve"> </w:t>
      </w:r>
      <w:r>
        <w:t xml:space="preserve">El VAN por hectárea del proyecto es de US$ </w:t>
      </w:r>
      <w:r w:rsidR="00E36A2B">
        <w:t>11</w:t>
      </w:r>
      <w:r w:rsidR="00075A74">
        <w:t>1</w:t>
      </w:r>
      <w:r>
        <w:t xml:space="preserve">.  Los beneficios a valor presente ascienden a US$ </w:t>
      </w:r>
      <w:r w:rsidR="00075A74">
        <w:t>75.8</w:t>
      </w:r>
      <w:r>
        <w:t xml:space="preserve"> millones, mientras los costos a US$ </w:t>
      </w:r>
      <w:r w:rsidR="00E36A2B">
        <w:t>50</w:t>
      </w:r>
      <w:r>
        <w:t>.</w:t>
      </w:r>
      <w:r w:rsidR="00E36A2B">
        <w:t>5</w:t>
      </w:r>
      <w:r>
        <w:t xml:space="preserve"> millones. La intervención en manejo </w:t>
      </w:r>
      <w:r w:rsidR="00F11EE2">
        <w:t xml:space="preserve">forestal </w:t>
      </w:r>
      <w:r>
        <w:t>adaptativo-M</w:t>
      </w:r>
      <w:r w:rsidR="00F11EE2">
        <w:t>FA</w:t>
      </w:r>
      <w:r>
        <w:t xml:space="preserve"> tiene la más alta rentabilidad </w:t>
      </w:r>
      <w:r w:rsidR="001D70E4" w:rsidRPr="00EF63D8">
        <w:t xml:space="preserve">(TIR de </w:t>
      </w:r>
      <w:r w:rsidR="00E36A2B">
        <w:t>24.5</w:t>
      </w:r>
      <w:r w:rsidR="001D70E4" w:rsidRPr="00EF63D8">
        <w:t xml:space="preserve">%), mientras que la restauración tiene </w:t>
      </w:r>
      <w:r w:rsidR="001D70E4">
        <w:t>una</w:t>
      </w:r>
      <w:r w:rsidR="001D70E4" w:rsidRPr="00EF63D8">
        <w:t xml:space="preserve"> rentabilidad </w:t>
      </w:r>
      <w:r w:rsidR="001D70E4">
        <w:t>esperada de</w:t>
      </w:r>
      <w:r w:rsidR="001D70E4" w:rsidRPr="00EF63D8">
        <w:t xml:space="preserve"> </w:t>
      </w:r>
      <w:r w:rsidR="00E36A2B">
        <w:t>16.9</w:t>
      </w:r>
      <w:r w:rsidR="001D70E4" w:rsidRPr="00EF63D8">
        <w:t>%</w:t>
      </w:r>
      <w:r w:rsidR="001D70E4">
        <w:t xml:space="preserve"> </w:t>
      </w:r>
      <w:r w:rsidR="00E36A2B">
        <w:t xml:space="preserve">mientras </w:t>
      </w:r>
      <w:r w:rsidR="001D70E4" w:rsidRPr="00EF63D8">
        <w:t xml:space="preserve">la promoción de sistemas agroforestales de </w:t>
      </w:r>
      <w:r w:rsidR="00075A74">
        <w:t>8.5</w:t>
      </w:r>
      <w:r w:rsidR="001D70E4" w:rsidRPr="00EF63D8">
        <w:t>%</w:t>
      </w:r>
      <w:r w:rsidR="00075A74">
        <w:t xml:space="preserve"> (VAN negativo)</w:t>
      </w:r>
      <w:r>
        <w:t>.</w:t>
      </w:r>
    </w:p>
    <w:p w14:paraId="419D3C88" w14:textId="77777777" w:rsidR="00971746" w:rsidRDefault="000E0B48" w:rsidP="00854EFC">
      <w:pPr>
        <w:pStyle w:val="parrafonumerado"/>
      </w:pPr>
      <w:r w:rsidRPr="000E0B48">
        <w:t xml:space="preserve">Se realizó un análisis de sensibilidad para el que se consideraron variaciones de 30% hacia arriba y hacia abajo en los siguientes parámetros: valor del agua precio de bienes forestales, rentabilidad de SAF y precio del carbono.  Igualmente, se evaluaron dos tasas de descuento alternativas: 15% y 8%.  </w:t>
      </w:r>
      <w:r>
        <w:t>T</w:t>
      </w:r>
      <w:r w:rsidRPr="000E0B48">
        <w:t xml:space="preserve">odos los resultados </w:t>
      </w:r>
      <w:r>
        <w:t xml:space="preserve">del análisis de sensibilidad </w:t>
      </w:r>
      <w:r w:rsidRPr="000E0B48">
        <w:t>genera</w:t>
      </w:r>
      <w:r>
        <w:t>ro</w:t>
      </w:r>
      <w:r w:rsidRPr="000E0B48">
        <w:t>n VAN positivos y tasas internas de retorno superiores al 12%, por lo que se concluye que el proyecto tiene viabilidad económica</w:t>
      </w:r>
      <w:r>
        <w:t>, tanto en sus componentes como en su conjunto</w:t>
      </w:r>
      <w:r w:rsidRPr="000E0B48">
        <w:t>.</w:t>
      </w:r>
      <w:r w:rsidR="00971746">
        <w:br w:type="page"/>
      </w:r>
    </w:p>
    <w:p w14:paraId="4828133C" w14:textId="77777777" w:rsidR="00DC4B12" w:rsidRDefault="00971746" w:rsidP="00971746">
      <w:pPr>
        <w:pStyle w:val="Heading1"/>
      </w:pPr>
      <w:bookmarkStart w:id="30" w:name="_Toc17823764"/>
      <w:r>
        <w:lastRenderedPageBreak/>
        <w:t>Referencias</w:t>
      </w:r>
      <w:bookmarkEnd w:id="30"/>
    </w:p>
    <w:p w14:paraId="4476B8DE" w14:textId="77777777" w:rsidR="004C5620" w:rsidRDefault="004C5620" w:rsidP="00C91510">
      <w:pPr>
        <w:rPr>
          <w:lang w:val="es-ES"/>
        </w:rPr>
      </w:pPr>
      <w:r w:rsidRPr="004C5620">
        <w:rPr>
          <w:b/>
          <w:lang w:val="es-ES"/>
        </w:rPr>
        <w:t xml:space="preserve">Banco Interamericano de Desarrollo (2010). </w:t>
      </w:r>
      <w:r>
        <w:rPr>
          <w:lang w:val="es-ES"/>
        </w:rPr>
        <w:t xml:space="preserve"> “Apoyo Técnico a la Preparación del Programa Ambiental de Gestión de Desastres y Cambio Climático (PAGDCC ATN/FW-1137-NI”  Informe de Consultoría.</w:t>
      </w:r>
    </w:p>
    <w:p w14:paraId="199EEED9" w14:textId="25A63091" w:rsidR="004C5620" w:rsidRDefault="004C5620" w:rsidP="00C91510">
      <w:pPr>
        <w:rPr>
          <w:lang w:val="es-ES"/>
        </w:rPr>
      </w:pPr>
      <w:r w:rsidRPr="004C5620">
        <w:rPr>
          <w:b/>
          <w:lang w:val="es-ES"/>
        </w:rPr>
        <w:t>Banco Interamericano de Desarrollo (2016).</w:t>
      </w:r>
      <w:r>
        <w:rPr>
          <w:lang w:val="es-ES"/>
        </w:rPr>
        <w:t xml:space="preserve"> “Diseño del Componente 1 y Evaluación Económica Ex</w:t>
      </w:r>
      <w:r w:rsidR="001D70E4">
        <w:rPr>
          <w:lang w:val="es-ES"/>
        </w:rPr>
        <w:t xml:space="preserve"> </w:t>
      </w:r>
      <w:r>
        <w:rPr>
          <w:lang w:val="es-ES"/>
        </w:rPr>
        <w:t xml:space="preserve">ante de la Operación HO-L1179”.  Informe de consultoría, preparado por G. Navarro, B. </w:t>
      </w:r>
      <w:proofErr w:type="spellStart"/>
      <w:r>
        <w:rPr>
          <w:lang w:val="es-ES"/>
        </w:rPr>
        <w:t>Louman</w:t>
      </w:r>
      <w:proofErr w:type="spellEnd"/>
      <w:r>
        <w:rPr>
          <w:lang w:val="es-ES"/>
        </w:rPr>
        <w:t xml:space="preserve"> y V. Valera.  </w:t>
      </w:r>
    </w:p>
    <w:p w14:paraId="013DB847" w14:textId="77777777" w:rsidR="004C5620" w:rsidRDefault="004C5620" w:rsidP="00C91510">
      <w:pPr>
        <w:rPr>
          <w:lang w:val="es-ES"/>
        </w:rPr>
      </w:pPr>
      <w:r w:rsidRPr="004C5620">
        <w:rPr>
          <w:b/>
          <w:lang w:val="es-ES"/>
        </w:rPr>
        <w:t>Banco Interamericano de Desarrollo (2017).</w:t>
      </w:r>
      <w:r>
        <w:rPr>
          <w:lang w:val="es-ES"/>
        </w:rPr>
        <w:t xml:space="preserve"> “Reporte de Evaluación de Impacto del Componente I del Programa Ambiental de Gestión de Riesgos de Desastres y Cambio Climático (PAGRICC)”.  Documento elaborado por Mario González Flores, Economista de Evaluación Especialista Senior; SPD/SDV, BID.</w:t>
      </w:r>
    </w:p>
    <w:p w14:paraId="37D32D2C" w14:textId="77777777" w:rsidR="00322509" w:rsidRDefault="00322509" w:rsidP="00322509">
      <w:pPr>
        <w:pStyle w:val="NoSpacing"/>
        <w:jc w:val="left"/>
      </w:pPr>
      <w:r>
        <w:rPr>
          <w:b/>
        </w:rPr>
        <w:t xml:space="preserve">FAO (2015) </w:t>
      </w:r>
      <w:r>
        <w:t xml:space="preserve">“Perfil de Honduras”.  AQUASTAT. </w:t>
      </w:r>
    </w:p>
    <w:p w14:paraId="3B78BF5C" w14:textId="77777777" w:rsidR="00322509" w:rsidRPr="00322509" w:rsidRDefault="00457C94" w:rsidP="00322509">
      <w:pPr>
        <w:pStyle w:val="NoSpacing"/>
        <w:jc w:val="left"/>
      </w:pPr>
      <w:hyperlink r:id="rId18" w:history="1">
        <w:r w:rsidR="00322509" w:rsidRPr="00322509">
          <w:rPr>
            <w:rStyle w:val="Hyperlink"/>
            <w:lang w:val="es-ES"/>
          </w:rPr>
          <w:t>http://www.fao.org/nr/water/aquastat/countries_regions/HND/indexesp.stm</w:t>
        </w:r>
      </w:hyperlink>
    </w:p>
    <w:p w14:paraId="6534D45A" w14:textId="1FBB6CA0" w:rsidR="00E36A2B" w:rsidRDefault="00E36A2B" w:rsidP="00C91510">
      <w:pPr>
        <w:rPr>
          <w:lang w:val="es-ES"/>
        </w:rPr>
      </w:pPr>
      <w:r>
        <w:rPr>
          <w:b/>
          <w:lang w:val="es-ES"/>
        </w:rPr>
        <w:t xml:space="preserve">González M. y M. Le Pommellec (2019). </w:t>
      </w:r>
      <w:r w:rsidRPr="00E36A2B">
        <w:rPr>
          <w:lang w:val="es-ES"/>
        </w:rPr>
        <w:t>"Evaluación de Impacto del Componente 1 del Programa Ambiental de Gestión de Riesgos de Desastres y Cambio Climático (PAGRICC) (NI-L1048)"</w:t>
      </w:r>
      <w:r>
        <w:rPr>
          <w:lang w:val="es-ES"/>
        </w:rPr>
        <w:t xml:space="preserve"> Manuscrito. 73 pp.</w:t>
      </w:r>
    </w:p>
    <w:p w14:paraId="22521194" w14:textId="77777777" w:rsidR="004C5620" w:rsidRDefault="004C5620" w:rsidP="00C91510">
      <w:pPr>
        <w:rPr>
          <w:lang w:val="es-ES"/>
        </w:rPr>
      </w:pPr>
      <w:r w:rsidRPr="004C5620">
        <w:rPr>
          <w:b/>
          <w:lang w:val="es-ES"/>
        </w:rPr>
        <w:t>Gobierno de Honduras (2017)</w:t>
      </w:r>
      <w:r>
        <w:rPr>
          <w:lang w:val="es-ES"/>
        </w:rPr>
        <w:t xml:space="preserve"> “Propuesta Nivel de Referencia de Emisiones Forestales por Deforestación en la República de Honduras-NREF”.  Secretaría de Energía, Recursos Naturales, Ambiente y Minas (</w:t>
      </w:r>
      <w:proofErr w:type="spellStart"/>
      <w:r>
        <w:rPr>
          <w:lang w:val="es-ES"/>
        </w:rPr>
        <w:t>MiAmbiente</w:t>
      </w:r>
      <w:proofErr w:type="spellEnd"/>
      <w:r>
        <w:rPr>
          <w:lang w:val="es-ES"/>
        </w:rPr>
        <w:t xml:space="preserve">).  </w:t>
      </w:r>
    </w:p>
    <w:p w14:paraId="4179167C" w14:textId="77777777" w:rsidR="004C5620" w:rsidRPr="00D70125" w:rsidRDefault="004C5620" w:rsidP="00C91510">
      <w:pPr>
        <w:rPr>
          <w:lang w:val="es-PE"/>
        </w:rPr>
      </w:pPr>
      <w:proofErr w:type="spellStart"/>
      <w:r w:rsidRPr="004C5620">
        <w:rPr>
          <w:b/>
          <w:lang w:val="es-ES"/>
        </w:rPr>
        <w:t>Hamrick</w:t>
      </w:r>
      <w:proofErr w:type="spellEnd"/>
      <w:r w:rsidRPr="004C5620">
        <w:rPr>
          <w:b/>
          <w:lang w:val="es-ES"/>
        </w:rPr>
        <w:t xml:space="preserve"> K. y M. </w:t>
      </w:r>
      <w:proofErr w:type="spellStart"/>
      <w:r w:rsidRPr="004C5620">
        <w:rPr>
          <w:b/>
          <w:lang w:val="es-ES"/>
        </w:rPr>
        <w:t>Gallant</w:t>
      </w:r>
      <w:proofErr w:type="spellEnd"/>
      <w:r w:rsidRPr="004C5620">
        <w:rPr>
          <w:b/>
          <w:lang w:val="es-ES"/>
        </w:rPr>
        <w:t xml:space="preserve"> (2017).</w:t>
      </w:r>
      <w:r>
        <w:rPr>
          <w:lang w:val="es-ES"/>
        </w:rPr>
        <w:t xml:space="preserve"> </w:t>
      </w:r>
      <w:r w:rsidRPr="00661029">
        <w:rPr>
          <w:lang w:val="en-US"/>
        </w:rPr>
        <w:t xml:space="preserve">“Unlocking Potential. State of the Voluntary Carbon Markets 2017”. </w:t>
      </w:r>
      <w:r>
        <w:rPr>
          <w:lang w:val="en-US"/>
        </w:rPr>
        <w:t xml:space="preserve"> </w:t>
      </w:r>
      <w:proofErr w:type="spellStart"/>
      <w:r w:rsidRPr="00D70125">
        <w:rPr>
          <w:lang w:val="es-PE"/>
        </w:rPr>
        <w:t>Ecosystem</w:t>
      </w:r>
      <w:proofErr w:type="spellEnd"/>
      <w:r w:rsidRPr="00D70125">
        <w:rPr>
          <w:lang w:val="es-PE"/>
        </w:rPr>
        <w:t xml:space="preserve"> </w:t>
      </w:r>
      <w:proofErr w:type="spellStart"/>
      <w:r w:rsidRPr="00D70125">
        <w:rPr>
          <w:lang w:val="es-PE"/>
        </w:rPr>
        <w:t>Market</w:t>
      </w:r>
      <w:proofErr w:type="spellEnd"/>
      <w:r w:rsidRPr="00D70125">
        <w:rPr>
          <w:lang w:val="es-PE"/>
        </w:rPr>
        <w:t xml:space="preserve"> Place.  Iniciativa de Forest </w:t>
      </w:r>
      <w:proofErr w:type="spellStart"/>
      <w:r w:rsidRPr="00D70125">
        <w:rPr>
          <w:lang w:val="es-PE"/>
        </w:rPr>
        <w:t>Trends</w:t>
      </w:r>
      <w:proofErr w:type="spellEnd"/>
      <w:r w:rsidRPr="00D70125">
        <w:rPr>
          <w:lang w:val="es-PE"/>
        </w:rPr>
        <w:t>.</w:t>
      </w:r>
    </w:p>
    <w:p w14:paraId="5918FDC4" w14:textId="7FA1EF74" w:rsidR="002321FB" w:rsidRPr="005A6EF5" w:rsidRDefault="002321FB" w:rsidP="002321FB">
      <w:pPr>
        <w:rPr>
          <w:b/>
          <w:bCs/>
        </w:rPr>
      </w:pPr>
      <w:r w:rsidRPr="005A6EF5">
        <w:rPr>
          <w:b/>
        </w:rPr>
        <w:t xml:space="preserve">Hernández Alexander (2018a) </w:t>
      </w:r>
      <w:r w:rsidRPr="005A6EF5">
        <w:t>"</w:t>
      </w:r>
      <w:r w:rsidRPr="005A6EF5">
        <w:rPr>
          <w:bCs/>
        </w:rPr>
        <w:t>Reporte sobre evaluación de la deforestación en Honduras". Actividad 2.  Informe de Consultoría para el BID.</w:t>
      </w:r>
      <w:r w:rsidRPr="005A6EF5">
        <w:rPr>
          <w:b/>
          <w:bCs/>
        </w:rPr>
        <w:t xml:space="preserve"> </w:t>
      </w:r>
    </w:p>
    <w:p w14:paraId="5D6063F8" w14:textId="48A8A504" w:rsidR="00322509" w:rsidRPr="006525BD" w:rsidRDefault="00322509" w:rsidP="002321FB">
      <w:pPr>
        <w:rPr>
          <w:lang w:val="es-ES"/>
        </w:rPr>
      </w:pPr>
      <w:r>
        <w:rPr>
          <w:b/>
          <w:lang w:val="es-ES"/>
        </w:rPr>
        <w:t>Hernández Alexander (201</w:t>
      </w:r>
      <w:r w:rsidR="001D70E4">
        <w:rPr>
          <w:b/>
          <w:lang w:val="es-ES"/>
        </w:rPr>
        <w:t>8</w:t>
      </w:r>
      <w:r w:rsidR="002321FB">
        <w:rPr>
          <w:b/>
          <w:lang w:val="es-ES"/>
        </w:rPr>
        <w:t>b</w:t>
      </w:r>
      <w:r>
        <w:rPr>
          <w:b/>
          <w:lang w:val="es-ES"/>
        </w:rPr>
        <w:t xml:space="preserve">). </w:t>
      </w:r>
      <w:r w:rsidR="006525BD" w:rsidRPr="006525BD">
        <w:rPr>
          <w:bCs/>
          <w:lang w:val="es-HN"/>
        </w:rPr>
        <w:t>“A</w:t>
      </w:r>
      <w:r w:rsidR="006525BD">
        <w:rPr>
          <w:bCs/>
          <w:lang w:val="es-HN"/>
        </w:rPr>
        <w:t xml:space="preserve">poyo a modelaciones hidrológicas para elaborar propuesta para el </w:t>
      </w:r>
      <w:r w:rsidR="006525BD" w:rsidRPr="006525BD">
        <w:rPr>
          <w:bCs/>
          <w:lang w:val="es-HN"/>
        </w:rPr>
        <w:t>F</w:t>
      </w:r>
      <w:r w:rsidR="006525BD">
        <w:rPr>
          <w:bCs/>
          <w:lang w:val="es-HN"/>
        </w:rPr>
        <w:t xml:space="preserve">ondo </w:t>
      </w:r>
      <w:r w:rsidR="006525BD" w:rsidRPr="006525BD">
        <w:rPr>
          <w:bCs/>
          <w:lang w:val="es-HN"/>
        </w:rPr>
        <w:t>V</w:t>
      </w:r>
      <w:r w:rsidR="006525BD">
        <w:rPr>
          <w:bCs/>
          <w:lang w:val="es-HN"/>
        </w:rPr>
        <w:t>erde</w:t>
      </w:r>
      <w:r w:rsidR="006525BD" w:rsidRPr="006525BD">
        <w:rPr>
          <w:bCs/>
          <w:lang w:val="es-HN"/>
        </w:rPr>
        <w:t xml:space="preserve"> </w:t>
      </w:r>
      <w:r w:rsidR="006525BD">
        <w:rPr>
          <w:bCs/>
          <w:lang w:val="es-HN"/>
        </w:rPr>
        <w:t>del</w:t>
      </w:r>
      <w:r w:rsidR="006525BD" w:rsidRPr="006525BD">
        <w:rPr>
          <w:bCs/>
          <w:lang w:val="es-HN"/>
        </w:rPr>
        <w:t xml:space="preserve"> C</w:t>
      </w:r>
      <w:r w:rsidR="006525BD">
        <w:rPr>
          <w:bCs/>
          <w:lang w:val="es-HN"/>
        </w:rPr>
        <w:t>lima</w:t>
      </w:r>
      <w:r w:rsidR="006525BD" w:rsidRPr="006525BD">
        <w:rPr>
          <w:bCs/>
        </w:rPr>
        <w:t>” R</w:t>
      </w:r>
      <w:proofErr w:type="spellStart"/>
      <w:r w:rsidR="006525BD" w:rsidRPr="006525BD">
        <w:rPr>
          <w:bCs/>
          <w:lang w:val="es-PE"/>
        </w:rPr>
        <w:t>eport</w:t>
      </w:r>
      <w:proofErr w:type="spellEnd"/>
      <w:r w:rsidR="006525BD" w:rsidRPr="006525BD">
        <w:rPr>
          <w:bCs/>
          <w:lang w:val="es-PE"/>
        </w:rPr>
        <w:t xml:space="preserve"> - </w:t>
      </w:r>
      <w:proofErr w:type="spellStart"/>
      <w:r w:rsidR="006525BD" w:rsidRPr="006525BD">
        <w:rPr>
          <w:bCs/>
          <w:lang w:val="es-PE"/>
        </w:rPr>
        <w:t>Activity</w:t>
      </w:r>
      <w:proofErr w:type="spellEnd"/>
      <w:r w:rsidR="006525BD" w:rsidRPr="006525BD">
        <w:rPr>
          <w:bCs/>
          <w:lang w:val="es-PE"/>
        </w:rPr>
        <w:t xml:space="preserve"> 01. </w:t>
      </w:r>
      <w:r w:rsidR="006525BD" w:rsidRPr="006525BD">
        <w:rPr>
          <w:bCs/>
          <w:lang w:val="en-US"/>
        </w:rPr>
        <w:t xml:space="preserve">Hydrologic Simulations as inputs to the Global Climate Fund GCF proposal. </w:t>
      </w:r>
      <w:r w:rsidRPr="006525BD">
        <w:rPr>
          <w:lang w:val="es-ES"/>
        </w:rPr>
        <w:t>Informe de Consultoría para el BID.</w:t>
      </w:r>
    </w:p>
    <w:p w14:paraId="55E80187" w14:textId="77777777" w:rsidR="004C5620" w:rsidRDefault="004C5620" w:rsidP="004C5620">
      <w:pPr>
        <w:rPr>
          <w:lang w:val="es-ES"/>
        </w:rPr>
      </w:pPr>
      <w:r w:rsidRPr="004C5620">
        <w:rPr>
          <w:b/>
          <w:lang w:val="es-ES"/>
        </w:rPr>
        <w:t xml:space="preserve">Instituto Nacional de Conservación y Desarrollo Forestal, </w:t>
      </w:r>
      <w:proofErr w:type="spellStart"/>
      <w:r w:rsidRPr="004C5620">
        <w:rPr>
          <w:b/>
          <w:lang w:val="es-ES"/>
        </w:rPr>
        <w:t>Areas</w:t>
      </w:r>
      <w:proofErr w:type="spellEnd"/>
      <w:r w:rsidRPr="004C5620">
        <w:rPr>
          <w:b/>
          <w:lang w:val="es-ES"/>
        </w:rPr>
        <w:t xml:space="preserve"> Protegidas y Vida </w:t>
      </w:r>
      <w:proofErr w:type="spellStart"/>
      <w:r w:rsidRPr="004C5620">
        <w:rPr>
          <w:b/>
          <w:lang w:val="es-ES"/>
        </w:rPr>
        <w:t>Silvestr</w:t>
      </w:r>
      <w:proofErr w:type="spellEnd"/>
      <w:r w:rsidRPr="004C5620">
        <w:rPr>
          <w:b/>
          <w:lang w:val="es-ES"/>
        </w:rPr>
        <w:t>-ICF (201</w:t>
      </w:r>
      <w:r>
        <w:rPr>
          <w:b/>
          <w:lang w:val="es-ES"/>
        </w:rPr>
        <w:t>3</w:t>
      </w:r>
      <w:r w:rsidRPr="004C5620">
        <w:rPr>
          <w:b/>
          <w:lang w:val="es-ES"/>
        </w:rPr>
        <w:t>).</w:t>
      </w:r>
      <w:r>
        <w:rPr>
          <w:lang w:val="es-ES"/>
        </w:rPr>
        <w:t xml:space="preserve"> “Guía de Silvicultura: Análisis y Prescripción de Compartimientos en Planes de Manejo con Fines de Silvicultura y Manejo Forestal”.  ICF, USAID y UAS-IP, Tegucigalpa.</w:t>
      </w:r>
    </w:p>
    <w:p w14:paraId="408F691E" w14:textId="77777777" w:rsidR="004C5620" w:rsidRDefault="004C5620" w:rsidP="00C91510">
      <w:pPr>
        <w:rPr>
          <w:lang w:val="es-ES"/>
        </w:rPr>
      </w:pPr>
      <w:r w:rsidRPr="004C5620">
        <w:rPr>
          <w:b/>
          <w:lang w:val="es-ES"/>
        </w:rPr>
        <w:t xml:space="preserve">Instituto Nacional de Conservación y Desarrollo Forestal, </w:t>
      </w:r>
      <w:proofErr w:type="spellStart"/>
      <w:r w:rsidRPr="004C5620">
        <w:rPr>
          <w:b/>
          <w:lang w:val="es-ES"/>
        </w:rPr>
        <w:t>Areas</w:t>
      </w:r>
      <w:proofErr w:type="spellEnd"/>
      <w:r w:rsidRPr="004C5620">
        <w:rPr>
          <w:b/>
          <w:lang w:val="es-ES"/>
        </w:rPr>
        <w:t xml:space="preserve"> Protegidas y Vida </w:t>
      </w:r>
      <w:proofErr w:type="spellStart"/>
      <w:r w:rsidRPr="004C5620">
        <w:rPr>
          <w:b/>
          <w:lang w:val="es-ES"/>
        </w:rPr>
        <w:t>Silvestr</w:t>
      </w:r>
      <w:proofErr w:type="spellEnd"/>
      <w:r w:rsidRPr="004C5620">
        <w:rPr>
          <w:b/>
          <w:lang w:val="es-ES"/>
        </w:rPr>
        <w:t>-ICF (2016)</w:t>
      </w:r>
      <w:r>
        <w:rPr>
          <w:lang w:val="es-ES"/>
        </w:rPr>
        <w:t>. “Anuario Estadístico Forestal de Honduras 2015”.  Unidad de Estadísticas Forestales del ICF.</w:t>
      </w:r>
    </w:p>
    <w:p w14:paraId="72EC6F76" w14:textId="22B5D162" w:rsidR="00B74C0D" w:rsidRDefault="00B74C0D" w:rsidP="00C91510">
      <w:r w:rsidRPr="00B74C0D">
        <w:rPr>
          <w:b/>
        </w:rPr>
        <w:t xml:space="preserve">Navarro G., B. </w:t>
      </w:r>
      <w:proofErr w:type="spellStart"/>
      <w:r w:rsidRPr="00B74C0D">
        <w:rPr>
          <w:b/>
        </w:rPr>
        <w:t>Louman</w:t>
      </w:r>
      <w:proofErr w:type="spellEnd"/>
      <w:r w:rsidRPr="00B74C0D">
        <w:rPr>
          <w:b/>
        </w:rPr>
        <w:t xml:space="preserve"> y V. Valera (2016) </w:t>
      </w:r>
      <w:r>
        <w:t xml:space="preserve">"Diseño del Componente 1 y Evaluación Económica ex ante de la operación HO-L1179." </w:t>
      </w:r>
    </w:p>
    <w:p w14:paraId="58C06BE7" w14:textId="737CEEBC" w:rsidR="004C5620" w:rsidRDefault="004C5620" w:rsidP="00C91510">
      <w:pPr>
        <w:rPr>
          <w:lang w:val="en-US"/>
        </w:rPr>
      </w:pPr>
      <w:r w:rsidRPr="004C5620">
        <w:rPr>
          <w:b/>
          <w:lang w:val="en-US"/>
        </w:rPr>
        <w:t>OECD (1999).</w:t>
      </w:r>
      <w:r w:rsidRPr="004C5620">
        <w:rPr>
          <w:lang w:val="en-US"/>
        </w:rPr>
        <w:t xml:space="preserve"> “The Price of Water: Trends in OECD Countries</w:t>
      </w:r>
      <w:r>
        <w:rPr>
          <w:lang w:val="en-US"/>
        </w:rPr>
        <w:t>”</w:t>
      </w:r>
      <w:r w:rsidRPr="004C5620">
        <w:rPr>
          <w:lang w:val="en-US"/>
        </w:rPr>
        <w:t xml:space="preserve">. </w:t>
      </w:r>
      <w:r>
        <w:rPr>
          <w:lang w:val="en-US"/>
        </w:rPr>
        <w:t xml:space="preserve"> Organization for Economic Co-operation and Development, Paris.</w:t>
      </w:r>
    </w:p>
    <w:p w14:paraId="68F86C1C" w14:textId="77777777" w:rsidR="004C5620" w:rsidRDefault="004C5620" w:rsidP="00C91510">
      <w:pPr>
        <w:rPr>
          <w:lang w:val="es-ES"/>
        </w:rPr>
      </w:pPr>
      <w:r w:rsidRPr="004C5620">
        <w:rPr>
          <w:b/>
          <w:lang w:val="es-ES"/>
        </w:rPr>
        <w:t>Santamaría Oscar y Luis Cerna (2017)</w:t>
      </w:r>
      <w:r>
        <w:rPr>
          <w:lang w:val="es-ES"/>
        </w:rPr>
        <w:t xml:space="preserve"> “Aportes al fomento del mercado de productos forestales en Honduras: Lineamientos para una propuesta multisectorial de políticas públicas”.  Tegucigalpa, FAO.</w:t>
      </w:r>
    </w:p>
    <w:p w14:paraId="1D585D4B" w14:textId="77777777" w:rsidR="004C5620" w:rsidRPr="004C5620" w:rsidRDefault="004C5620" w:rsidP="00C91510">
      <w:pPr>
        <w:rPr>
          <w:lang w:val="en-US"/>
        </w:rPr>
      </w:pPr>
    </w:p>
    <w:p w14:paraId="61FFC808" w14:textId="77777777" w:rsidR="00DE39C7" w:rsidRPr="004C5620" w:rsidRDefault="00DE39C7" w:rsidP="0047509A">
      <w:pPr>
        <w:rPr>
          <w:lang w:val="en-US"/>
        </w:rPr>
      </w:pPr>
    </w:p>
    <w:p w14:paraId="2CA9C72E" w14:textId="77777777" w:rsidR="005D6BF9" w:rsidRPr="004C5620" w:rsidRDefault="005D6BF9" w:rsidP="0047509A">
      <w:pPr>
        <w:rPr>
          <w:lang w:val="en-US"/>
        </w:rPr>
      </w:pPr>
    </w:p>
    <w:p w14:paraId="084AF540" w14:textId="77777777" w:rsidR="005D6BF9" w:rsidRPr="004C5620" w:rsidRDefault="005D6BF9" w:rsidP="0047509A">
      <w:pPr>
        <w:rPr>
          <w:lang w:val="en-US"/>
        </w:rPr>
      </w:pPr>
    </w:p>
    <w:p w14:paraId="3EAF3AF1" w14:textId="77777777" w:rsidR="005D6BF9" w:rsidRPr="004C5620" w:rsidRDefault="005D6BF9" w:rsidP="0047509A">
      <w:pPr>
        <w:rPr>
          <w:lang w:val="en-US"/>
        </w:rPr>
      </w:pPr>
    </w:p>
    <w:p w14:paraId="63750D36" w14:textId="77777777" w:rsidR="00CD5FD5" w:rsidRPr="004C5620" w:rsidRDefault="00CD5FD5" w:rsidP="0047509A">
      <w:pPr>
        <w:rPr>
          <w:lang w:val="en-US"/>
        </w:rPr>
      </w:pPr>
    </w:p>
    <w:p w14:paraId="1C88AC68" w14:textId="77777777" w:rsidR="00CD5FD5" w:rsidRPr="004C5620" w:rsidRDefault="00CD5FD5" w:rsidP="0047509A">
      <w:pPr>
        <w:rPr>
          <w:lang w:val="en-US"/>
        </w:rPr>
      </w:pPr>
    </w:p>
    <w:p w14:paraId="424AD8D0" w14:textId="77777777" w:rsidR="00CD5FD5" w:rsidRPr="004C5620" w:rsidRDefault="00CD5FD5" w:rsidP="0047509A">
      <w:pPr>
        <w:rPr>
          <w:lang w:val="en-US"/>
        </w:rPr>
      </w:pPr>
    </w:p>
    <w:p w14:paraId="4C6C84E5" w14:textId="77777777" w:rsidR="00CD5FD5" w:rsidRPr="004C5620" w:rsidRDefault="00CD5FD5" w:rsidP="0047509A">
      <w:pPr>
        <w:rPr>
          <w:lang w:val="en-US"/>
        </w:rPr>
      </w:pPr>
    </w:p>
    <w:p w14:paraId="7A331D27" w14:textId="77777777" w:rsidR="00BB3F5C" w:rsidRPr="004C5620" w:rsidRDefault="00BB3F5C" w:rsidP="0047509A">
      <w:pPr>
        <w:rPr>
          <w:lang w:val="en-US"/>
        </w:rPr>
      </w:pPr>
    </w:p>
    <w:sectPr w:rsidR="00BB3F5C" w:rsidRPr="004C5620" w:rsidSect="009522BD">
      <w:footerReference w:type="default" r:id="rId19"/>
      <w:pgSz w:w="11906" w:h="16838"/>
      <w:pgMar w:top="1417" w:right="1701" w:bottom="1417" w:left="1701"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D207CE" w14:textId="77777777" w:rsidR="00457C94" w:rsidRDefault="00457C94" w:rsidP="0047509A">
      <w:r>
        <w:separator/>
      </w:r>
    </w:p>
  </w:endnote>
  <w:endnote w:type="continuationSeparator" w:id="0">
    <w:p w14:paraId="601AF029" w14:textId="77777777" w:rsidR="00457C94" w:rsidRDefault="00457C94" w:rsidP="0047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7551468"/>
      <w:docPartObj>
        <w:docPartGallery w:val="Page Numbers (Bottom of Page)"/>
        <w:docPartUnique/>
      </w:docPartObj>
    </w:sdtPr>
    <w:sdtEndPr/>
    <w:sdtContent>
      <w:p w14:paraId="2EFAA974" w14:textId="77777777" w:rsidR="00146014" w:rsidRDefault="00146014">
        <w:pPr>
          <w:pStyle w:val="Footer"/>
          <w:jc w:val="right"/>
        </w:pPr>
      </w:p>
      <w:p w14:paraId="6143A087" w14:textId="77777777" w:rsidR="00146014" w:rsidRDefault="00146014">
        <w:pPr>
          <w:pStyle w:val="Footer"/>
          <w:jc w:val="right"/>
        </w:pPr>
        <w:r>
          <w:fldChar w:fldCharType="begin"/>
        </w:r>
        <w:r>
          <w:instrText>PAGE   \* MERGEFORMAT</w:instrText>
        </w:r>
        <w:r>
          <w:fldChar w:fldCharType="separate"/>
        </w:r>
        <w:r w:rsidR="00075A74" w:rsidRPr="00075A74">
          <w:rPr>
            <w:noProof/>
            <w:lang w:val="es-ES"/>
          </w:rPr>
          <w:t>31</w:t>
        </w:r>
        <w:r>
          <w:fldChar w:fldCharType="end"/>
        </w:r>
      </w:p>
    </w:sdtContent>
  </w:sdt>
  <w:p w14:paraId="7A724FA1" w14:textId="77777777" w:rsidR="00146014" w:rsidRDefault="00146014" w:rsidP="00475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13B6A" w14:textId="77777777" w:rsidR="00457C94" w:rsidRDefault="00457C94" w:rsidP="0047509A">
      <w:r>
        <w:separator/>
      </w:r>
    </w:p>
  </w:footnote>
  <w:footnote w:type="continuationSeparator" w:id="0">
    <w:p w14:paraId="3F7953F0" w14:textId="77777777" w:rsidR="00457C94" w:rsidRDefault="00457C94" w:rsidP="0047509A">
      <w:r>
        <w:continuationSeparator/>
      </w:r>
    </w:p>
  </w:footnote>
  <w:footnote w:id="1">
    <w:p w14:paraId="3B6D8C46" w14:textId="77777777" w:rsidR="00146014" w:rsidRPr="002E3F3A" w:rsidRDefault="00146014">
      <w:pPr>
        <w:pStyle w:val="FootnoteText"/>
      </w:pPr>
      <w:r>
        <w:rPr>
          <w:rStyle w:val="FootnoteReference"/>
        </w:rPr>
        <w:footnoteRef/>
      </w:r>
      <w:r>
        <w:t xml:space="preserve"> Ver </w:t>
      </w:r>
      <w:hyperlink r:id="rId1" w:history="1">
        <w:r w:rsidRPr="002E3F3A">
          <w:rPr>
            <w:rStyle w:val="Hyperlink"/>
          </w:rPr>
          <w:t>http://geoportal.icf.gob.hn/geoportal/main</w:t>
        </w:r>
      </w:hyperlink>
    </w:p>
  </w:footnote>
  <w:footnote w:id="2">
    <w:p w14:paraId="74AB29FA" w14:textId="389C29AB" w:rsidR="00146014" w:rsidRPr="005B6C73" w:rsidRDefault="00146014">
      <w:pPr>
        <w:pStyle w:val="FootnoteText"/>
        <w:rPr>
          <w:lang w:val="es-PE"/>
        </w:rPr>
      </w:pPr>
      <w:r>
        <w:rPr>
          <w:rStyle w:val="FootnoteReference"/>
        </w:rPr>
        <w:footnoteRef/>
      </w:r>
      <w:r>
        <w:t xml:space="preserve"> </w:t>
      </w:r>
      <w:r>
        <w:rPr>
          <w:lang w:val="es-PE"/>
        </w:rPr>
        <w:t xml:space="preserve">El proyecto MSB ya tuvo una evaluación económica ex ante (Banco Interamericano de Desarrollo, 2016) por lo que no se volverá a evaluar sus componentes en este informe.  No obstante, en las secciones 1 y 2 de descripción del proyecto, ámbito de intervención y perfil de los beneficiarios se hará referencia al proyecto integrado MSB-FVC. En las siguientes secciones se aplicará el análisis de costo-beneficio solamente a los componentes del nuevo proyecto. </w:t>
      </w:r>
    </w:p>
  </w:footnote>
  <w:footnote w:id="3">
    <w:p w14:paraId="65763FC6" w14:textId="77777777" w:rsidR="00146014" w:rsidRPr="001512ED" w:rsidRDefault="00146014">
      <w:pPr>
        <w:pStyle w:val="FootnoteText"/>
        <w:rPr>
          <w:lang w:val="es-PE"/>
        </w:rPr>
      </w:pPr>
      <w:r>
        <w:rPr>
          <w:rStyle w:val="FootnoteReference"/>
        </w:rPr>
        <w:footnoteRef/>
      </w:r>
      <w:r>
        <w:t xml:space="preserve"> </w:t>
      </w:r>
      <w:r>
        <w:rPr>
          <w:lang w:val="es-PE"/>
        </w:rPr>
        <w:t>No es posible separar totalmente las áreas de intervención de ambos proyectos ya que el FVC también intervendrá en algunas áreas del proyecto MSB.</w:t>
      </w:r>
    </w:p>
  </w:footnote>
  <w:footnote w:id="4">
    <w:p w14:paraId="047974C3" w14:textId="54E6BAC4" w:rsidR="00146014" w:rsidRPr="00306ED5" w:rsidRDefault="00146014">
      <w:pPr>
        <w:pStyle w:val="FootnoteText"/>
        <w:rPr>
          <w:lang w:val="es-PE"/>
        </w:rPr>
      </w:pPr>
      <w:r>
        <w:rPr>
          <w:rStyle w:val="FootnoteReference"/>
        </w:rPr>
        <w:footnoteRef/>
      </w:r>
      <w:r>
        <w:t xml:space="preserve"> </w:t>
      </w:r>
      <w:r>
        <w:rPr>
          <w:lang w:val="es-PE"/>
        </w:rPr>
        <w:t>A partir de esta sección solamente nos centramos en el nuevo proyecto para hacer la evaluación económica ex ante.</w:t>
      </w:r>
    </w:p>
  </w:footnote>
  <w:footnote w:id="5">
    <w:p w14:paraId="2D7AFFD3" w14:textId="5AC3E808" w:rsidR="00B74C0D" w:rsidRPr="00B74C0D" w:rsidRDefault="00B74C0D" w:rsidP="00B74C0D">
      <w:pPr>
        <w:pStyle w:val="FootnoteText"/>
        <w:rPr>
          <w:lang w:val="es-PE"/>
        </w:rPr>
      </w:pPr>
      <w:r>
        <w:rPr>
          <w:rStyle w:val="FootnoteReference"/>
        </w:rPr>
        <w:footnoteRef/>
      </w:r>
      <w:r>
        <w:t xml:space="preserve">  En este informe se establece que </w:t>
      </w:r>
      <w:r w:rsidRPr="00B74C0D">
        <w:rPr>
          <w:i/>
        </w:rPr>
        <w:t xml:space="preserve">"(…) El valor de este beneficio (agua) de pérdidas evitadas fue estimado utilizando el costo establecido por </w:t>
      </w:r>
      <w:r w:rsidRPr="00B74C0D">
        <w:rPr>
          <w:i/>
        </w:rPr>
        <w:t>Gonzalez (2011) para llenar un galón con agua de SANAA sin considerar el costo de transporte (13,21 Lps/m3), que es la alternativa típica de usuarios en zonas que experimentan racionamientos en áreas cubiertas por SANAA."</w:t>
      </w:r>
      <w:r>
        <w:rPr>
          <w:i/>
        </w:rPr>
        <w:t xml:space="preserve"> </w:t>
      </w:r>
      <w:r w:rsidRPr="00B74C0D">
        <w:t>(pp. 31).</w:t>
      </w:r>
    </w:p>
  </w:footnote>
  <w:footnote w:id="6">
    <w:p w14:paraId="1F8F5B70" w14:textId="4C55A1F3" w:rsidR="00146014" w:rsidRPr="00D1228A" w:rsidRDefault="00146014">
      <w:pPr>
        <w:pStyle w:val="FootnoteText"/>
        <w:rPr>
          <w:lang w:val="es-PE"/>
        </w:rPr>
      </w:pPr>
      <w:r>
        <w:rPr>
          <w:rStyle w:val="FootnoteReference"/>
        </w:rPr>
        <w:footnoteRef/>
      </w:r>
      <w:r>
        <w:t xml:space="preserve"> </w:t>
      </w:r>
      <w:hyperlink r:id="rId2" w:history="1">
        <w:r w:rsidRPr="00D1228A">
          <w:rPr>
            <w:color w:val="0000FF"/>
            <w:u w:val="single"/>
          </w:rPr>
          <w:t>http://170.238.108.227/binhnd/RpWebEngine.exe/Portal?BASE=EPH2016&amp;lang=ESP</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4D2E"/>
    <w:multiLevelType w:val="hybridMultilevel"/>
    <w:tmpl w:val="B708563A"/>
    <w:lvl w:ilvl="0" w:tplc="9CCA9EDC">
      <w:start w:val="1"/>
      <w:numFmt w:val="decimal"/>
      <w:pStyle w:val="parrafonum"/>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766CFF6">
      <w:numFmt w:val="bullet"/>
      <w:lvlText w:val="•"/>
      <w:lvlJc w:val="left"/>
      <w:pPr>
        <w:ind w:left="1800" w:hanging="720"/>
      </w:pPr>
      <w:rPr>
        <w:rFonts w:ascii="Arial" w:eastAsiaTheme="minorEastAsia" w:hAnsi="Arial" w:cs="Aria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3B9646C"/>
    <w:multiLevelType w:val="hybridMultilevel"/>
    <w:tmpl w:val="8B8C09E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1A573673"/>
    <w:multiLevelType w:val="hybridMultilevel"/>
    <w:tmpl w:val="34A02B48"/>
    <w:lvl w:ilvl="0" w:tplc="280A0001">
      <w:start w:val="1"/>
      <w:numFmt w:val="bullet"/>
      <w:lvlText w:val=""/>
      <w:lvlJc w:val="left"/>
      <w:pPr>
        <w:ind w:left="2856" w:hanging="360"/>
      </w:pPr>
      <w:rPr>
        <w:rFonts w:ascii="Symbol" w:hAnsi="Symbol" w:hint="default"/>
      </w:rPr>
    </w:lvl>
    <w:lvl w:ilvl="1" w:tplc="280A0003" w:tentative="1">
      <w:start w:val="1"/>
      <w:numFmt w:val="bullet"/>
      <w:lvlText w:val="o"/>
      <w:lvlJc w:val="left"/>
      <w:pPr>
        <w:ind w:left="3576" w:hanging="360"/>
      </w:pPr>
      <w:rPr>
        <w:rFonts w:ascii="Courier New" w:hAnsi="Courier New" w:cs="Courier New" w:hint="default"/>
      </w:rPr>
    </w:lvl>
    <w:lvl w:ilvl="2" w:tplc="280A0005" w:tentative="1">
      <w:start w:val="1"/>
      <w:numFmt w:val="bullet"/>
      <w:lvlText w:val=""/>
      <w:lvlJc w:val="left"/>
      <w:pPr>
        <w:ind w:left="4296" w:hanging="360"/>
      </w:pPr>
      <w:rPr>
        <w:rFonts w:ascii="Wingdings" w:hAnsi="Wingdings" w:hint="default"/>
      </w:rPr>
    </w:lvl>
    <w:lvl w:ilvl="3" w:tplc="280A0001" w:tentative="1">
      <w:start w:val="1"/>
      <w:numFmt w:val="bullet"/>
      <w:lvlText w:val=""/>
      <w:lvlJc w:val="left"/>
      <w:pPr>
        <w:ind w:left="5016" w:hanging="360"/>
      </w:pPr>
      <w:rPr>
        <w:rFonts w:ascii="Symbol" w:hAnsi="Symbol" w:hint="default"/>
      </w:rPr>
    </w:lvl>
    <w:lvl w:ilvl="4" w:tplc="280A0003" w:tentative="1">
      <w:start w:val="1"/>
      <w:numFmt w:val="bullet"/>
      <w:lvlText w:val="o"/>
      <w:lvlJc w:val="left"/>
      <w:pPr>
        <w:ind w:left="5736" w:hanging="360"/>
      </w:pPr>
      <w:rPr>
        <w:rFonts w:ascii="Courier New" w:hAnsi="Courier New" w:cs="Courier New" w:hint="default"/>
      </w:rPr>
    </w:lvl>
    <w:lvl w:ilvl="5" w:tplc="280A0005" w:tentative="1">
      <w:start w:val="1"/>
      <w:numFmt w:val="bullet"/>
      <w:lvlText w:val=""/>
      <w:lvlJc w:val="left"/>
      <w:pPr>
        <w:ind w:left="6456" w:hanging="360"/>
      </w:pPr>
      <w:rPr>
        <w:rFonts w:ascii="Wingdings" w:hAnsi="Wingdings" w:hint="default"/>
      </w:rPr>
    </w:lvl>
    <w:lvl w:ilvl="6" w:tplc="280A0001" w:tentative="1">
      <w:start w:val="1"/>
      <w:numFmt w:val="bullet"/>
      <w:lvlText w:val=""/>
      <w:lvlJc w:val="left"/>
      <w:pPr>
        <w:ind w:left="7176" w:hanging="360"/>
      </w:pPr>
      <w:rPr>
        <w:rFonts w:ascii="Symbol" w:hAnsi="Symbol" w:hint="default"/>
      </w:rPr>
    </w:lvl>
    <w:lvl w:ilvl="7" w:tplc="280A0003" w:tentative="1">
      <w:start w:val="1"/>
      <w:numFmt w:val="bullet"/>
      <w:lvlText w:val="o"/>
      <w:lvlJc w:val="left"/>
      <w:pPr>
        <w:ind w:left="7896" w:hanging="360"/>
      </w:pPr>
      <w:rPr>
        <w:rFonts w:ascii="Courier New" w:hAnsi="Courier New" w:cs="Courier New" w:hint="default"/>
      </w:rPr>
    </w:lvl>
    <w:lvl w:ilvl="8" w:tplc="280A0005" w:tentative="1">
      <w:start w:val="1"/>
      <w:numFmt w:val="bullet"/>
      <w:lvlText w:val=""/>
      <w:lvlJc w:val="left"/>
      <w:pPr>
        <w:ind w:left="8616" w:hanging="360"/>
      </w:pPr>
      <w:rPr>
        <w:rFonts w:ascii="Wingdings" w:hAnsi="Wingdings" w:hint="default"/>
      </w:rPr>
    </w:lvl>
  </w:abstractNum>
  <w:abstractNum w:abstractNumId="3" w15:restartNumberingAfterBreak="0">
    <w:nsid w:val="27A76341"/>
    <w:multiLevelType w:val="hybridMultilevel"/>
    <w:tmpl w:val="25A0B08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3318613E"/>
    <w:multiLevelType w:val="hybridMultilevel"/>
    <w:tmpl w:val="BD54B566"/>
    <w:lvl w:ilvl="0" w:tplc="04090001">
      <w:start w:val="1"/>
      <w:numFmt w:val="bullet"/>
      <w:lvlText w:val=""/>
      <w:lvlJc w:val="left"/>
      <w:pPr>
        <w:ind w:left="720" w:hanging="360"/>
      </w:pPr>
      <w:rPr>
        <w:rFonts w:ascii="Symbol" w:hAnsi="Symbol" w:hint="default"/>
      </w:rPr>
    </w:lvl>
    <w:lvl w:ilvl="1" w:tplc="280A001B">
      <w:start w:val="1"/>
      <w:numFmt w:val="lowerRoman"/>
      <w:lvlText w:val="%2."/>
      <w:lvlJc w:val="right"/>
      <w:pPr>
        <w:ind w:left="1440" w:hanging="360"/>
      </w:pPr>
      <w:rPr>
        <w:rFonts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480102EE"/>
    <w:multiLevelType w:val="hybridMultilevel"/>
    <w:tmpl w:val="3F3A0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96202B4"/>
    <w:multiLevelType w:val="hybridMultilevel"/>
    <w:tmpl w:val="83E0AE6E"/>
    <w:lvl w:ilvl="0" w:tplc="6C602EEC">
      <w:start w:val="1"/>
      <w:numFmt w:val="lowerRoman"/>
      <w:lvlText w:val="%1)"/>
      <w:lvlJc w:val="left"/>
      <w:pPr>
        <w:ind w:left="1428" w:hanging="72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7" w15:restartNumberingAfterBreak="0">
    <w:nsid w:val="4C954872"/>
    <w:multiLevelType w:val="hybridMultilevel"/>
    <w:tmpl w:val="56624318"/>
    <w:lvl w:ilvl="0" w:tplc="6BB0B78A">
      <w:start w:val="1"/>
      <w:numFmt w:val="decimal"/>
      <w:pStyle w:val="parrafonumerado"/>
      <w:lvlText w:val="%1."/>
      <w:lvlJc w:val="left"/>
      <w:pPr>
        <w:ind w:left="1428"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51811831"/>
    <w:multiLevelType w:val="hybridMultilevel"/>
    <w:tmpl w:val="6874BFD6"/>
    <w:lvl w:ilvl="0" w:tplc="15305A62">
      <w:start w:val="1"/>
      <w:numFmt w:val="bullet"/>
      <w:pStyle w:val="bu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65A253C5"/>
    <w:multiLevelType w:val="hybridMultilevel"/>
    <w:tmpl w:val="5718A1FA"/>
    <w:lvl w:ilvl="0" w:tplc="87F8D16A">
      <w:start w:val="1"/>
      <w:numFmt w:val="lowerRoman"/>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0" w15:restartNumberingAfterBreak="0">
    <w:nsid w:val="76224C10"/>
    <w:multiLevelType w:val="hybridMultilevel"/>
    <w:tmpl w:val="5718A1FA"/>
    <w:lvl w:ilvl="0" w:tplc="87F8D16A">
      <w:start w:val="1"/>
      <w:numFmt w:val="lowerRoman"/>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1" w15:restartNumberingAfterBreak="0">
    <w:nsid w:val="76C95E74"/>
    <w:multiLevelType w:val="hybridMultilevel"/>
    <w:tmpl w:val="A0880268"/>
    <w:lvl w:ilvl="0" w:tplc="280A000F">
      <w:start w:val="1"/>
      <w:numFmt w:val="decimal"/>
      <w:lvlText w:val="%1."/>
      <w:lvlJc w:val="left"/>
      <w:pPr>
        <w:ind w:left="1428" w:hanging="360"/>
      </w:p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12" w15:restartNumberingAfterBreak="0">
    <w:nsid w:val="796C76BD"/>
    <w:multiLevelType w:val="hybridMultilevel"/>
    <w:tmpl w:val="2936610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79D4028B"/>
    <w:multiLevelType w:val="hybridMultilevel"/>
    <w:tmpl w:val="A04E762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0"/>
  </w:num>
  <w:num w:numId="4">
    <w:abstractNumId w:val="9"/>
  </w:num>
  <w:num w:numId="5">
    <w:abstractNumId w:val="2"/>
  </w:num>
  <w:num w:numId="6">
    <w:abstractNumId w:val="11"/>
  </w:num>
  <w:num w:numId="7">
    <w:abstractNumId w:val="6"/>
  </w:num>
  <w:num w:numId="8">
    <w:abstractNumId w:val="7"/>
  </w:num>
  <w:num w:numId="9">
    <w:abstractNumId w:val="8"/>
  </w:num>
  <w:num w:numId="10">
    <w:abstractNumId w:val="13"/>
  </w:num>
  <w:num w:numId="11">
    <w:abstractNumId w:val="4"/>
  </w:num>
  <w:num w:numId="12">
    <w:abstractNumId w:val="0"/>
  </w:num>
  <w:num w:numId="13">
    <w:abstractNumId w:val="1"/>
  </w:num>
  <w:num w:numId="14">
    <w:abstractNumId w:val="3"/>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lvlOverride w:ilvl="0">
      <w:startOverride w:val="1"/>
    </w:lvlOverride>
  </w:num>
  <w:num w:numId="38">
    <w:abstractNumId w:val="7"/>
  </w:num>
  <w:num w:numId="39">
    <w:abstractNumId w:val="7"/>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2BB"/>
    <w:rsid w:val="00000B08"/>
    <w:rsid w:val="00000E46"/>
    <w:rsid w:val="00001C0F"/>
    <w:rsid w:val="00001F55"/>
    <w:rsid w:val="000023F7"/>
    <w:rsid w:val="00002653"/>
    <w:rsid w:val="00002CF2"/>
    <w:rsid w:val="00003005"/>
    <w:rsid w:val="00004259"/>
    <w:rsid w:val="000042F0"/>
    <w:rsid w:val="000047EA"/>
    <w:rsid w:val="00004BE0"/>
    <w:rsid w:val="00004CE7"/>
    <w:rsid w:val="00005436"/>
    <w:rsid w:val="000055A7"/>
    <w:rsid w:val="000058F0"/>
    <w:rsid w:val="00005B96"/>
    <w:rsid w:val="00005F8E"/>
    <w:rsid w:val="000061FE"/>
    <w:rsid w:val="0000716A"/>
    <w:rsid w:val="0000783A"/>
    <w:rsid w:val="0001019C"/>
    <w:rsid w:val="000102A2"/>
    <w:rsid w:val="00010B0E"/>
    <w:rsid w:val="00010F1A"/>
    <w:rsid w:val="000110CF"/>
    <w:rsid w:val="000113E6"/>
    <w:rsid w:val="000119E8"/>
    <w:rsid w:val="000123F8"/>
    <w:rsid w:val="000131B7"/>
    <w:rsid w:val="0001343E"/>
    <w:rsid w:val="0001347E"/>
    <w:rsid w:val="000139A9"/>
    <w:rsid w:val="00013EB2"/>
    <w:rsid w:val="000141CE"/>
    <w:rsid w:val="000142FE"/>
    <w:rsid w:val="000144A3"/>
    <w:rsid w:val="00014FF2"/>
    <w:rsid w:val="00015048"/>
    <w:rsid w:val="00015FCC"/>
    <w:rsid w:val="0001636A"/>
    <w:rsid w:val="00016BD4"/>
    <w:rsid w:val="00016D35"/>
    <w:rsid w:val="00017DFE"/>
    <w:rsid w:val="0002018D"/>
    <w:rsid w:val="0002021C"/>
    <w:rsid w:val="00020347"/>
    <w:rsid w:val="00020B13"/>
    <w:rsid w:val="00020B9D"/>
    <w:rsid w:val="00020E45"/>
    <w:rsid w:val="00020F19"/>
    <w:rsid w:val="00021138"/>
    <w:rsid w:val="00021B27"/>
    <w:rsid w:val="0002252F"/>
    <w:rsid w:val="000236D9"/>
    <w:rsid w:val="00023FF5"/>
    <w:rsid w:val="0002460B"/>
    <w:rsid w:val="000247C8"/>
    <w:rsid w:val="00024B4E"/>
    <w:rsid w:val="000253D4"/>
    <w:rsid w:val="00025597"/>
    <w:rsid w:val="00025B59"/>
    <w:rsid w:val="00026343"/>
    <w:rsid w:val="00026C4B"/>
    <w:rsid w:val="00026D27"/>
    <w:rsid w:val="00026F35"/>
    <w:rsid w:val="00027B7C"/>
    <w:rsid w:val="00027DFC"/>
    <w:rsid w:val="0003051A"/>
    <w:rsid w:val="000306DA"/>
    <w:rsid w:val="00030795"/>
    <w:rsid w:val="00030956"/>
    <w:rsid w:val="00030B46"/>
    <w:rsid w:val="00032713"/>
    <w:rsid w:val="0003285E"/>
    <w:rsid w:val="00032E52"/>
    <w:rsid w:val="00033391"/>
    <w:rsid w:val="00033629"/>
    <w:rsid w:val="00033960"/>
    <w:rsid w:val="00033E86"/>
    <w:rsid w:val="000340C9"/>
    <w:rsid w:val="00034128"/>
    <w:rsid w:val="00034DEF"/>
    <w:rsid w:val="00035125"/>
    <w:rsid w:val="000351F8"/>
    <w:rsid w:val="000359C2"/>
    <w:rsid w:val="000359CD"/>
    <w:rsid w:val="00035E86"/>
    <w:rsid w:val="00035FAD"/>
    <w:rsid w:val="00036476"/>
    <w:rsid w:val="00036D03"/>
    <w:rsid w:val="0003717C"/>
    <w:rsid w:val="00037F6B"/>
    <w:rsid w:val="000417B5"/>
    <w:rsid w:val="00041807"/>
    <w:rsid w:val="00042868"/>
    <w:rsid w:val="00042C9F"/>
    <w:rsid w:val="0004343C"/>
    <w:rsid w:val="0004347E"/>
    <w:rsid w:val="000439D3"/>
    <w:rsid w:val="00044028"/>
    <w:rsid w:val="000448EE"/>
    <w:rsid w:val="00044E08"/>
    <w:rsid w:val="00045867"/>
    <w:rsid w:val="00045C17"/>
    <w:rsid w:val="00046283"/>
    <w:rsid w:val="00046693"/>
    <w:rsid w:val="00046C66"/>
    <w:rsid w:val="00047320"/>
    <w:rsid w:val="000474BA"/>
    <w:rsid w:val="00047769"/>
    <w:rsid w:val="00047A99"/>
    <w:rsid w:val="00047AA1"/>
    <w:rsid w:val="00047E27"/>
    <w:rsid w:val="00051017"/>
    <w:rsid w:val="0005133F"/>
    <w:rsid w:val="00052913"/>
    <w:rsid w:val="00052CB3"/>
    <w:rsid w:val="00054246"/>
    <w:rsid w:val="00054B0E"/>
    <w:rsid w:val="0005566B"/>
    <w:rsid w:val="00055A87"/>
    <w:rsid w:val="00055FB6"/>
    <w:rsid w:val="00056446"/>
    <w:rsid w:val="00056D6E"/>
    <w:rsid w:val="00057306"/>
    <w:rsid w:val="00057A49"/>
    <w:rsid w:val="00057D23"/>
    <w:rsid w:val="00057DB2"/>
    <w:rsid w:val="00060001"/>
    <w:rsid w:val="00061115"/>
    <w:rsid w:val="00062495"/>
    <w:rsid w:val="00062B1E"/>
    <w:rsid w:val="0006348E"/>
    <w:rsid w:val="00063C88"/>
    <w:rsid w:val="000643C8"/>
    <w:rsid w:val="000645EF"/>
    <w:rsid w:val="00065474"/>
    <w:rsid w:val="00065677"/>
    <w:rsid w:val="0006589C"/>
    <w:rsid w:val="00065B16"/>
    <w:rsid w:val="0006678A"/>
    <w:rsid w:val="0006689F"/>
    <w:rsid w:val="00067130"/>
    <w:rsid w:val="000672E6"/>
    <w:rsid w:val="00067A89"/>
    <w:rsid w:val="0007017F"/>
    <w:rsid w:val="000705AC"/>
    <w:rsid w:val="000705BE"/>
    <w:rsid w:val="00071523"/>
    <w:rsid w:val="00071974"/>
    <w:rsid w:val="00071FC3"/>
    <w:rsid w:val="00072461"/>
    <w:rsid w:val="0007249E"/>
    <w:rsid w:val="0007272C"/>
    <w:rsid w:val="00072C50"/>
    <w:rsid w:val="000736E3"/>
    <w:rsid w:val="000737D6"/>
    <w:rsid w:val="00073B7C"/>
    <w:rsid w:val="00073DCC"/>
    <w:rsid w:val="00073F85"/>
    <w:rsid w:val="0007417B"/>
    <w:rsid w:val="0007451D"/>
    <w:rsid w:val="00074A1F"/>
    <w:rsid w:val="00075161"/>
    <w:rsid w:val="0007519A"/>
    <w:rsid w:val="000751BA"/>
    <w:rsid w:val="00075785"/>
    <w:rsid w:val="00075A74"/>
    <w:rsid w:val="00077A92"/>
    <w:rsid w:val="000800D5"/>
    <w:rsid w:val="0008019E"/>
    <w:rsid w:val="000803D5"/>
    <w:rsid w:val="0008064B"/>
    <w:rsid w:val="00080806"/>
    <w:rsid w:val="00080D7E"/>
    <w:rsid w:val="00081226"/>
    <w:rsid w:val="0008230D"/>
    <w:rsid w:val="0008292F"/>
    <w:rsid w:val="00082ABE"/>
    <w:rsid w:val="00082BC7"/>
    <w:rsid w:val="00083BE3"/>
    <w:rsid w:val="0008460C"/>
    <w:rsid w:val="0008490A"/>
    <w:rsid w:val="00084F66"/>
    <w:rsid w:val="000857EE"/>
    <w:rsid w:val="0009058A"/>
    <w:rsid w:val="000905AA"/>
    <w:rsid w:val="00090911"/>
    <w:rsid w:val="00091552"/>
    <w:rsid w:val="00091AAD"/>
    <w:rsid w:val="00091BB1"/>
    <w:rsid w:val="00091EA2"/>
    <w:rsid w:val="0009282D"/>
    <w:rsid w:val="000928B2"/>
    <w:rsid w:val="00093439"/>
    <w:rsid w:val="00093530"/>
    <w:rsid w:val="00093D60"/>
    <w:rsid w:val="00093F7E"/>
    <w:rsid w:val="0009433A"/>
    <w:rsid w:val="00094A91"/>
    <w:rsid w:val="00095370"/>
    <w:rsid w:val="00095564"/>
    <w:rsid w:val="00095CCB"/>
    <w:rsid w:val="00096209"/>
    <w:rsid w:val="00096383"/>
    <w:rsid w:val="000965D8"/>
    <w:rsid w:val="00096ECB"/>
    <w:rsid w:val="0009725F"/>
    <w:rsid w:val="000972A8"/>
    <w:rsid w:val="000974A6"/>
    <w:rsid w:val="000979CD"/>
    <w:rsid w:val="000979F9"/>
    <w:rsid w:val="000A0779"/>
    <w:rsid w:val="000A08AC"/>
    <w:rsid w:val="000A0C91"/>
    <w:rsid w:val="000A0DE3"/>
    <w:rsid w:val="000A1761"/>
    <w:rsid w:val="000A2243"/>
    <w:rsid w:val="000A2A82"/>
    <w:rsid w:val="000A2C63"/>
    <w:rsid w:val="000A374B"/>
    <w:rsid w:val="000A3EC4"/>
    <w:rsid w:val="000A4A4A"/>
    <w:rsid w:val="000A516E"/>
    <w:rsid w:val="000A553E"/>
    <w:rsid w:val="000A5884"/>
    <w:rsid w:val="000A6229"/>
    <w:rsid w:val="000A7652"/>
    <w:rsid w:val="000A79A1"/>
    <w:rsid w:val="000A7C7C"/>
    <w:rsid w:val="000A7D00"/>
    <w:rsid w:val="000B08E4"/>
    <w:rsid w:val="000B0986"/>
    <w:rsid w:val="000B1A1D"/>
    <w:rsid w:val="000B1C38"/>
    <w:rsid w:val="000B1D33"/>
    <w:rsid w:val="000B294C"/>
    <w:rsid w:val="000B2E8C"/>
    <w:rsid w:val="000B33EE"/>
    <w:rsid w:val="000B3BFC"/>
    <w:rsid w:val="000B47C2"/>
    <w:rsid w:val="000B4822"/>
    <w:rsid w:val="000B489F"/>
    <w:rsid w:val="000B4EFE"/>
    <w:rsid w:val="000B4FFA"/>
    <w:rsid w:val="000B53EE"/>
    <w:rsid w:val="000B557D"/>
    <w:rsid w:val="000B5ABB"/>
    <w:rsid w:val="000B5ECE"/>
    <w:rsid w:val="000B600F"/>
    <w:rsid w:val="000B6446"/>
    <w:rsid w:val="000B6CA2"/>
    <w:rsid w:val="000B7049"/>
    <w:rsid w:val="000B7473"/>
    <w:rsid w:val="000B7514"/>
    <w:rsid w:val="000B7678"/>
    <w:rsid w:val="000B799E"/>
    <w:rsid w:val="000C05D4"/>
    <w:rsid w:val="000C0602"/>
    <w:rsid w:val="000C0768"/>
    <w:rsid w:val="000C17E9"/>
    <w:rsid w:val="000C184D"/>
    <w:rsid w:val="000C18DC"/>
    <w:rsid w:val="000C20DE"/>
    <w:rsid w:val="000C2418"/>
    <w:rsid w:val="000C2F9D"/>
    <w:rsid w:val="000C306E"/>
    <w:rsid w:val="000C3400"/>
    <w:rsid w:val="000C3C7C"/>
    <w:rsid w:val="000C4FAE"/>
    <w:rsid w:val="000C5AE8"/>
    <w:rsid w:val="000C66F9"/>
    <w:rsid w:val="000C6BCA"/>
    <w:rsid w:val="000C6C14"/>
    <w:rsid w:val="000C71EB"/>
    <w:rsid w:val="000C7711"/>
    <w:rsid w:val="000C774F"/>
    <w:rsid w:val="000C7937"/>
    <w:rsid w:val="000C7B3F"/>
    <w:rsid w:val="000D0357"/>
    <w:rsid w:val="000D0402"/>
    <w:rsid w:val="000D1DA8"/>
    <w:rsid w:val="000D238F"/>
    <w:rsid w:val="000D37C9"/>
    <w:rsid w:val="000D3C43"/>
    <w:rsid w:val="000D3E81"/>
    <w:rsid w:val="000D403F"/>
    <w:rsid w:val="000D447A"/>
    <w:rsid w:val="000D4CDA"/>
    <w:rsid w:val="000D4CF1"/>
    <w:rsid w:val="000D57E8"/>
    <w:rsid w:val="000D5CD6"/>
    <w:rsid w:val="000D5EFF"/>
    <w:rsid w:val="000D76BE"/>
    <w:rsid w:val="000D77EF"/>
    <w:rsid w:val="000D7AA6"/>
    <w:rsid w:val="000D7B13"/>
    <w:rsid w:val="000D7CD9"/>
    <w:rsid w:val="000D7E8A"/>
    <w:rsid w:val="000E0B48"/>
    <w:rsid w:val="000E0BC8"/>
    <w:rsid w:val="000E1D24"/>
    <w:rsid w:val="000E1E21"/>
    <w:rsid w:val="000E32DC"/>
    <w:rsid w:val="000E3858"/>
    <w:rsid w:val="000E3D59"/>
    <w:rsid w:val="000E3DC5"/>
    <w:rsid w:val="000E44CA"/>
    <w:rsid w:val="000E4B76"/>
    <w:rsid w:val="000E4E8C"/>
    <w:rsid w:val="000E4F90"/>
    <w:rsid w:val="000E4FD2"/>
    <w:rsid w:val="000E517A"/>
    <w:rsid w:val="000E5AE3"/>
    <w:rsid w:val="000E5F0B"/>
    <w:rsid w:val="000E6103"/>
    <w:rsid w:val="000E64C7"/>
    <w:rsid w:val="000E75D8"/>
    <w:rsid w:val="000E7883"/>
    <w:rsid w:val="000F0562"/>
    <w:rsid w:val="000F0981"/>
    <w:rsid w:val="000F0A0A"/>
    <w:rsid w:val="000F1306"/>
    <w:rsid w:val="000F142E"/>
    <w:rsid w:val="000F39B2"/>
    <w:rsid w:val="000F3E6B"/>
    <w:rsid w:val="000F41E3"/>
    <w:rsid w:val="000F5063"/>
    <w:rsid w:val="000F54A0"/>
    <w:rsid w:val="000F5558"/>
    <w:rsid w:val="000F5853"/>
    <w:rsid w:val="000F58D0"/>
    <w:rsid w:val="000F5AE3"/>
    <w:rsid w:val="000F625E"/>
    <w:rsid w:val="000F65CA"/>
    <w:rsid w:val="000F67E5"/>
    <w:rsid w:val="000F68CC"/>
    <w:rsid w:val="000F7587"/>
    <w:rsid w:val="000F75DD"/>
    <w:rsid w:val="000F7AE3"/>
    <w:rsid w:val="00100272"/>
    <w:rsid w:val="001010B7"/>
    <w:rsid w:val="001015AC"/>
    <w:rsid w:val="00101991"/>
    <w:rsid w:val="00101D90"/>
    <w:rsid w:val="00101E8B"/>
    <w:rsid w:val="00102B98"/>
    <w:rsid w:val="001035E4"/>
    <w:rsid w:val="001036F4"/>
    <w:rsid w:val="001037A8"/>
    <w:rsid w:val="00103CE8"/>
    <w:rsid w:val="001040B7"/>
    <w:rsid w:val="00104150"/>
    <w:rsid w:val="00104617"/>
    <w:rsid w:val="00104A28"/>
    <w:rsid w:val="00104F12"/>
    <w:rsid w:val="00105A56"/>
    <w:rsid w:val="0010630E"/>
    <w:rsid w:val="00106460"/>
    <w:rsid w:val="00106CBB"/>
    <w:rsid w:val="00106FA5"/>
    <w:rsid w:val="00107442"/>
    <w:rsid w:val="00107591"/>
    <w:rsid w:val="0010795D"/>
    <w:rsid w:val="00107C33"/>
    <w:rsid w:val="00110766"/>
    <w:rsid w:val="001116AE"/>
    <w:rsid w:val="0011175E"/>
    <w:rsid w:val="00111AEF"/>
    <w:rsid w:val="00111C7B"/>
    <w:rsid w:val="00112144"/>
    <w:rsid w:val="00112653"/>
    <w:rsid w:val="00112826"/>
    <w:rsid w:val="00112BCF"/>
    <w:rsid w:val="00112CBC"/>
    <w:rsid w:val="00113461"/>
    <w:rsid w:val="00114DB8"/>
    <w:rsid w:val="00115F4A"/>
    <w:rsid w:val="00116A94"/>
    <w:rsid w:val="00116AA4"/>
    <w:rsid w:val="00117C95"/>
    <w:rsid w:val="001202C2"/>
    <w:rsid w:val="0012058A"/>
    <w:rsid w:val="00120992"/>
    <w:rsid w:val="00121D94"/>
    <w:rsid w:val="001220C1"/>
    <w:rsid w:val="00122437"/>
    <w:rsid w:val="001224F3"/>
    <w:rsid w:val="00122800"/>
    <w:rsid w:val="001228BF"/>
    <w:rsid w:val="00122973"/>
    <w:rsid w:val="00123218"/>
    <w:rsid w:val="00123462"/>
    <w:rsid w:val="00123A83"/>
    <w:rsid w:val="00124437"/>
    <w:rsid w:val="00124829"/>
    <w:rsid w:val="00124A3D"/>
    <w:rsid w:val="00125ED4"/>
    <w:rsid w:val="001262B1"/>
    <w:rsid w:val="001265C1"/>
    <w:rsid w:val="001275D0"/>
    <w:rsid w:val="00127B9D"/>
    <w:rsid w:val="00127E16"/>
    <w:rsid w:val="00127ECD"/>
    <w:rsid w:val="00130403"/>
    <w:rsid w:val="001305D4"/>
    <w:rsid w:val="00131617"/>
    <w:rsid w:val="00131661"/>
    <w:rsid w:val="00131684"/>
    <w:rsid w:val="001319F9"/>
    <w:rsid w:val="00131B13"/>
    <w:rsid w:val="00131C5C"/>
    <w:rsid w:val="00131FB6"/>
    <w:rsid w:val="001320AB"/>
    <w:rsid w:val="00132527"/>
    <w:rsid w:val="00132725"/>
    <w:rsid w:val="00132C83"/>
    <w:rsid w:val="00132FB5"/>
    <w:rsid w:val="001330D7"/>
    <w:rsid w:val="00133305"/>
    <w:rsid w:val="00133D7B"/>
    <w:rsid w:val="001340EE"/>
    <w:rsid w:val="0013439C"/>
    <w:rsid w:val="00134A12"/>
    <w:rsid w:val="001355AD"/>
    <w:rsid w:val="001356C5"/>
    <w:rsid w:val="001357B1"/>
    <w:rsid w:val="00135ABB"/>
    <w:rsid w:val="00135AFA"/>
    <w:rsid w:val="00136057"/>
    <w:rsid w:val="00136A6A"/>
    <w:rsid w:val="00136B2D"/>
    <w:rsid w:val="00136DDB"/>
    <w:rsid w:val="00137A50"/>
    <w:rsid w:val="00137B97"/>
    <w:rsid w:val="00137C0F"/>
    <w:rsid w:val="00140014"/>
    <w:rsid w:val="0014003E"/>
    <w:rsid w:val="001405D9"/>
    <w:rsid w:val="00140706"/>
    <w:rsid w:val="00140B5D"/>
    <w:rsid w:val="001410EB"/>
    <w:rsid w:val="0014121A"/>
    <w:rsid w:val="00141899"/>
    <w:rsid w:val="001419A9"/>
    <w:rsid w:val="00141EE7"/>
    <w:rsid w:val="00141FA6"/>
    <w:rsid w:val="00142140"/>
    <w:rsid w:val="00142317"/>
    <w:rsid w:val="0014295C"/>
    <w:rsid w:val="00142EA8"/>
    <w:rsid w:val="0014317A"/>
    <w:rsid w:val="00143DF4"/>
    <w:rsid w:val="00143FFB"/>
    <w:rsid w:val="001442EF"/>
    <w:rsid w:val="001449BC"/>
    <w:rsid w:val="00144B59"/>
    <w:rsid w:val="00144B5F"/>
    <w:rsid w:val="001450FB"/>
    <w:rsid w:val="0014583B"/>
    <w:rsid w:val="00146014"/>
    <w:rsid w:val="001464BA"/>
    <w:rsid w:val="00146A71"/>
    <w:rsid w:val="00146C90"/>
    <w:rsid w:val="00146DC6"/>
    <w:rsid w:val="00146F53"/>
    <w:rsid w:val="001472F3"/>
    <w:rsid w:val="00147367"/>
    <w:rsid w:val="001473B4"/>
    <w:rsid w:val="00147C88"/>
    <w:rsid w:val="00150789"/>
    <w:rsid w:val="00150CA0"/>
    <w:rsid w:val="001511BC"/>
    <w:rsid w:val="001512ED"/>
    <w:rsid w:val="00151886"/>
    <w:rsid w:val="00152C39"/>
    <w:rsid w:val="00152DB4"/>
    <w:rsid w:val="0015361C"/>
    <w:rsid w:val="00153620"/>
    <w:rsid w:val="00154110"/>
    <w:rsid w:val="0015419D"/>
    <w:rsid w:val="00154D03"/>
    <w:rsid w:val="0015601F"/>
    <w:rsid w:val="001562CB"/>
    <w:rsid w:val="001568B8"/>
    <w:rsid w:val="00156AE2"/>
    <w:rsid w:val="001574DD"/>
    <w:rsid w:val="001603CD"/>
    <w:rsid w:val="001618BC"/>
    <w:rsid w:val="001619F2"/>
    <w:rsid w:val="00162BB7"/>
    <w:rsid w:val="00163BEE"/>
    <w:rsid w:val="00163CD4"/>
    <w:rsid w:val="00164638"/>
    <w:rsid w:val="0016597C"/>
    <w:rsid w:val="00165DBB"/>
    <w:rsid w:val="00165E32"/>
    <w:rsid w:val="00165F01"/>
    <w:rsid w:val="0016699F"/>
    <w:rsid w:val="00166A37"/>
    <w:rsid w:val="0016714B"/>
    <w:rsid w:val="001675A2"/>
    <w:rsid w:val="00167927"/>
    <w:rsid w:val="0017005A"/>
    <w:rsid w:val="00170198"/>
    <w:rsid w:val="001702DD"/>
    <w:rsid w:val="0017124B"/>
    <w:rsid w:val="001714B3"/>
    <w:rsid w:val="001715FE"/>
    <w:rsid w:val="00171A0B"/>
    <w:rsid w:val="00171BA0"/>
    <w:rsid w:val="00171CA1"/>
    <w:rsid w:val="00172698"/>
    <w:rsid w:val="00172C58"/>
    <w:rsid w:val="00172CB7"/>
    <w:rsid w:val="00172FAA"/>
    <w:rsid w:val="00173178"/>
    <w:rsid w:val="00173818"/>
    <w:rsid w:val="001738CD"/>
    <w:rsid w:val="00173B5F"/>
    <w:rsid w:val="00173CD2"/>
    <w:rsid w:val="001741F7"/>
    <w:rsid w:val="00174240"/>
    <w:rsid w:val="00174A98"/>
    <w:rsid w:val="00174A99"/>
    <w:rsid w:val="001761B8"/>
    <w:rsid w:val="001761CF"/>
    <w:rsid w:val="00176AE9"/>
    <w:rsid w:val="00177077"/>
    <w:rsid w:val="0017771F"/>
    <w:rsid w:val="0018002F"/>
    <w:rsid w:val="001808C5"/>
    <w:rsid w:val="00181468"/>
    <w:rsid w:val="00181794"/>
    <w:rsid w:val="00181C4C"/>
    <w:rsid w:val="00181E50"/>
    <w:rsid w:val="00181FD0"/>
    <w:rsid w:val="0018263A"/>
    <w:rsid w:val="00182AFA"/>
    <w:rsid w:val="0018344D"/>
    <w:rsid w:val="00183C43"/>
    <w:rsid w:val="00183D46"/>
    <w:rsid w:val="00183DE5"/>
    <w:rsid w:val="001842B4"/>
    <w:rsid w:val="001842E6"/>
    <w:rsid w:val="00184417"/>
    <w:rsid w:val="00185BA4"/>
    <w:rsid w:val="00186209"/>
    <w:rsid w:val="00186B71"/>
    <w:rsid w:val="00186D14"/>
    <w:rsid w:val="001873E2"/>
    <w:rsid w:val="00187538"/>
    <w:rsid w:val="00190383"/>
    <w:rsid w:val="00190549"/>
    <w:rsid w:val="001909E4"/>
    <w:rsid w:val="00190EE2"/>
    <w:rsid w:val="00191C8B"/>
    <w:rsid w:val="001922A8"/>
    <w:rsid w:val="001926FA"/>
    <w:rsid w:val="00192E9C"/>
    <w:rsid w:val="00193288"/>
    <w:rsid w:val="00193DDA"/>
    <w:rsid w:val="00193E29"/>
    <w:rsid w:val="00194367"/>
    <w:rsid w:val="001948E2"/>
    <w:rsid w:val="00194D74"/>
    <w:rsid w:val="0019533B"/>
    <w:rsid w:val="00195627"/>
    <w:rsid w:val="00195BF9"/>
    <w:rsid w:val="00196CCF"/>
    <w:rsid w:val="001974F8"/>
    <w:rsid w:val="00197885"/>
    <w:rsid w:val="00197C00"/>
    <w:rsid w:val="001A0433"/>
    <w:rsid w:val="001A057C"/>
    <w:rsid w:val="001A0688"/>
    <w:rsid w:val="001A1CE2"/>
    <w:rsid w:val="001A1D49"/>
    <w:rsid w:val="001A240D"/>
    <w:rsid w:val="001A25A3"/>
    <w:rsid w:val="001A2611"/>
    <w:rsid w:val="001A2CE7"/>
    <w:rsid w:val="001A3D65"/>
    <w:rsid w:val="001A3FDE"/>
    <w:rsid w:val="001A4F6E"/>
    <w:rsid w:val="001A560F"/>
    <w:rsid w:val="001A6BFD"/>
    <w:rsid w:val="001A72E8"/>
    <w:rsid w:val="001A7FA1"/>
    <w:rsid w:val="001B0158"/>
    <w:rsid w:val="001B0349"/>
    <w:rsid w:val="001B059D"/>
    <w:rsid w:val="001B0DC7"/>
    <w:rsid w:val="001B18E4"/>
    <w:rsid w:val="001B2591"/>
    <w:rsid w:val="001B267D"/>
    <w:rsid w:val="001B27B4"/>
    <w:rsid w:val="001B36E3"/>
    <w:rsid w:val="001B3820"/>
    <w:rsid w:val="001B3D79"/>
    <w:rsid w:val="001B408D"/>
    <w:rsid w:val="001B4137"/>
    <w:rsid w:val="001B427D"/>
    <w:rsid w:val="001B4EF0"/>
    <w:rsid w:val="001B53CE"/>
    <w:rsid w:val="001B5B1A"/>
    <w:rsid w:val="001B5BD9"/>
    <w:rsid w:val="001B65FF"/>
    <w:rsid w:val="001B6A1B"/>
    <w:rsid w:val="001B6A25"/>
    <w:rsid w:val="001B6ECC"/>
    <w:rsid w:val="001B7394"/>
    <w:rsid w:val="001B7475"/>
    <w:rsid w:val="001B788A"/>
    <w:rsid w:val="001B7B48"/>
    <w:rsid w:val="001B7CBF"/>
    <w:rsid w:val="001B7DE9"/>
    <w:rsid w:val="001B7DF4"/>
    <w:rsid w:val="001C0989"/>
    <w:rsid w:val="001C0E9D"/>
    <w:rsid w:val="001C0EA0"/>
    <w:rsid w:val="001C1A20"/>
    <w:rsid w:val="001C20B3"/>
    <w:rsid w:val="001C2499"/>
    <w:rsid w:val="001C29B8"/>
    <w:rsid w:val="001C34D9"/>
    <w:rsid w:val="001C3A5D"/>
    <w:rsid w:val="001C4309"/>
    <w:rsid w:val="001C4BCA"/>
    <w:rsid w:val="001C5051"/>
    <w:rsid w:val="001C528B"/>
    <w:rsid w:val="001C541C"/>
    <w:rsid w:val="001C5B0A"/>
    <w:rsid w:val="001C5B39"/>
    <w:rsid w:val="001C5E33"/>
    <w:rsid w:val="001C6483"/>
    <w:rsid w:val="001C653D"/>
    <w:rsid w:val="001C6A96"/>
    <w:rsid w:val="001C6B1B"/>
    <w:rsid w:val="001C6C72"/>
    <w:rsid w:val="001C6ECF"/>
    <w:rsid w:val="001C7EDD"/>
    <w:rsid w:val="001C7FEF"/>
    <w:rsid w:val="001D000A"/>
    <w:rsid w:val="001D03D8"/>
    <w:rsid w:val="001D0794"/>
    <w:rsid w:val="001D0BB1"/>
    <w:rsid w:val="001D0DDD"/>
    <w:rsid w:val="001D1249"/>
    <w:rsid w:val="001D18A7"/>
    <w:rsid w:val="001D1BC3"/>
    <w:rsid w:val="001D2838"/>
    <w:rsid w:val="001D29C0"/>
    <w:rsid w:val="001D40A1"/>
    <w:rsid w:val="001D4497"/>
    <w:rsid w:val="001D4788"/>
    <w:rsid w:val="001D4825"/>
    <w:rsid w:val="001D4DEF"/>
    <w:rsid w:val="001D53D0"/>
    <w:rsid w:val="001D550E"/>
    <w:rsid w:val="001D5656"/>
    <w:rsid w:val="001D5BA3"/>
    <w:rsid w:val="001D5C59"/>
    <w:rsid w:val="001D5D21"/>
    <w:rsid w:val="001D5DCC"/>
    <w:rsid w:val="001D6D62"/>
    <w:rsid w:val="001D6D7A"/>
    <w:rsid w:val="001D6FE4"/>
    <w:rsid w:val="001D70E4"/>
    <w:rsid w:val="001D74B4"/>
    <w:rsid w:val="001D7A08"/>
    <w:rsid w:val="001D7AC6"/>
    <w:rsid w:val="001E00B3"/>
    <w:rsid w:val="001E06E6"/>
    <w:rsid w:val="001E09BD"/>
    <w:rsid w:val="001E0C46"/>
    <w:rsid w:val="001E1495"/>
    <w:rsid w:val="001E1F1F"/>
    <w:rsid w:val="001E256C"/>
    <w:rsid w:val="001E2DBC"/>
    <w:rsid w:val="001E2FA2"/>
    <w:rsid w:val="001E3454"/>
    <w:rsid w:val="001E3707"/>
    <w:rsid w:val="001E38F5"/>
    <w:rsid w:val="001E3C38"/>
    <w:rsid w:val="001E3CBA"/>
    <w:rsid w:val="001E3F3B"/>
    <w:rsid w:val="001E47F2"/>
    <w:rsid w:val="001E5874"/>
    <w:rsid w:val="001E6014"/>
    <w:rsid w:val="001E697A"/>
    <w:rsid w:val="001E6D60"/>
    <w:rsid w:val="001E73FB"/>
    <w:rsid w:val="001E78BA"/>
    <w:rsid w:val="001E7BBC"/>
    <w:rsid w:val="001F0C0F"/>
    <w:rsid w:val="001F0DD1"/>
    <w:rsid w:val="001F1065"/>
    <w:rsid w:val="001F1C21"/>
    <w:rsid w:val="001F23DD"/>
    <w:rsid w:val="001F2490"/>
    <w:rsid w:val="001F2664"/>
    <w:rsid w:val="001F2B5E"/>
    <w:rsid w:val="001F2C19"/>
    <w:rsid w:val="001F2E2A"/>
    <w:rsid w:val="001F30DC"/>
    <w:rsid w:val="001F3280"/>
    <w:rsid w:val="001F32BA"/>
    <w:rsid w:val="001F3382"/>
    <w:rsid w:val="001F35A7"/>
    <w:rsid w:val="001F3DEE"/>
    <w:rsid w:val="001F4402"/>
    <w:rsid w:val="001F44C6"/>
    <w:rsid w:val="001F44E7"/>
    <w:rsid w:val="001F46CF"/>
    <w:rsid w:val="001F4F13"/>
    <w:rsid w:val="001F4F1F"/>
    <w:rsid w:val="001F5A55"/>
    <w:rsid w:val="001F6276"/>
    <w:rsid w:val="001F62BC"/>
    <w:rsid w:val="001F7F39"/>
    <w:rsid w:val="002011FD"/>
    <w:rsid w:val="002016BC"/>
    <w:rsid w:val="00201CA5"/>
    <w:rsid w:val="00201DCD"/>
    <w:rsid w:val="00203577"/>
    <w:rsid w:val="00203682"/>
    <w:rsid w:val="0020380C"/>
    <w:rsid w:val="002047DD"/>
    <w:rsid w:val="0020532D"/>
    <w:rsid w:val="0020656F"/>
    <w:rsid w:val="00206773"/>
    <w:rsid w:val="00206888"/>
    <w:rsid w:val="002069C7"/>
    <w:rsid w:val="00206E78"/>
    <w:rsid w:val="00207929"/>
    <w:rsid w:val="00207A58"/>
    <w:rsid w:val="00207F45"/>
    <w:rsid w:val="00210014"/>
    <w:rsid w:val="00210132"/>
    <w:rsid w:val="00210519"/>
    <w:rsid w:val="0021058E"/>
    <w:rsid w:val="0021137D"/>
    <w:rsid w:val="00211EC9"/>
    <w:rsid w:val="00212AF0"/>
    <w:rsid w:val="00212BFC"/>
    <w:rsid w:val="00212E17"/>
    <w:rsid w:val="00212E31"/>
    <w:rsid w:val="0021307B"/>
    <w:rsid w:val="0021365D"/>
    <w:rsid w:val="002138F9"/>
    <w:rsid w:val="00213A06"/>
    <w:rsid w:val="00213CF0"/>
    <w:rsid w:val="0021400C"/>
    <w:rsid w:val="0021410F"/>
    <w:rsid w:val="00214131"/>
    <w:rsid w:val="00214BED"/>
    <w:rsid w:val="00214D15"/>
    <w:rsid w:val="002150BE"/>
    <w:rsid w:val="002155EB"/>
    <w:rsid w:val="00215772"/>
    <w:rsid w:val="0021641F"/>
    <w:rsid w:val="002166F8"/>
    <w:rsid w:val="00216ADF"/>
    <w:rsid w:val="00216BEF"/>
    <w:rsid w:val="00216EB0"/>
    <w:rsid w:val="00216FD8"/>
    <w:rsid w:val="00217292"/>
    <w:rsid w:val="00220BD5"/>
    <w:rsid w:val="00220D5F"/>
    <w:rsid w:val="00220E98"/>
    <w:rsid w:val="002210CF"/>
    <w:rsid w:val="002225C8"/>
    <w:rsid w:val="002226D0"/>
    <w:rsid w:val="002228A3"/>
    <w:rsid w:val="002228CB"/>
    <w:rsid w:val="00222CF5"/>
    <w:rsid w:val="00222CF7"/>
    <w:rsid w:val="00222FBE"/>
    <w:rsid w:val="00223393"/>
    <w:rsid w:val="00223666"/>
    <w:rsid w:val="00223E5F"/>
    <w:rsid w:val="0022407D"/>
    <w:rsid w:val="00224249"/>
    <w:rsid w:val="002255CF"/>
    <w:rsid w:val="0022572E"/>
    <w:rsid w:val="0022603D"/>
    <w:rsid w:val="0022730E"/>
    <w:rsid w:val="00227C5D"/>
    <w:rsid w:val="0023004F"/>
    <w:rsid w:val="00230C23"/>
    <w:rsid w:val="002317B8"/>
    <w:rsid w:val="00231FDF"/>
    <w:rsid w:val="0023214D"/>
    <w:rsid w:val="002321FB"/>
    <w:rsid w:val="00232FB7"/>
    <w:rsid w:val="00233199"/>
    <w:rsid w:val="00233779"/>
    <w:rsid w:val="00233D72"/>
    <w:rsid w:val="0023450E"/>
    <w:rsid w:val="002348E0"/>
    <w:rsid w:val="00235435"/>
    <w:rsid w:val="00235B70"/>
    <w:rsid w:val="00235F99"/>
    <w:rsid w:val="002364A7"/>
    <w:rsid w:val="002367AC"/>
    <w:rsid w:val="0023781A"/>
    <w:rsid w:val="002379BD"/>
    <w:rsid w:val="00237BC5"/>
    <w:rsid w:val="00240A0D"/>
    <w:rsid w:val="00240E30"/>
    <w:rsid w:val="002415D3"/>
    <w:rsid w:val="00241FA9"/>
    <w:rsid w:val="002422BA"/>
    <w:rsid w:val="002434E9"/>
    <w:rsid w:val="00243683"/>
    <w:rsid w:val="00243EA1"/>
    <w:rsid w:val="00244C1C"/>
    <w:rsid w:val="0024512C"/>
    <w:rsid w:val="0024591D"/>
    <w:rsid w:val="00245C97"/>
    <w:rsid w:val="002464D2"/>
    <w:rsid w:val="002470D0"/>
    <w:rsid w:val="00247BDA"/>
    <w:rsid w:val="00247F31"/>
    <w:rsid w:val="00247FFA"/>
    <w:rsid w:val="002506E4"/>
    <w:rsid w:val="002507C2"/>
    <w:rsid w:val="00250A43"/>
    <w:rsid w:val="00250BCD"/>
    <w:rsid w:val="00250BE8"/>
    <w:rsid w:val="00251296"/>
    <w:rsid w:val="00251853"/>
    <w:rsid w:val="0025205E"/>
    <w:rsid w:val="0025214A"/>
    <w:rsid w:val="00252A27"/>
    <w:rsid w:val="00252F36"/>
    <w:rsid w:val="002539C1"/>
    <w:rsid w:val="002542B5"/>
    <w:rsid w:val="00254AB3"/>
    <w:rsid w:val="00255191"/>
    <w:rsid w:val="00255A7D"/>
    <w:rsid w:val="002564AF"/>
    <w:rsid w:val="00256604"/>
    <w:rsid w:val="00256C69"/>
    <w:rsid w:val="0025707C"/>
    <w:rsid w:val="00257114"/>
    <w:rsid w:val="00257155"/>
    <w:rsid w:val="00257642"/>
    <w:rsid w:val="00257699"/>
    <w:rsid w:val="0025779B"/>
    <w:rsid w:val="00257E59"/>
    <w:rsid w:val="00260E9B"/>
    <w:rsid w:val="00260F12"/>
    <w:rsid w:val="00260F7D"/>
    <w:rsid w:val="00261273"/>
    <w:rsid w:val="002620BD"/>
    <w:rsid w:val="00262B5E"/>
    <w:rsid w:val="00262BCA"/>
    <w:rsid w:val="0026350A"/>
    <w:rsid w:val="00263ABA"/>
    <w:rsid w:val="002640F7"/>
    <w:rsid w:val="00264548"/>
    <w:rsid w:val="002648D0"/>
    <w:rsid w:val="00264A7F"/>
    <w:rsid w:val="00264B46"/>
    <w:rsid w:val="00264BE5"/>
    <w:rsid w:val="00264CCF"/>
    <w:rsid w:val="00264E98"/>
    <w:rsid w:val="0026502F"/>
    <w:rsid w:val="00265381"/>
    <w:rsid w:val="00265580"/>
    <w:rsid w:val="002656CF"/>
    <w:rsid w:val="00265A4B"/>
    <w:rsid w:val="002668D0"/>
    <w:rsid w:val="00266BCE"/>
    <w:rsid w:val="00266EAE"/>
    <w:rsid w:val="002670C1"/>
    <w:rsid w:val="00267128"/>
    <w:rsid w:val="00267379"/>
    <w:rsid w:val="002701C0"/>
    <w:rsid w:val="002704FA"/>
    <w:rsid w:val="00270D1F"/>
    <w:rsid w:val="00270FEB"/>
    <w:rsid w:val="00271132"/>
    <w:rsid w:val="00271382"/>
    <w:rsid w:val="00271939"/>
    <w:rsid w:val="002733E6"/>
    <w:rsid w:val="00273BF3"/>
    <w:rsid w:val="00273EAA"/>
    <w:rsid w:val="0027416F"/>
    <w:rsid w:val="00274704"/>
    <w:rsid w:val="00274CD9"/>
    <w:rsid w:val="00274EC7"/>
    <w:rsid w:val="002759AF"/>
    <w:rsid w:val="0027656A"/>
    <w:rsid w:val="002765C6"/>
    <w:rsid w:val="00276CAE"/>
    <w:rsid w:val="00276FD2"/>
    <w:rsid w:val="002772B7"/>
    <w:rsid w:val="002778C6"/>
    <w:rsid w:val="00277C4E"/>
    <w:rsid w:val="002800BC"/>
    <w:rsid w:val="002800DD"/>
    <w:rsid w:val="00280388"/>
    <w:rsid w:val="0028064E"/>
    <w:rsid w:val="0028068A"/>
    <w:rsid w:val="00280BCA"/>
    <w:rsid w:val="00281529"/>
    <w:rsid w:val="0028175C"/>
    <w:rsid w:val="002818C9"/>
    <w:rsid w:val="00282105"/>
    <w:rsid w:val="00282232"/>
    <w:rsid w:val="0028287A"/>
    <w:rsid w:val="00283ADB"/>
    <w:rsid w:val="00283B1E"/>
    <w:rsid w:val="00284886"/>
    <w:rsid w:val="00284A05"/>
    <w:rsid w:val="00284AFC"/>
    <w:rsid w:val="00284DC2"/>
    <w:rsid w:val="00284DFE"/>
    <w:rsid w:val="002851FE"/>
    <w:rsid w:val="00285CA5"/>
    <w:rsid w:val="00285F54"/>
    <w:rsid w:val="0028601D"/>
    <w:rsid w:val="002863FE"/>
    <w:rsid w:val="0028673E"/>
    <w:rsid w:val="00286B18"/>
    <w:rsid w:val="00286FB4"/>
    <w:rsid w:val="00287A64"/>
    <w:rsid w:val="00290223"/>
    <w:rsid w:val="002908BB"/>
    <w:rsid w:val="00290AB6"/>
    <w:rsid w:val="00290CC4"/>
    <w:rsid w:val="00291150"/>
    <w:rsid w:val="00291BB0"/>
    <w:rsid w:val="00291EB7"/>
    <w:rsid w:val="00292000"/>
    <w:rsid w:val="00292179"/>
    <w:rsid w:val="00292181"/>
    <w:rsid w:val="00292B6E"/>
    <w:rsid w:val="00292D7D"/>
    <w:rsid w:val="002934D0"/>
    <w:rsid w:val="00293617"/>
    <w:rsid w:val="00293706"/>
    <w:rsid w:val="00294522"/>
    <w:rsid w:val="002946B3"/>
    <w:rsid w:val="002947C0"/>
    <w:rsid w:val="00294B69"/>
    <w:rsid w:val="002961AA"/>
    <w:rsid w:val="0029620C"/>
    <w:rsid w:val="00296632"/>
    <w:rsid w:val="00296874"/>
    <w:rsid w:val="00296D28"/>
    <w:rsid w:val="00297001"/>
    <w:rsid w:val="00297556"/>
    <w:rsid w:val="002976D4"/>
    <w:rsid w:val="00297954"/>
    <w:rsid w:val="002979D3"/>
    <w:rsid w:val="00297EDC"/>
    <w:rsid w:val="002A0249"/>
    <w:rsid w:val="002A0621"/>
    <w:rsid w:val="002A0997"/>
    <w:rsid w:val="002A0AD2"/>
    <w:rsid w:val="002A1552"/>
    <w:rsid w:val="002A1CD2"/>
    <w:rsid w:val="002A1FBB"/>
    <w:rsid w:val="002A2DE1"/>
    <w:rsid w:val="002A2DEA"/>
    <w:rsid w:val="002A39B2"/>
    <w:rsid w:val="002A4B84"/>
    <w:rsid w:val="002A4E4F"/>
    <w:rsid w:val="002A5237"/>
    <w:rsid w:val="002A54C5"/>
    <w:rsid w:val="002A607D"/>
    <w:rsid w:val="002A6384"/>
    <w:rsid w:val="002A6449"/>
    <w:rsid w:val="002A67D0"/>
    <w:rsid w:val="002A7582"/>
    <w:rsid w:val="002A7E55"/>
    <w:rsid w:val="002A7EA0"/>
    <w:rsid w:val="002B04BC"/>
    <w:rsid w:val="002B04F7"/>
    <w:rsid w:val="002B2399"/>
    <w:rsid w:val="002B26CF"/>
    <w:rsid w:val="002B27C8"/>
    <w:rsid w:val="002B2D07"/>
    <w:rsid w:val="002B2D5E"/>
    <w:rsid w:val="002B3591"/>
    <w:rsid w:val="002B3A48"/>
    <w:rsid w:val="002B3ACA"/>
    <w:rsid w:val="002B5211"/>
    <w:rsid w:val="002B55C0"/>
    <w:rsid w:val="002B6566"/>
    <w:rsid w:val="002B6DED"/>
    <w:rsid w:val="002B7594"/>
    <w:rsid w:val="002C063B"/>
    <w:rsid w:val="002C0D31"/>
    <w:rsid w:val="002C0E51"/>
    <w:rsid w:val="002C12FB"/>
    <w:rsid w:val="002C13FF"/>
    <w:rsid w:val="002C1ED7"/>
    <w:rsid w:val="002C2493"/>
    <w:rsid w:val="002C2880"/>
    <w:rsid w:val="002C2A56"/>
    <w:rsid w:val="002C2A64"/>
    <w:rsid w:val="002C30E0"/>
    <w:rsid w:val="002C37FE"/>
    <w:rsid w:val="002C39E6"/>
    <w:rsid w:val="002C3C0C"/>
    <w:rsid w:val="002C40A4"/>
    <w:rsid w:val="002C4FE4"/>
    <w:rsid w:val="002C5269"/>
    <w:rsid w:val="002C5ACF"/>
    <w:rsid w:val="002C5E04"/>
    <w:rsid w:val="002C60EE"/>
    <w:rsid w:val="002C6332"/>
    <w:rsid w:val="002C6534"/>
    <w:rsid w:val="002C690D"/>
    <w:rsid w:val="002C6A08"/>
    <w:rsid w:val="002C6F43"/>
    <w:rsid w:val="002C716A"/>
    <w:rsid w:val="002C77F4"/>
    <w:rsid w:val="002C788A"/>
    <w:rsid w:val="002C7A14"/>
    <w:rsid w:val="002D0330"/>
    <w:rsid w:val="002D1688"/>
    <w:rsid w:val="002D1EC7"/>
    <w:rsid w:val="002D203A"/>
    <w:rsid w:val="002D2102"/>
    <w:rsid w:val="002D38F1"/>
    <w:rsid w:val="002D4276"/>
    <w:rsid w:val="002D4AB0"/>
    <w:rsid w:val="002D4B44"/>
    <w:rsid w:val="002D4C24"/>
    <w:rsid w:val="002D4D46"/>
    <w:rsid w:val="002D5121"/>
    <w:rsid w:val="002D563D"/>
    <w:rsid w:val="002D5D93"/>
    <w:rsid w:val="002D614D"/>
    <w:rsid w:val="002D649D"/>
    <w:rsid w:val="002D6FDC"/>
    <w:rsid w:val="002D709E"/>
    <w:rsid w:val="002D74DC"/>
    <w:rsid w:val="002D775F"/>
    <w:rsid w:val="002D7B90"/>
    <w:rsid w:val="002D7F4A"/>
    <w:rsid w:val="002E07FC"/>
    <w:rsid w:val="002E0C27"/>
    <w:rsid w:val="002E1013"/>
    <w:rsid w:val="002E128E"/>
    <w:rsid w:val="002E26DB"/>
    <w:rsid w:val="002E3500"/>
    <w:rsid w:val="002E352E"/>
    <w:rsid w:val="002E3840"/>
    <w:rsid w:val="002E3A37"/>
    <w:rsid w:val="002E3DE7"/>
    <w:rsid w:val="002E3F3A"/>
    <w:rsid w:val="002E4405"/>
    <w:rsid w:val="002E4409"/>
    <w:rsid w:val="002E45A0"/>
    <w:rsid w:val="002E4B3A"/>
    <w:rsid w:val="002E54A3"/>
    <w:rsid w:val="002E5633"/>
    <w:rsid w:val="002E5E28"/>
    <w:rsid w:val="002E6233"/>
    <w:rsid w:val="002E6A39"/>
    <w:rsid w:val="002E6D07"/>
    <w:rsid w:val="002E78DD"/>
    <w:rsid w:val="002E7CE6"/>
    <w:rsid w:val="002E7D24"/>
    <w:rsid w:val="002F0302"/>
    <w:rsid w:val="002F0A3D"/>
    <w:rsid w:val="002F0C3C"/>
    <w:rsid w:val="002F131C"/>
    <w:rsid w:val="002F174E"/>
    <w:rsid w:val="002F1DD2"/>
    <w:rsid w:val="002F1F22"/>
    <w:rsid w:val="002F2293"/>
    <w:rsid w:val="002F22E9"/>
    <w:rsid w:val="002F244A"/>
    <w:rsid w:val="002F250C"/>
    <w:rsid w:val="002F2B97"/>
    <w:rsid w:val="002F2D38"/>
    <w:rsid w:val="002F3180"/>
    <w:rsid w:val="002F3C7E"/>
    <w:rsid w:val="002F42BE"/>
    <w:rsid w:val="002F4533"/>
    <w:rsid w:val="002F4866"/>
    <w:rsid w:val="002F4C8E"/>
    <w:rsid w:val="002F52F7"/>
    <w:rsid w:val="002F5BC9"/>
    <w:rsid w:val="002F662C"/>
    <w:rsid w:val="002F6AD4"/>
    <w:rsid w:val="002F6DBF"/>
    <w:rsid w:val="002F70D8"/>
    <w:rsid w:val="002F70DD"/>
    <w:rsid w:val="002F72D9"/>
    <w:rsid w:val="002F7385"/>
    <w:rsid w:val="002F75F2"/>
    <w:rsid w:val="002F7C32"/>
    <w:rsid w:val="002F7C38"/>
    <w:rsid w:val="002F7D12"/>
    <w:rsid w:val="00300396"/>
    <w:rsid w:val="003006B9"/>
    <w:rsid w:val="00301733"/>
    <w:rsid w:val="00301793"/>
    <w:rsid w:val="00301833"/>
    <w:rsid w:val="00301D3C"/>
    <w:rsid w:val="0030200E"/>
    <w:rsid w:val="003026B6"/>
    <w:rsid w:val="00302E51"/>
    <w:rsid w:val="00302F6E"/>
    <w:rsid w:val="003031EC"/>
    <w:rsid w:val="003035CE"/>
    <w:rsid w:val="00303943"/>
    <w:rsid w:val="00303ECD"/>
    <w:rsid w:val="00304248"/>
    <w:rsid w:val="003044C0"/>
    <w:rsid w:val="00304622"/>
    <w:rsid w:val="00304F85"/>
    <w:rsid w:val="00305666"/>
    <w:rsid w:val="00305861"/>
    <w:rsid w:val="003065B7"/>
    <w:rsid w:val="00306DDF"/>
    <w:rsid w:val="00306E99"/>
    <w:rsid w:val="00306ED5"/>
    <w:rsid w:val="003071F3"/>
    <w:rsid w:val="00307DDB"/>
    <w:rsid w:val="003102EA"/>
    <w:rsid w:val="0031073F"/>
    <w:rsid w:val="003109B9"/>
    <w:rsid w:val="00312318"/>
    <w:rsid w:val="00312DBD"/>
    <w:rsid w:val="0031314F"/>
    <w:rsid w:val="0031431B"/>
    <w:rsid w:val="003146E6"/>
    <w:rsid w:val="00314BA6"/>
    <w:rsid w:val="0031519D"/>
    <w:rsid w:val="0031563B"/>
    <w:rsid w:val="00316A63"/>
    <w:rsid w:val="00316BB2"/>
    <w:rsid w:val="00316DB5"/>
    <w:rsid w:val="00316E1C"/>
    <w:rsid w:val="00316E6E"/>
    <w:rsid w:val="0031768D"/>
    <w:rsid w:val="00317AF9"/>
    <w:rsid w:val="00317BD6"/>
    <w:rsid w:val="003201F2"/>
    <w:rsid w:val="00320280"/>
    <w:rsid w:val="003209A9"/>
    <w:rsid w:val="00321113"/>
    <w:rsid w:val="00321137"/>
    <w:rsid w:val="003213FA"/>
    <w:rsid w:val="003215CE"/>
    <w:rsid w:val="003217B1"/>
    <w:rsid w:val="003217B3"/>
    <w:rsid w:val="00321F90"/>
    <w:rsid w:val="003221C4"/>
    <w:rsid w:val="00322509"/>
    <w:rsid w:val="00323F14"/>
    <w:rsid w:val="00323FA7"/>
    <w:rsid w:val="0032453F"/>
    <w:rsid w:val="0032494F"/>
    <w:rsid w:val="00324A9A"/>
    <w:rsid w:val="00324EDF"/>
    <w:rsid w:val="00326A5A"/>
    <w:rsid w:val="00326B06"/>
    <w:rsid w:val="00326F50"/>
    <w:rsid w:val="003301A6"/>
    <w:rsid w:val="003309B1"/>
    <w:rsid w:val="003318FA"/>
    <w:rsid w:val="003326C7"/>
    <w:rsid w:val="003326E8"/>
    <w:rsid w:val="00332757"/>
    <w:rsid w:val="00332F11"/>
    <w:rsid w:val="00333431"/>
    <w:rsid w:val="00333847"/>
    <w:rsid w:val="00333A72"/>
    <w:rsid w:val="00334396"/>
    <w:rsid w:val="003347A7"/>
    <w:rsid w:val="003347B0"/>
    <w:rsid w:val="003349C4"/>
    <w:rsid w:val="00334A71"/>
    <w:rsid w:val="003350A3"/>
    <w:rsid w:val="003355DF"/>
    <w:rsid w:val="003358CF"/>
    <w:rsid w:val="00335CED"/>
    <w:rsid w:val="00335F07"/>
    <w:rsid w:val="00336290"/>
    <w:rsid w:val="0033692D"/>
    <w:rsid w:val="00336C24"/>
    <w:rsid w:val="00337646"/>
    <w:rsid w:val="003379DF"/>
    <w:rsid w:val="00337A46"/>
    <w:rsid w:val="00340518"/>
    <w:rsid w:val="00340770"/>
    <w:rsid w:val="00340B5C"/>
    <w:rsid w:val="00340CF3"/>
    <w:rsid w:val="00341F7F"/>
    <w:rsid w:val="0034236A"/>
    <w:rsid w:val="003423C1"/>
    <w:rsid w:val="00342A94"/>
    <w:rsid w:val="00342FBE"/>
    <w:rsid w:val="00343266"/>
    <w:rsid w:val="003433D6"/>
    <w:rsid w:val="003435EC"/>
    <w:rsid w:val="00344969"/>
    <w:rsid w:val="00344BC1"/>
    <w:rsid w:val="00345B55"/>
    <w:rsid w:val="00346D82"/>
    <w:rsid w:val="00347915"/>
    <w:rsid w:val="00350214"/>
    <w:rsid w:val="003509B0"/>
    <w:rsid w:val="00351441"/>
    <w:rsid w:val="003519A6"/>
    <w:rsid w:val="00351EEF"/>
    <w:rsid w:val="003528BC"/>
    <w:rsid w:val="0035355A"/>
    <w:rsid w:val="00353994"/>
    <w:rsid w:val="00353A80"/>
    <w:rsid w:val="00353AFA"/>
    <w:rsid w:val="00353FB3"/>
    <w:rsid w:val="0035449E"/>
    <w:rsid w:val="00354605"/>
    <w:rsid w:val="00354990"/>
    <w:rsid w:val="00354EAC"/>
    <w:rsid w:val="003554D4"/>
    <w:rsid w:val="003555B4"/>
    <w:rsid w:val="00355C2E"/>
    <w:rsid w:val="0035625E"/>
    <w:rsid w:val="003576E8"/>
    <w:rsid w:val="00360825"/>
    <w:rsid w:val="00360A25"/>
    <w:rsid w:val="00360CEE"/>
    <w:rsid w:val="00360FC3"/>
    <w:rsid w:val="003612E6"/>
    <w:rsid w:val="003615BC"/>
    <w:rsid w:val="003625DC"/>
    <w:rsid w:val="00363702"/>
    <w:rsid w:val="00363794"/>
    <w:rsid w:val="00363A36"/>
    <w:rsid w:val="00363B74"/>
    <w:rsid w:val="00363F98"/>
    <w:rsid w:val="00363FAA"/>
    <w:rsid w:val="00363FC2"/>
    <w:rsid w:val="00364163"/>
    <w:rsid w:val="003643BB"/>
    <w:rsid w:val="0036634A"/>
    <w:rsid w:val="00366B3B"/>
    <w:rsid w:val="003671E5"/>
    <w:rsid w:val="00370017"/>
    <w:rsid w:val="003701EC"/>
    <w:rsid w:val="003716D1"/>
    <w:rsid w:val="0037176F"/>
    <w:rsid w:val="00373975"/>
    <w:rsid w:val="003739F2"/>
    <w:rsid w:val="00373F1B"/>
    <w:rsid w:val="00374CCA"/>
    <w:rsid w:val="00374CE2"/>
    <w:rsid w:val="00374E5A"/>
    <w:rsid w:val="00375875"/>
    <w:rsid w:val="00375892"/>
    <w:rsid w:val="003759F4"/>
    <w:rsid w:val="00376021"/>
    <w:rsid w:val="00376BEB"/>
    <w:rsid w:val="00376DA5"/>
    <w:rsid w:val="00376DC0"/>
    <w:rsid w:val="003773B7"/>
    <w:rsid w:val="00377A42"/>
    <w:rsid w:val="00377A91"/>
    <w:rsid w:val="00377F6A"/>
    <w:rsid w:val="00380421"/>
    <w:rsid w:val="00380928"/>
    <w:rsid w:val="00380C5E"/>
    <w:rsid w:val="003811D8"/>
    <w:rsid w:val="00381234"/>
    <w:rsid w:val="003816E1"/>
    <w:rsid w:val="003819BB"/>
    <w:rsid w:val="00381BE5"/>
    <w:rsid w:val="003823C1"/>
    <w:rsid w:val="00382789"/>
    <w:rsid w:val="00382835"/>
    <w:rsid w:val="00382A09"/>
    <w:rsid w:val="00382D41"/>
    <w:rsid w:val="00382DE8"/>
    <w:rsid w:val="003836B4"/>
    <w:rsid w:val="003838DE"/>
    <w:rsid w:val="0038401E"/>
    <w:rsid w:val="0038408B"/>
    <w:rsid w:val="00384608"/>
    <w:rsid w:val="00384815"/>
    <w:rsid w:val="00384EE0"/>
    <w:rsid w:val="00384EED"/>
    <w:rsid w:val="003855DE"/>
    <w:rsid w:val="0038659F"/>
    <w:rsid w:val="00386969"/>
    <w:rsid w:val="00386AEB"/>
    <w:rsid w:val="00386EF5"/>
    <w:rsid w:val="00386EF8"/>
    <w:rsid w:val="00387399"/>
    <w:rsid w:val="003873FF"/>
    <w:rsid w:val="003879CD"/>
    <w:rsid w:val="0039020C"/>
    <w:rsid w:val="0039055F"/>
    <w:rsid w:val="0039150C"/>
    <w:rsid w:val="003917B0"/>
    <w:rsid w:val="003919A6"/>
    <w:rsid w:val="00392012"/>
    <w:rsid w:val="003921EB"/>
    <w:rsid w:val="00392574"/>
    <w:rsid w:val="003936CD"/>
    <w:rsid w:val="00393A43"/>
    <w:rsid w:val="00394416"/>
    <w:rsid w:val="00394533"/>
    <w:rsid w:val="00394A3D"/>
    <w:rsid w:val="00394E79"/>
    <w:rsid w:val="0039506C"/>
    <w:rsid w:val="003951CB"/>
    <w:rsid w:val="003965B7"/>
    <w:rsid w:val="00397161"/>
    <w:rsid w:val="0039743D"/>
    <w:rsid w:val="003979DE"/>
    <w:rsid w:val="00397DCC"/>
    <w:rsid w:val="00397F8E"/>
    <w:rsid w:val="003A0162"/>
    <w:rsid w:val="003A0172"/>
    <w:rsid w:val="003A079B"/>
    <w:rsid w:val="003A092F"/>
    <w:rsid w:val="003A13FC"/>
    <w:rsid w:val="003A15BF"/>
    <w:rsid w:val="003A1F9D"/>
    <w:rsid w:val="003A21E6"/>
    <w:rsid w:val="003A3477"/>
    <w:rsid w:val="003A497B"/>
    <w:rsid w:val="003A4CB5"/>
    <w:rsid w:val="003A5243"/>
    <w:rsid w:val="003A5441"/>
    <w:rsid w:val="003A5951"/>
    <w:rsid w:val="003A5C02"/>
    <w:rsid w:val="003A63C8"/>
    <w:rsid w:val="003A69DF"/>
    <w:rsid w:val="003A6C16"/>
    <w:rsid w:val="003A6CA6"/>
    <w:rsid w:val="003A78A7"/>
    <w:rsid w:val="003A7F01"/>
    <w:rsid w:val="003A7F32"/>
    <w:rsid w:val="003A7F45"/>
    <w:rsid w:val="003B0225"/>
    <w:rsid w:val="003B02DC"/>
    <w:rsid w:val="003B05CC"/>
    <w:rsid w:val="003B0BED"/>
    <w:rsid w:val="003B0D95"/>
    <w:rsid w:val="003B0FB8"/>
    <w:rsid w:val="003B12BC"/>
    <w:rsid w:val="003B135C"/>
    <w:rsid w:val="003B13AA"/>
    <w:rsid w:val="003B155D"/>
    <w:rsid w:val="003B15D7"/>
    <w:rsid w:val="003B16B3"/>
    <w:rsid w:val="003B2168"/>
    <w:rsid w:val="003B27C6"/>
    <w:rsid w:val="003B2CAB"/>
    <w:rsid w:val="003B375D"/>
    <w:rsid w:val="003B4386"/>
    <w:rsid w:val="003B44AD"/>
    <w:rsid w:val="003B4616"/>
    <w:rsid w:val="003B4685"/>
    <w:rsid w:val="003B46A7"/>
    <w:rsid w:val="003B4F09"/>
    <w:rsid w:val="003B5172"/>
    <w:rsid w:val="003B554D"/>
    <w:rsid w:val="003B5D4E"/>
    <w:rsid w:val="003B5FD6"/>
    <w:rsid w:val="003B5FF0"/>
    <w:rsid w:val="003B6815"/>
    <w:rsid w:val="003B6A45"/>
    <w:rsid w:val="003B6ABF"/>
    <w:rsid w:val="003B75D3"/>
    <w:rsid w:val="003B78D7"/>
    <w:rsid w:val="003C04D1"/>
    <w:rsid w:val="003C108E"/>
    <w:rsid w:val="003C1159"/>
    <w:rsid w:val="003C139B"/>
    <w:rsid w:val="003C143A"/>
    <w:rsid w:val="003C2067"/>
    <w:rsid w:val="003C24E0"/>
    <w:rsid w:val="003C2618"/>
    <w:rsid w:val="003C2833"/>
    <w:rsid w:val="003C29CE"/>
    <w:rsid w:val="003C2D6C"/>
    <w:rsid w:val="003C300D"/>
    <w:rsid w:val="003C3EA4"/>
    <w:rsid w:val="003C4025"/>
    <w:rsid w:val="003C429E"/>
    <w:rsid w:val="003C4724"/>
    <w:rsid w:val="003C4A1E"/>
    <w:rsid w:val="003C4CEF"/>
    <w:rsid w:val="003C5787"/>
    <w:rsid w:val="003C5BD0"/>
    <w:rsid w:val="003C5D6B"/>
    <w:rsid w:val="003C5E8B"/>
    <w:rsid w:val="003C5FA7"/>
    <w:rsid w:val="003C6633"/>
    <w:rsid w:val="003C68D2"/>
    <w:rsid w:val="003C7133"/>
    <w:rsid w:val="003C75ED"/>
    <w:rsid w:val="003D048C"/>
    <w:rsid w:val="003D0BC4"/>
    <w:rsid w:val="003D130C"/>
    <w:rsid w:val="003D1EDD"/>
    <w:rsid w:val="003D34C6"/>
    <w:rsid w:val="003D3631"/>
    <w:rsid w:val="003D3D78"/>
    <w:rsid w:val="003D3F98"/>
    <w:rsid w:val="003D41E9"/>
    <w:rsid w:val="003D42F9"/>
    <w:rsid w:val="003D537F"/>
    <w:rsid w:val="003D57CF"/>
    <w:rsid w:val="003D5ED1"/>
    <w:rsid w:val="003D5F02"/>
    <w:rsid w:val="003D6C5A"/>
    <w:rsid w:val="003D773C"/>
    <w:rsid w:val="003D785F"/>
    <w:rsid w:val="003D79DA"/>
    <w:rsid w:val="003D7AE9"/>
    <w:rsid w:val="003D7C44"/>
    <w:rsid w:val="003E01BC"/>
    <w:rsid w:val="003E03AC"/>
    <w:rsid w:val="003E0A91"/>
    <w:rsid w:val="003E109A"/>
    <w:rsid w:val="003E1143"/>
    <w:rsid w:val="003E11EF"/>
    <w:rsid w:val="003E14B9"/>
    <w:rsid w:val="003E2006"/>
    <w:rsid w:val="003E24C5"/>
    <w:rsid w:val="003E286A"/>
    <w:rsid w:val="003E3AD3"/>
    <w:rsid w:val="003E4935"/>
    <w:rsid w:val="003E49BB"/>
    <w:rsid w:val="003E4A59"/>
    <w:rsid w:val="003E4AE1"/>
    <w:rsid w:val="003E4BDB"/>
    <w:rsid w:val="003E55FC"/>
    <w:rsid w:val="003E69E6"/>
    <w:rsid w:val="003E6AF6"/>
    <w:rsid w:val="003E78D1"/>
    <w:rsid w:val="003F0B9E"/>
    <w:rsid w:val="003F0C9C"/>
    <w:rsid w:val="003F1114"/>
    <w:rsid w:val="003F147C"/>
    <w:rsid w:val="003F1520"/>
    <w:rsid w:val="003F17ED"/>
    <w:rsid w:val="003F1D82"/>
    <w:rsid w:val="003F1FA7"/>
    <w:rsid w:val="003F274A"/>
    <w:rsid w:val="003F2857"/>
    <w:rsid w:val="003F2A87"/>
    <w:rsid w:val="003F2BAD"/>
    <w:rsid w:val="003F3D93"/>
    <w:rsid w:val="003F3EEA"/>
    <w:rsid w:val="003F4231"/>
    <w:rsid w:val="003F53C0"/>
    <w:rsid w:val="003F542F"/>
    <w:rsid w:val="003F55C7"/>
    <w:rsid w:val="003F5EEC"/>
    <w:rsid w:val="003F63DF"/>
    <w:rsid w:val="003F64D4"/>
    <w:rsid w:val="003F7372"/>
    <w:rsid w:val="0040027E"/>
    <w:rsid w:val="00401194"/>
    <w:rsid w:val="00401303"/>
    <w:rsid w:val="0040197D"/>
    <w:rsid w:val="004019F7"/>
    <w:rsid w:val="00401CAD"/>
    <w:rsid w:val="00401FE2"/>
    <w:rsid w:val="00401FFE"/>
    <w:rsid w:val="0040289E"/>
    <w:rsid w:val="00402D4F"/>
    <w:rsid w:val="00402DD0"/>
    <w:rsid w:val="00403834"/>
    <w:rsid w:val="00403844"/>
    <w:rsid w:val="00403FB7"/>
    <w:rsid w:val="00404681"/>
    <w:rsid w:val="0040553C"/>
    <w:rsid w:val="00405962"/>
    <w:rsid w:val="00405DA3"/>
    <w:rsid w:val="00405EEC"/>
    <w:rsid w:val="0040617A"/>
    <w:rsid w:val="004068C6"/>
    <w:rsid w:val="00406BD1"/>
    <w:rsid w:val="00406C7D"/>
    <w:rsid w:val="0040728D"/>
    <w:rsid w:val="004075E0"/>
    <w:rsid w:val="00407686"/>
    <w:rsid w:val="00407718"/>
    <w:rsid w:val="004079A5"/>
    <w:rsid w:val="00407A30"/>
    <w:rsid w:val="004102ED"/>
    <w:rsid w:val="00410924"/>
    <w:rsid w:val="0041118D"/>
    <w:rsid w:val="004120A0"/>
    <w:rsid w:val="0041283F"/>
    <w:rsid w:val="00412F1C"/>
    <w:rsid w:val="004130EA"/>
    <w:rsid w:val="0041363B"/>
    <w:rsid w:val="00413970"/>
    <w:rsid w:val="0041449E"/>
    <w:rsid w:val="004149A9"/>
    <w:rsid w:val="00414CFB"/>
    <w:rsid w:val="00414DD6"/>
    <w:rsid w:val="004155BB"/>
    <w:rsid w:val="004161B0"/>
    <w:rsid w:val="00416666"/>
    <w:rsid w:val="00416DE8"/>
    <w:rsid w:val="00417023"/>
    <w:rsid w:val="00417034"/>
    <w:rsid w:val="0041733E"/>
    <w:rsid w:val="00420616"/>
    <w:rsid w:val="00420E1C"/>
    <w:rsid w:val="0042119B"/>
    <w:rsid w:val="00422EEF"/>
    <w:rsid w:val="004235D1"/>
    <w:rsid w:val="0042369D"/>
    <w:rsid w:val="00423AA5"/>
    <w:rsid w:val="0042425C"/>
    <w:rsid w:val="00424595"/>
    <w:rsid w:val="00424818"/>
    <w:rsid w:val="0042487B"/>
    <w:rsid w:val="004249D5"/>
    <w:rsid w:val="00425782"/>
    <w:rsid w:val="004257AB"/>
    <w:rsid w:val="00425A31"/>
    <w:rsid w:val="00425FCB"/>
    <w:rsid w:val="00426C66"/>
    <w:rsid w:val="00426FE7"/>
    <w:rsid w:val="004270E2"/>
    <w:rsid w:val="00427735"/>
    <w:rsid w:val="00430778"/>
    <w:rsid w:val="004312BA"/>
    <w:rsid w:val="00431887"/>
    <w:rsid w:val="00431B69"/>
    <w:rsid w:val="00431D01"/>
    <w:rsid w:val="00431F81"/>
    <w:rsid w:val="004326F8"/>
    <w:rsid w:val="00433162"/>
    <w:rsid w:val="004333AC"/>
    <w:rsid w:val="0043359D"/>
    <w:rsid w:val="004338F3"/>
    <w:rsid w:val="00433AFF"/>
    <w:rsid w:val="004351F3"/>
    <w:rsid w:val="0043555A"/>
    <w:rsid w:val="004358A9"/>
    <w:rsid w:val="004359E8"/>
    <w:rsid w:val="00435ED9"/>
    <w:rsid w:val="00435EE8"/>
    <w:rsid w:val="00436665"/>
    <w:rsid w:val="004367C7"/>
    <w:rsid w:val="004368F6"/>
    <w:rsid w:val="00436A4F"/>
    <w:rsid w:val="00437411"/>
    <w:rsid w:val="004374C8"/>
    <w:rsid w:val="00437567"/>
    <w:rsid w:val="0043768C"/>
    <w:rsid w:val="00440746"/>
    <w:rsid w:val="00441220"/>
    <w:rsid w:val="00442945"/>
    <w:rsid w:val="00442B8A"/>
    <w:rsid w:val="00442E93"/>
    <w:rsid w:val="00443CC4"/>
    <w:rsid w:val="00443D10"/>
    <w:rsid w:val="004440AE"/>
    <w:rsid w:val="0044410E"/>
    <w:rsid w:val="00445248"/>
    <w:rsid w:val="00445710"/>
    <w:rsid w:val="004465CC"/>
    <w:rsid w:val="004465DA"/>
    <w:rsid w:val="004467E7"/>
    <w:rsid w:val="00446BFC"/>
    <w:rsid w:val="00446D69"/>
    <w:rsid w:val="00446E4D"/>
    <w:rsid w:val="00447AC1"/>
    <w:rsid w:val="00450697"/>
    <w:rsid w:val="00450B7B"/>
    <w:rsid w:val="00451000"/>
    <w:rsid w:val="00451329"/>
    <w:rsid w:val="0045188F"/>
    <w:rsid w:val="00451D1C"/>
    <w:rsid w:val="0045217E"/>
    <w:rsid w:val="004525C7"/>
    <w:rsid w:val="00453233"/>
    <w:rsid w:val="004535E3"/>
    <w:rsid w:val="0045372D"/>
    <w:rsid w:val="00453A61"/>
    <w:rsid w:val="00453CFD"/>
    <w:rsid w:val="00454004"/>
    <w:rsid w:val="004545DA"/>
    <w:rsid w:val="004548ED"/>
    <w:rsid w:val="00454AF4"/>
    <w:rsid w:val="00454E31"/>
    <w:rsid w:val="00454E73"/>
    <w:rsid w:val="00455558"/>
    <w:rsid w:val="00455A66"/>
    <w:rsid w:val="00455C3D"/>
    <w:rsid w:val="00455CB5"/>
    <w:rsid w:val="00455E92"/>
    <w:rsid w:val="004560A1"/>
    <w:rsid w:val="0045611E"/>
    <w:rsid w:val="004566EC"/>
    <w:rsid w:val="004567D7"/>
    <w:rsid w:val="004577A6"/>
    <w:rsid w:val="00457810"/>
    <w:rsid w:val="004579EA"/>
    <w:rsid w:val="00457C94"/>
    <w:rsid w:val="004604D3"/>
    <w:rsid w:val="004609AB"/>
    <w:rsid w:val="0046102C"/>
    <w:rsid w:val="00461198"/>
    <w:rsid w:val="00461B8F"/>
    <w:rsid w:val="004625C3"/>
    <w:rsid w:val="00462814"/>
    <w:rsid w:val="0046308B"/>
    <w:rsid w:val="00463965"/>
    <w:rsid w:val="004640F1"/>
    <w:rsid w:val="004646DB"/>
    <w:rsid w:val="004647C2"/>
    <w:rsid w:val="00464800"/>
    <w:rsid w:val="00464EB5"/>
    <w:rsid w:val="00465407"/>
    <w:rsid w:val="00465697"/>
    <w:rsid w:val="00465B46"/>
    <w:rsid w:val="00466301"/>
    <w:rsid w:val="004669C9"/>
    <w:rsid w:val="00467373"/>
    <w:rsid w:val="004674A3"/>
    <w:rsid w:val="00467EEE"/>
    <w:rsid w:val="004701C8"/>
    <w:rsid w:val="004705F7"/>
    <w:rsid w:val="004705FD"/>
    <w:rsid w:val="004706DB"/>
    <w:rsid w:val="004708DE"/>
    <w:rsid w:val="00470D8A"/>
    <w:rsid w:val="00471926"/>
    <w:rsid w:val="004719B9"/>
    <w:rsid w:val="00471A74"/>
    <w:rsid w:val="00471D13"/>
    <w:rsid w:val="00472159"/>
    <w:rsid w:val="00472509"/>
    <w:rsid w:val="0047295D"/>
    <w:rsid w:val="00472F70"/>
    <w:rsid w:val="00473360"/>
    <w:rsid w:val="004735BC"/>
    <w:rsid w:val="00473D9A"/>
    <w:rsid w:val="004744A9"/>
    <w:rsid w:val="00474D44"/>
    <w:rsid w:val="0047509A"/>
    <w:rsid w:val="004754C9"/>
    <w:rsid w:val="00475569"/>
    <w:rsid w:val="0047562E"/>
    <w:rsid w:val="004760EA"/>
    <w:rsid w:val="00476BF3"/>
    <w:rsid w:val="00476CD8"/>
    <w:rsid w:val="00477045"/>
    <w:rsid w:val="004771EF"/>
    <w:rsid w:val="004774CB"/>
    <w:rsid w:val="00477BCA"/>
    <w:rsid w:val="00480306"/>
    <w:rsid w:val="004806A4"/>
    <w:rsid w:val="004808C9"/>
    <w:rsid w:val="00480A70"/>
    <w:rsid w:val="00480E0F"/>
    <w:rsid w:val="00480E1F"/>
    <w:rsid w:val="004813C7"/>
    <w:rsid w:val="00481DF3"/>
    <w:rsid w:val="00482312"/>
    <w:rsid w:val="0048281A"/>
    <w:rsid w:val="00482DA0"/>
    <w:rsid w:val="004830C6"/>
    <w:rsid w:val="00483274"/>
    <w:rsid w:val="0048337F"/>
    <w:rsid w:val="004833BB"/>
    <w:rsid w:val="00483C35"/>
    <w:rsid w:val="00484352"/>
    <w:rsid w:val="00484B41"/>
    <w:rsid w:val="00484C41"/>
    <w:rsid w:val="00484C60"/>
    <w:rsid w:val="00484D5B"/>
    <w:rsid w:val="004863AA"/>
    <w:rsid w:val="0048700E"/>
    <w:rsid w:val="004872C9"/>
    <w:rsid w:val="00487A19"/>
    <w:rsid w:val="00490359"/>
    <w:rsid w:val="00490850"/>
    <w:rsid w:val="004908C0"/>
    <w:rsid w:val="00491542"/>
    <w:rsid w:val="00491A47"/>
    <w:rsid w:val="00492592"/>
    <w:rsid w:val="0049264D"/>
    <w:rsid w:val="00492D73"/>
    <w:rsid w:val="00492F48"/>
    <w:rsid w:val="0049312B"/>
    <w:rsid w:val="00494448"/>
    <w:rsid w:val="004961BA"/>
    <w:rsid w:val="00496732"/>
    <w:rsid w:val="004967DC"/>
    <w:rsid w:val="00496A9D"/>
    <w:rsid w:val="00496F6F"/>
    <w:rsid w:val="0049702C"/>
    <w:rsid w:val="004971D3"/>
    <w:rsid w:val="00497631"/>
    <w:rsid w:val="00497826"/>
    <w:rsid w:val="004A0081"/>
    <w:rsid w:val="004A01C6"/>
    <w:rsid w:val="004A027B"/>
    <w:rsid w:val="004A0343"/>
    <w:rsid w:val="004A05AB"/>
    <w:rsid w:val="004A1074"/>
    <w:rsid w:val="004A1090"/>
    <w:rsid w:val="004A1C31"/>
    <w:rsid w:val="004A2197"/>
    <w:rsid w:val="004A231F"/>
    <w:rsid w:val="004A2A24"/>
    <w:rsid w:val="004A3A26"/>
    <w:rsid w:val="004A3D40"/>
    <w:rsid w:val="004A416E"/>
    <w:rsid w:val="004A4946"/>
    <w:rsid w:val="004A4C45"/>
    <w:rsid w:val="004A4CFB"/>
    <w:rsid w:val="004A4D36"/>
    <w:rsid w:val="004A5A68"/>
    <w:rsid w:val="004A6050"/>
    <w:rsid w:val="004A6271"/>
    <w:rsid w:val="004A6339"/>
    <w:rsid w:val="004A65E2"/>
    <w:rsid w:val="004A66CB"/>
    <w:rsid w:val="004A6CC9"/>
    <w:rsid w:val="004A6EB1"/>
    <w:rsid w:val="004A7317"/>
    <w:rsid w:val="004A7470"/>
    <w:rsid w:val="004A78C8"/>
    <w:rsid w:val="004B0032"/>
    <w:rsid w:val="004B03CE"/>
    <w:rsid w:val="004B0592"/>
    <w:rsid w:val="004B0C98"/>
    <w:rsid w:val="004B191B"/>
    <w:rsid w:val="004B1B2B"/>
    <w:rsid w:val="004B1B3A"/>
    <w:rsid w:val="004B1D80"/>
    <w:rsid w:val="004B30D7"/>
    <w:rsid w:val="004B3711"/>
    <w:rsid w:val="004B3DBB"/>
    <w:rsid w:val="004B4034"/>
    <w:rsid w:val="004B40C2"/>
    <w:rsid w:val="004B43D7"/>
    <w:rsid w:val="004B4863"/>
    <w:rsid w:val="004B49DD"/>
    <w:rsid w:val="004B4DD5"/>
    <w:rsid w:val="004B4FFE"/>
    <w:rsid w:val="004B5B9B"/>
    <w:rsid w:val="004B5DC5"/>
    <w:rsid w:val="004B62EA"/>
    <w:rsid w:val="004B6451"/>
    <w:rsid w:val="004B6740"/>
    <w:rsid w:val="004B6CEA"/>
    <w:rsid w:val="004B71FD"/>
    <w:rsid w:val="004B7953"/>
    <w:rsid w:val="004B7A65"/>
    <w:rsid w:val="004B7BDE"/>
    <w:rsid w:val="004C0055"/>
    <w:rsid w:val="004C0090"/>
    <w:rsid w:val="004C02EC"/>
    <w:rsid w:val="004C08D8"/>
    <w:rsid w:val="004C16EC"/>
    <w:rsid w:val="004C1C45"/>
    <w:rsid w:val="004C235B"/>
    <w:rsid w:val="004C2463"/>
    <w:rsid w:val="004C2A6F"/>
    <w:rsid w:val="004C2D34"/>
    <w:rsid w:val="004C33F7"/>
    <w:rsid w:val="004C3478"/>
    <w:rsid w:val="004C34A3"/>
    <w:rsid w:val="004C3B26"/>
    <w:rsid w:val="004C433A"/>
    <w:rsid w:val="004C4603"/>
    <w:rsid w:val="004C4B01"/>
    <w:rsid w:val="004C4D66"/>
    <w:rsid w:val="004C5620"/>
    <w:rsid w:val="004C5664"/>
    <w:rsid w:val="004C58F7"/>
    <w:rsid w:val="004C699F"/>
    <w:rsid w:val="004C6EC4"/>
    <w:rsid w:val="004C7349"/>
    <w:rsid w:val="004C7792"/>
    <w:rsid w:val="004C7810"/>
    <w:rsid w:val="004C7F0D"/>
    <w:rsid w:val="004D0613"/>
    <w:rsid w:val="004D0905"/>
    <w:rsid w:val="004D0B4D"/>
    <w:rsid w:val="004D0F51"/>
    <w:rsid w:val="004D1792"/>
    <w:rsid w:val="004D1C40"/>
    <w:rsid w:val="004D2016"/>
    <w:rsid w:val="004D20DB"/>
    <w:rsid w:val="004D2A5D"/>
    <w:rsid w:val="004D3123"/>
    <w:rsid w:val="004D449C"/>
    <w:rsid w:val="004D4B8E"/>
    <w:rsid w:val="004D56A4"/>
    <w:rsid w:val="004D62CD"/>
    <w:rsid w:val="004D7749"/>
    <w:rsid w:val="004D7835"/>
    <w:rsid w:val="004D7A9B"/>
    <w:rsid w:val="004D7D29"/>
    <w:rsid w:val="004D7E44"/>
    <w:rsid w:val="004E04B7"/>
    <w:rsid w:val="004E0E1C"/>
    <w:rsid w:val="004E115C"/>
    <w:rsid w:val="004E18E5"/>
    <w:rsid w:val="004E1F0E"/>
    <w:rsid w:val="004E2196"/>
    <w:rsid w:val="004E275C"/>
    <w:rsid w:val="004E28E7"/>
    <w:rsid w:val="004E2908"/>
    <w:rsid w:val="004E35FB"/>
    <w:rsid w:val="004E36A9"/>
    <w:rsid w:val="004E376D"/>
    <w:rsid w:val="004E39B6"/>
    <w:rsid w:val="004E4020"/>
    <w:rsid w:val="004E4AAE"/>
    <w:rsid w:val="004E5206"/>
    <w:rsid w:val="004E5898"/>
    <w:rsid w:val="004E632D"/>
    <w:rsid w:val="004E7209"/>
    <w:rsid w:val="004E7253"/>
    <w:rsid w:val="004E75F5"/>
    <w:rsid w:val="004E7B5E"/>
    <w:rsid w:val="004E7B89"/>
    <w:rsid w:val="004E7FAB"/>
    <w:rsid w:val="004F01D4"/>
    <w:rsid w:val="004F0A05"/>
    <w:rsid w:val="004F0BA4"/>
    <w:rsid w:val="004F0CA3"/>
    <w:rsid w:val="004F12C5"/>
    <w:rsid w:val="004F1376"/>
    <w:rsid w:val="004F1CF1"/>
    <w:rsid w:val="004F2242"/>
    <w:rsid w:val="004F25A5"/>
    <w:rsid w:val="004F28CD"/>
    <w:rsid w:val="004F35B1"/>
    <w:rsid w:val="004F3B62"/>
    <w:rsid w:val="004F3F12"/>
    <w:rsid w:val="004F417B"/>
    <w:rsid w:val="004F46B3"/>
    <w:rsid w:val="004F470E"/>
    <w:rsid w:val="004F4819"/>
    <w:rsid w:val="004F484C"/>
    <w:rsid w:val="004F4EE6"/>
    <w:rsid w:val="004F4F58"/>
    <w:rsid w:val="004F528A"/>
    <w:rsid w:val="004F5891"/>
    <w:rsid w:val="004F5E7D"/>
    <w:rsid w:val="004F6626"/>
    <w:rsid w:val="004F731A"/>
    <w:rsid w:val="005002FC"/>
    <w:rsid w:val="00500D22"/>
    <w:rsid w:val="00501CB6"/>
    <w:rsid w:val="00501FDE"/>
    <w:rsid w:val="005030CC"/>
    <w:rsid w:val="005031BE"/>
    <w:rsid w:val="0050367B"/>
    <w:rsid w:val="00503967"/>
    <w:rsid w:val="00503D0C"/>
    <w:rsid w:val="0050429C"/>
    <w:rsid w:val="0050453B"/>
    <w:rsid w:val="005048A7"/>
    <w:rsid w:val="005049EB"/>
    <w:rsid w:val="00504F23"/>
    <w:rsid w:val="005054BA"/>
    <w:rsid w:val="005070DD"/>
    <w:rsid w:val="005078F7"/>
    <w:rsid w:val="0051105B"/>
    <w:rsid w:val="005112C3"/>
    <w:rsid w:val="0051173B"/>
    <w:rsid w:val="005123A4"/>
    <w:rsid w:val="005123F4"/>
    <w:rsid w:val="00512602"/>
    <w:rsid w:val="00512AE8"/>
    <w:rsid w:val="005131F4"/>
    <w:rsid w:val="0051344F"/>
    <w:rsid w:val="005140B7"/>
    <w:rsid w:val="005149DD"/>
    <w:rsid w:val="005150C0"/>
    <w:rsid w:val="00515272"/>
    <w:rsid w:val="005154A0"/>
    <w:rsid w:val="005163B0"/>
    <w:rsid w:val="005166E7"/>
    <w:rsid w:val="0051679A"/>
    <w:rsid w:val="0051681C"/>
    <w:rsid w:val="005168A6"/>
    <w:rsid w:val="00516DB1"/>
    <w:rsid w:val="00516E17"/>
    <w:rsid w:val="0051763F"/>
    <w:rsid w:val="00517930"/>
    <w:rsid w:val="0051798F"/>
    <w:rsid w:val="00517E78"/>
    <w:rsid w:val="00520485"/>
    <w:rsid w:val="005206F6"/>
    <w:rsid w:val="005209D0"/>
    <w:rsid w:val="00520E28"/>
    <w:rsid w:val="0052161C"/>
    <w:rsid w:val="00521AA9"/>
    <w:rsid w:val="00521B8D"/>
    <w:rsid w:val="00521C21"/>
    <w:rsid w:val="00522052"/>
    <w:rsid w:val="005220BB"/>
    <w:rsid w:val="00522400"/>
    <w:rsid w:val="00522E2E"/>
    <w:rsid w:val="0052309D"/>
    <w:rsid w:val="005231E0"/>
    <w:rsid w:val="005234C6"/>
    <w:rsid w:val="005234E8"/>
    <w:rsid w:val="00523F39"/>
    <w:rsid w:val="00524741"/>
    <w:rsid w:val="00524932"/>
    <w:rsid w:val="00524CDA"/>
    <w:rsid w:val="00525009"/>
    <w:rsid w:val="005251FD"/>
    <w:rsid w:val="005253A0"/>
    <w:rsid w:val="00525619"/>
    <w:rsid w:val="0052592F"/>
    <w:rsid w:val="00525BD5"/>
    <w:rsid w:val="00525DD1"/>
    <w:rsid w:val="005307A4"/>
    <w:rsid w:val="005307C7"/>
    <w:rsid w:val="00530F53"/>
    <w:rsid w:val="00531046"/>
    <w:rsid w:val="005313B9"/>
    <w:rsid w:val="005317B1"/>
    <w:rsid w:val="00531B65"/>
    <w:rsid w:val="00531F87"/>
    <w:rsid w:val="005325C2"/>
    <w:rsid w:val="005326FD"/>
    <w:rsid w:val="00532817"/>
    <w:rsid w:val="00533E07"/>
    <w:rsid w:val="00534087"/>
    <w:rsid w:val="00534655"/>
    <w:rsid w:val="00534A27"/>
    <w:rsid w:val="0053582B"/>
    <w:rsid w:val="00535CE5"/>
    <w:rsid w:val="00535F92"/>
    <w:rsid w:val="005360A6"/>
    <w:rsid w:val="00536968"/>
    <w:rsid w:val="00537305"/>
    <w:rsid w:val="0053733C"/>
    <w:rsid w:val="00537574"/>
    <w:rsid w:val="00537C35"/>
    <w:rsid w:val="005408F6"/>
    <w:rsid w:val="00541068"/>
    <w:rsid w:val="005423BF"/>
    <w:rsid w:val="005425D3"/>
    <w:rsid w:val="00542710"/>
    <w:rsid w:val="00543046"/>
    <w:rsid w:val="00543068"/>
    <w:rsid w:val="005433AD"/>
    <w:rsid w:val="0054367E"/>
    <w:rsid w:val="00543A5F"/>
    <w:rsid w:val="00543B65"/>
    <w:rsid w:val="00543C65"/>
    <w:rsid w:val="0054416E"/>
    <w:rsid w:val="00545192"/>
    <w:rsid w:val="00545A5C"/>
    <w:rsid w:val="00545B9B"/>
    <w:rsid w:val="00546340"/>
    <w:rsid w:val="00546FAA"/>
    <w:rsid w:val="00547874"/>
    <w:rsid w:val="00547A61"/>
    <w:rsid w:val="00547FA2"/>
    <w:rsid w:val="005506FB"/>
    <w:rsid w:val="00550790"/>
    <w:rsid w:val="0055134A"/>
    <w:rsid w:val="0055298A"/>
    <w:rsid w:val="00552D8A"/>
    <w:rsid w:val="005530B2"/>
    <w:rsid w:val="005530E8"/>
    <w:rsid w:val="005532E8"/>
    <w:rsid w:val="00553CB1"/>
    <w:rsid w:val="00553F23"/>
    <w:rsid w:val="0055443E"/>
    <w:rsid w:val="00554C02"/>
    <w:rsid w:val="0055570E"/>
    <w:rsid w:val="00555B8E"/>
    <w:rsid w:val="005563E3"/>
    <w:rsid w:val="005567AA"/>
    <w:rsid w:val="00556D43"/>
    <w:rsid w:val="005577BE"/>
    <w:rsid w:val="00557CF3"/>
    <w:rsid w:val="00560303"/>
    <w:rsid w:val="00560400"/>
    <w:rsid w:val="00561034"/>
    <w:rsid w:val="00561120"/>
    <w:rsid w:val="005613BA"/>
    <w:rsid w:val="00561B3C"/>
    <w:rsid w:val="00562917"/>
    <w:rsid w:val="0056295D"/>
    <w:rsid w:val="00563312"/>
    <w:rsid w:val="0056333E"/>
    <w:rsid w:val="00563679"/>
    <w:rsid w:val="005637AB"/>
    <w:rsid w:val="0056391D"/>
    <w:rsid w:val="00564FD9"/>
    <w:rsid w:val="00565231"/>
    <w:rsid w:val="00565377"/>
    <w:rsid w:val="00565712"/>
    <w:rsid w:val="005658F3"/>
    <w:rsid w:val="00565ACA"/>
    <w:rsid w:val="00565F31"/>
    <w:rsid w:val="0056604E"/>
    <w:rsid w:val="005661E8"/>
    <w:rsid w:val="00566A32"/>
    <w:rsid w:val="00566D4D"/>
    <w:rsid w:val="0056754F"/>
    <w:rsid w:val="00567AF1"/>
    <w:rsid w:val="00567DD2"/>
    <w:rsid w:val="0057030B"/>
    <w:rsid w:val="00570595"/>
    <w:rsid w:val="00570949"/>
    <w:rsid w:val="005709C1"/>
    <w:rsid w:val="00570A87"/>
    <w:rsid w:val="005718AD"/>
    <w:rsid w:val="005722CC"/>
    <w:rsid w:val="00572B2B"/>
    <w:rsid w:val="0057345E"/>
    <w:rsid w:val="0057354F"/>
    <w:rsid w:val="00574537"/>
    <w:rsid w:val="00574895"/>
    <w:rsid w:val="00574DD2"/>
    <w:rsid w:val="00574EBF"/>
    <w:rsid w:val="00575994"/>
    <w:rsid w:val="00575D47"/>
    <w:rsid w:val="0057603B"/>
    <w:rsid w:val="005762A1"/>
    <w:rsid w:val="005775E7"/>
    <w:rsid w:val="00577860"/>
    <w:rsid w:val="00577A44"/>
    <w:rsid w:val="0058078A"/>
    <w:rsid w:val="00580C2A"/>
    <w:rsid w:val="00581101"/>
    <w:rsid w:val="00581552"/>
    <w:rsid w:val="0058209C"/>
    <w:rsid w:val="00582B86"/>
    <w:rsid w:val="00584409"/>
    <w:rsid w:val="00584978"/>
    <w:rsid w:val="00584AC0"/>
    <w:rsid w:val="00584FEF"/>
    <w:rsid w:val="00585098"/>
    <w:rsid w:val="00585E24"/>
    <w:rsid w:val="00586D49"/>
    <w:rsid w:val="00587101"/>
    <w:rsid w:val="0058741A"/>
    <w:rsid w:val="005901A2"/>
    <w:rsid w:val="0059042C"/>
    <w:rsid w:val="00590D4D"/>
    <w:rsid w:val="00591077"/>
    <w:rsid w:val="00591188"/>
    <w:rsid w:val="0059169F"/>
    <w:rsid w:val="00591708"/>
    <w:rsid w:val="005920F6"/>
    <w:rsid w:val="00592771"/>
    <w:rsid w:val="00592B09"/>
    <w:rsid w:val="00592CEE"/>
    <w:rsid w:val="00593162"/>
    <w:rsid w:val="005935BA"/>
    <w:rsid w:val="0059366D"/>
    <w:rsid w:val="00593A07"/>
    <w:rsid w:val="005944FD"/>
    <w:rsid w:val="005947E9"/>
    <w:rsid w:val="00594C50"/>
    <w:rsid w:val="00594DB5"/>
    <w:rsid w:val="00595F50"/>
    <w:rsid w:val="00595F8F"/>
    <w:rsid w:val="005968CC"/>
    <w:rsid w:val="00596DED"/>
    <w:rsid w:val="00597125"/>
    <w:rsid w:val="00597585"/>
    <w:rsid w:val="00597C67"/>
    <w:rsid w:val="005A036F"/>
    <w:rsid w:val="005A053F"/>
    <w:rsid w:val="005A06C2"/>
    <w:rsid w:val="005A0A89"/>
    <w:rsid w:val="005A0DA4"/>
    <w:rsid w:val="005A0F1A"/>
    <w:rsid w:val="005A106C"/>
    <w:rsid w:val="005A11EA"/>
    <w:rsid w:val="005A18C6"/>
    <w:rsid w:val="005A19EA"/>
    <w:rsid w:val="005A1D1D"/>
    <w:rsid w:val="005A360C"/>
    <w:rsid w:val="005A3A1C"/>
    <w:rsid w:val="005A4412"/>
    <w:rsid w:val="005A4491"/>
    <w:rsid w:val="005A4ED1"/>
    <w:rsid w:val="005A5A61"/>
    <w:rsid w:val="005A5F10"/>
    <w:rsid w:val="005A5FE4"/>
    <w:rsid w:val="005A6EF5"/>
    <w:rsid w:val="005A714F"/>
    <w:rsid w:val="005A722B"/>
    <w:rsid w:val="005A72A5"/>
    <w:rsid w:val="005A77D8"/>
    <w:rsid w:val="005A7A2B"/>
    <w:rsid w:val="005A7B79"/>
    <w:rsid w:val="005A7BF3"/>
    <w:rsid w:val="005A7C85"/>
    <w:rsid w:val="005B061E"/>
    <w:rsid w:val="005B0B9E"/>
    <w:rsid w:val="005B1E72"/>
    <w:rsid w:val="005B20F0"/>
    <w:rsid w:val="005B2222"/>
    <w:rsid w:val="005B236B"/>
    <w:rsid w:val="005B29A9"/>
    <w:rsid w:val="005B2CBC"/>
    <w:rsid w:val="005B32A8"/>
    <w:rsid w:val="005B350E"/>
    <w:rsid w:val="005B38E3"/>
    <w:rsid w:val="005B423A"/>
    <w:rsid w:val="005B4585"/>
    <w:rsid w:val="005B46FB"/>
    <w:rsid w:val="005B49EE"/>
    <w:rsid w:val="005B4CBC"/>
    <w:rsid w:val="005B4F25"/>
    <w:rsid w:val="005B570F"/>
    <w:rsid w:val="005B617D"/>
    <w:rsid w:val="005B6701"/>
    <w:rsid w:val="005B6748"/>
    <w:rsid w:val="005B6C50"/>
    <w:rsid w:val="005B6C73"/>
    <w:rsid w:val="005C0C90"/>
    <w:rsid w:val="005C1375"/>
    <w:rsid w:val="005C1742"/>
    <w:rsid w:val="005C1EB2"/>
    <w:rsid w:val="005C2650"/>
    <w:rsid w:val="005C34D2"/>
    <w:rsid w:val="005C385A"/>
    <w:rsid w:val="005C3FFA"/>
    <w:rsid w:val="005C5091"/>
    <w:rsid w:val="005C50E9"/>
    <w:rsid w:val="005C57D3"/>
    <w:rsid w:val="005C6195"/>
    <w:rsid w:val="005C65B9"/>
    <w:rsid w:val="005C6B3B"/>
    <w:rsid w:val="005C720F"/>
    <w:rsid w:val="005C758A"/>
    <w:rsid w:val="005C7F15"/>
    <w:rsid w:val="005D001B"/>
    <w:rsid w:val="005D0339"/>
    <w:rsid w:val="005D0C92"/>
    <w:rsid w:val="005D169C"/>
    <w:rsid w:val="005D17AA"/>
    <w:rsid w:val="005D2187"/>
    <w:rsid w:val="005D248E"/>
    <w:rsid w:val="005D2943"/>
    <w:rsid w:val="005D325E"/>
    <w:rsid w:val="005D376F"/>
    <w:rsid w:val="005D38B0"/>
    <w:rsid w:val="005D3F0D"/>
    <w:rsid w:val="005D4145"/>
    <w:rsid w:val="005D472F"/>
    <w:rsid w:val="005D4F87"/>
    <w:rsid w:val="005D5F58"/>
    <w:rsid w:val="005D6265"/>
    <w:rsid w:val="005D6BF9"/>
    <w:rsid w:val="005D70BA"/>
    <w:rsid w:val="005D7296"/>
    <w:rsid w:val="005D7361"/>
    <w:rsid w:val="005D7DF6"/>
    <w:rsid w:val="005E0714"/>
    <w:rsid w:val="005E0E52"/>
    <w:rsid w:val="005E0E72"/>
    <w:rsid w:val="005E1137"/>
    <w:rsid w:val="005E1B4E"/>
    <w:rsid w:val="005E1E58"/>
    <w:rsid w:val="005E2A7C"/>
    <w:rsid w:val="005E32CF"/>
    <w:rsid w:val="005E3571"/>
    <w:rsid w:val="005E374F"/>
    <w:rsid w:val="005E377F"/>
    <w:rsid w:val="005E3B3D"/>
    <w:rsid w:val="005E3FD1"/>
    <w:rsid w:val="005E40E4"/>
    <w:rsid w:val="005E4730"/>
    <w:rsid w:val="005E4B4B"/>
    <w:rsid w:val="005E5296"/>
    <w:rsid w:val="005E63AE"/>
    <w:rsid w:val="005E6666"/>
    <w:rsid w:val="005E7026"/>
    <w:rsid w:val="005E7152"/>
    <w:rsid w:val="005E7265"/>
    <w:rsid w:val="005E77D3"/>
    <w:rsid w:val="005E79A2"/>
    <w:rsid w:val="005F0184"/>
    <w:rsid w:val="005F093B"/>
    <w:rsid w:val="005F12BB"/>
    <w:rsid w:val="005F1487"/>
    <w:rsid w:val="005F161D"/>
    <w:rsid w:val="005F1C16"/>
    <w:rsid w:val="005F1C87"/>
    <w:rsid w:val="005F1CA5"/>
    <w:rsid w:val="005F21D1"/>
    <w:rsid w:val="005F29CE"/>
    <w:rsid w:val="005F2A59"/>
    <w:rsid w:val="005F2B52"/>
    <w:rsid w:val="005F2F03"/>
    <w:rsid w:val="005F3C1E"/>
    <w:rsid w:val="005F3E4F"/>
    <w:rsid w:val="005F431D"/>
    <w:rsid w:val="005F481D"/>
    <w:rsid w:val="005F4B1E"/>
    <w:rsid w:val="005F52D4"/>
    <w:rsid w:val="005F5A25"/>
    <w:rsid w:val="005F5AEA"/>
    <w:rsid w:val="005F73DB"/>
    <w:rsid w:val="005F77D5"/>
    <w:rsid w:val="005F7A32"/>
    <w:rsid w:val="005F7BDD"/>
    <w:rsid w:val="0060018E"/>
    <w:rsid w:val="006006A4"/>
    <w:rsid w:val="00600A53"/>
    <w:rsid w:val="00600CFD"/>
    <w:rsid w:val="00600E08"/>
    <w:rsid w:val="006014CB"/>
    <w:rsid w:val="0060176A"/>
    <w:rsid w:val="00601B51"/>
    <w:rsid w:val="00601F14"/>
    <w:rsid w:val="006021D2"/>
    <w:rsid w:val="006025D5"/>
    <w:rsid w:val="006035E8"/>
    <w:rsid w:val="00603798"/>
    <w:rsid w:val="00603CF2"/>
    <w:rsid w:val="00604B44"/>
    <w:rsid w:val="00604E7B"/>
    <w:rsid w:val="0060502A"/>
    <w:rsid w:val="00605407"/>
    <w:rsid w:val="00605BA4"/>
    <w:rsid w:val="00606AA2"/>
    <w:rsid w:val="00607452"/>
    <w:rsid w:val="00607CB5"/>
    <w:rsid w:val="00610494"/>
    <w:rsid w:val="00610875"/>
    <w:rsid w:val="0061090E"/>
    <w:rsid w:val="00611240"/>
    <w:rsid w:val="006113DE"/>
    <w:rsid w:val="00611C37"/>
    <w:rsid w:val="0061200F"/>
    <w:rsid w:val="00612628"/>
    <w:rsid w:val="006127AB"/>
    <w:rsid w:val="00613053"/>
    <w:rsid w:val="006134CC"/>
    <w:rsid w:val="00613A01"/>
    <w:rsid w:val="00613D5E"/>
    <w:rsid w:val="006140E1"/>
    <w:rsid w:val="00614174"/>
    <w:rsid w:val="00614A29"/>
    <w:rsid w:val="00614C86"/>
    <w:rsid w:val="00614E24"/>
    <w:rsid w:val="00614FCC"/>
    <w:rsid w:val="0061564B"/>
    <w:rsid w:val="00615E87"/>
    <w:rsid w:val="00615EA1"/>
    <w:rsid w:val="00616779"/>
    <w:rsid w:val="006168A5"/>
    <w:rsid w:val="00616E58"/>
    <w:rsid w:val="006176BD"/>
    <w:rsid w:val="00617B27"/>
    <w:rsid w:val="006208E8"/>
    <w:rsid w:val="00620B45"/>
    <w:rsid w:val="00620CE5"/>
    <w:rsid w:val="0062126C"/>
    <w:rsid w:val="00621DCE"/>
    <w:rsid w:val="006221E5"/>
    <w:rsid w:val="0062270D"/>
    <w:rsid w:val="00622789"/>
    <w:rsid w:val="00622EBD"/>
    <w:rsid w:val="0062388E"/>
    <w:rsid w:val="00623CBB"/>
    <w:rsid w:val="00624086"/>
    <w:rsid w:val="00624645"/>
    <w:rsid w:val="00624C6E"/>
    <w:rsid w:val="00624FBC"/>
    <w:rsid w:val="00625233"/>
    <w:rsid w:val="0062530B"/>
    <w:rsid w:val="006260CD"/>
    <w:rsid w:val="0062614D"/>
    <w:rsid w:val="00626472"/>
    <w:rsid w:val="00626E03"/>
    <w:rsid w:val="0063021F"/>
    <w:rsid w:val="006310B6"/>
    <w:rsid w:val="00631351"/>
    <w:rsid w:val="006314DC"/>
    <w:rsid w:val="00631876"/>
    <w:rsid w:val="00631B69"/>
    <w:rsid w:val="006324C1"/>
    <w:rsid w:val="00632592"/>
    <w:rsid w:val="006327F3"/>
    <w:rsid w:val="00632876"/>
    <w:rsid w:val="00633113"/>
    <w:rsid w:val="00633392"/>
    <w:rsid w:val="00633BED"/>
    <w:rsid w:val="006343DF"/>
    <w:rsid w:val="006346FD"/>
    <w:rsid w:val="0063477E"/>
    <w:rsid w:val="006348F7"/>
    <w:rsid w:val="00635C3E"/>
    <w:rsid w:val="006370E1"/>
    <w:rsid w:val="006372EF"/>
    <w:rsid w:val="00637B16"/>
    <w:rsid w:val="00637C04"/>
    <w:rsid w:val="00637C7A"/>
    <w:rsid w:val="00640803"/>
    <w:rsid w:val="00640987"/>
    <w:rsid w:val="006411EE"/>
    <w:rsid w:val="00641373"/>
    <w:rsid w:val="006415F6"/>
    <w:rsid w:val="006418BB"/>
    <w:rsid w:val="00641B71"/>
    <w:rsid w:val="00641D18"/>
    <w:rsid w:val="006425C2"/>
    <w:rsid w:val="00642B48"/>
    <w:rsid w:val="00642F27"/>
    <w:rsid w:val="006431BB"/>
    <w:rsid w:val="0064347F"/>
    <w:rsid w:val="00644238"/>
    <w:rsid w:val="00644B0A"/>
    <w:rsid w:val="00644B12"/>
    <w:rsid w:val="006455DF"/>
    <w:rsid w:val="00645CA6"/>
    <w:rsid w:val="0064617F"/>
    <w:rsid w:val="006461A8"/>
    <w:rsid w:val="006464EF"/>
    <w:rsid w:val="006465A3"/>
    <w:rsid w:val="006466F9"/>
    <w:rsid w:val="00646708"/>
    <w:rsid w:val="006471B9"/>
    <w:rsid w:val="00647A69"/>
    <w:rsid w:val="00647ACB"/>
    <w:rsid w:val="006504E0"/>
    <w:rsid w:val="006509A8"/>
    <w:rsid w:val="00650FDE"/>
    <w:rsid w:val="00651511"/>
    <w:rsid w:val="006525BD"/>
    <w:rsid w:val="0065296D"/>
    <w:rsid w:val="0065297C"/>
    <w:rsid w:val="0065388C"/>
    <w:rsid w:val="0065441A"/>
    <w:rsid w:val="006546F3"/>
    <w:rsid w:val="00654BF7"/>
    <w:rsid w:val="00654EA2"/>
    <w:rsid w:val="0065527E"/>
    <w:rsid w:val="006553FE"/>
    <w:rsid w:val="0065544A"/>
    <w:rsid w:val="0065561A"/>
    <w:rsid w:val="00655AB7"/>
    <w:rsid w:val="00655C8E"/>
    <w:rsid w:val="00655CD6"/>
    <w:rsid w:val="00656090"/>
    <w:rsid w:val="00656185"/>
    <w:rsid w:val="00656246"/>
    <w:rsid w:val="006572A1"/>
    <w:rsid w:val="006578D4"/>
    <w:rsid w:val="00657A72"/>
    <w:rsid w:val="00657B7F"/>
    <w:rsid w:val="00660A52"/>
    <w:rsid w:val="00661029"/>
    <w:rsid w:val="006610ED"/>
    <w:rsid w:val="0066178C"/>
    <w:rsid w:val="006617C4"/>
    <w:rsid w:val="00661D74"/>
    <w:rsid w:val="006620CA"/>
    <w:rsid w:val="00662166"/>
    <w:rsid w:val="00662269"/>
    <w:rsid w:val="00662507"/>
    <w:rsid w:val="006636F4"/>
    <w:rsid w:val="00663AB8"/>
    <w:rsid w:val="00664069"/>
    <w:rsid w:val="0066462C"/>
    <w:rsid w:val="006649A2"/>
    <w:rsid w:val="00665F89"/>
    <w:rsid w:val="0066611A"/>
    <w:rsid w:val="00666218"/>
    <w:rsid w:val="006665B5"/>
    <w:rsid w:val="00666FBB"/>
    <w:rsid w:val="006672F5"/>
    <w:rsid w:val="0066760C"/>
    <w:rsid w:val="006676AE"/>
    <w:rsid w:val="00667784"/>
    <w:rsid w:val="00667B0E"/>
    <w:rsid w:val="00670C6F"/>
    <w:rsid w:val="00670D78"/>
    <w:rsid w:val="00671110"/>
    <w:rsid w:val="00671AF4"/>
    <w:rsid w:val="006724C1"/>
    <w:rsid w:val="00672F88"/>
    <w:rsid w:val="006733E1"/>
    <w:rsid w:val="00673494"/>
    <w:rsid w:val="006734AE"/>
    <w:rsid w:val="00673C1A"/>
    <w:rsid w:val="0067494D"/>
    <w:rsid w:val="00674AEC"/>
    <w:rsid w:val="00675A3B"/>
    <w:rsid w:val="00675D19"/>
    <w:rsid w:val="006766C0"/>
    <w:rsid w:val="00676C82"/>
    <w:rsid w:val="00676FD8"/>
    <w:rsid w:val="00677866"/>
    <w:rsid w:val="006800CE"/>
    <w:rsid w:val="006809CD"/>
    <w:rsid w:val="00680AF6"/>
    <w:rsid w:val="00680E70"/>
    <w:rsid w:val="00680ED4"/>
    <w:rsid w:val="00681075"/>
    <w:rsid w:val="0068131B"/>
    <w:rsid w:val="006814F3"/>
    <w:rsid w:val="006821FA"/>
    <w:rsid w:val="00682233"/>
    <w:rsid w:val="00683145"/>
    <w:rsid w:val="0068458A"/>
    <w:rsid w:val="006846AB"/>
    <w:rsid w:val="0068497F"/>
    <w:rsid w:val="0068501F"/>
    <w:rsid w:val="0068668F"/>
    <w:rsid w:val="00686C62"/>
    <w:rsid w:val="006906DD"/>
    <w:rsid w:val="00690E7E"/>
    <w:rsid w:val="0069164B"/>
    <w:rsid w:val="00691978"/>
    <w:rsid w:val="00691C0F"/>
    <w:rsid w:val="00691F23"/>
    <w:rsid w:val="00692DC8"/>
    <w:rsid w:val="00692E5C"/>
    <w:rsid w:val="00692F7A"/>
    <w:rsid w:val="00693330"/>
    <w:rsid w:val="00693FEA"/>
    <w:rsid w:val="00694290"/>
    <w:rsid w:val="006949B4"/>
    <w:rsid w:val="00695265"/>
    <w:rsid w:val="006954E1"/>
    <w:rsid w:val="006956F2"/>
    <w:rsid w:val="00695A12"/>
    <w:rsid w:val="00695B82"/>
    <w:rsid w:val="00696946"/>
    <w:rsid w:val="006969BC"/>
    <w:rsid w:val="00696C36"/>
    <w:rsid w:val="006970F0"/>
    <w:rsid w:val="00697109"/>
    <w:rsid w:val="006973CD"/>
    <w:rsid w:val="0069755A"/>
    <w:rsid w:val="00697729"/>
    <w:rsid w:val="00697836"/>
    <w:rsid w:val="006A087D"/>
    <w:rsid w:val="006A0893"/>
    <w:rsid w:val="006A0E1C"/>
    <w:rsid w:val="006A1436"/>
    <w:rsid w:val="006A1A77"/>
    <w:rsid w:val="006A1B6B"/>
    <w:rsid w:val="006A1C99"/>
    <w:rsid w:val="006A1DBF"/>
    <w:rsid w:val="006A204E"/>
    <w:rsid w:val="006A239A"/>
    <w:rsid w:val="006A271A"/>
    <w:rsid w:val="006A2AFA"/>
    <w:rsid w:val="006A3444"/>
    <w:rsid w:val="006A3539"/>
    <w:rsid w:val="006A408F"/>
    <w:rsid w:val="006A4975"/>
    <w:rsid w:val="006A4F05"/>
    <w:rsid w:val="006A54AD"/>
    <w:rsid w:val="006A6386"/>
    <w:rsid w:val="006A6669"/>
    <w:rsid w:val="006A67D8"/>
    <w:rsid w:val="006A6FE7"/>
    <w:rsid w:val="006A700F"/>
    <w:rsid w:val="006A7012"/>
    <w:rsid w:val="006A7079"/>
    <w:rsid w:val="006A712A"/>
    <w:rsid w:val="006A7D69"/>
    <w:rsid w:val="006B068E"/>
    <w:rsid w:val="006B0885"/>
    <w:rsid w:val="006B15F5"/>
    <w:rsid w:val="006B1B9F"/>
    <w:rsid w:val="006B1C81"/>
    <w:rsid w:val="006B1D0E"/>
    <w:rsid w:val="006B2C46"/>
    <w:rsid w:val="006B2CB8"/>
    <w:rsid w:val="006B2E0F"/>
    <w:rsid w:val="006B3668"/>
    <w:rsid w:val="006B3790"/>
    <w:rsid w:val="006B4064"/>
    <w:rsid w:val="006B47B2"/>
    <w:rsid w:val="006B4A44"/>
    <w:rsid w:val="006B58BC"/>
    <w:rsid w:val="006B5A9F"/>
    <w:rsid w:val="006B5B3B"/>
    <w:rsid w:val="006B5D43"/>
    <w:rsid w:val="006B5D48"/>
    <w:rsid w:val="006B6EFE"/>
    <w:rsid w:val="006B6FA6"/>
    <w:rsid w:val="006B7D28"/>
    <w:rsid w:val="006C0420"/>
    <w:rsid w:val="006C0A74"/>
    <w:rsid w:val="006C1344"/>
    <w:rsid w:val="006C148E"/>
    <w:rsid w:val="006C2369"/>
    <w:rsid w:val="006C2478"/>
    <w:rsid w:val="006C25B4"/>
    <w:rsid w:val="006C2CCD"/>
    <w:rsid w:val="006C2FC4"/>
    <w:rsid w:val="006C37F0"/>
    <w:rsid w:val="006C42AC"/>
    <w:rsid w:val="006C465E"/>
    <w:rsid w:val="006C469C"/>
    <w:rsid w:val="006C46FA"/>
    <w:rsid w:val="006C4CAD"/>
    <w:rsid w:val="006C4DC5"/>
    <w:rsid w:val="006C4DCC"/>
    <w:rsid w:val="006C5471"/>
    <w:rsid w:val="006C59DE"/>
    <w:rsid w:val="006C5A40"/>
    <w:rsid w:val="006C5B5A"/>
    <w:rsid w:val="006C5B73"/>
    <w:rsid w:val="006C5D5C"/>
    <w:rsid w:val="006C6DFC"/>
    <w:rsid w:val="006C6EE4"/>
    <w:rsid w:val="006C79A0"/>
    <w:rsid w:val="006C7DC2"/>
    <w:rsid w:val="006D02E5"/>
    <w:rsid w:val="006D0796"/>
    <w:rsid w:val="006D0AC5"/>
    <w:rsid w:val="006D0BAA"/>
    <w:rsid w:val="006D1589"/>
    <w:rsid w:val="006D18D9"/>
    <w:rsid w:val="006D21A5"/>
    <w:rsid w:val="006D2D83"/>
    <w:rsid w:val="006D36C5"/>
    <w:rsid w:val="006D36C7"/>
    <w:rsid w:val="006D522A"/>
    <w:rsid w:val="006D5517"/>
    <w:rsid w:val="006D58F4"/>
    <w:rsid w:val="006D5A07"/>
    <w:rsid w:val="006D5E75"/>
    <w:rsid w:val="006D69F6"/>
    <w:rsid w:val="006D6E12"/>
    <w:rsid w:val="006D70ED"/>
    <w:rsid w:val="006D743C"/>
    <w:rsid w:val="006D7539"/>
    <w:rsid w:val="006D7B12"/>
    <w:rsid w:val="006D7C2C"/>
    <w:rsid w:val="006D7C33"/>
    <w:rsid w:val="006D7C50"/>
    <w:rsid w:val="006E035F"/>
    <w:rsid w:val="006E04C9"/>
    <w:rsid w:val="006E0637"/>
    <w:rsid w:val="006E07ED"/>
    <w:rsid w:val="006E0A25"/>
    <w:rsid w:val="006E0C12"/>
    <w:rsid w:val="006E1161"/>
    <w:rsid w:val="006E1301"/>
    <w:rsid w:val="006E131A"/>
    <w:rsid w:val="006E18E7"/>
    <w:rsid w:val="006E18EF"/>
    <w:rsid w:val="006E1D4C"/>
    <w:rsid w:val="006E25A9"/>
    <w:rsid w:val="006E27B9"/>
    <w:rsid w:val="006E2F2B"/>
    <w:rsid w:val="006E418A"/>
    <w:rsid w:val="006E42E4"/>
    <w:rsid w:val="006E5416"/>
    <w:rsid w:val="006E55DF"/>
    <w:rsid w:val="006E5812"/>
    <w:rsid w:val="006E5D2D"/>
    <w:rsid w:val="006E6C72"/>
    <w:rsid w:val="006F0731"/>
    <w:rsid w:val="006F1542"/>
    <w:rsid w:val="006F1EE7"/>
    <w:rsid w:val="006F20A5"/>
    <w:rsid w:val="006F2350"/>
    <w:rsid w:val="006F25E2"/>
    <w:rsid w:val="006F3323"/>
    <w:rsid w:val="006F3745"/>
    <w:rsid w:val="006F3B54"/>
    <w:rsid w:val="006F3E9C"/>
    <w:rsid w:val="006F4282"/>
    <w:rsid w:val="006F4C6F"/>
    <w:rsid w:val="006F504B"/>
    <w:rsid w:val="006F524A"/>
    <w:rsid w:val="006F57BC"/>
    <w:rsid w:val="006F60F9"/>
    <w:rsid w:val="006F65F1"/>
    <w:rsid w:val="006F67F9"/>
    <w:rsid w:val="006F6AB0"/>
    <w:rsid w:val="006F6C46"/>
    <w:rsid w:val="006F6EDB"/>
    <w:rsid w:val="00701186"/>
    <w:rsid w:val="0070151E"/>
    <w:rsid w:val="007015D5"/>
    <w:rsid w:val="00701867"/>
    <w:rsid w:val="00701FB9"/>
    <w:rsid w:val="0070201B"/>
    <w:rsid w:val="00702A9E"/>
    <w:rsid w:val="00702E5D"/>
    <w:rsid w:val="00703435"/>
    <w:rsid w:val="00703CDB"/>
    <w:rsid w:val="00704106"/>
    <w:rsid w:val="00704139"/>
    <w:rsid w:val="007042BC"/>
    <w:rsid w:val="00704644"/>
    <w:rsid w:val="00705072"/>
    <w:rsid w:val="0070578B"/>
    <w:rsid w:val="00705CD8"/>
    <w:rsid w:val="00705F54"/>
    <w:rsid w:val="0070631F"/>
    <w:rsid w:val="007067B6"/>
    <w:rsid w:val="00707EF8"/>
    <w:rsid w:val="00710508"/>
    <w:rsid w:val="00710D6A"/>
    <w:rsid w:val="00711788"/>
    <w:rsid w:val="00712A83"/>
    <w:rsid w:val="00712F6A"/>
    <w:rsid w:val="00713554"/>
    <w:rsid w:val="0071396A"/>
    <w:rsid w:val="00713D35"/>
    <w:rsid w:val="00713DD6"/>
    <w:rsid w:val="0071401A"/>
    <w:rsid w:val="00714104"/>
    <w:rsid w:val="007142C7"/>
    <w:rsid w:val="00714436"/>
    <w:rsid w:val="00714797"/>
    <w:rsid w:val="0071517E"/>
    <w:rsid w:val="00716499"/>
    <w:rsid w:val="0071787D"/>
    <w:rsid w:val="00717F63"/>
    <w:rsid w:val="0072004F"/>
    <w:rsid w:val="00720894"/>
    <w:rsid w:val="00720923"/>
    <w:rsid w:val="00720F8F"/>
    <w:rsid w:val="007218B9"/>
    <w:rsid w:val="00721D4D"/>
    <w:rsid w:val="00722481"/>
    <w:rsid w:val="00722BCF"/>
    <w:rsid w:val="00722FAE"/>
    <w:rsid w:val="00723961"/>
    <w:rsid w:val="007239C6"/>
    <w:rsid w:val="00723CF4"/>
    <w:rsid w:val="007248CE"/>
    <w:rsid w:val="00724BDE"/>
    <w:rsid w:val="00724C77"/>
    <w:rsid w:val="0072592A"/>
    <w:rsid w:val="00726778"/>
    <w:rsid w:val="00726899"/>
    <w:rsid w:val="00726935"/>
    <w:rsid w:val="0073076A"/>
    <w:rsid w:val="0073145D"/>
    <w:rsid w:val="007314A1"/>
    <w:rsid w:val="00731FBA"/>
    <w:rsid w:val="00732225"/>
    <w:rsid w:val="007328DA"/>
    <w:rsid w:val="00732C33"/>
    <w:rsid w:val="00734AE4"/>
    <w:rsid w:val="00734C0A"/>
    <w:rsid w:val="00734DF9"/>
    <w:rsid w:val="00735F25"/>
    <w:rsid w:val="0073634C"/>
    <w:rsid w:val="0073668C"/>
    <w:rsid w:val="00736B0A"/>
    <w:rsid w:val="00736C22"/>
    <w:rsid w:val="00737525"/>
    <w:rsid w:val="007379F4"/>
    <w:rsid w:val="00737A00"/>
    <w:rsid w:val="00737D3C"/>
    <w:rsid w:val="00740769"/>
    <w:rsid w:val="007409DC"/>
    <w:rsid w:val="00740B40"/>
    <w:rsid w:val="00740DD3"/>
    <w:rsid w:val="00740DEC"/>
    <w:rsid w:val="007416FB"/>
    <w:rsid w:val="007418C6"/>
    <w:rsid w:val="00741BF6"/>
    <w:rsid w:val="00741D7D"/>
    <w:rsid w:val="00742252"/>
    <w:rsid w:val="007422EF"/>
    <w:rsid w:val="007423AE"/>
    <w:rsid w:val="00742437"/>
    <w:rsid w:val="00743BC4"/>
    <w:rsid w:val="00743FED"/>
    <w:rsid w:val="007440E0"/>
    <w:rsid w:val="00744831"/>
    <w:rsid w:val="007448B8"/>
    <w:rsid w:val="00746517"/>
    <w:rsid w:val="00746525"/>
    <w:rsid w:val="0074675E"/>
    <w:rsid w:val="0074768B"/>
    <w:rsid w:val="0074785C"/>
    <w:rsid w:val="00747896"/>
    <w:rsid w:val="00747F5E"/>
    <w:rsid w:val="007502B9"/>
    <w:rsid w:val="00750CFE"/>
    <w:rsid w:val="00751557"/>
    <w:rsid w:val="00751707"/>
    <w:rsid w:val="00751CC5"/>
    <w:rsid w:val="007522CC"/>
    <w:rsid w:val="007523DA"/>
    <w:rsid w:val="00752778"/>
    <w:rsid w:val="007530E6"/>
    <w:rsid w:val="00753341"/>
    <w:rsid w:val="00753935"/>
    <w:rsid w:val="00753BE4"/>
    <w:rsid w:val="00753EB6"/>
    <w:rsid w:val="00753EC7"/>
    <w:rsid w:val="00754565"/>
    <w:rsid w:val="007549BB"/>
    <w:rsid w:val="00754D7A"/>
    <w:rsid w:val="00754E8D"/>
    <w:rsid w:val="00754F40"/>
    <w:rsid w:val="00755246"/>
    <w:rsid w:val="00755D74"/>
    <w:rsid w:val="0075735B"/>
    <w:rsid w:val="00757772"/>
    <w:rsid w:val="00757D5B"/>
    <w:rsid w:val="00760230"/>
    <w:rsid w:val="00761556"/>
    <w:rsid w:val="00761DE0"/>
    <w:rsid w:val="00762428"/>
    <w:rsid w:val="007624A8"/>
    <w:rsid w:val="00762525"/>
    <w:rsid w:val="00762556"/>
    <w:rsid w:val="007629A7"/>
    <w:rsid w:val="00762B9C"/>
    <w:rsid w:val="007636B4"/>
    <w:rsid w:val="00764383"/>
    <w:rsid w:val="0076494C"/>
    <w:rsid w:val="00764C3C"/>
    <w:rsid w:val="007658B6"/>
    <w:rsid w:val="007658EF"/>
    <w:rsid w:val="00765B4A"/>
    <w:rsid w:val="00766036"/>
    <w:rsid w:val="0076609B"/>
    <w:rsid w:val="007664FA"/>
    <w:rsid w:val="007669A7"/>
    <w:rsid w:val="00766DCA"/>
    <w:rsid w:val="00766E1F"/>
    <w:rsid w:val="00766F16"/>
    <w:rsid w:val="00767050"/>
    <w:rsid w:val="00767635"/>
    <w:rsid w:val="00767823"/>
    <w:rsid w:val="00767935"/>
    <w:rsid w:val="007706EF"/>
    <w:rsid w:val="00770CF8"/>
    <w:rsid w:val="00770FAB"/>
    <w:rsid w:val="007711A3"/>
    <w:rsid w:val="00771386"/>
    <w:rsid w:val="0077182A"/>
    <w:rsid w:val="00771904"/>
    <w:rsid w:val="00772E30"/>
    <w:rsid w:val="00773268"/>
    <w:rsid w:val="00773572"/>
    <w:rsid w:val="00773C81"/>
    <w:rsid w:val="00773CF5"/>
    <w:rsid w:val="00773D14"/>
    <w:rsid w:val="00774392"/>
    <w:rsid w:val="007743BD"/>
    <w:rsid w:val="007753D4"/>
    <w:rsid w:val="00775DE9"/>
    <w:rsid w:val="00775EB9"/>
    <w:rsid w:val="00775F35"/>
    <w:rsid w:val="00775F96"/>
    <w:rsid w:val="00776ABE"/>
    <w:rsid w:val="00777265"/>
    <w:rsid w:val="0077757C"/>
    <w:rsid w:val="0077772F"/>
    <w:rsid w:val="0077783A"/>
    <w:rsid w:val="00777BB1"/>
    <w:rsid w:val="0078003C"/>
    <w:rsid w:val="0078020E"/>
    <w:rsid w:val="007806B3"/>
    <w:rsid w:val="00780E68"/>
    <w:rsid w:val="00780FC1"/>
    <w:rsid w:val="00781185"/>
    <w:rsid w:val="0078196C"/>
    <w:rsid w:val="00782814"/>
    <w:rsid w:val="00782A1F"/>
    <w:rsid w:val="00782E37"/>
    <w:rsid w:val="00782F21"/>
    <w:rsid w:val="007837FB"/>
    <w:rsid w:val="00783A0B"/>
    <w:rsid w:val="00783EE5"/>
    <w:rsid w:val="00784363"/>
    <w:rsid w:val="00784CEA"/>
    <w:rsid w:val="00784E2F"/>
    <w:rsid w:val="007857B0"/>
    <w:rsid w:val="00785AAF"/>
    <w:rsid w:val="00785E92"/>
    <w:rsid w:val="00785EF0"/>
    <w:rsid w:val="00786A5E"/>
    <w:rsid w:val="00786D87"/>
    <w:rsid w:val="007873DD"/>
    <w:rsid w:val="00787CE4"/>
    <w:rsid w:val="00787E24"/>
    <w:rsid w:val="00787E2F"/>
    <w:rsid w:val="00787FF1"/>
    <w:rsid w:val="0079096E"/>
    <w:rsid w:val="00790B6E"/>
    <w:rsid w:val="00791ED1"/>
    <w:rsid w:val="00791F10"/>
    <w:rsid w:val="0079220F"/>
    <w:rsid w:val="00792FA6"/>
    <w:rsid w:val="00792FD9"/>
    <w:rsid w:val="00793B54"/>
    <w:rsid w:val="00793F54"/>
    <w:rsid w:val="0079410B"/>
    <w:rsid w:val="007944AC"/>
    <w:rsid w:val="00794725"/>
    <w:rsid w:val="0079512C"/>
    <w:rsid w:val="00795261"/>
    <w:rsid w:val="007968B2"/>
    <w:rsid w:val="00796BEB"/>
    <w:rsid w:val="00796CF4"/>
    <w:rsid w:val="00797C96"/>
    <w:rsid w:val="007A003E"/>
    <w:rsid w:val="007A0FF3"/>
    <w:rsid w:val="007A10BD"/>
    <w:rsid w:val="007A181F"/>
    <w:rsid w:val="007A1DCB"/>
    <w:rsid w:val="007A283E"/>
    <w:rsid w:val="007A2955"/>
    <w:rsid w:val="007A2E7F"/>
    <w:rsid w:val="007A2E8E"/>
    <w:rsid w:val="007A2EFC"/>
    <w:rsid w:val="007A35A1"/>
    <w:rsid w:val="007A35A5"/>
    <w:rsid w:val="007A3DE0"/>
    <w:rsid w:val="007A431C"/>
    <w:rsid w:val="007A4335"/>
    <w:rsid w:val="007A4D33"/>
    <w:rsid w:val="007A5098"/>
    <w:rsid w:val="007A536E"/>
    <w:rsid w:val="007A5612"/>
    <w:rsid w:val="007A67A1"/>
    <w:rsid w:val="007A6DA7"/>
    <w:rsid w:val="007A704A"/>
    <w:rsid w:val="007A74D2"/>
    <w:rsid w:val="007A79BA"/>
    <w:rsid w:val="007A7CBF"/>
    <w:rsid w:val="007B048B"/>
    <w:rsid w:val="007B082A"/>
    <w:rsid w:val="007B0A32"/>
    <w:rsid w:val="007B0B95"/>
    <w:rsid w:val="007B103B"/>
    <w:rsid w:val="007B1455"/>
    <w:rsid w:val="007B1B29"/>
    <w:rsid w:val="007B1CB8"/>
    <w:rsid w:val="007B1ED3"/>
    <w:rsid w:val="007B206A"/>
    <w:rsid w:val="007B2501"/>
    <w:rsid w:val="007B2949"/>
    <w:rsid w:val="007B2FB3"/>
    <w:rsid w:val="007B301E"/>
    <w:rsid w:val="007B349D"/>
    <w:rsid w:val="007B3922"/>
    <w:rsid w:val="007B45E4"/>
    <w:rsid w:val="007B473F"/>
    <w:rsid w:val="007B4E7E"/>
    <w:rsid w:val="007B5533"/>
    <w:rsid w:val="007B5CD0"/>
    <w:rsid w:val="007B62C1"/>
    <w:rsid w:val="007B6A3F"/>
    <w:rsid w:val="007B6F10"/>
    <w:rsid w:val="007C036C"/>
    <w:rsid w:val="007C04F0"/>
    <w:rsid w:val="007C10B3"/>
    <w:rsid w:val="007C1531"/>
    <w:rsid w:val="007C1668"/>
    <w:rsid w:val="007C19F8"/>
    <w:rsid w:val="007C1A26"/>
    <w:rsid w:val="007C1F2E"/>
    <w:rsid w:val="007C20FE"/>
    <w:rsid w:val="007C2F13"/>
    <w:rsid w:val="007C3A7C"/>
    <w:rsid w:val="007C3C55"/>
    <w:rsid w:val="007C47AE"/>
    <w:rsid w:val="007C4837"/>
    <w:rsid w:val="007C498F"/>
    <w:rsid w:val="007C53C2"/>
    <w:rsid w:val="007C6C8A"/>
    <w:rsid w:val="007C7557"/>
    <w:rsid w:val="007D03DC"/>
    <w:rsid w:val="007D067A"/>
    <w:rsid w:val="007D08B5"/>
    <w:rsid w:val="007D0D94"/>
    <w:rsid w:val="007D10BA"/>
    <w:rsid w:val="007D1C43"/>
    <w:rsid w:val="007D2471"/>
    <w:rsid w:val="007D24B1"/>
    <w:rsid w:val="007D2A20"/>
    <w:rsid w:val="007D2BC1"/>
    <w:rsid w:val="007D2C75"/>
    <w:rsid w:val="007D3206"/>
    <w:rsid w:val="007D3AAA"/>
    <w:rsid w:val="007D3B85"/>
    <w:rsid w:val="007D4DB2"/>
    <w:rsid w:val="007D4F60"/>
    <w:rsid w:val="007D51B7"/>
    <w:rsid w:val="007D554B"/>
    <w:rsid w:val="007D56F5"/>
    <w:rsid w:val="007D658B"/>
    <w:rsid w:val="007D682C"/>
    <w:rsid w:val="007D6C61"/>
    <w:rsid w:val="007D6DB2"/>
    <w:rsid w:val="007D742C"/>
    <w:rsid w:val="007D74FE"/>
    <w:rsid w:val="007D797F"/>
    <w:rsid w:val="007E0B40"/>
    <w:rsid w:val="007E0DD0"/>
    <w:rsid w:val="007E102A"/>
    <w:rsid w:val="007E204D"/>
    <w:rsid w:val="007E208B"/>
    <w:rsid w:val="007E2E34"/>
    <w:rsid w:val="007E30E8"/>
    <w:rsid w:val="007E38E3"/>
    <w:rsid w:val="007E3C20"/>
    <w:rsid w:val="007E3CA0"/>
    <w:rsid w:val="007E3CE2"/>
    <w:rsid w:val="007E3DE3"/>
    <w:rsid w:val="007E3F43"/>
    <w:rsid w:val="007E4052"/>
    <w:rsid w:val="007E4180"/>
    <w:rsid w:val="007E4719"/>
    <w:rsid w:val="007E4A09"/>
    <w:rsid w:val="007E54A9"/>
    <w:rsid w:val="007E54C0"/>
    <w:rsid w:val="007E5D47"/>
    <w:rsid w:val="007E6DC6"/>
    <w:rsid w:val="007E6F21"/>
    <w:rsid w:val="007E7057"/>
    <w:rsid w:val="007E705F"/>
    <w:rsid w:val="007E7254"/>
    <w:rsid w:val="007E7990"/>
    <w:rsid w:val="007E7994"/>
    <w:rsid w:val="007E7BA2"/>
    <w:rsid w:val="007E7BEF"/>
    <w:rsid w:val="007E7E4C"/>
    <w:rsid w:val="007F1025"/>
    <w:rsid w:val="007F181E"/>
    <w:rsid w:val="007F2428"/>
    <w:rsid w:val="007F323D"/>
    <w:rsid w:val="007F3CBF"/>
    <w:rsid w:val="007F4682"/>
    <w:rsid w:val="007F488C"/>
    <w:rsid w:val="007F4E53"/>
    <w:rsid w:val="007F4E55"/>
    <w:rsid w:val="007F4FE2"/>
    <w:rsid w:val="007F5041"/>
    <w:rsid w:val="007F5103"/>
    <w:rsid w:val="007F551E"/>
    <w:rsid w:val="007F5878"/>
    <w:rsid w:val="007F58A4"/>
    <w:rsid w:val="007F63FB"/>
    <w:rsid w:val="007F6946"/>
    <w:rsid w:val="007F747E"/>
    <w:rsid w:val="007F75D7"/>
    <w:rsid w:val="007F7725"/>
    <w:rsid w:val="007F7925"/>
    <w:rsid w:val="007F7942"/>
    <w:rsid w:val="008001FE"/>
    <w:rsid w:val="00800540"/>
    <w:rsid w:val="008006A8"/>
    <w:rsid w:val="00800814"/>
    <w:rsid w:val="008011E4"/>
    <w:rsid w:val="008012BC"/>
    <w:rsid w:val="008016C0"/>
    <w:rsid w:val="00802C0B"/>
    <w:rsid w:val="00802FAB"/>
    <w:rsid w:val="00803485"/>
    <w:rsid w:val="00803857"/>
    <w:rsid w:val="008038E7"/>
    <w:rsid w:val="00803D00"/>
    <w:rsid w:val="00804416"/>
    <w:rsid w:val="00804B90"/>
    <w:rsid w:val="00805107"/>
    <w:rsid w:val="00805124"/>
    <w:rsid w:val="008059CC"/>
    <w:rsid w:val="00805BDC"/>
    <w:rsid w:val="00805CC6"/>
    <w:rsid w:val="00806A60"/>
    <w:rsid w:val="00806F6E"/>
    <w:rsid w:val="00806FB3"/>
    <w:rsid w:val="0080737F"/>
    <w:rsid w:val="00807728"/>
    <w:rsid w:val="00810070"/>
    <w:rsid w:val="0081041C"/>
    <w:rsid w:val="00810C3A"/>
    <w:rsid w:val="00810E77"/>
    <w:rsid w:val="008113CD"/>
    <w:rsid w:val="008119D5"/>
    <w:rsid w:val="00811F27"/>
    <w:rsid w:val="00811FF0"/>
    <w:rsid w:val="008120CF"/>
    <w:rsid w:val="00813595"/>
    <w:rsid w:val="00813817"/>
    <w:rsid w:val="00813884"/>
    <w:rsid w:val="00814081"/>
    <w:rsid w:val="00814125"/>
    <w:rsid w:val="008143A8"/>
    <w:rsid w:val="00814DDD"/>
    <w:rsid w:val="008156F2"/>
    <w:rsid w:val="0081584A"/>
    <w:rsid w:val="00815B01"/>
    <w:rsid w:val="008160E6"/>
    <w:rsid w:val="00816164"/>
    <w:rsid w:val="008162A2"/>
    <w:rsid w:val="008162B1"/>
    <w:rsid w:val="0081696E"/>
    <w:rsid w:val="008170D5"/>
    <w:rsid w:val="00817BE5"/>
    <w:rsid w:val="0082108C"/>
    <w:rsid w:val="00821CAA"/>
    <w:rsid w:val="0082269D"/>
    <w:rsid w:val="00822C72"/>
    <w:rsid w:val="00823606"/>
    <w:rsid w:val="00823F77"/>
    <w:rsid w:val="008247FE"/>
    <w:rsid w:val="00825312"/>
    <w:rsid w:val="0082622F"/>
    <w:rsid w:val="00826A37"/>
    <w:rsid w:val="00827127"/>
    <w:rsid w:val="00827D19"/>
    <w:rsid w:val="00827E89"/>
    <w:rsid w:val="00827EF1"/>
    <w:rsid w:val="00827F6A"/>
    <w:rsid w:val="00830133"/>
    <w:rsid w:val="008303EF"/>
    <w:rsid w:val="0083046C"/>
    <w:rsid w:val="00830F43"/>
    <w:rsid w:val="008317F6"/>
    <w:rsid w:val="00831830"/>
    <w:rsid w:val="00832391"/>
    <w:rsid w:val="008328CD"/>
    <w:rsid w:val="00833380"/>
    <w:rsid w:val="008339ED"/>
    <w:rsid w:val="008345EA"/>
    <w:rsid w:val="0083538A"/>
    <w:rsid w:val="00835555"/>
    <w:rsid w:val="0083632B"/>
    <w:rsid w:val="00836893"/>
    <w:rsid w:val="00836FE7"/>
    <w:rsid w:val="00837444"/>
    <w:rsid w:val="00837C0F"/>
    <w:rsid w:val="00837D1F"/>
    <w:rsid w:val="00837DDC"/>
    <w:rsid w:val="00837FAC"/>
    <w:rsid w:val="00840515"/>
    <w:rsid w:val="00840547"/>
    <w:rsid w:val="00840C67"/>
    <w:rsid w:val="008416FA"/>
    <w:rsid w:val="00841B5B"/>
    <w:rsid w:val="00842853"/>
    <w:rsid w:val="00842E5B"/>
    <w:rsid w:val="00842E65"/>
    <w:rsid w:val="0084375D"/>
    <w:rsid w:val="00843AC9"/>
    <w:rsid w:val="00843B90"/>
    <w:rsid w:val="00843E32"/>
    <w:rsid w:val="00844067"/>
    <w:rsid w:val="0084474F"/>
    <w:rsid w:val="008447D4"/>
    <w:rsid w:val="00845605"/>
    <w:rsid w:val="0084567C"/>
    <w:rsid w:val="00845AFE"/>
    <w:rsid w:val="0084626A"/>
    <w:rsid w:val="008463A0"/>
    <w:rsid w:val="008468B4"/>
    <w:rsid w:val="008471DB"/>
    <w:rsid w:val="00847677"/>
    <w:rsid w:val="0084782D"/>
    <w:rsid w:val="008479C0"/>
    <w:rsid w:val="00847B49"/>
    <w:rsid w:val="008508A2"/>
    <w:rsid w:val="00850ABD"/>
    <w:rsid w:val="008515C6"/>
    <w:rsid w:val="00851A36"/>
    <w:rsid w:val="00851C55"/>
    <w:rsid w:val="008520E7"/>
    <w:rsid w:val="0085232D"/>
    <w:rsid w:val="0085242F"/>
    <w:rsid w:val="00852750"/>
    <w:rsid w:val="00852936"/>
    <w:rsid w:val="00852FC7"/>
    <w:rsid w:val="00853606"/>
    <w:rsid w:val="00853A87"/>
    <w:rsid w:val="00853E50"/>
    <w:rsid w:val="00854EFC"/>
    <w:rsid w:val="00855125"/>
    <w:rsid w:val="00855170"/>
    <w:rsid w:val="0085563E"/>
    <w:rsid w:val="00855B1A"/>
    <w:rsid w:val="0085661F"/>
    <w:rsid w:val="00856664"/>
    <w:rsid w:val="008575DB"/>
    <w:rsid w:val="00860C97"/>
    <w:rsid w:val="00861232"/>
    <w:rsid w:val="00861BA7"/>
    <w:rsid w:val="00861BC2"/>
    <w:rsid w:val="00861E93"/>
    <w:rsid w:val="008620BA"/>
    <w:rsid w:val="008626EE"/>
    <w:rsid w:val="00862E24"/>
    <w:rsid w:val="00862E7D"/>
    <w:rsid w:val="0086325D"/>
    <w:rsid w:val="008641C3"/>
    <w:rsid w:val="00864A79"/>
    <w:rsid w:val="00864F9B"/>
    <w:rsid w:val="00865BC2"/>
    <w:rsid w:val="00866EBF"/>
    <w:rsid w:val="00867184"/>
    <w:rsid w:val="00867447"/>
    <w:rsid w:val="00867F66"/>
    <w:rsid w:val="00870998"/>
    <w:rsid w:val="00870D42"/>
    <w:rsid w:val="00870E99"/>
    <w:rsid w:val="0087208B"/>
    <w:rsid w:val="008721DE"/>
    <w:rsid w:val="008722F5"/>
    <w:rsid w:val="0087316E"/>
    <w:rsid w:val="00873BB8"/>
    <w:rsid w:val="0087428C"/>
    <w:rsid w:val="00875137"/>
    <w:rsid w:val="00875381"/>
    <w:rsid w:val="00875D70"/>
    <w:rsid w:val="00876180"/>
    <w:rsid w:val="00876851"/>
    <w:rsid w:val="00877098"/>
    <w:rsid w:val="00877B7B"/>
    <w:rsid w:val="00877D27"/>
    <w:rsid w:val="00877D4C"/>
    <w:rsid w:val="008806C0"/>
    <w:rsid w:val="00880C25"/>
    <w:rsid w:val="00880E23"/>
    <w:rsid w:val="0088103D"/>
    <w:rsid w:val="0088121D"/>
    <w:rsid w:val="00881739"/>
    <w:rsid w:val="00881F1D"/>
    <w:rsid w:val="0088223B"/>
    <w:rsid w:val="008824D8"/>
    <w:rsid w:val="00882D6A"/>
    <w:rsid w:val="00882E2D"/>
    <w:rsid w:val="00883268"/>
    <w:rsid w:val="00883644"/>
    <w:rsid w:val="00884465"/>
    <w:rsid w:val="0088467C"/>
    <w:rsid w:val="00884CE1"/>
    <w:rsid w:val="00885A0A"/>
    <w:rsid w:val="00885D30"/>
    <w:rsid w:val="00885ED9"/>
    <w:rsid w:val="00885F0A"/>
    <w:rsid w:val="008860D3"/>
    <w:rsid w:val="008870CB"/>
    <w:rsid w:val="00887619"/>
    <w:rsid w:val="0088790D"/>
    <w:rsid w:val="00890103"/>
    <w:rsid w:val="0089056A"/>
    <w:rsid w:val="00890FC7"/>
    <w:rsid w:val="00891A8D"/>
    <w:rsid w:val="00892132"/>
    <w:rsid w:val="0089334D"/>
    <w:rsid w:val="008933A3"/>
    <w:rsid w:val="00893F7A"/>
    <w:rsid w:val="00894254"/>
    <w:rsid w:val="00894B5C"/>
    <w:rsid w:val="0089538D"/>
    <w:rsid w:val="008956FD"/>
    <w:rsid w:val="00895709"/>
    <w:rsid w:val="00895753"/>
    <w:rsid w:val="00895C93"/>
    <w:rsid w:val="00896E1A"/>
    <w:rsid w:val="00897273"/>
    <w:rsid w:val="00897698"/>
    <w:rsid w:val="0089793D"/>
    <w:rsid w:val="00897A16"/>
    <w:rsid w:val="00897FE3"/>
    <w:rsid w:val="008A0054"/>
    <w:rsid w:val="008A058C"/>
    <w:rsid w:val="008A0AB6"/>
    <w:rsid w:val="008A0B5A"/>
    <w:rsid w:val="008A0B75"/>
    <w:rsid w:val="008A11AD"/>
    <w:rsid w:val="008A1611"/>
    <w:rsid w:val="008A1DF0"/>
    <w:rsid w:val="008A20A7"/>
    <w:rsid w:val="008A2501"/>
    <w:rsid w:val="008A270A"/>
    <w:rsid w:val="008A316E"/>
    <w:rsid w:val="008A3270"/>
    <w:rsid w:val="008A3608"/>
    <w:rsid w:val="008A37C4"/>
    <w:rsid w:val="008A38FB"/>
    <w:rsid w:val="008A3F1E"/>
    <w:rsid w:val="008A43E8"/>
    <w:rsid w:val="008A48F3"/>
    <w:rsid w:val="008A5342"/>
    <w:rsid w:val="008A58D7"/>
    <w:rsid w:val="008A6368"/>
    <w:rsid w:val="008A663E"/>
    <w:rsid w:val="008A69CB"/>
    <w:rsid w:val="008A7081"/>
    <w:rsid w:val="008A7A1A"/>
    <w:rsid w:val="008A7F79"/>
    <w:rsid w:val="008B0058"/>
    <w:rsid w:val="008B0102"/>
    <w:rsid w:val="008B04DD"/>
    <w:rsid w:val="008B04E5"/>
    <w:rsid w:val="008B05BF"/>
    <w:rsid w:val="008B0894"/>
    <w:rsid w:val="008B0C19"/>
    <w:rsid w:val="008B1AB8"/>
    <w:rsid w:val="008B1E4C"/>
    <w:rsid w:val="008B205C"/>
    <w:rsid w:val="008B2909"/>
    <w:rsid w:val="008B2920"/>
    <w:rsid w:val="008B41AF"/>
    <w:rsid w:val="008B4334"/>
    <w:rsid w:val="008B5C7A"/>
    <w:rsid w:val="008B5E5F"/>
    <w:rsid w:val="008B662F"/>
    <w:rsid w:val="008B66EB"/>
    <w:rsid w:val="008B6A6B"/>
    <w:rsid w:val="008B7036"/>
    <w:rsid w:val="008B7523"/>
    <w:rsid w:val="008C0925"/>
    <w:rsid w:val="008C0FB2"/>
    <w:rsid w:val="008C1092"/>
    <w:rsid w:val="008C12A7"/>
    <w:rsid w:val="008C12E5"/>
    <w:rsid w:val="008C1751"/>
    <w:rsid w:val="008C1C80"/>
    <w:rsid w:val="008C2530"/>
    <w:rsid w:val="008C27FF"/>
    <w:rsid w:val="008C2C15"/>
    <w:rsid w:val="008C2ED8"/>
    <w:rsid w:val="008C30FC"/>
    <w:rsid w:val="008C3B21"/>
    <w:rsid w:val="008C4149"/>
    <w:rsid w:val="008C4717"/>
    <w:rsid w:val="008C4B68"/>
    <w:rsid w:val="008C4F20"/>
    <w:rsid w:val="008C51DC"/>
    <w:rsid w:val="008C58DB"/>
    <w:rsid w:val="008C59F6"/>
    <w:rsid w:val="008C5BF8"/>
    <w:rsid w:val="008C6212"/>
    <w:rsid w:val="008C6F54"/>
    <w:rsid w:val="008C7EEA"/>
    <w:rsid w:val="008D044F"/>
    <w:rsid w:val="008D057E"/>
    <w:rsid w:val="008D09A3"/>
    <w:rsid w:val="008D0BB4"/>
    <w:rsid w:val="008D1D67"/>
    <w:rsid w:val="008D210F"/>
    <w:rsid w:val="008D21E8"/>
    <w:rsid w:val="008D2562"/>
    <w:rsid w:val="008D2E69"/>
    <w:rsid w:val="008D3032"/>
    <w:rsid w:val="008D3B59"/>
    <w:rsid w:val="008D3BDC"/>
    <w:rsid w:val="008D40DB"/>
    <w:rsid w:val="008D41FC"/>
    <w:rsid w:val="008D4267"/>
    <w:rsid w:val="008D4C02"/>
    <w:rsid w:val="008D5921"/>
    <w:rsid w:val="008D61B5"/>
    <w:rsid w:val="008D63B6"/>
    <w:rsid w:val="008D6D97"/>
    <w:rsid w:val="008D7468"/>
    <w:rsid w:val="008D76F3"/>
    <w:rsid w:val="008D7BF0"/>
    <w:rsid w:val="008D7DE2"/>
    <w:rsid w:val="008D7E1F"/>
    <w:rsid w:val="008E0413"/>
    <w:rsid w:val="008E0758"/>
    <w:rsid w:val="008E093C"/>
    <w:rsid w:val="008E0C0C"/>
    <w:rsid w:val="008E1417"/>
    <w:rsid w:val="008E15AE"/>
    <w:rsid w:val="008E2817"/>
    <w:rsid w:val="008E2EDC"/>
    <w:rsid w:val="008E3123"/>
    <w:rsid w:val="008E3C8A"/>
    <w:rsid w:val="008E4019"/>
    <w:rsid w:val="008E459C"/>
    <w:rsid w:val="008E484C"/>
    <w:rsid w:val="008E4922"/>
    <w:rsid w:val="008E49F0"/>
    <w:rsid w:val="008E4E80"/>
    <w:rsid w:val="008E5538"/>
    <w:rsid w:val="008E585C"/>
    <w:rsid w:val="008E5AD3"/>
    <w:rsid w:val="008E5D0D"/>
    <w:rsid w:val="008E6339"/>
    <w:rsid w:val="008E6BF9"/>
    <w:rsid w:val="008E79FF"/>
    <w:rsid w:val="008F039A"/>
    <w:rsid w:val="008F08C7"/>
    <w:rsid w:val="008F1580"/>
    <w:rsid w:val="008F1AC2"/>
    <w:rsid w:val="008F2431"/>
    <w:rsid w:val="008F2F60"/>
    <w:rsid w:val="008F3400"/>
    <w:rsid w:val="008F3A61"/>
    <w:rsid w:val="008F3A9A"/>
    <w:rsid w:val="008F4354"/>
    <w:rsid w:val="008F4696"/>
    <w:rsid w:val="008F523C"/>
    <w:rsid w:val="008F5B3F"/>
    <w:rsid w:val="008F5EEF"/>
    <w:rsid w:val="008F6698"/>
    <w:rsid w:val="008F6943"/>
    <w:rsid w:val="008F6A16"/>
    <w:rsid w:val="008F6A92"/>
    <w:rsid w:val="008F6D83"/>
    <w:rsid w:val="008F7264"/>
    <w:rsid w:val="008F78AB"/>
    <w:rsid w:val="008F7932"/>
    <w:rsid w:val="00900080"/>
    <w:rsid w:val="009002B6"/>
    <w:rsid w:val="0090031A"/>
    <w:rsid w:val="009006A3"/>
    <w:rsid w:val="00901229"/>
    <w:rsid w:val="009016AC"/>
    <w:rsid w:val="0090219C"/>
    <w:rsid w:val="00902542"/>
    <w:rsid w:val="00902F69"/>
    <w:rsid w:val="00903404"/>
    <w:rsid w:val="00903834"/>
    <w:rsid w:val="00903DD1"/>
    <w:rsid w:val="00903E3F"/>
    <w:rsid w:val="0090449B"/>
    <w:rsid w:val="009053F6"/>
    <w:rsid w:val="0090553C"/>
    <w:rsid w:val="00905A0D"/>
    <w:rsid w:val="0090670B"/>
    <w:rsid w:val="00906BEA"/>
    <w:rsid w:val="00906EB8"/>
    <w:rsid w:val="009101BF"/>
    <w:rsid w:val="009108AC"/>
    <w:rsid w:val="00910C36"/>
    <w:rsid w:val="0091181D"/>
    <w:rsid w:val="0091212E"/>
    <w:rsid w:val="0091398F"/>
    <w:rsid w:val="00913F20"/>
    <w:rsid w:val="00914405"/>
    <w:rsid w:val="0091458A"/>
    <w:rsid w:val="009146B1"/>
    <w:rsid w:val="00914D13"/>
    <w:rsid w:val="00915131"/>
    <w:rsid w:val="00916106"/>
    <w:rsid w:val="009164D3"/>
    <w:rsid w:val="0091673B"/>
    <w:rsid w:val="00917157"/>
    <w:rsid w:val="009200F9"/>
    <w:rsid w:val="00920155"/>
    <w:rsid w:val="00920186"/>
    <w:rsid w:val="00920745"/>
    <w:rsid w:val="00920981"/>
    <w:rsid w:val="009210E4"/>
    <w:rsid w:val="00921241"/>
    <w:rsid w:val="0092197E"/>
    <w:rsid w:val="00921A3A"/>
    <w:rsid w:val="00921C33"/>
    <w:rsid w:val="00921E8A"/>
    <w:rsid w:val="009222AC"/>
    <w:rsid w:val="009224FD"/>
    <w:rsid w:val="0092270F"/>
    <w:rsid w:val="00922724"/>
    <w:rsid w:val="00922949"/>
    <w:rsid w:val="00922E74"/>
    <w:rsid w:val="00923FFC"/>
    <w:rsid w:val="0092432C"/>
    <w:rsid w:val="00924D8F"/>
    <w:rsid w:val="009253C8"/>
    <w:rsid w:val="009254B8"/>
    <w:rsid w:val="0092563A"/>
    <w:rsid w:val="009256F7"/>
    <w:rsid w:val="00925A55"/>
    <w:rsid w:val="00925C2F"/>
    <w:rsid w:val="00925C65"/>
    <w:rsid w:val="00925C98"/>
    <w:rsid w:val="00925D0C"/>
    <w:rsid w:val="00926012"/>
    <w:rsid w:val="009263FB"/>
    <w:rsid w:val="00926F64"/>
    <w:rsid w:val="00927684"/>
    <w:rsid w:val="00927DBE"/>
    <w:rsid w:val="00930028"/>
    <w:rsid w:val="00930CBC"/>
    <w:rsid w:val="00931D38"/>
    <w:rsid w:val="00931DAD"/>
    <w:rsid w:val="00932122"/>
    <w:rsid w:val="00932514"/>
    <w:rsid w:val="00932B2A"/>
    <w:rsid w:val="00932CD1"/>
    <w:rsid w:val="00932D9A"/>
    <w:rsid w:val="00933072"/>
    <w:rsid w:val="009337FD"/>
    <w:rsid w:val="0093419E"/>
    <w:rsid w:val="00934C23"/>
    <w:rsid w:val="00934C2B"/>
    <w:rsid w:val="009351A9"/>
    <w:rsid w:val="0093542C"/>
    <w:rsid w:val="0093698B"/>
    <w:rsid w:val="009369FA"/>
    <w:rsid w:val="00936BB8"/>
    <w:rsid w:val="00936CAC"/>
    <w:rsid w:val="00936D93"/>
    <w:rsid w:val="00937164"/>
    <w:rsid w:val="009375A4"/>
    <w:rsid w:val="0093787F"/>
    <w:rsid w:val="0094054B"/>
    <w:rsid w:val="00940750"/>
    <w:rsid w:val="00940A58"/>
    <w:rsid w:val="0094113F"/>
    <w:rsid w:val="009415E5"/>
    <w:rsid w:val="009415F0"/>
    <w:rsid w:val="009417E5"/>
    <w:rsid w:val="00942151"/>
    <w:rsid w:val="0094278D"/>
    <w:rsid w:val="00942EBA"/>
    <w:rsid w:val="00943752"/>
    <w:rsid w:val="00943AA1"/>
    <w:rsid w:val="00944167"/>
    <w:rsid w:val="0094479B"/>
    <w:rsid w:val="009447BA"/>
    <w:rsid w:val="00944C88"/>
    <w:rsid w:val="00945246"/>
    <w:rsid w:val="00946966"/>
    <w:rsid w:val="00946FEC"/>
    <w:rsid w:val="0094753B"/>
    <w:rsid w:val="00947644"/>
    <w:rsid w:val="009477C9"/>
    <w:rsid w:val="00947A1B"/>
    <w:rsid w:val="00947A7F"/>
    <w:rsid w:val="009500D2"/>
    <w:rsid w:val="009501A1"/>
    <w:rsid w:val="00950270"/>
    <w:rsid w:val="00950272"/>
    <w:rsid w:val="00950CC0"/>
    <w:rsid w:val="00950E09"/>
    <w:rsid w:val="0095110C"/>
    <w:rsid w:val="009511E9"/>
    <w:rsid w:val="0095190A"/>
    <w:rsid w:val="00951A04"/>
    <w:rsid w:val="00951D7E"/>
    <w:rsid w:val="009522BD"/>
    <w:rsid w:val="00952812"/>
    <w:rsid w:val="0095300D"/>
    <w:rsid w:val="00953884"/>
    <w:rsid w:val="0095414F"/>
    <w:rsid w:val="0095457B"/>
    <w:rsid w:val="00955338"/>
    <w:rsid w:val="00955594"/>
    <w:rsid w:val="00955B4D"/>
    <w:rsid w:val="00956197"/>
    <w:rsid w:val="00956FCE"/>
    <w:rsid w:val="00960E5A"/>
    <w:rsid w:val="00961352"/>
    <w:rsid w:val="0096157D"/>
    <w:rsid w:val="00962168"/>
    <w:rsid w:val="00962421"/>
    <w:rsid w:val="00962561"/>
    <w:rsid w:val="00962A24"/>
    <w:rsid w:val="00962CE1"/>
    <w:rsid w:val="00963122"/>
    <w:rsid w:val="00963398"/>
    <w:rsid w:val="0096362D"/>
    <w:rsid w:val="009644F0"/>
    <w:rsid w:val="00964B33"/>
    <w:rsid w:val="0096591A"/>
    <w:rsid w:val="0096596E"/>
    <w:rsid w:val="00965CAC"/>
    <w:rsid w:val="0096607E"/>
    <w:rsid w:val="00966234"/>
    <w:rsid w:val="009668A4"/>
    <w:rsid w:val="00967305"/>
    <w:rsid w:val="0096759F"/>
    <w:rsid w:val="009679C1"/>
    <w:rsid w:val="00967A4B"/>
    <w:rsid w:val="00970124"/>
    <w:rsid w:val="0097034E"/>
    <w:rsid w:val="009703C6"/>
    <w:rsid w:val="00970C63"/>
    <w:rsid w:val="00970C71"/>
    <w:rsid w:val="00970EE4"/>
    <w:rsid w:val="00971746"/>
    <w:rsid w:val="00971D1C"/>
    <w:rsid w:val="00971DD4"/>
    <w:rsid w:val="00972868"/>
    <w:rsid w:val="00972BCE"/>
    <w:rsid w:val="00972C0F"/>
    <w:rsid w:val="0097331D"/>
    <w:rsid w:val="00973BB6"/>
    <w:rsid w:val="00974AFB"/>
    <w:rsid w:val="0097535D"/>
    <w:rsid w:val="00975406"/>
    <w:rsid w:val="00975D44"/>
    <w:rsid w:val="00975E36"/>
    <w:rsid w:val="009768E7"/>
    <w:rsid w:val="009774EE"/>
    <w:rsid w:val="00977D1D"/>
    <w:rsid w:val="00977F01"/>
    <w:rsid w:val="009805F8"/>
    <w:rsid w:val="00980F39"/>
    <w:rsid w:val="0098105C"/>
    <w:rsid w:val="009813F9"/>
    <w:rsid w:val="00981EA1"/>
    <w:rsid w:val="00982347"/>
    <w:rsid w:val="00982578"/>
    <w:rsid w:val="00982AB0"/>
    <w:rsid w:val="00982E29"/>
    <w:rsid w:val="009833C0"/>
    <w:rsid w:val="009837A2"/>
    <w:rsid w:val="009841D3"/>
    <w:rsid w:val="009845F3"/>
    <w:rsid w:val="009847D3"/>
    <w:rsid w:val="00984A78"/>
    <w:rsid w:val="009850DE"/>
    <w:rsid w:val="00986109"/>
    <w:rsid w:val="00986490"/>
    <w:rsid w:val="009874D3"/>
    <w:rsid w:val="009904A0"/>
    <w:rsid w:val="009904A1"/>
    <w:rsid w:val="00991DEA"/>
    <w:rsid w:val="009923A6"/>
    <w:rsid w:val="00992A0B"/>
    <w:rsid w:val="00992BD3"/>
    <w:rsid w:val="00992C0D"/>
    <w:rsid w:val="00993B02"/>
    <w:rsid w:val="00993EB4"/>
    <w:rsid w:val="009941B6"/>
    <w:rsid w:val="009946A1"/>
    <w:rsid w:val="00994BD5"/>
    <w:rsid w:val="00994D90"/>
    <w:rsid w:val="00995013"/>
    <w:rsid w:val="009950EC"/>
    <w:rsid w:val="009959B5"/>
    <w:rsid w:val="00995C2B"/>
    <w:rsid w:val="00995C41"/>
    <w:rsid w:val="0099611E"/>
    <w:rsid w:val="00996C5F"/>
    <w:rsid w:val="00997454"/>
    <w:rsid w:val="00997476"/>
    <w:rsid w:val="0099793F"/>
    <w:rsid w:val="00997997"/>
    <w:rsid w:val="00997B19"/>
    <w:rsid w:val="00997CD1"/>
    <w:rsid w:val="00997CF7"/>
    <w:rsid w:val="009A01A5"/>
    <w:rsid w:val="009A0245"/>
    <w:rsid w:val="009A0548"/>
    <w:rsid w:val="009A1542"/>
    <w:rsid w:val="009A15B1"/>
    <w:rsid w:val="009A1F6C"/>
    <w:rsid w:val="009A2930"/>
    <w:rsid w:val="009A2BCB"/>
    <w:rsid w:val="009A33D7"/>
    <w:rsid w:val="009A3446"/>
    <w:rsid w:val="009A3DFA"/>
    <w:rsid w:val="009A3FB5"/>
    <w:rsid w:val="009A405C"/>
    <w:rsid w:val="009A44F5"/>
    <w:rsid w:val="009A468E"/>
    <w:rsid w:val="009A4E31"/>
    <w:rsid w:val="009A501F"/>
    <w:rsid w:val="009A5409"/>
    <w:rsid w:val="009A633C"/>
    <w:rsid w:val="009A6432"/>
    <w:rsid w:val="009A742F"/>
    <w:rsid w:val="009A7A01"/>
    <w:rsid w:val="009B0577"/>
    <w:rsid w:val="009B0C54"/>
    <w:rsid w:val="009B2036"/>
    <w:rsid w:val="009B2B66"/>
    <w:rsid w:val="009B2F26"/>
    <w:rsid w:val="009B3689"/>
    <w:rsid w:val="009B3764"/>
    <w:rsid w:val="009B3D7F"/>
    <w:rsid w:val="009B4537"/>
    <w:rsid w:val="009B4C63"/>
    <w:rsid w:val="009B588E"/>
    <w:rsid w:val="009B61CF"/>
    <w:rsid w:val="009B6301"/>
    <w:rsid w:val="009B6C6B"/>
    <w:rsid w:val="009B7FA5"/>
    <w:rsid w:val="009C0EF8"/>
    <w:rsid w:val="009C11CE"/>
    <w:rsid w:val="009C16D4"/>
    <w:rsid w:val="009C1958"/>
    <w:rsid w:val="009C1979"/>
    <w:rsid w:val="009C2744"/>
    <w:rsid w:val="009C2A0C"/>
    <w:rsid w:val="009C3217"/>
    <w:rsid w:val="009C36E0"/>
    <w:rsid w:val="009C4716"/>
    <w:rsid w:val="009C4751"/>
    <w:rsid w:val="009C4EE8"/>
    <w:rsid w:val="009C4FC2"/>
    <w:rsid w:val="009C53D6"/>
    <w:rsid w:val="009C59A7"/>
    <w:rsid w:val="009C6411"/>
    <w:rsid w:val="009C6B92"/>
    <w:rsid w:val="009C6FBF"/>
    <w:rsid w:val="009C7D63"/>
    <w:rsid w:val="009D0BEC"/>
    <w:rsid w:val="009D185E"/>
    <w:rsid w:val="009D1A1F"/>
    <w:rsid w:val="009D1AAA"/>
    <w:rsid w:val="009D1DEB"/>
    <w:rsid w:val="009D24CA"/>
    <w:rsid w:val="009D2C55"/>
    <w:rsid w:val="009D301B"/>
    <w:rsid w:val="009D33CD"/>
    <w:rsid w:val="009D351C"/>
    <w:rsid w:val="009D3E56"/>
    <w:rsid w:val="009D3FE6"/>
    <w:rsid w:val="009D40AD"/>
    <w:rsid w:val="009D49A7"/>
    <w:rsid w:val="009D4A5C"/>
    <w:rsid w:val="009D500D"/>
    <w:rsid w:val="009D59C8"/>
    <w:rsid w:val="009D59FE"/>
    <w:rsid w:val="009D5E86"/>
    <w:rsid w:val="009D5E99"/>
    <w:rsid w:val="009D6B6B"/>
    <w:rsid w:val="009D6BAD"/>
    <w:rsid w:val="009D6E0A"/>
    <w:rsid w:val="009D7B19"/>
    <w:rsid w:val="009E1E06"/>
    <w:rsid w:val="009E1F97"/>
    <w:rsid w:val="009E20F5"/>
    <w:rsid w:val="009E2185"/>
    <w:rsid w:val="009E248C"/>
    <w:rsid w:val="009E3044"/>
    <w:rsid w:val="009E3108"/>
    <w:rsid w:val="009E3192"/>
    <w:rsid w:val="009E5209"/>
    <w:rsid w:val="009E53DC"/>
    <w:rsid w:val="009E5A3A"/>
    <w:rsid w:val="009E6126"/>
    <w:rsid w:val="009E76F6"/>
    <w:rsid w:val="009E77FF"/>
    <w:rsid w:val="009F03F5"/>
    <w:rsid w:val="009F041E"/>
    <w:rsid w:val="009F1125"/>
    <w:rsid w:val="009F131F"/>
    <w:rsid w:val="009F2319"/>
    <w:rsid w:val="009F268A"/>
    <w:rsid w:val="009F28AA"/>
    <w:rsid w:val="009F2B08"/>
    <w:rsid w:val="009F2DF8"/>
    <w:rsid w:val="009F31A4"/>
    <w:rsid w:val="009F322D"/>
    <w:rsid w:val="009F3238"/>
    <w:rsid w:val="009F43F3"/>
    <w:rsid w:val="009F5879"/>
    <w:rsid w:val="009F5912"/>
    <w:rsid w:val="009F5ABA"/>
    <w:rsid w:val="009F62A7"/>
    <w:rsid w:val="009F6827"/>
    <w:rsid w:val="009F71D9"/>
    <w:rsid w:val="009F75D2"/>
    <w:rsid w:val="009F7825"/>
    <w:rsid w:val="00A00E36"/>
    <w:rsid w:val="00A00E96"/>
    <w:rsid w:val="00A0195F"/>
    <w:rsid w:val="00A022A1"/>
    <w:rsid w:val="00A024B1"/>
    <w:rsid w:val="00A02577"/>
    <w:rsid w:val="00A02E92"/>
    <w:rsid w:val="00A0361D"/>
    <w:rsid w:val="00A03B2F"/>
    <w:rsid w:val="00A03F5E"/>
    <w:rsid w:val="00A040A1"/>
    <w:rsid w:val="00A0429D"/>
    <w:rsid w:val="00A04EC8"/>
    <w:rsid w:val="00A050A4"/>
    <w:rsid w:val="00A054AA"/>
    <w:rsid w:val="00A0559D"/>
    <w:rsid w:val="00A05E9A"/>
    <w:rsid w:val="00A063D9"/>
    <w:rsid w:val="00A065B3"/>
    <w:rsid w:val="00A06695"/>
    <w:rsid w:val="00A0670C"/>
    <w:rsid w:val="00A068A4"/>
    <w:rsid w:val="00A072E9"/>
    <w:rsid w:val="00A0739D"/>
    <w:rsid w:val="00A076B3"/>
    <w:rsid w:val="00A07939"/>
    <w:rsid w:val="00A07B4F"/>
    <w:rsid w:val="00A07EE2"/>
    <w:rsid w:val="00A07F02"/>
    <w:rsid w:val="00A1002D"/>
    <w:rsid w:val="00A10394"/>
    <w:rsid w:val="00A10464"/>
    <w:rsid w:val="00A1089B"/>
    <w:rsid w:val="00A110C2"/>
    <w:rsid w:val="00A111E0"/>
    <w:rsid w:val="00A11A31"/>
    <w:rsid w:val="00A12299"/>
    <w:rsid w:val="00A1278D"/>
    <w:rsid w:val="00A1338B"/>
    <w:rsid w:val="00A13BDA"/>
    <w:rsid w:val="00A13FFC"/>
    <w:rsid w:val="00A15248"/>
    <w:rsid w:val="00A1553E"/>
    <w:rsid w:val="00A157CD"/>
    <w:rsid w:val="00A163A6"/>
    <w:rsid w:val="00A16705"/>
    <w:rsid w:val="00A16841"/>
    <w:rsid w:val="00A203F2"/>
    <w:rsid w:val="00A20E71"/>
    <w:rsid w:val="00A21744"/>
    <w:rsid w:val="00A21A78"/>
    <w:rsid w:val="00A225A0"/>
    <w:rsid w:val="00A226E3"/>
    <w:rsid w:val="00A22A47"/>
    <w:rsid w:val="00A23C27"/>
    <w:rsid w:val="00A23F06"/>
    <w:rsid w:val="00A24097"/>
    <w:rsid w:val="00A24565"/>
    <w:rsid w:val="00A24CE1"/>
    <w:rsid w:val="00A2503A"/>
    <w:rsid w:val="00A25A20"/>
    <w:rsid w:val="00A262CB"/>
    <w:rsid w:val="00A2665F"/>
    <w:rsid w:val="00A26946"/>
    <w:rsid w:val="00A26C8E"/>
    <w:rsid w:val="00A2733B"/>
    <w:rsid w:val="00A3007C"/>
    <w:rsid w:val="00A30F26"/>
    <w:rsid w:val="00A312D5"/>
    <w:rsid w:val="00A31B3D"/>
    <w:rsid w:val="00A31B6A"/>
    <w:rsid w:val="00A31FEB"/>
    <w:rsid w:val="00A32B34"/>
    <w:rsid w:val="00A32F40"/>
    <w:rsid w:val="00A332F4"/>
    <w:rsid w:val="00A33D08"/>
    <w:rsid w:val="00A33E5F"/>
    <w:rsid w:val="00A34176"/>
    <w:rsid w:val="00A34617"/>
    <w:rsid w:val="00A346A5"/>
    <w:rsid w:val="00A352BA"/>
    <w:rsid w:val="00A35A50"/>
    <w:rsid w:val="00A35D00"/>
    <w:rsid w:val="00A35E09"/>
    <w:rsid w:val="00A36159"/>
    <w:rsid w:val="00A369B9"/>
    <w:rsid w:val="00A36EA6"/>
    <w:rsid w:val="00A371A7"/>
    <w:rsid w:val="00A37940"/>
    <w:rsid w:val="00A402BE"/>
    <w:rsid w:val="00A40325"/>
    <w:rsid w:val="00A418A5"/>
    <w:rsid w:val="00A41D59"/>
    <w:rsid w:val="00A41FC3"/>
    <w:rsid w:val="00A42031"/>
    <w:rsid w:val="00A42409"/>
    <w:rsid w:val="00A42C46"/>
    <w:rsid w:val="00A43C89"/>
    <w:rsid w:val="00A448A6"/>
    <w:rsid w:val="00A44FE5"/>
    <w:rsid w:val="00A45290"/>
    <w:rsid w:val="00A455C9"/>
    <w:rsid w:val="00A4572B"/>
    <w:rsid w:val="00A4588F"/>
    <w:rsid w:val="00A462EF"/>
    <w:rsid w:val="00A4687A"/>
    <w:rsid w:val="00A468F7"/>
    <w:rsid w:val="00A46C49"/>
    <w:rsid w:val="00A46EB2"/>
    <w:rsid w:val="00A47822"/>
    <w:rsid w:val="00A47853"/>
    <w:rsid w:val="00A4787D"/>
    <w:rsid w:val="00A502D2"/>
    <w:rsid w:val="00A50A93"/>
    <w:rsid w:val="00A5117E"/>
    <w:rsid w:val="00A5129D"/>
    <w:rsid w:val="00A51534"/>
    <w:rsid w:val="00A5169D"/>
    <w:rsid w:val="00A51701"/>
    <w:rsid w:val="00A5262E"/>
    <w:rsid w:val="00A526C5"/>
    <w:rsid w:val="00A526FA"/>
    <w:rsid w:val="00A528F5"/>
    <w:rsid w:val="00A52AC8"/>
    <w:rsid w:val="00A52E86"/>
    <w:rsid w:val="00A52F68"/>
    <w:rsid w:val="00A53254"/>
    <w:rsid w:val="00A53E9A"/>
    <w:rsid w:val="00A542D7"/>
    <w:rsid w:val="00A545F7"/>
    <w:rsid w:val="00A546AF"/>
    <w:rsid w:val="00A54A57"/>
    <w:rsid w:val="00A54CE1"/>
    <w:rsid w:val="00A551A2"/>
    <w:rsid w:val="00A55415"/>
    <w:rsid w:val="00A55701"/>
    <w:rsid w:val="00A55CDC"/>
    <w:rsid w:val="00A56439"/>
    <w:rsid w:val="00A567C2"/>
    <w:rsid w:val="00A56C1A"/>
    <w:rsid w:val="00A56E87"/>
    <w:rsid w:val="00A56EDC"/>
    <w:rsid w:val="00A56F0D"/>
    <w:rsid w:val="00A57123"/>
    <w:rsid w:val="00A57B0A"/>
    <w:rsid w:val="00A60199"/>
    <w:rsid w:val="00A60617"/>
    <w:rsid w:val="00A6077D"/>
    <w:rsid w:val="00A613FD"/>
    <w:rsid w:val="00A617D7"/>
    <w:rsid w:val="00A617F5"/>
    <w:rsid w:val="00A619D1"/>
    <w:rsid w:val="00A61B32"/>
    <w:rsid w:val="00A622CB"/>
    <w:rsid w:val="00A62342"/>
    <w:rsid w:val="00A62592"/>
    <w:rsid w:val="00A62DEF"/>
    <w:rsid w:val="00A62FF8"/>
    <w:rsid w:val="00A6426D"/>
    <w:rsid w:val="00A64908"/>
    <w:rsid w:val="00A64E6A"/>
    <w:rsid w:val="00A6514F"/>
    <w:rsid w:val="00A6524A"/>
    <w:rsid w:val="00A65B92"/>
    <w:rsid w:val="00A65BF4"/>
    <w:rsid w:val="00A65BFE"/>
    <w:rsid w:val="00A65EC9"/>
    <w:rsid w:val="00A66014"/>
    <w:rsid w:val="00A661E3"/>
    <w:rsid w:val="00A663CA"/>
    <w:rsid w:val="00A6660F"/>
    <w:rsid w:val="00A66B78"/>
    <w:rsid w:val="00A66ED0"/>
    <w:rsid w:val="00A672AD"/>
    <w:rsid w:val="00A70237"/>
    <w:rsid w:val="00A704DF"/>
    <w:rsid w:val="00A70722"/>
    <w:rsid w:val="00A708E2"/>
    <w:rsid w:val="00A708E3"/>
    <w:rsid w:val="00A71B84"/>
    <w:rsid w:val="00A72235"/>
    <w:rsid w:val="00A723CC"/>
    <w:rsid w:val="00A72659"/>
    <w:rsid w:val="00A7290B"/>
    <w:rsid w:val="00A73729"/>
    <w:rsid w:val="00A740E8"/>
    <w:rsid w:val="00A7421E"/>
    <w:rsid w:val="00A74259"/>
    <w:rsid w:val="00A74455"/>
    <w:rsid w:val="00A755AB"/>
    <w:rsid w:val="00A755AE"/>
    <w:rsid w:val="00A75665"/>
    <w:rsid w:val="00A75894"/>
    <w:rsid w:val="00A76312"/>
    <w:rsid w:val="00A76589"/>
    <w:rsid w:val="00A76837"/>
    <w:rsid w:val="00A76E30"/>
    <w:rsid w:val="00A76EA8"/>
    <w:rsid w:val="00A76F7F"/>
    <w:rsid w:val="00A77613"/>
    <w:rsid w:val="00A7772E"/>
    <w:rsid w:val="00A77BA0"/>
    <w:rsid w:val="00A80F81"/>
    <w:rsid w:val="00A814DB"/>
    <w:rsid w:val="00A8169C"/>
    <w:rsid w:val="00A817A5"/>
    <w:rsid w:val="00A81D8A"/>
    <w:rsid w:val="00A82A1C"/>
    <w:rsid w:val="00A82AA9"/>
    <w:rsid w:val="00A82D05"/>
    <w:rsid w:val="00A82E0C"/>
    <w:rsid w:val="00A83499"/>
    <w:rsid w:val="00A83541"/>
    <w:rsid w:val="00A8451D"/>
    <w:rsid w:val="00A845BB"/>
    <w:rsid w:val="00A848AB"/>
    <w:rsid w:val="00A84BEF"/>
    <w:rsid w:val="00A8533E"/>
    <w:rsid w:val="00A85C69"/>
    <w:rsid w:val="00A85CCB"/>
    <w:rsid w:val="00A86046"/>
    <w:rsid w:val="00A86511"/>
    <w:rsid w:val="00A86B7C"/>
    <w:rsid w:val="00A877D1"/>
    <w:rsid w:val="00A87BED"/>
    <w:rsid w:val="00A87C95"/>
    <w:rsid w:val="00A9089B"/>
    <w:rsid w:val="00A909FF"/>
    <w:rsid w:val="00A90BFE"/>
    <w:rsid w:val="00A91531"/>
    <w:rsid w:val="00A916B4"/>
    <w:rsid w:val="00A9181E"/>
    <w:rsid w:val="00A91B70"/>
    <w:rsid w:val="00A91EF2"/>
    <w:rsid w:val="00A91F93"/>
    <w:rsid w:val="00A92171"/>
    <w:rsid w:val="00A92356"/>
    <w:rsid w:val="00A92BD7"/>
    <w:rsid w:val="00A93590"/>
    <w:rsid w:val="00A93A94"/>
    <w:rsid w:val="00A94998"/>
    <w:rsid w:val="00A94A21"/>
    <w:rsid w:val="00A94D2D"/>
    <w:rsid w:val="00A95009"/>
    <w:rsid w:val="00A95293"/>
    <w:rsid w:val="00A952FD"/>
    <w:rsid w:val="00A95B56"/>
    <w:rsid w:val="00A9725E"/>
    <w:rsid w:val="00A972F4"/>
    <w:rsid w:val="00A9745A"/>
    <w:rsid w:val="00A97674"/>
    <w:rsid w:val="00AA0092"/>
    <w:rsid w:val="00AA0266"/>
    <w:rsid w:val="00AA06AD"/>
    <w:rsid w:val="00AA0A52"/>
    <w:rsid w:val="00AA196B"/>
    <w:rsid w:val="00AA2235"/>
    <w:rsid w:val="00AA22F1"/>
    <w:rsid w:val="00AA24BB"/>
    <w:rsid w:val="00AA259F"/>
    <w:rsid w:val="00AA27C9"/>
    <w:rsid w:val="00AA30DB"/>
    <w:rsid w:val="00AA31D7"/>
    <w:rsid w:val="00AA442F"/>
    <w:rsid w:val="00AA44D3"/>
    <w:rsid w:val="00AA49AB"/>
    <w:rsid w:val="00AA4C8D"/>
    <w:rsid w:val="00AA4CA4"/>
    <w:rsid w:val="00AA4EA1"/>
    <w:rsid w:val="00AA50C5"/>
    <w:rsid w:val="00AA5617"/>
    <w:rsid w:val="00AA57A2"/>
    <w:rsid w:val="00AA5A1A"/>
    <w:rsid w:val="00AA5B7E"/>
    <w:rsid w:val="00AA5D2D"/>
    <w:rsid w:val="00AA5E48"/>
    <w:rsid w:val="00AA5FFA"/>
    <w:rsid w:val="00AA63C2"/>
    <w:rsid w:val="00AA692C"/>
    <w:rsid w:val="00AA738B"/>
    <w:rsid w:val="00AA7718"/>
    <w:rsid w:val="00AA7D1A"/>
    <w:rsid w:val="00AA7F29"/>
    <w:rsid w:val="00AB0882"/>
    <w:rsid w:val="00AB0AFA"/>
    <w:rsid w:val="00AB0B74"/>
    <w:rsid w:val="00AB0BEF"/>
    <w:rsid w:val="00AB102B"/>
    <w:rsid w:val="00AB10DC"/>
    <w:rsid w:val="00AB121F"/>
    <w:rsid w:val="00AB14AA"/>
    <w:rsid w:val="00AB1887"/>
    <w:rsid w:val="00AB1EB9"/>
    <w:rsid w:val="00AB2359"/>
    <w:rsid w:val="00AB23B5"/>
    <w:rsid w:val="00AB254B"/>
    <w:rsid w:val="00AB28AC"/>
    <w:rsid w:val="00AB2965"/>
    <w:rsid w:val="00AB2ADD"/>
    <w:rsid w:val="00AB2E14"/>
    <w:rsid w:val="00AB31D6"/>
    <w:rsid w:val="00AB34DD"/>
    <w:rsid w:val="00AB3DBD"/>
    <w:rsid w:val="00AB42BF"/>
    <w:rsid w:val="00AB447A"/>
    <w:rsid w:val="00AB55A3"/>
    <w:rsid w:val="00AB58AD"/>
    <w:rsid w:val="00AB5FE0"/>
    <w:rsid w:val="00AB73E7"/>
    <w:rsid w:val="00AB7514"/>
    <w:rsid w:val="00AB7722"/>
    <w:rsid w:val="00AC1DCD"/>
    <w:rsid w:val="00AC1FDE"/>
    <w:rsid w:val="00AC20A9"/>
    <w:rsid w:val="00AC2CF0"/>
    <w:rsid w:val="00AC3D25"/>
    <w:rsid w:val="00AC4381"/>
    <w:rsid w:val="00AC45F3"/>
    <w:rsid w:val="00AC466C"/>
    <w:rsid w:val="00AC46A1"/>
    <w:rsid w:val="00AC48AA"/>
    <w:rsid w:val="00AC493D"/>
    <w:rsid w:val="00AC571F"/>
    <w:rsid w:val="00AC5D90"/>
    <w:rsid w:val="00AC648E"/>
    <w:rsid w:val="00AC6711"/>
    <w:rsid w:val="00AC6B52"/>
    <w:rsid w:val="00AD0015"/>
    <w:rsid w:val="00AD0BF0"/>
    <w:rsid w:val="00AD0EF9"/>
    <w:rsid w:val="00AD17EA"/>
    <w:rsid w:val="00AD1EA6"/>
    <w:rsid w:val="00AD2B86"/>
    <w:rsid w:val="00AD2BE0"/>
    <w:rsid w:val="00AD2D07"/>
    <w:rsid w:val="00AD3281"/>
    <w:rsid w:val="00AD3BF4"/>
    <w:rsid w:val="00AD416D"/>
    <w:rsid w:val="00AD4B19"/>
    <w:rsid w:val="00AD57E6"/>
    <w:rsid w:val="00AD6481"/>
    <w:rsid w:val="00AD649E"/>
    <w:rsid w:val="00AD64A5"/>
    <w:rsid w:val="00AD6B83"/>
    <w:rsid w:val="00AD6B91"/>
    <w:rsid w:val="00AD6D92"/>
    <w:rsid w:val="00AD756C"/>
    <w:rsid w:val="00AD7655"/>
    <w:rsid w:val="00AD7FC5"/>
    <w:rsid w:val="00AE0198"/>
    <w:rsid w:val="00AE0D8D"/>
    <w:rsid w:val="00AE1D52"/>
    <w:rsid w:val="00AE1D90"/>
    <w:rsid w:val="00AE21FF"/>
    <w:rsid w:val="00AE25DA"/>
    <w:rsid w:val="00AE2774"/>
    <w:rsid w:val="00AE293C"/>
    <w:rsid w:val="00AE304A"/>
    <w:rsid w:val="00AE3231"/>
    <w:rsid w:val="00AE37E9"/>
    <w:rsid w:val="00AE3806"/>
    <w:rsid w:val="00AE44A0"/>
    <w:rsid w:val="00AE47BE"/>
    <w:rsid w:val="00AE5162"/>
    <w:rsid w:val="00AE5586"/>
    <w:rsid w:val="00AE55D6"/>
    <w:rsid w:val="00AE5C92"/>
    <w:rsid w:val="00AE606E"/>
    <w:rsid w:val="00AE6499"/>
    <w:rsid w:val="00AE6719"/>
    <w:rsid w:val="00AE70E1"/>
    <w:rsid w:val="00AE7990"/>
    <w:rsid w:val="00AE7A0A"/>
    <w:rsid w:val="00AE7A1E"/>
    <w:rsid w:val="00AF05EA"/>
    <w:rsid w:val="00AF0D6C"/>
    <w:rsid w:val="00AF1608"/>
    <w:rsid w:val="00AF16F4"/>
    <w:rsid w:val="00AF1BC7"/>
    <w:rsid w:val="00AF2829"/>
    <w:rsid w:val="00AF2997"/>
    <w:rsid w:val="00AF29A9"/>
    <w:rsid w:val="00AF2A14"/>
    <w:rsid w:val="00AF353D"/>
    <w:rsid w:val="00AF3B7D"/>
    <w:rsid w:val="00AF40C3"/>
    <w:rsid w:val="00AF4187"/>
    <w:rsid w:val="00AF4BA7"/>
    <w:rsid w:val="00AF4DC0"/>
    <w:rsid w:val="00AF6079"/>
    <w:rsid w:val="00AF607D"/>
    <w:rsid w:val="00AF6536"/>
    <w:rsid w:val="00AF679F"/>
    <w:rsid w:val="00AF79FA"/>
    <w:rsid w:val="00AF7D2E"/>
    <w:rsid w:val="00AF7D30"/>
    <w:rsid w:val="00B0013E"/>
    <w:rsid w:val="00B00197"/>
    <w:rsid w:val="00B004A2"/>
    <w:rsid w:val="00B0083B"/>
    <w:rsid w:val="00B00A84"/>
    <w:rsid w:val="00B00DC9"/>
    <w:rsid w:val="00B01169"/>
    <w:rsid w:val="00B012C0"/>
    <w:rsid w:val="00B01487"/>
    <w:rsid w:val="00B01554"/>
    <w:rsid w:val="00B024A5"/>
    <w:rsid w:val="00B02C6E"/>
    <w:rsid w:val="00B02C77"/>
    <w:rsid w:val="00B02ED0"/>
    <w:rsid w:val="00B0348D"/>
    <w:rsid w:val="00B034C0"/>
    <w:rsid w:val="00B03F67"/>
    <w:rsid w:val="00B04B8F"/>
    <w:rsid w:val="00B05BAA"/>
    <w:rsid w:val="00B05EA7"/>
    <w:rsid w:val="00B066F6"/>
    <w:rsid w:val="00B0676B"/>
    <w:rsid w:val="00B07BAD"/>
    <w:rsid w:val="00B10FD0"/>
    <w:rsid w:val="00B110CD"/>
    <w:rsid w:val="00B11730"/>
    <w:rsid w:val="00B11A1A"/>
    <w:rsid w:val="00B11A1C"/>
    <w:rsid w:val="00B11AF6"/>
    <w:rsid w:val="00B11B89"/>
    <w:rsid w:val="00B12AA3"/>
    <w:rsid w:val="00B12E31"/>
    <w:rsid w:val="00B13948"/>
    <w:rsid w:val="00B144DA"/>
    <w:rsid w:val="00B149AC"/>
    <w:rsid w:val="00B1623E"/>
    <w:rsid w:val="00B168B2"/>
    <w:rsid w:val="00B17553"/>
    <w:rsid w:val="00B1755A"/>
    <w:rsid w:val="00B175FD"/>
    <w:rsid w:val="00B17C7A"/>
    <w:rsid w:val="00B20DCC"/>
    <w:rsid w:val="00B2105A"/>
    <w:rsid w:val="00B21268"/>
    <w:rsid w:val="00B21DC9"/>
    <w:rsid w:val="00B22159"/>
    <w:rsid w:val="00B2232A"/>
    <w:rsid w:val="00B22BA2"/>
    <w:rsid w:val="00B22EC9"/>
    <w:rsid w:val="00B235A4"/>
    <w:rsid w:val="00B23FC7"/>
    <w:rsid w:val="00B24589"/>
    <w:rsid w:val="00B24A55"/>
    <w:rsid w:val="00B2545A"/>
    <w:rsid w:val="00B25471"/>
    <w:rsid w:val="00B2555A"/>
    <w:rsid w:val="00B25D6F"/>
    <w:rsid w:val="00B26168"/>
    <w:rsid w:val="00B26A50"/>
    <w:rsid w:val="00B26E27"/>
    <w:rsid w:val="00B274F8"/>
    <w:rsid w:val="00B30117"/>
    <w:rsid w:val="00B3032C"/>
    <w:rsid w:val="00B3041D"/>
    <w:rsid w:val="00B308D2"/>
    <w:rsid w:val="00B30F5E"/>
    <w:rsid w:val="00B3119F"/>
    <w:rsid w:val="00B3227D"/>
    <w:rsid w:val="00B325C8"/>
    <w:rsid w:val="00B32850"/>
    <w:rsid w:val="00B32A00"/>
    <w:rsid w:val="00B331DB"/>
    <w:rsid w:val="00B33650"/>
    <w:rsid w:val="00B33C68"/>
    <w:rsid w:val="00B34A22"/>
    <w:rsid w:val="00B34F9F"/>
    <w:rsid w:val="00B36377"/>
    <w:rsid w:val="00B3690D"/>
    <w:rsid w:val="00B36F2B"/>
    <w:rsid w:val="00B4087B"/>
    <w:rsid w:val="00B40A84"/>
    <w:rsid w:val="00B41A09"/>
    <w:rsid w:val="00B431AD"/>
    <w:rsid w:val="00B442C6"/>
    <w:rsid w:val="00B457D7"/>
    <w:rsid w:val="00B45DAA"/>
    <w:rsid w:val="00B45E29"/>
    <w:rsid w:val="00B4619D"/>
    <w:rsid w:val="00B466FA"/>
    <w:rsid w:val="00B46D16"/>
    <w:rsid w:val="00B47C86"/>
    <w:rsid w:val="00B503F0"/>
    <w:rsid w:val="00B50E87"/>
    <w:rsid w:val="00B51153"/>
    <w:rsid w:val="00B518A9"/>
    <w:rsid w:val="00B52025"/>
    <w:rsid w:val="00B5283F"/>
    <w:rsid w:val="00B532C4"/>
    <w:rsid w:val="00B5481D"/>
    <w:rsid w:val="00B54897"/>
    <w:rsid w:val="00B54D81"/>
    <w:rsid w:val="00B5556D"/>
    <w:rsid w:val="00B55701"/>
    <w:rsid w:val="00B55BDE"/>
    <w:rsid w:val="00B5665B"/>
    <w:rsid w:val="00B57D3D"/>
    <w:rsid w:val="00B603D0"/>
    <w:rsid w:val="00B60C77"/>
    <w:rsid w:val="00B60F3F"/>
    <w:rsid w:val="00B61115"/>
    <w:rsid w:val="00B61A17"/>
    <w:rsid w:val="00B61FCB"/>
    <w:rsid w:val="00B6236C"/>
    <w:rsid w:val="00B62851"/>
    <w:rsid w:val="00B632C9"/>
    <w:rsid w:val="00B6336E"/>
    <w:rsid w:val="00B635AA"/>
    <w:rsid w:val="00B641B4"/>
    <w:rsid w:val="00B644D6"/>
    <w:rsid w:val="00B64932"/>
    <w:rsid w:val="00B64A19"/>
    <w:rsid w:val="00B64C8C"/>
    <w:rsid w:val="00B64E35"/>
    <w:rsid w:val="00B65234"/>
    <w:rsid w:val="00B65510"/>
    <w:rsid w:val="00B65AF0"/>
    <w:rsid w:val="00B65BAA"/>
    <w:rsid w:val="00B65F3D"/>
    <w:rsid w:val="00B66293"/>
    <w:rsid w:val="00B66A09"/>
    <w:rsid w:val="00B70676"/>
    <w:rsid w:val="00B70A5F"/>
    <w:rsid w:val="00B714A9"/>
    <w:rsid w:val="00B71520"/>
    <w:rsid w:val="00B718A5"/>
    <w:rsid w:val="00B71D2A"/>
    <w:rsid w:val="00B71E32"/>
    <w:rsid w:val="00B72C5F"/>
    <w:rsid w:val="00B72CA0"/>
    <w:rsid w:val="00B72CE6"/>
    <w:rsid w:val="00B7357E"/>
    <w:rsid w:val="00B7369A"/>
    <w:rsid w:val="00B74024"/>
    <w:rsid w:val="00B74228"/>
    <w:rsid w:val="00B745B2"/>
    <w:rsid w:val="00B74C0D"/>
    <w:rsid w:val="00B75C37"/>
    <w:rsid w:val="00B75D96"/>
    <w:rsid w:val="00B76EBC"/>
    <w:rsid w:val="00B76F3E"/>
    <w:rsid w:val="00B773B9"/>
    <w:rsid w:val="00B77877"/>
    <w:rsid w:val="00B77912"/>
    <w:rsid w:val="00B77A5C"/>
    <w:rsid w:val="00B77AFF"/>
    <w:rsid w:val="00B77B96"/>
    <w:rsid w:val="00B77DD1"/>
    <w:rsid w:val="00B80647"/>
    <w:rsid w:val="00B80987"/>
    <w:rsid w:val="00B818E8"/>
    <w:rsid w:val="00B81E5E"/>
    <w:rsid w:val="00B82A9C"/>
    <w:rsid w:val="00B8491C"/>
    <w:rsid w:val="00B84A7D"/>
    <w:rsid w:val="00B84DD1"/>
    <w:rsid w:val="00B850EC"/>
    <w:rsid w:val="00B85BB5"/>
    <w:rsid w:val="00B9067D"/>
    <w:rsid w:val="00B908E2"/>
    <w:rsid w:val="00B90D05"/>
    <w:rsid w:val="00B915F5"/>
    <w:rsid w:val="00B91C8A"/>
    <w:rsid w:val="00B92345"/>
    <w:rsid w:val="00B9240B"/>
    <w:rsid w:val="00B92492"/>
    <w:rsid w:val="00B92B25"/>
    <w:rsid w:val="00B92B44"/>
    <w:rsid w:val="00B92E80"/>
    <w:rsid w:val="00B92FC0"/>
    <w:rsid w:val="00B935C2"/>
    <w:rsid w:val="00B93736"/>
    <w:rsid w:val="00B93795"/>
    <w:rsid w:val="00B938B7"/>
    <w:rsid w:val="00B945A6"/>
    <w:rsid w:val="00B9497F"/>
    <w:rsid w:val="00B949FF"/>
    <w:rsid w:val="00B9508A"/>
    <w:rsid w:val="00B95F4D"/>
    <w:rsid w:val="00B96098"/>
    <w:rsid w:val="00B96232"/>
    <w:rsid w:val="00B96356"/>
    <w:rsid w:val="00B963B1"/>
    <w:rsid w:val="00B9704E"/>
    <w:rsid w:val="00B971EB"/>
    <w:rsid w:val="00B9790C"/>
    <w:rsid w:val="00B979B2"/>
    <w:rsid w:val="00BA05AF"/>
    <w:rsid w:val="00BA094D"/>
    <w:rsid w:val="00BA0F2D"/>
    <w:rsid w:val="00BA1CB8"/>
    <w:rsid w:val="00BA1E6D"/>
    <w:rsid w:val="00BA204F"/>
    <w:rsid w:val="00BA25A6"/>
    <w:rsid w:val="00BA266F"/>
    <w:rsid w:val="00BA2D40"/>
    <w:rsid w:val="00BA34DF"/>
    <w:rsid w:val="00BA36C8"/>
    <w:rsid w:val="00BA41EA"/>
    <w:rsid w:val="00BA4823"/>
    <w:rsid w:val="00BA4A77"/>
    <w:rsid w:val="00BA4ED7"/>
    <w:rsid w:val="00BA5478"/>
    <w:rsid w:val="00BA5858"/>
    <w:rsid w:val="00BA5EA7"/>
    <w:rsid w:val="00BA627B"/>
    <w:rsid w:val="00BA62BA"/>
    <w:rsid w:val="00BA665B"/>
    <w:rsid w:val="00BA6DFC"/>
    <w:rsid w:val="00BA72D1"/>
    <w:rsid w:val="00BA7C45"/>
    <w:rsid w:val="00BB040E"/>
    <w:rsid w:val="00BB0A92"/>
    <w:rsid w:val="00BB17DC"/>
    <w:rsid w:val="00BB1A6C"/>
    <w:rsid w:val="00BB1CDF"/>
    <w:rsid w:val="00BB23B2"/>
    <w:rsid w:val="00BB2686"/>
    <w:rsid w:val="00BB28E7"/>
    <w:rsid w:val="00BB3662"/>
    <w:rsid w:val="00BB3A3B"/>
    <w:rsid w:val="00BB3AF9"/>
    <w:rsid w:val="00BB3F5C"/>
    <w:rsid w:val="00BB40C2"/>
    <w:rsid w:val="00BB41AE"/>
    <w:rsid w:val="00BB44DE"/>
    <w:rsid w:val="00BB4F2B"/>
    <w:rsid w:val="00BB50FD"/>
    <w:rsid w:val="00BB52E0"/>
    <w:rsid w:val="00BB5889"/>
    <w:rsid w:val="00BB632A"/>
    <w:rsid w:val="00BB6544"/>
    <w:rsid w:val="00BB6EB7"/>
    <w:rsid w:val="00BB7782"/>
    <w:rsid w:val="00BB77A4"/>
    <w:rsid w:val="00BB7F6A"/>
    <w:rsid w:val="00BC0414"/>
    <w:rsid w:val="00BC0861"/>
    <w:rsid w:val="00BC0951"/>
    <w:rsid w:val="00BC0E00"/>
    <w:rsid w:val="00BC1A5A"/>
    <w:rsid w:val="00BC1C62"/>
    <w:rsid w:val="00BC24A8"/>
    <w:rsid w:val="00BC2850"/>
    <w:rsid w:val="00BC3712"/>
    <w:rsid w:val="00BC3B25"/>
    <w:rsid w:val="00BC4088"/>
    <w:rsid w:val="00BC42C3"/>
    <w:rsid w:val="00BC49F6"/>
    <w:rsid w:val="00BC5191"/>
    <w:rsid w:val="00BC58F8"/>
    <w:rsid w:val="00BC5C60"/>
    <w:rsid w:val="00BC6864"/>
    <w:rsid w:val="00BC6D29"/>
    <w:rsid w:val="00BC6D5C"/>
    <w:rsid w:val="00BC6D93"/>
    <w:rsid w:val="00BC75F7"/>
    <w:rsid w:val="00BC7C9D"/>
    <w:rsid w:val="00BC7F7C"/>
    <w:rsid w:val="00BD08E8"/>
    <w:rsid w:val="00BD0A64"/>
    <w:rsid w:val="00BD0C02"/>
    <w:rsid w:val="00BD0C13"/>
    <w:rsid w:val="00BD1068"/>
    <w:rsid w:val="00BD1327"/>
    <w:rsid w:val="00BD1AD9"/>
    <w:rsid w:val="00BD1BCE"/>
    <w:rsid w:val="00BD1F1D"/>
    <w:rsid w:val="00BD2E27"/>
    <w:rsid w:val="00BD3476"/>
    <w:rsid w:val="00BD34B8"/>
    <w:rsid w:val="00BD3ADF"/>
    <w:rsid w:val="00BD471E"/>
    <w:rsid w:val="00BD49D9"/>
    <w:rsid w:val="00BD4F4D"/>
    <w:rsid w:val="00BD5272"/>
    <w:rsid w:val="00BD532E"/>
    <w:rsid w:val="00BD56CB"/>
    <w:rsid w:val="00BD60DE"/>
    <w:rsid w:val="00BD77AD"/>
    <w:rsid w:val="00BE02C1"/>
    <w:rsid w:val="00BE0B48"/>
    <w:rsid w:val="00BE0B63"/>
    <w:rsid w:val="00BE0C03"/>
    <w:rsid w:val="00BE0CF8"/>
    <w:rsid w:val="00BE1709"/>
    <w:rsid w:val="00BE19F3"/>
    <w:rsid w:val="00BE1C1B"/>
    <w:rsid w:val="00BE1EB2"/>
    <w:rsid w:val="00BE213A"/>
    <w:rsid w:val="00BE24FB"/>
    <w:rsid w:val="00BE260E"/>
    <w:rsid w:val="00BE2A90"/>
    <w:rsid w:val="00BE4BAE"/>
    <w:rsid w:val="00BE5D2C"/>
    <w:rsid w:val="00BE6099"/>
    <w:rsid w:val="00BE6E97"/>
    <w:rsid w:val="00BE6FD4"/>
    <w:rsid w:val="00BE7349"/>
    <w:rsid w:val="00BE7522"/>
    <w:rsid w:val="00BE7E8F"/>
    <w:rsid w:val="00BF0131"/>
    <w:rsid w:val="00BF0820"/>
    <w:rsid w:val="00BF0900"/>
    <w:rsid w:val="00BF0D6A"/>
    <w:rsid w:val="00BF123E"/>
    <w:rsid w:val="00BF1C2D"/>
    <w:rsid w:val="00BF28EC"/>
    <w:rsid w:val="00BF29C6"/>
    <w:rsid w:val="00BF3368"/>
    <w:rsid w:val="00BF3496"/>
    <w:rsid w:val="00BF43FD"/>
    <w:rsid w:val="00BF4BD7"/>
    <w:rsid w:val="00BF5488"/>
    <w:rsid w:val="00BF6689"/>
    <w:rsid w:val="00BF6D1D"/>
    <w:rsid w:val="00BF7F3F"/>
    <w:rsid w:val="00C00E1A"/>
    <w:rsid w:val="00C0161F"/>
    <w:rsid w:val="00C01939"/>
    <w:rsid w:val="00C01F12"/>
    <w:rsid w:val="00C02FC4"/>
    <w:rsid w:val="00C03082"/>
    <w:rsid w:val="00C0332B"/>
    <w:rsid w:val="00C03596"/>
    <w:rsid w:val="00C03C93"/>
    <w:rsid w:val="00C03D1A"/>
    <w:rsid w:val="00C03EAA"/>
    <w:rsid w:val="00C040E4"/>
    <w:rsid w:val="00C0416E"/>
    <w:rsid w:val="00C04315"/>
    <w:rsid w:val="00C0541A"/>
    <w:rsid w:val="00C05544"/>
    <w:rsid w:val="00C055E7"/>
    <w:rsid w:val="00C05C58"/>
    <w:rsid w:val="00C05C7F"/>
    <w:rsid w:val="00C06097"/>
    <w:rsid w:val="00C060AB"/>
    <w:rsid w:val="00C0653D"/>
    <w:rsid w:val="00C06B68"/>
    <w:rsid w:val="00C07689"/>
    <w:rsid w:val="00C07798"/>
    <w:rsid w:val="00C07DA4"/>
    <w:rsid w:val="00C10180"/>
    <w:rsid w:val="00C10358"/>
    <w:rsid w:val="00C1085B"/>
    <w:rsid w:val="00C10CD1"/>
    <w:rsid w:val="00C111D5"/>
    <w:rsid w:val="00C11D73"/>
    <w:rsid w:val="00C11F62"/>
    <w:rsid w:val="00C12060"/>
    <w:rsid w:val="00C12151"/>
    <w:rsid w:val="00C12513"/>
    <w:rsid w:val="00C12742"/>
    <w:rsid w:val="00C12E73"/>
    <w:rsid w:val="00C13ABF"/>
    <w:rsid w:val="00C1435C"/>
    <w:rsid w:val="00C14556"/>
    <w:rsid w:val="00C1469A"/>
    <w:rsid w:val="00C14812"/>
    <w:rsid w:val="00C1496D"/>
    <w:rsid w:val="00C150B4"/>
    <w:rsid w:val="00C15483"/>
    <w:rsid w:val="00C1564C"/>
    <w:rsid w:val="00C157FE"/>
    <w:rsid w:val="00C1601F"/>
    <w:rsid w:val="00C16107"/>
    <w:rsid w:val="00C16680"/>
    <w:rsid w:val="00C16BA5"/>
    <w:rsid w:val="00C16E18"/>
    <w:rsid w:val="00C175A9"/>
    <w:rsid w:val="00C17ABE"/>
    <w:rsid w:val="00C17BD7"/>
    <w:rsid w:val="00C201D0"/>
    <w:rsid w:val="00C20500"/>
    <w:rsid w:val="00C20770"/>
    <w:rsid w:val="00C21112"/>
    <w:rsid w:val="00C22311"/>
    <w:rsid w:val="00C22789"/>
    <w:rsid w:val="00C22983"/>
    <w:rsid w:val="00C23D3E"/>
    <w:rsid w:val="00C240E7"/>
    <w:rsid w:val="00C24791"/>
    <w:rsid w:val="00C24813"/>
    <w:rsid w:val="00C24A4E"/>
    <w:rsid w:val="00C24CD9"/>
    <w:rsid w:val="00C26119"/>
    <w:rsid w:val="00C26744"/>
    <w:rsid w:val="00C26AA1"/>
    <w:rsid w:val="00C26B13"/>
    <w:rsid w:val="00C26BF7"/>
    <w:rsid w:val="00C274ED"/>
    <w:rsid w:val="00C276B4"/>
    <w:rsid w:val="00C278B4"/>
    <w:rsid w:val="00C27BC0"/>
    <w:rsid w:val="00C30807"/>
    <w:rsid w:val="00C3081B"/>
    <w:rsid w:val="00C30993"/>
    <w:rsid w:val="00C30A2B"/>
    <w:rsid w:val="00C30CDE"/>
    <w:rsid w:val="00C30D70"/>
    <w:rsid w:val="00C3215D"/>
    <w:rsid w:val="00C3228B"/>
    <w:rsid w:val="00C3278F"/>
    <w:rsid w:val="00C3291C"/>
    <w:rsid w:val="00C329EB"/>
    <w:rsid w:val="00C331D8"/>
    <w:rsid w:val="00C3336C"/>
    <w:rsid w:val="00C336BA"/>
    <w:rsid w:val="00C337D2"/>
    <w:rsid w:val="00C33877"/>
    <w:rsid w:val="00C34621"/>
    <w:rsid w:val="00C34A26"/>
    <w:rsid w:val="00C34D11"/>
    <w:rsid w:val="00C35AC4"/>
    <w:rsid w:val="00C3646B"/>
    <w:rsid w:val="00C367CF"/>
    <w:rsid w:val="00C36854"/>
    <w:rsid w:val="00C368A3"/>
    <w:rsid w:val="00C36B69"/>
    <w:rsid w:val="00C36B83"/>
    <w:rsid w:val="00C36F7D"/>
    <w:rsid w:val="00C37400"/>
    <w:rsid w:val="00C37462"/>
    <w:rsid w:val="00C37744"/>
    <w:rsid w:val="00C37A86"/>
    <w:rsid w:val="00C4072E"/>
    <w:rsid w:val="00C40A9F"/>
    <w:rsid w:val="00C40CF3"/>
    <w:rsid w:val="00C40DC7"/>
    <w:rsid w:val="00C40F2C"/>
    <w:rsid w:val="00C4196B"/>
    <w:rsid w:val="00C41FAC"/>
    <w:rsid w:val="00C42636"/>
    <w:rsid w:val="00C426E9"/>
    <w:rsid w:val="00C42B13"/>
    <w:rsid w:val="00C4356D"/>
    <w:rsid w:val="00C4374F"/>
    <w:rsid w:val="00C44AFA"/>
    <w:rsid w:val="00C44BB2"/>
    <w:rsid w:val="00C45006"/>
    <w:rsid w:val="00C45978"/>
    <w:rsid w:val="00C45C59"/>
    <w:rsid w:val="00C4619C"/>
    <w:rsid w:val="00C4622D"/>
    <w:rsid w:val="00C47595"/>
    <w:rsid w:val="00C47AA9"/>
    <w:rsid w:val="00C47B20"/>
    <w:rsid w:val="00C47D31"/>
    <w:rsid w:val="00C47D4F"/>
    <w:rsid w:val="00C50440"/>
    <w:rsid w:val="00C50516"/>
    <w:rsid w:val="00C50898"/>
    <w:rsid w:val="00C5108B"/>
    <w:rsid w:val="00C511E8"/>
    <w:rsid w:val="00C51912"/>
    <w:rsid w:val="00C51E30"/>
    <w:rsid w:val="00C51EB5"/>
    <w:rsid w:val="00C5291E"/>
    <w:rsid w:val="00C52C63"/>
    <w:rsid w:val="00C5301A"/>
    <w:rsid w:val="00C53593"/>
    <w:rsid w:val="00C535BE"/>
    <w:rsid w:val="00C54349"/>
    <w:rsid w:val="00C543C0"/>
    <w:rsid w:val="00C545E9"/>
    <w:rsid w:val="00C54B5F"/>
    <w:rsid w:val="00C557B5"/>
    <w:rsid w:val="00C561EB"/>
    <w:rsid w:val="00C565CF"/>
    <w:rsid w:val="00C5663E"/>
    <w:rsid w:val="00C57699"/>
    <w:rsid w:val="00C60065"/>
    <w:rsid w:val="00C6039B"/>
    <w:rsid w:val="00C61088"/>
    <w:rsid w:val="00C62732"/>
    <w:rsid w:val="00C62DFB"/>
    <w:rsid w:val="00C62E13"/>
    <w:rsid w:val="00C62F1F"/>
    <w:rsid w:val="00C65C41"/>
    <w:rsid w:val="00C66323"/>
    <w:rsid w:val="00C665AA"/>
    <w:rsid w:val="00C66621"/>
    <w:rsid w:val="00C669ED"/>
    <w:rsid w:val="00C671A7"/>
    <w:rsid w:val="00C6728B"/>
    <w:rsid w:val="00C67342"/>
    <w:rsid w:val="00C67585"/>
    <w:rsid w:val="00C67BBC"/>
    <w:rsid w:val="00C67BD3"/>
    <w:rsid w:val="00C7097E"/>
    <w:rsid w:val="00C70D97"/>
    <w:rsid w:val="00C70DC6"/>
    <w:rsid w:val="00C717CF"/>
    <w:rsid w:val="00C71D2E"/>
    <w:rsid w:val="00C71EF4"/>
    <w:rsid w:val="00C71F26"/>
    <w:rsid w:val="00C720A9"/>
    <w:rsid w:val="00C73F43"/>
    <w:rsid w:val="00C7437C"/>
    <w:rsid w:val="00C743B8"/>
    <w:rsid w:val="00C74A9F"/>
    <w:rsid w:val="00C74D2A"/>
    <w:rsid w:val="00C75179"/>
    <w:rsid w:val="00C75189"/>
    <w:rsid w:val="00C7523F"/>
    <w:rsid w:val="00C7528E"/>
    <w:rsid w:val="00C752E7"/>
    <w:rsid w:val="00C75398"/>
    <w:rsid w:val="00C7596B"/>
    <w:rsid w:val="00C7601A"/>
    <w:rsid w:val="00C76467"/>
    <w:rsid w:val="00C765F5"/>
    <w:rsid w:val="00C76608"/>
    <w:rsid w:val="00C767F1"/>
    <w:rsid w:val="00C76A95"/>
    <w:rsid w:val="00C77314"/>
    <w:rsid w:val="00C7740A"/>
    <w:rsid w:val="00C7767A"/>
    <w:rsid w:val="00C77A02"/>
    <w:rsid w:val="00C81049"/>
    <w:rsid w:val="00C81078"/>
    <w:rsid w:val="00C81097"/>
    <w:rsid w:val="00C81ED8"/>
    <w:rsid w:val="00C82884"/>
    <w:rsid w:val="00C82A87"/>
    <w:rsid w:val="00C83129"/>
    <w:rsid w:val="00C83348"/>
    <w:rsid w:val="00C833CB"/>
    <w:rsid w:val="00C83456"/>
    <w:rsid w:val="00C84837"/>
    <w:rsid w:val="00C84D86"/>
    <w:rsid w:val="00C8564D"/>
    <w:rsid w:val="00C8566D"/>
    <w:rsid w:val="00C85C68"/>
    <w:rsid w:val="00C86299"/>
    <w:rsid w:val="00C877C1"/>
    <w:rsid w:val="00C87E64"/>
    <w:rsid w:val="00C90117"/>
    <w:rsid w:val="00C902D9"/>
    <w:rsid w:val="00C90BB1"/>
    <w:rsid w:val="00C91356"/>
    <w:rsid w:val="00C91510"/>
    <w:rsid w:val="00C91BEB"/>
    <w:rsid w:val="00C92862"/>
    <w:rsid w:val="00C93FC9"/>
    <w:rsid w:val="00C9420C"/>
    <w:rsid w:val="00C94803"/>
    <w:rsid w:val="00C94984"/>
    <w:rsid w:val="00C9525B"/>
    <w:rsid w:val="00C9555D"/>
    <w:rsid w:val="00C95A8E"/>
    <w:rsid w:val="00C95B10"/>
    <w:rsid w:val="00C96494"/>
    <w:rsid w:val="00C9703A"/>
    <w:rsid w:val="00C97ADE"/>
    <w:rsid w:val="00C97EBA"/>
    <w:rsid w:val="00CA036E"/>
    <w:rsid w:val="00CA0387"/>
    <w:rsid w:val="00CA115E"/>
    <w:rsid w:val="00CA137C"/>
    <w:rsid w:val="00CA14E3"/>
    <w:rsid w:val="00CA16AF"/>
    <w:rsid w:val="00CA1A45"/>
    <w:rsid w:val="00CA2419"/>
    <w:rsid w:val="00CA28E4"/>
    <w:rsid w:val="00CA2B46"/>
    <w:rsid w:val="00CA2C41"/>
    <w:rsid w:val="00CA2ECE"/>
    <w:rsid w:val="00CA39EE"/>
    <w:rsid w:val="00CA3E92"/>
    <w:rsid w:val="00CA4853"/>
    <w:rsid w:val="00CA531C"/>
    <w:rsid w:val="00CA5A4E"/>
    <w:rsid w:val="00CA5B04"/>
    <w:rsid w:val="00CA6293"/>
    <w:rsid w:val="00CA63A0"/>
    <w:rsid w:val="00CA65C1"/>
    <w:rsid w:val="00CA6621"/>
    <w:rsid w:val="00CA6D16"/>
    <w:rsid w:val="00CA6D3E"/>
    <w:rsid w:val="00CA7171"/>
    <w:rsid w:val="00CA74BC"/>
    <w:rsid w:val="00CA7539"/>
    <w:rsid w:val="00CA7C0D"/>
    <w:rsid w:val="00CB049C"/>
    <w:rsid w:val="00CB084B"/>
    <w:rsid w:val="00CB0CAB"/>
    <w:rsid w:val="00CB10E6"/>
    <w:rsid w:val="00CB13DA"/>
    <w:rsid w:val="00CB1E42"/>
    <w:rsid w:val="00CB2230"/>
    <w:rsid w:val="00CB2314"/>
    <w:rsid w:val="00CB24D7"/>
    <w:rsid w:val="00CB269D"/>
    <w:rsid w:val="00CB295B"/>
    <w:rsid w:val="00CB2FD0"/>
    <w:rsid w:val="00CB324B"/>
    <w:rsid w:val="00CB3347"/>
    <w:rsid w:val="00CB3E37"/>
    <w:rsid w:val="00CB404D"/>
    <w:rsid w:val="00CB4536"/>
    <w:rsid w:val="00CB4889"/>
    <w:rsid w:val="00CB5DF6"/>
    <w:rsid w:val="00CB653F"/>
    <w:rsid w:val="00CB69FF"/>
    <w:rsid w:val="00CB6FF1"/>
    <w:rsid w:val="00CB742F"/>
    <w:rsid w:val="00CC10DE"/>
    <w:rsid w:val="00CC15DA"/>
    <w:rsid w:val="00CC1742"/>
    <w:rsid w:val="00CC1BAF"/>
    <w:rsid w:val="00CC2776"/>
    <w:rsid w:val="00CC2F54"/>
    <w:rsid w:val="00CC2F60"/>
    <w:rsid w:val="00CC2FD7"/>
    <w:rsid w:val="00CC37D9"/>
    <w:rsid w:val="00CC38F0"/>
    <w:rsid w:val="00CC3A91"/>
    <w:rsid w:val="00CC3C51"/>
    <w:rsid w:val="00CC42C3"/>
    <w:rsid w:val="00CC438A"/>
    <w:rsid w:val="00CC4588"/>
    <w:rsid w:val="00CC5103"/>
    <w:rsid w:val="00CC60F7"/>
    <w:rsid w:val="00CC6159"/>
    <w:rsid w:val="00CC70D5"/>
    <w:rsid w:val="00CC7628"/>
    <w:rsid w:val="00CC793B"/>
    <w:rsid w:val="00CC7AE5"/>
    <w:rsid w:val="00CD0294"/>
    <w:rsid w:val="00CD0C0B"/>
    <w:rsid w:val="00CD1BE9"/>
    <w:rsid w:val="00CD1F4C"/>
    <w:rsid w:val="00CD21C6"/>
    <w:rsid w:val="00CD2275"/>
    <w:rsid w:val="00CD2715"/>
    <w:rsid w:val="00CD3559"/>
    <w:rsid w:val="00CD3BCA"/>
    <w:rsid w:val="00CD3C73"/>
    <w:rsid w:val="00CD3E40"/>
    <w:rsid w:val="00CD3FC6"/>
    <w:rsid w:val="00CD43AE"/>
    <w:rsid w:val="00CD45B5"/>
    <w:rsid w:val="00CD481B"/>
    <w:rsid w:val="00CD4BA6"/>
    <w:rsid w:val="00CD4BB8"/>
    <w:rsid w:val="00CD5586"/>
    <w:rsid w:val="00CD5648"/>
    <w:rsid w:val="00CD5695"/>
    <w:rsid w:val="00CD585E"/>
    <w:rsid w:val="00CD593D"/>
    <w:rsid w:val="00CD5E78"/>
    <w:rsid w:val="00CD5FD5"/>
    <w:rsid w:val="00CD65A2"/>
    <w:rsid w:val="00CD6ACD"/>
    <w:rsid w:val="00CD720A"/>
    <w:rsid w:val="00CD75CD"/>
    <w:rsid w:val="00CD777B"/>
    <w:rsid w:val="00CD7B3B"/>
    <w:rsid w:val="00CD7C99"/>
    <w:rsid w:val="00CE0107"/>
    <w:rsid w:val="00CE03B6"/>
    <w:rsid w:val="00CE04BB"/>
    <w:rsid w:val="00CE057B"/>
    <w:rsid w:val="00CE0588"/>
    <w:rsid w:val="00CE06D2"/>
    <w:rsid w:val="00CE06E7"/>
    <w:rsid w:val="00CE08C1"/>
    <w:rsid w:val="00CE0ECA"/>
    <w:rsid w:val="00CE15AA"/>
    <w:rsid w:val="00CE16DD"/>
    <w:rsid w:val="00CE1DEA"/>
    <w:rsid w:val="00CE1EA8"/>
    <w:rsid w:val="00CE25FC"/>
    <w:rsid w:val="00CE3284"/>
    <w:rsid w:val="00CE336C"/>
    <w:rsid w:val="00CE33F5"/>
    <w:rsid w:val="00CE3432"/>
    <w:rsid w:val="00CE49F7"/>
    <w:rsid w:val="00CE4ACC"/>
    <w:rsid w:val="00CE4BD2"/>
    <w:rsid w:val="00CE50CD"/>
    <w:rsid w:val="00CE652F"/>
    <w:rsid w:val="00CE6710"/>
    <w:rsid w:val="00CE6749"/>
    <w:rsid w:val="00CE7786"/>
    <w:rsid w:val="00CE77B4"/>
    <w:rsid w:val="00CE7E5D"/>
    <w:rsid w:val="00CF0C4A"/>
    <w:rsid w:val="00CF1916"/>
    <w:rsid w:val="00CF2255"/>
    <w:rsid w:val="00CF25D5"/>
    <w:rsid w:val="00CF2843"/>
    <w:rsid w:val="00CF291B"/>
    <w:rsid w:val="00CF2BA3"/>
    <w:rsid w:val="00CF2D7B"/>
    <w:rsid w:val="00CF2DA2"/>
    <w:rsid w:val="00CF2F71"/>
    <w:rsid w:val="00CF35D3"/>
    <w:rsid w:val="00CF3604"/>
    <w:rsid w:val="00CF3A14"/>
    <w:rsid w:val="00CF3C06"/>
    <w:rsid w:val="00CF3D9A"/>
    <w:rsid w:val="00CF3F76"/>
    <w:rsid w:val="00CF3F9D"/>
    <w:rsid w:val="00CF4044"/>
    <w:rsid w:val="00CF437F"/>
    <w:rsid w:val="00CF447C"/>
    <w:rsid w:val="00CF4B07"/>
    <w:rsid w:val="00CF4B6A"/>
    <w:rsid w:val="00CF505F"/>
    <w:rsid w:val="00CF5D61"/>
    <w:rsid w:val="00CF5D98"/>
    <w:rsid w:val="00CF61B4"/>
    <w:rsid w:val="00CF77A4"/>
    <w:rsid w:val="00D002F2"/>
    <w:rsid w:val="00D00433"/>
    <w:rsid w:val="00D00500"/>
    <w:rsid w:val="00D0086F"/>
    <w:rsid w:val="00D0094B"/>
    <w:rsid w:val="00D00D7D"/>
    <w:rsid w:val="00D00E79"/>
    <w:rsid w:val="00D010EC"/>
    <w:rsid w:val="00D01185"/>
    <w:rsid w:val="00D0148A"/>
    <w:rsid w:val="00D014CD"/>
    <w:rsid w:val="00D015C8"/>
    <w:rsid w:val="00D01BDD"/>
    <w:rsid w:val="00D02D7F"/>
    <w:rsid w:val="00D03174"/>
    <w:rsid w:val="00D031E5"/>
    <w:rsid w:val="00D033F6"/>
    <w:rsid w:val="00D04AA8"/>
    <w:rsid w:val="00D06909"/>
    <w:rsid w:val="00D06DE6"/>
    <w:rsid w:val="00D06EE5"/>
    <w:rsid w:val="00D07B18"/>
    <w:rsid w:val="00D07DB8"/>
    <w:rsid w:val="00D07FFB"/>
    <w:rsid w:val="00D10149"/>
    <w:rsid w:val="00D103E1"/>
    <w:rsid w:val="00D10469"/>
    <w:rsid w:val="00D10A3F"/>
    <w:rsid w:val="00D10F09"/>
    <w:rsid w:val="00D115D7"/>
    <w:rsid w:val="00D11A97"/>
    <w:rsid w:val="00D11BD8"/>
    <w:rsid w:val="00D11DC7"/>
    <w:rsid w:val="00D1228A"/>
    <w:rsid w:val="00D124B0"/>
    <w:rsid w:val="00D12B50"/>
    <w:rsid w:val="00D12D20"/>
    <w:rsid w:val="00D12E69"/>
    <w:rsid w:val="00D1309D"/>
    <w:rsid w:val="00D1313B"/>
    <w:rsid w:val="00D1320F"/>
    <w:rsid w:val="00D1382B"/>
    <w:rsid w:val="00D13B84"/>
    <w:rsid w:val="00D13C91"/>
    <w:rsid w:val="00D13DBD"/>
    <w:rsid w:val="00D13E9A"/>
    <w:rsid w:val="00D144CD"/>
    <w:rsid w:val="00D1470F"/>
    <w:rsid w:val="00D14FA6"/>
    <w:rsid w:val="00D15991"/>
    <w:rsid w:val="00D15EB9"/>
    <w:rsid w:val="00D16440"/>
    <w:rsid w:val="00D165A3"/>
    <w:rsid w:val="00D16889"/>
    <w:rsid w:val="00D172B9"/>
    <w:rsid w:val="00D1764D"/>
    <w:rsid w:val="00D2064E"/>
    <w:rsid w:val="00D20CE0"/>
    <w:rsid w:val="00D210DF"/>
    <w:rsid w:val="00D21217"/>
    <w:rsid w:val="00D21BEE"/>
    <w:rsid w:val="00D2226C"/>
    <w:rsid w:val="00D22461"/>
    <w:rsid w:val="00D22A36"/>
    <w:rsid w:val="00D22AC5"/>
    <w:rsid w:val="00D22AFE"/>
    <w:rsid w:val="00D22F28"/>
    <w:rsid w:val="00D22FCE"/>
    <w:rsid w:val="00D2300E"/>
    <w:rsid w:val="00D2316F"/>
    <w:rsid w:val="00D2351C"/>
    <w:rsid w:val="00D2439C"/>
    <w:rsid w:val="00D2458A"/>
    <w:rsid w:val="00D2489F"/>
    <w:rsid w:val="00D249F4"/>
    <w:rsid w:val="00D24C30"/>
    <w:rsid w:val="00D24D4C"/>
    <w:rsid w:val="00D24E46"/>
    <w:rsid w:val="00D250F1"/>
    <w:rsid w:val="00D25453"/>
    <w:rsid w:val="00D2559F"/>
    <w:rsid w:val="00D255E3"/>
    <w:rsid w:val="00D258B1"/>
    <w:rsid w:val="00D25FE4"/>
    <w:rsid w:val="00D262AF"/>
    <w:rsid w:val="00D26695"/>
    <w:rsid w:val="00D27030"/>
    <w:rsid w:val="00D275F7"/>
    <w:rsid w:val="00D27ABF"/>
    <w:rsid w:val="00D300FF"/>
    <w:rsid w:val="00D3161D"/>
    <w:rsid w:val="00D31B22"/>
    <w:rsid w:val="00D32971"/>
    <w:rsid w:val="00D329BC"/>
    <w:rsid w:val="00D32DA3"/>
    <w:rsid w:val="00D3323D"/>
    <w:rsid w:val="00D33DA0"/>
    <w:rsid w:val="00D359BE"/>
    <w:rsid w:val="00D35CAC"/>
    <w:rsid w:val="00D35EB4"/>
    <w:rsid w:val="00D36982"/>
    <w:rsid w:val="00D36FF1"/>
    <w:rsid w:val="00D3717A"/>
    <w:rsid w:val="00D37697"/>
    <w:rsid w:val="00D37FE4"/>
    <w:rsid w:val="00D400E7"/>
    <w:rsid w:val="00D4059D"/>
    <w:rsid w:val="00D40CBC"/>
    <w:rsid w:val="00D40D22"/>
    <w:rsid w:val="00D40F94"/>
    <w:rsid w:val="00D41500"/>
    <w:rsid w:val="00D42812"/>
    <w:rsid w:val="00D42AD2"/>
    <w:rsid w:val="00D4308F"/>
    <w:rsid w:val="00D4324B"/>
    <w:rsid w:val="00D43526"/>
    <w:rsid w:val="00D44215"/>
    <w:rsid w:val="00D4445F"/>
    <w:rsid w:val="00D44B17"/>
    <w:rsid w:val="00D45228"/>
    <w:rsid w:val="00D45254"/>
    <w:rsid w:val="00D456F6"/>
    <w:rsid w:val="00D45891"/>
    <w:rsid w:val="00D45CEF"/>
    <w:rsid w:val="00D45D5B"/>
    <w:rsid w:val="00D45D9B"/>
    <w:rsid w:val="00D46DEC"/>
    <w:rsid w:val="00D47420"/>
    <w:rsid w:val="00D47501"/>
    <w:rsid w:val="00D47680"/>
    <w:rsid w:val="00D47B98"/>
    <w:rsid w:val="00D47D99"/>
    <w:rsid w:val="00D5004B"/>
    <w:rsid w:val="00D50F2F"/>
    <w:rsid w:val="00D513F5"/>
    <w:rsid w:val="00D51A2F"/>
    <w:rsid w:val="00D521F2"/>
    <w:rsid w:val="00D5222E"/>
    <w:rsid w:val="00D5225C"/>
    <w:rsid w:val="00D5241C"/>
    <w:rsid w:val="00D52450"/>
    <w:rsid w:val="00D54092"/>
    <w:rsid w:val="00D543FA"/>
    <w:rsid w:val="00D5475D"/>
    <w:rsid w:val="00D54871"/>
    <w:rsid w:val="00D54C65"/>
    <w:rsid w:val="00D554A2"/>
    <w:rsid w:val="00D567BB"/>
    <w:rsid w:val="00D56B4D"/>
    <w:rsid w:val="00D56DFC"/>
    <w:rsid w:val="00D57190"/>
    <w:rsid w:val="00D57643"/>
    <w:rsid w:val="00D57789"/>
    <w:rsid w:val="00D57FC3"/>
    <w:rsid w:val="00D60DE0"/>
    <w:rsid w:val="00D62836"/>
    <w:rsid w:val="00D635CC"/>
    <w:rsid w:val="00D6370A"/>
    <w:rsid w:val="00D638DD"/>
    <w:rsid w:val="00D64E0D"/>
    <w:rsid w:val="00D6532C"/>
    <w:rsid w:val="00D65AFD"/>
    <w:rsid w:val="00D65B6E"/>
    <w:rsid w:val="00D66002"/>
    <w:rsid w:val="00D66244"/>
    <w:rsid w:val="00D6653E"/>
    <w:rsid w:val="00D66F16"/>
    <w:rsid w:val="00D67996"/>
    <w:rsid w:val="00D67E09"/>
    <w:rsid w:val="00D67E48"/>
    <w:rsid w:val="00D70125"/>
    <w:rsid w:val="00D70650"/>
    <w:rsid w:val="00D70DAC"/>
    <w:rsid w:val="00D70F0A"/>
    <w:rsid w:val="00D7319B"/>
    <w:rsid w:val="00D73359"/>
    <w:rsid w:val="00D7367A"/>
    <w:rsid w:val="00D73C6C"/>
    <w:rsid w:val="00D73D98"/>
    <w:rsid w:val="00D745B3"/>
    <w:rsid w:val="00D74F33"/>
    <w:rsid w:val="00D75421"/>
    <w:rsid w:val="00D75A14"/>
    <w:rsid w:val="00D7781B"/>
    <w:rsid w:val="00D77F17"/>
    <w:rsid w:val="00D801A6"/>
    <w:rsid w:val="00D8030E"/>
    <w:rsid w:val="00D80653"/>
    <w:rsid w:val="00D809F7"/>
    <w:rsid w:val="00D80F04"/>
    <w:rsid w:val="00D81D2A"/>
    <w:rsid w:val="00D81F44"/>
    <w:rsid w:val="00D8247E"/>
    <w:rsid w:val="00D828F6"/>
    <w:rsid w:val="00D82A64"/>
    <w:rsid w:val="00D83CA0"/>
    <w:rsid w:val="00D850ED"/>
    <w:rsid w:val="00D853EC"/>
    <w:rsid w:val="00D8552C"/>
    <w:rsid w:val="00D8583B"/>
    <w:rsid w:val="00D85E37"/>
    <w:rsid w:val="00D8614B"/>
    <w:rsid w:val="00D8631B"/>
    <w:rsid w:val="00D86408"/>
    <w:rsid w:val="00D87580"/>
    <w:rsid w:val="00D87AAE"/>
    <w:rsid w:val="00D90FAE"/>
    <w:rsid w:val="00D91BC6"/>
    <w:rsid w:val="00D92AB3"/>
    <w:rsid w:val="00D92DD4"/>
    <w:rsid w:val="00D93401"/>
    <w:rsid w:val="00D935FA"/>
    <w:rsid w:val="00D93944"/>
    <w:rsid w:val="00D94144"/>
    <w:rsid w:val="00D94447"/>
    <w:rsid w:val="00D94EAA"/>
    <w:rsid w:val="00D95286"/>
    <w:rsid w:val="00D9576F"/>
    <w:rsid w:val="00D95B65"/>
    <w:rsid w:val="00D963C0"/>
    <w:rsid w:val="00D96604"/>
    <w:rsid w:val="00D96B4C"/>
    <w:rsid w:val="00D9743E"/>
    <w:rsid w:val="00D9749C"/>
    <w:rsid w:val="00D974F3"/>
    <w:rsid w:val="00D979D8"/>
    <w:rsid w:val="00D979F7"/>
    <w:rsid w:val="00D97C3E"/>
    <w:rsid w:val="00DA02D4"/>
    <w:rsid w:val="00DA032A"/>
    <w:rsid w:val="00DA0351"/>
    <w:rsid w:val="00DA09A5"/>
    <w:rsid w:val="00DA0FC9"/>
    <w:rsid w:val="00DA2979"/>
    <w:rsid w:val="00DA3D27"/>
    <w:rsid w:val="00DA41C3"/>
    <w:rsid w:val="00DA5051"/>
    <w:rsid w:val="00DA5973"/>
    <w:rsid w:val="00DA5B1E"/>
    <w:rsid w:val="00DA605B"/>
    <w:rsid w:val="00DA610D"/>
    <w:rsid w:val="00DA6277"/>
    <w:rsid w:val="00DA6433"/>
    <w:rsid w:val="00DA6CB4"/>
    <w:rsid w:val="00DA6D7F"/>
    <w:rsid w:val="00DA6E54"/>
    <w:rsid w:val="00DA6EB9"/>
    <w:rsid w:val="00DB076A"/>
    <w:rsid w:val="00DB0E05"/>
    <w:rsid w:val="00DB0E54"/>
    <w:rsid w:val="00DB11ED"/>
    <w:rsid w:val="00DB1A42"/>
    <w:rsid w:val="00DB1BD6"/>
    <w:rsid w:val="00DB1CC0"/>
    <w:rsid w:val="00DB1D67"/>
    <w:rsid w:val="00DB222C"/>
    <w:rsid w:val="00DB28F4"/>
    <w:rsid w:val="00DB3829"/>
    <w:rsid w:val="00DB3B4B"/>
    <w:rsid w:val="00DB4038"/>
    <w:rsid w:val="00DB4286"/>
    <w:rsid w:val="00DB4417"/>
    <w:rsid w:val="00DB5348"/>
    <w:rsid w:val="00DB5404"/>
    <w:rsid w:val="00DB570E"/>
    <w:rsid w:val="00DB59B6"/>
    <w:rsid w:val="00DB6751"/>
    <w:rsid w:val="00DB6B99"/>
    <w:rsid w:val="00DB6BE9"/>
    <w:rsid w:val="00DB71D9"/>
    <w:rsid w:val="00DB7221"/>
    <w:rsid w:val="00DB7955"/>
    <w:rsid w:val="00DB7C04"/>
    <w:rsid w:val="00DB7FDD"/>
    <w:rsid w:val="00DC0E67"/>
    <w:rsid w:val="00DC0F50"/>
    <w:rsid w:val="00DC0F63"/>
    <w:rsid w:val="00DC1010"/>
    <w:rsid w:val="00DC13D2"/>
    <w:rsid w:val="00DC17C4"/>
    <w:rsid w:val="00DC192F"/>
    <w:rsid w:val="00DC1986"/>
    <w:rsid w:val="00DC19E3"/>
    <w:rsid w:val="00DC1A45"/>
    <w:rsid w:val="00DC2177"/>
    <w:rsid w:val="00DC25A6"/>
    <w:rsid w:val="00DC2F24"/>
    <w:rsid w:val="00DC3603"/>
    <w:rsid w:val="00DC3632"/>
    <w:rsid w:val="00DC386E"/>
    <w:rsid w:val="00DC3C1B"/>
    <w:rsid w:val="00DC4B12"/>
    <w:rsid w:val="00DC4C08"/>
    <w:rsid w:val="00DC5067"/>
    <w:rsid w:val="00DC57B9"/>
    <w:rsid w:val="00DC5CDF"/>
    <w:rsid w:val="00DC5CE1"/>
    <w:rsid w:val="00DC604F"/>
    <w:rsid w:val="00DC62A1"/>
    <w:rsid w:val="00DC6B61"/>
    <w:rsid w:val="00DC6E2B"/>
    <w:rsid w:val="00DC6EDA"/>
    <w:rsid w:val="00DC6F66"/>
    <w:rsid w:val="00DC71C3"/>
    <w:rsid w:val="00DC725F"/>
    <w:rsid w:val="00DC78B3"/>
    <w:rsid w:val="00DC791A"/>
    <w:rsid w:val="00DD0348"/>
    <w:rsid w:val="00DD0A07"/>
    <w:rsid w:val="00DD0E67"/>
    <w:rsid w:val="00DD1B76"/>
    <w:rsid w:val="00DD1C87"/>
    <w:rsid w:val="00DD1D87"/>
    <w:rsid w:val="00DD2138"/>
    <w:rsid w:val="00DD233D"/>
    <w:rsid w:val="00DD23A7"/>
    <w:rsid w:val="00DD2AB1"/>
    <w:rsid w:val="00DD32EE"/>
    <w:rsid w:val="00DD3308"/>
    <w:rsid w:val="00DD390D"/>
    <w:rsid w:val="00DD3C10"/>
    <w:rsid w:val="00DD52CE"/>
    <w:rsid w:val="00DD6D67"/>
    <w:rsid w:val="00DE0054"/>
    <w:rsid w:val="00DE0140"/>
    <w:rsid w:val="00DE049E"/>
    <w:rsid w:val="00DE0929"/>
    <w:rsid w:val="00DE1019"/>
    <w:rsid w:val="00DE19B2"/>
    <w:rsid w:val="00DE1F93"/>
    <w:rsid w:val="00DE2184"/>
    <w:rsid w:val="00DE3082"/>
    <w:rsid w:val="00DE3696"/>
    <w:rsid w:val="00DE388C"/>
    <w:rsid w:val="00DE39C7"/>
    <w:rsid w:val="00DE3C41"/>
    <w:rsid w:val="00DE4475"/>
    <w:rsid w:val="00DE4798"/>
    <w:rsid w:val="00DE4867"/>
    <w:rsid w:val="00DE4952"/>
    <w:rsid w:val="00DE4AB1"/>
    <w:rsid w:val="00DE5097"/>
    <w:rsid w:val="00DE5F18"/>
    <w:rsid w:val="00DE71A4"/>
    <w:rsid w:val="00DE7545"/>
    <w:rsid w:val="00DF0CBA"/>
    <w:rsid w:val="00DF0F1E"/>
    <w:rsid w:val="00DF12C2"/>
    <w:rsid w:val="00DF1481"/>
    <w:rsid w:val="00DF197F"/>
    <w:rsid w:val="00DF1BE8"/>
    <w:rsid w:val="00DF1D36"/>
    <w:rsid w:val="00DF30D4"/>
    <w:rsid w:val="00DF485D"/>
    <w:rsid w:val="00DF4AB0"/>
    <w:rsid w:val="00DF5A59"/>
    <w:rsid w:val="00DF5BEB"/>
    <w:rsid w:val="00DF5E2D"/>
    <w:rsid w:val="00DF5E7B"/>
    <w:rsid w:val="00DF62B9"/>
    <w:rsid w:val="00DF6793"/>
    <w:rsid w:val="00DF72E2"/>
    <w:rsid w:val="00DF746E"/>
    <w:rsid w:val="00DF79F6"/>
    <w:rsid w:val="00DF7ED9"/>
    <w:rsid w:val="00DF7F4D"/>
    <w:rsid w:val="00E00187"/>
    <w:rsid w:val="00E00492"/>
    <w:rsid w:val="00E0059D"/>
    <w:rsid w:val="00E0060B"/>
    <w:rsid w:val="00E00AA1"/>
    <w:rsid w:val="00E00EAE"/>
    <w:rsid w:val="00E0113A"/>
    <w:rsid w:val="00E011AA"/>
    <w:rsid w:val="00E0120B"/>
    <w:rsid w:val="00E0154F"/>
    <w:rsid w:val="00E0250B"/>
    <w:rsid w:val="00E026C0"/>
    <w:rsid w:val="00E02AF4"/>
    <w:rsid w:val="00E02D5E"/>
    <w:rsid w:val="00E036B7"/>
    <w:rsid w:val="00E037BB"/>
    <w:rsid w:val="00E03F8E"/>
    <w:rsid w:val="00E04DCC"/>
    <w:rsid w:val="00E050AB"/>
    <w:rsid w:val="00E05A9A"/>
    <w:rsid w:val="00E05D01"/>
    <w:rsid w:val="00E06994"/>
    <w:rsid w:val="00E07656"/>
    <w:rsid w:val="00E07C01"/>
    <w:rsid w:val="00E1082C"/>
    <w:rsid w:val="00E10CEE"/>
    <w:rsid w:val="00E111BB"/>
    <w:rsid w:val="00E114CD"/>
    <w:rsid w:val="00E124DE"/>
    <w:rsid w:val="00E12535"/>
    <w:rsid w:val="00E1253D"/>
    <w:rsid w:val="00E12758"/>
    <w:rsid w:val="00E132FD"/>
    <w:rsid w:val="00E13304"/>
    <w:rsid w:val="00E13F06"/>
    <w:rsid w:val="00E144BD"/>
    <w:rsid w:val="00E14A95"/>
    <w:rsid w:val="00E15304"/>
    <w:rsid w:val="00E15360"/>
    <w:rsid w:val="00E16370"/>
    <w:rsid w:val="00E163EF"/>
    <w:rsid w:val="00E16B4D"/>
    <w:rsid w:val="00E16CAB"/>
    <w:rsid w:val="00E17009"/>
    <w:rsid w:val="00E17D44"/>
    <w:rsid w:val="00E2068B"/>
    <w:rsid w:val="00E208C5"/>
    <w:rsid w:val="00E20B4B"/>
    <w:rsid w:val="00E20C7B"/>
    <w:rsid w:val="00E21302"/>
    <w:rsid w:val="00E21C8D"/>
    <w:rsid w:val="00E21CA8"/>
    <w:rsid w:val="00E2228F"/>
    <w:rsid w:val="00E22362"/>
    <w:rsid w:val="00E22438"/>
    <w:rsid w:val="00E224F0"/>
    <w:rsid w:val="00E226F7"/>
    <w:rsid w:val="00E22B6B"/>
    <w:rsid w:val="00E2384C"/>
    <w:rsid w:val="00E23A3D"/>
    <w:rsid w:val="00E23E06"/>
    <w:rsid w:val="00E24983"/>
    <w:rsid w:val="00E25215"/>
    <w:rsid w:val="00E25848"/>
    <w:rsid w:val="00E25BE4"/>
    <w:rsid w:val="00E264A4"/>
    <w:rsid w:val="00E27B64"/>
    <w:rsid w:val="00E27DFB"/>
    <w:rsid w:val="00E30831"/>
    <w:rsid w:val="00E30B7C"/>
    <w:rsid w:val="00E30E20"/>
    <w:rsid w:val="00E3117B"/>
    <w:rsid w:val="00E317B7"/>
    <w:rsid w:val="00E31A89"/>
    <w:rsid w:val="00E31B9B"/>
    <w:rsid w:val="00E31E4E"/>
    <w:rsid w:val="00E324AF"/>
    <w:rsid w:val="00E325FA"/>
    <w:rsid w:val="00E32685"/>
    <w:rsid w:val="00E33CD1"/>
    <w:rsid w:val="00E33F3D"/>
    <w:rsid w:val="00E34050"/>
    <w:rsid w:val="00E34073"/>
    <w:rsid w:val="00E34DE2"/>
    <w:rsid w:val="00E35306"/>
    <w:rsid w:val="00E35373"/>
    <w:rsid w:val="00E35652"/>
    <w:rsid w:val="00E36344"/>
    <w:rsid w:val="00E3669F"/>
    <w:rsid w:val="00E36A2B"/>
    <w:rsid w:val="00E37151"/>
    <w:rsid w:val="00E373BD"/>
    <w:rsid w:val="00E373F7"/>
    <w:rsid w:val="00E4086F"/>
    <w:rsid w:val="00E40B02"/>
    <w:rsid w:val="00E40E4C"/>
    <w:rsid w:val="00E4107E"/>
    <w:rsid w:val="00E413B8"/>
    <w:rsid w:val="00E41421"/>
    <w:rsid w:val="00E4182B"/>
    <w:rsid w:val="00E419A1"/>
    <w:rsid w:val="00E41F89"/>
    <w:rsid w:val="00E4262B"/>
    <w:rsid w:val="00E42671"/>
    <w:rsid w:val="00E42A22"/>
    <w:rsid w:val="00E42B4D"/>
    <w:rsid w:val="00E434C4"/>
    <w:rsid w:val="00E44104"/>
    <w:rsid w:val="00E4457E"/>
    <w:rsid w:val="00E446AD"/>
    <w:rsid w:val="00E45381"/>
    <w:rsid w:val="00E457AF"/>
    <w:rsid w:val="00E461D1"/>
    <w:rsid w:val="00E46276"/>
    <w:rsid w:val="00E46B8B"/>
    <w:rsid w:val="00E46F14"/>
    <w:rsid w:val="00E479E8"/>
    <w:rsid w:val="00E47DB5"/>
    <w:rsid w:val="00E50285"/>
    <w:rsid w:val="00E50932"/>
    <w:rsid w:val="00E512C7"/>
    <w:rsid w:val="00E51445"/>
    <w:rsid w:val="00E51611"/>
    <w:rsid w:val="00E51E55"/>
    <w:rsid w:val="00E520F1"/>
    <w:rsid w:val="00E521E5"/>
    <w:rsid w:val="00E52B43"/>
    <w:rsid w:val="00E52E37"/>
    <w:rsid w:val="00E531EF"/>
    <w:rsid w:val="00E53A9A"/>
    <w:rsid w:val="00E53BAA"/>
    <w:rsid w:val="00E53FC2"/>
    <w:rsid w:val="00E53FDF"/>
    <w:rsid w:val="00E5432D"/>
    <w:rsid w:val="00E5492A"/>
    <w:rsid w:val="00E54DD7"/>
    <w:rsid w:val="00E54EB0"/>
    <w:rsid w:val="00E55010"/>
    <w:rsid w:val="00E55EA7"/>
    <w:rsid w:val="00E5679E"/>
    <w:rsid w:val="00E56F9B"/>
    <w:rsid w:val="00E56FEF"/>
    <w:rsid w:val="00E57106"/>
    <w:rsid w:val="00E57491"/>
    <w:rsid w:val="00E57796"/>
    <w:rsid w:val="00E57878"/>
    <w:rsid w:val="00E57A1C"/>
    <w:rsid w:val="00E600DC"/>
    <w:rsid w:val="00E60587"/>
    <w:rsid w:val="00E60A6E"/>
    <w:rsid w:val="00E612FB"/>
    <w:rsid w:val="00E61CD4"/>
    <w:rsid w:val="00E623ED"/>
    <w:rsid w:val="00E62480"/>
    <w:rsid w:val="00E63402"/>
    <w:rsid w:val="00E63442"/>
    <w:rsid w:val="00E63752"/>
    <w:rsid w:val="00E638C3"/>
    <w:rsid w:val="00E63B14"/>
    <w:rsid w:val="00E63E7D"/>
    <w:rsid w:val="00E64531"/>
    <w:rsid w:val="00E64EBA"/>
    <w:rsid w:val="00E65769"/>
    <w:rsid w:val="00E65ADD"/>
    <w:rsid w:val="00E66002"/>
    <w:rsid w:val="00E66592"/>
    <w:rsid w:val="00E667FD"/>
    <w:rsid w:val="00E66B9B"/>
    <w:rsid w:val="00E67565"/>
    <w:rsid w:val="00E67659"/>
    <w:rsid w:val="00E679ED"/>
    <w:rsid w:val="00E71194"/>
    <w:rsid w:val="00E72257"/>
    <w:rsid w:val="00E72E4E"/>
    <w:rsid w:val="00E73033"/>
    <w:rsid w:val="00E731DA"/>
    <w:rsid w:val="00E73AD5"/>
    <w:rsid w:val="00E73AE2"/>
    <w:rsid w:val="00E73AED"/>
    <w:rsid w:val="00E7455B"/>
    <w:rsid w:val="00E74B1F"/>
    <w:rsid w:val="00E74BF5"/>
    <w:rsid w:val="00E74BFA"/>
    <w:rsid w:val="00E74E25"/>
    <w:rsid w:val="00E75133"/>
    <w:rsid w:val="00E7565A"/>
    <w:rsid w:val="00E75C13"/>
    <w:rsid w:val="00E760D2"/>
    <w:rsid w:val="00E767BD"/>
    <w:rsid w:val="00E76933"/>
    <w:rsid w:val="00E76A20"/>
    <w:rsid w:val="00E76FF5"/>
    <w:rsid w:val="00E77092"/>
    <w:rsid w:val="00E801EB"/>
    <w:rsid w:val="00E80500"/>
    <w:rsid w:val="00E80C12"/>
    <w:rsid w:val="00E81B4D"/>
    <w:rsid w:val="00E823A7"/>
    <w:rsid w:val="00E824BA"/>
    <w:rsid w:val="00E82B51"/>
    <w:rsid w:val="00E82CE7"/>
    <w:rsid w:val="00E82F06"/>
    <w:rsid w:val="00E82FAB"/>
    <w:rsid w:val="00E838E8"/>
    <w:rsid w:val="00E838E9"/>
    <w:rsid w:val="00E843DD"/>
    <w:rsid w:val="00E8461B"/>
    <w:rsid w:val="00E8467B"/>
    <w:rsid w:val="00E84927"/>
    <w:rsid w:val="00E85540"/>
    <w:rsid w:val="00E8566F"/>
    <w:rsid w:val="00E85914"/>
    <w:rsid w:val="00E85991"/>
    <w:rsid w:val="00E869BF"/>
    <w:rsid w:val="00E86B9D"/>
    <w:rsid w:val="00E86CD9"/>
    <w:rsid w:val="00E870BC"/>
    <w:rsid w:val="00E90346"/>
    <w:rsid w:val="00E90393"/>
    <w:rsid w:val="00E9061A"/>
    <w:rsid w:val="00E90662"/>
    <w:rsid w:val="00E9109D"/>
    <w:rsid w:val="00E91C42"/>
    <w:rsid w:val="00E91E7B"/>
    <w:rsid w:val="00E91FCC"/>
    <w:rsid w:val="00E9200C"/>
    <w:rsid w:val="00E920D9"/>
    <w:rsid w:val="00E9257E"/>
    <w:rsid w:val="00E92655"/>
    <w:rsid w:val="00E9269F"/>
    <w:rsid w:val="00E92F6E"/>
    <w:rsid w:val="00E938C7"/>
    <w:rsid w:val="00E93D71"/>
    <w:rsid w:val="00E94B9F"/>
    <w:rsid w:val="00E94E57"/>
    <w:rsid w:val="00E95968"/>
    <w:rsid w:val="00E96612"/>
    <w:rsid w:val="00E976CC"/>
    <w:rsid w:val="00E97A3F"/>
    <w:rsid w:val="00EA0070"/>
    <w:rsid w:val="00EA033E"/>
    <w:rsid w:val="00EA082D"/>
    <w:rsid w:val="00EA0E06"/>
    <w:rsid w:val="00EA0E0D"/>
    <w:rsid w:val="00EA0F8C"/>
    <w:rsid w:val="00EA21A5"/>
    <w:rsid w:val="00EA22BD"/>
    <w:rsid w:val="00EA22BF"/>
    <w:rsid w:val="00EA2927"/>
    <w:rsid w:val="00EA3059"/>
    <w:rsid w:val="00EA329E"/>
    <w:rsid w:val="00EA38D7"/>
    <w:rsid w:val="00EA3A93"/>
    <w:rsid w:val="00EA3A9C"/>
    <w:rsid w:val="00EA3EFC"/>
    <w:rsid w:val="00EA4E4C"/>
    <w:rsid w:val="00EA4F15"/>
    <w:rsid w:val="00EA506F"/>
    <w:rsid w:val="00EA5889"/>
    <w:rsid w:val="00EA5B81"/>
    <w:rsid w:val="00EA6BCB"/>
    <w:rsid w:val="00EA6C12"/>
    <w:rsid w:val="00EA7068"/>
    <w:rsid w:val="00EA70C4"/>
    <w:rsid w:val="00EA7B35"/>
    <w:rsid w:val="00EB09FF"/>
    <w:rsid w:val="00EB0EEB"/>
    <w:rsid w:val="00EB0F9D"/>
    <w:rsid w:val="00EB183F"/>
    <w:rsid w:val="00EB19D4"/>
    <w:rsid w:val="00EB1AE0"/>
    <w:rsid w:val="00EB1B63"/>
    <w:rsid w:val="00EB1D0D"/>
    <w:rsid w:val="00EB1E84"/>
    <w:rsid w:val="00EB1EB6"/>
    <w:rsid w:val="00EB23C2"/>
    <w:rsid w:val="00EB252A"/>
    <w:rsid w:val="00EB2CC2"/>
    <w:rsid w:val="00EB3787"/>
    <w:rsid w:val="00EB4B8A"/>
    <w:rsid w:val="00EB4BF4"/>
    <w:rsid w:val="00EB6122"/>
    <w:rsid w:val="00EB616D"/>
    <w:rsid w:val="00EB6333"/>
    <w:rsid w:val="00EB665F"/>
    <w:rsid w:val="00EB6CC4"/>
    <w:rsid w:val="00EB6D89"/>
    <w:rsid w:val="00EC0C25"/>
    <w:rsid w:val="00EC15FB"/>
    <w:rsid w:val="00EC1683"/>
    <w:rsid w:val="00EC1AA6"/>
    <w:rsid w:val="00EC2230"/>
    <w:rsid w:val="00EC2BB9"/>
    <w:rsid w:val="00EC33F9"/>
    <w:rsid w:val="00EC3486"/>
    <w:rsid w:val="00EC35A4"/>
    <w:rsid w:val="00EC3618"/>
    <w:rsid w:val="00EC3C25"/>
    <w:rsid w:val="00EC425B"/>
    <w:rsid w:val="00EC42FA"/>
    <w:rsid w:val="00EC433E"/>
    <w:rsid w:val="00EC450A"/>
    <w:rsid w:val="00EC4678"/>
    <w:rsid w:val="00EC4BB7"/>
    <w:rsid w:val="00EC52D4"/>
    <w:rsid w:val="00EC551C"/>
    <w:rsid w:val="00EC62C2"/>
    <w:rsid w:val="00EC7199"/>
    <w:rsid w:val="00EC73ED"/>
    <w:rsid w:val="00EC7674"/>
    <w:rsid w:val="00ED0272"/>
    <w:rsid w:val="00ED04A9"/>
    <w:rsid w:val="00ED0AA8"/>
    <w:rsid w:val="00ED1218"/>
    <w:rsid w:val="00ED1EC3"/>
    <w:rsid w:val="00ED2046"/>
    <w:rsid w:val="00ED2134"/>
    <w:rsid w:val="00ED2181"/>
    <w:rsid w:val="00ED2344"/>
    <w:rsid w:val="00ED2E3F"/>
    <w:rsid w:val="00ED2FD2"/>
    <w:rsid w:val="00ED3109"/>
    <w:rsid w:val="00ED31C6"/>
    <w:rsid w:val="00ED332A"/>
    <w:rsid w:val="00ED35E9"/>
    <w:rsid w:val="00ED36F4"/>
    <w:rsid w:val="00ED37E6"/>
    <w:rsid w:val="00ED38B8"/>
    <w:rsid w:val="00ED3CEA"/>
    <w:rsid w:val="00ED40C4"/>
    <w:rsid w:val="00ED550F"/>
    <w:rsid w:val="00ED6157"/>
    <w:rsid w:val="00ED6431"/>
    <w:rsid w:val="00ED668C"/>
    <w:rsid w:val="00ED7CA0"/>
    <w:rsid w:val="00ED7DFE"/>
    <w:rsid w:val="00EE0006"/>
    <w:rsid w:val="00EE000C"/>
    <w:rsid w:val="00EE02CE"/>
    <w:rsid w:val="00EE067E"/>
    <w:rsid w:val="00EE0B15"/>
    <w:rsid w:val="00EE0B9A"/>
    <w:rsid w:val="00EE1B37"/>
    <w:rsid w:val="00EE1C5C"/>
    <w:rsid w:val="00EE1DC6"/>
    <w:rsid w:val="00EE2091"/>
    <w:rsid w:val="00EE220C"/>
    <w:rsid w:val="00EE2362"/>
    <w:rsid w:val="00EE2553"/>
    <w:rsid w:val="00EE2714"/>
    <w:rsid w:val="00EE27CE"/>
    <w:rsid w:val="00EE3EA6"/>
    <w:rsid w:val="00EE4845"/>
    <w:rsid w:val="00EE4F09"/>
    <w:rsid w:val="00EE4F99"/>
    <w:rsid w:val="00EE5748"/>
    <w:rsid w:val="00EE5B08"/>
    <w:rsid w:val="00EE5ECD"/>
    <w:rsid w:val="00EE6F92"/>
    <w:rsid w:val="00EE76A9"/>
    <w:rsid w:val="00EF03C6"/>
    <w:rsid w:val="00EF0611"/>
    <w:rsid w:val="00EF06AD"/>
    <w:rsid w:val="00EF2191"/>
    <w:rsid w:val="00EF21EE"/>
    <w:rsid w:val="00EF2582"/>
    <w:rsid w:val="00EF28E2"/>
    <w:rsid w:val="00EF2A1A"/>
    <w:rsid w:val="00EF2A21"/>
    <w:rsid w:val="00EF2B6C"/>
    <w:rsid w:val="00EF2CA5"/>
    <w:rsid w:val="00EF3E37"/>
    <w:rsid w:val="00EF4124"/>
    <w:rsid w:val="00EF49AB"/>
    <w:rsid w:val="00EF5AF2"/>
    <w:rsid w:val="00EF5B24"/>
    <w:rsid w:val="00EF5C87"/>
    <w:rsid w:val="00EF60C7"/>
    <w:rsid w:val="00EF6273"/>
    <w:rsid w:val="00EF62FA"/>
    <w:rsid w:val="00EF63D8"/>
    <w:rsid w:val="00EF6A85"/>
    <w:rsid w:val="00EF743D"/>
    <w:rsid w:val="00EF7C7B"/>
    <w:rsid w:val="00F002D0"/>
    <w:rsid w:val="00F00CFC"/>
    <w:rsid w:val="00F00F79"/>
    <w:rsid w:val="00F01313"/>
    <w:rsid w:val="00F01315"/>
    <w:rsid w:val="00F01391"/>
    <w:rsid w:val="00F0146A"/>
    <w:rsid w:val="00F016D5"/>
    <w:rsid w:val="00F01897"/>
    <w:rsid w:val="00F019B7"/>
    <w:rsid w:val="00F0201D"/>
    <w:rsid w:val="00F02105"/>
    <w:rsid w:val="00F0211A"/>
    <w:rsid w:val="00F02459"/>
    <w:rsid w:val="00F03053"/>
    <w:rsid w:val="00F03268"/>
    <w:rsid w:val="00F03325"/>
    <w:rsid w:val="00F038A3"/>
    <w:rsid w:val="00F04067"/>
    <w:rsid w:val="00F0434F"/>
    <w:rsid w:val="00F04412"/>
    <w:rsid w:val="00F044E6"/>
    <w:rsid w:val="00F05EC5"/>
    <w:rsid w:val="00F060E9"/>
    <w:rsid w:val="00F06125"/>
    <w:rsid w:val="00F06ACF"/>
    <w:rsid w:val="00F06BDE"/>
    <w:rsid w:val="00F103D8"/>
    <w:rsid w:val="00F1072D"/>
    <w:rsid w:val="00F1114D"/>
    <w:rsid w:val="00F1160B"/>
    <w:rsid w:val="00F11A29"/>
    <w:rsid w:val="00F11EE2"/>
    <w:rsid w:val="00F128B3"/>
    <w:rsid w:val="00F13650"/>
    <w:rsid w:val="00F1377C"/>
    <w:rsid w:val="00F1484A"/>
    <w:rsid w:val="00F149DE"/>
    <w:rsid w:val="00F14BEE"/>
    <w:rsid w:val="00F152A3"/>
    <w:rsid w:val="00F15A43"/>
    <w:rsid w:val="00F15A6A"/>
    <w:rsid w:val="00F15F6F"/>
    <w:rsid w:val="00F1634D"/>
    <w:rsid w:val="00F1705C"/>
    <w:rsid w:val="00F175DD"/>
    <w:rsid w:val="00F178EA"/>
    <w:rsid w:val="00F178F7"/>
    <w:rsid w:val="00F17D53"/>
    <w:rsid w:val="00F20218"/>
    <w:rsid w:val="00F206C8"/>
    <w:rsid w:val="00F20A65"/>
    <w:rsid w:val="00F20A66"/>
    <w:rsid w:val="00F20ED8"/>
    <w:rsid w:val="00F2143A"/>
    <w:rsid w:val="00F214C0"/>
    <w:rsid w:val="00F21748"/>
    <w:rsid w:val="00F217A5"/>
    <w:rsid w:val="00F21BFC"/>
    <w:rsid w:val="00F23104"/>
    <w:rsid w:val="00F23114"/>
    <w:rsid w:val="00F235EF"/>
    <w:rsid w:val="00F2383D"/>
    <w:rsid w:val="00F2402E"/>
    <w:rsid w:val="00F245D8"/>
    <w:rsid w:val="00F247E0"/>
    <w:rsid w:val="00F248E4"/>
    <w:rsid w:val="00F25147"/>
    <w:rsid w:val="00F2534D"/>
    <w:rsid w:val="00F258F0"/>
    <w:rsid w:val="00F2595F"/>
    <w:rsid w:val="00F26667"/>
    <w:rsid w:val="00F2717D"/>
    <w:rsid w:val="00F275D9"/>
    <w:rsid w:val="00F30B8D"/>
    <w:rsid w:val="00F312C9"/>
    <w:rsid w:val="00F31E25"/>
    <w:rsid w:val="00F32121"/>
    <w:rsid w:val="00F325A9"/>
    <w:rsid w:val="00F32A51"/>
    <w:rsid w:val="00F32B08"/>
    <w:rsid w:val="00F32D24"/>
    <w:rsid w:val="00F3391A"/>
    <w:rsid w:val="00F33994"/>
    <w:rsid w:val="00F3412C"/>
    <w:rsid w:val="00F353B7"/>
    <w:rsid w:val="00F35580"/>
    <w:rsid w:val="00F35BD5"/>
    <w:rsid w:val="00F35C84"/>
    <w:rsid w:val="00F360E1"/>
    <w:rsid w:val="00F36F43"/>
    <w:rsid w:val="00F37256"/>
    <w:rsid w:val="00F40056"/>
    <w:rsid w:val="00F400F1"/>
    <w:rsid w:val="00F401C6"/>
    <w:rsid w:val="00F41CEE"/>
    <w:rsid w:val="00F42218"/>
    <w:rsid w:val="00F429E3"/>
    <w:rsid w:val="00F42D14"/>
    <w:rsid w:val="00F42E9E"/>
    <w:rsid w:val="00F43071"/>
    <w:rsid w:val="00F43A53"/>
    <w:rsid w:val="00F43BEA"/>
    <w:rsid w:val="00F4443E"/>
    <w:rsid w:val="00F44AA3"/>
    <w:rsid w:val="00F45188"/>
    <w:rsid w:val="00F45B0B"/>
    <w:rsid w:val="00F465E3"/>
    <w:rsid w:val="00F46735"/>
    <w:rsid w:val="00F46DCC"/>
    <w:rsid w:val="00F472A1"/>
    <w:rsid w:val="00F472BC"/>
    <w:rsid w:val="00F472C4"/>
    <w:rsid w:val="00F47D14"/>
    <w:rsid w:val="00F50427"/>
    <w:rsid w:val="00F505B3"/>
    <w:rsid w:val="00F50DEA"/>
    <w:rsid w:val="00F51200"/>
    <w:rsid w:val="00F512B5"/>
    <w:rsid w:val="00F517B7"/>
    <w:rsid w:val="00F51DBB"/>
    <w:rsid w:val="00F5223D"/>
    <w:rsid w:val="00F52D40"/>
    <w:rsid w:val="00F53433"/>
    <w:rsid w:val="00F53AB5"/>
    <w:rsid w:val="00F54347"/>
    <w:rsid w:val="00F554E7"/>
    <w:rsid w:val="00F55537"/>
    <w:rsid w:val="00F56EF7"/>
    <w:rsid w:val="00F5736B"/>
    <w:rsid w:val="00F6066B"/>
    <w:rsid w:val="00F60BF2"/>
    <w:rsid w:val="00F60EE4"/>
    <w:rsid w:val="00F6160A"/>
    <w:rsid w:val="00F623A6"/>
    <w:rsid w:val="00F62F1D"/>
    <w:rsid w:val="00F6389B"/>
    <w:rsid w:val="00F6461D"/>
    <w:rsid w:val="00F65629"/>
    <w:rsid w:val="00F6624B"/>
    <w:rsid w:val="00F66479"/>
    <w:rsid w:val="00F665A7"/>
    <w:rsid w:val="00F670FC"/>
    <w:rsid w:val="00F672F8"/>
    <w:rsid w:val="00F676E9"/>
    <w:rsid w:val="00F67ED1"/>
    <w:rsid w:val="00F67F44"/>
    <w:rsid w:val="00F70140"/>
    <w:rsid w:val="00F7024B"/>
    <w:rsid w:val="00F708F5"/>
    <w:rsid w:val="00F71151"/>
    <w:rsid w:val="00F714E3"/>
    <w:rsid w:val="00F71A96"/>
    <w:rsid w:val="00F73508"/>
    <w:rsid w:val="00F739A3"/>
    <w:rsid w:val="00F742C8"/>
    <w:rsid w:val="00F74914"/>
    <w:rsid w:val="00F750BD"/>
    <w:rsid w:val="00F750F4"/>
    <w:rsid w:val="00F7528E"/>
    <w:rsid w:val="00F7573C"/>
    <w:rsid w:val="00F75D40"/>
    <w:rsid w:val="00F774C8"/>
    <w:rsid w:val="00F779E2"/>
    <w:rsid w:val="00F77EA2"/>
    <w:rsid w:val="00F8025E"/>
    <w:rsid w:val="00F80401"/>
    <w:rsid w:val="00F805CC"/>
    <w:rsid w:val="00F805EF"/>
    <w:rsid w:val="00F81309"/>
    <w:rsid w:val="00F818D8"/>
    <w:rsid w:val="00F81E77"/>
    <w:rsid w:val="00F8207C"/>
    <w:rsid w:val="00F827B0"/>
    <w:rsid w:val="00F82A7E"/>
    <w:rsid w:val="00F82BFE"/>
    <w:rsid w:val="00F82E22"/>
    <w:rsid w:val="00F83162"/>
    <w:rsid w:val="00F83359"/>
    <w:rsid w:val="00F83FB3"/>
    <w:rsid w:val="00F84B6B"/>
    <w:rsid w:val="00F8528E"/>
    <w:rsid w:val="00F860C7"/>
    <w:rsid w:val="00F8680B"/>
    <w:rsid w:val="00F86905"/>
    <w:rsid w:val="00F86B1F"/>
    <w:rsid w:val="00F86CCE"/>
    <w:rsid w:val="00F870DB"/>
    <w:rsid w:val="00F87534"/>
    <w:rsid w:val="00F87913"/>
    <w:rsid w:val="00F87DB2"/>
    <w:rsid w:val="00F90981"/>
    <w:rsid w:val="00F90D36"/>
    <w:rsid w:val="00F90D5B"/>
    <w:rsid w:val="00F91B08"/>
    <w:rsid w:val="00F926CA"/>
    <w:rsid w:val="00F93CC1"/>
    <w:rsid w:val="00F93CEC"/>
    <w:rsid w:val="00F94DF4"/>
    <w:rsid w:val="00F94E50"/>
    <w:rsid w:val="00F95BAE"/>
    <w:rsid w:val="00F95DFD"/>
    <w:rsid w:val="00F96EB5"/>
    <w:rsid w:val="00F96FF3"/>
    <w:rsid w:val="00F97D23"/>
    <w:rsid w:val="00FA044E"/>
    <w:rsid w:val="00FA0A02"/>
    <w:rsid w:val="00FA0B0A"/>
    <w:rsid w:val="00FA18DB"/>
    <w:rsid w:val="00FA1ADB"/>
    <w:rsid w:val="00FA3853"/>
    <w:rsid w:val="00FA3AF3"/>
    <w:rsid w:val="00FA3B21"/>
    <w:rsid w:val="00FA3BCE"/>
    <w:rsid w:val="00FA4029"/>
    <w:rsid w:val="00FA53BE"/>
    <w:rsid w:val="00FA53D7"/>
    <w:rsid w:val="00FA5A6F"/>
    <w:rsid w:val="00FA5B09"/>
    <w:rsid w:val="00FA653A"/>
    <w:rsid w:val="00FA6685"/>
    <w:rsid w:val="00FA674A"/>
    <w:rsid w:val="00FA6C7A"/>
    <w:rsid w:val="00FA6DF8"/>
    <w:rsid w:val="00FA73C1"/>
    <w:rsid w:val="00FA7728"/>
    <w:rsid w:val="00FB0B8B"/>
    <w:rsid w:val="00FB0D9E"/>
    <w:rsid w:val="00FB1AD1"/>
    <w:rsid w:val="00FB1C87"/>
    <w:rsid w:val="00FB2163"/>
    <w:rsid w:val="00FB3013"/>
    <w:rsid w:val="00FB3C47"/>
    <w:rsid w:val="00FB40AB"/>
    <w:rsid w:val="00FB478A"/>
    <w:rsid w:val="00FB49BD"/>
    <w:rsid w:val="00FB584A"/>
    <w:rsid w:val="00FB5D90"/>
    <w:rsid w:val="00FB642B"/>
    <w:rsid w:val="00FB685D"/>
    <w:rsid w:val="00FB6FD3"/>
    <w:rsid w:val="00FB7577"/>
    <w:rsid w:val="00FB76CE"/>
    <w:rsid w:val="00FC03EF"/>
    <w:rsid w:val="00FC0E7E"/>
    <w:rsid w:val="00FC1153"/>
    <w:rsid w:val="00FC13A9"/>
    <w:rsid w:val="00FC13E3"/>
    <w:rsid w:val="00FC1751"/>
    <w:rsid w:val="00FC2147"/>
    <w:rsid w:val="00FC25A6"/>
    <w:rsid w:val="00FC2692"/>
    <w:rsid w:val="00FC2ECA"/>
    <w:rsid w:val="00FC32E5"/>
    <w:rsid w:val="00FC4202"/>
    <w:rsid w:val="00FC42FD"/>
    <w:rsid w:val="00FC43FA"/>
    <w:rsid w:val="00FC457E"/>
    <w:rsid w:val="00FC45D3"/>
    <w:rsid w:val="00FC4737"/>
    <w:rsid w:val="00FC4C12"/>
    <w:rsid w:val="00FC57F8"/>
    <w:rsid w:val="00FC5C52"/>
    <w:rsid w:val="00FC67D4"/>
    <w:rsid w:val="00FC6BEE"/>
    <w:rsid w:val="00FC706E"/>
    <w:rsid w:val="00FC7493"/>
    <w:rsid w:val="00FC75DD"/>
    <w:rsid w:val="00FC76A4"/>
    <w:rsid w:val="00FC79E9"/>
    <w:rsid w:val="00FC7B86"/>
    <w:rsid w:val="00FC7DAB"/>
    <w:rsid w:val="00FC7E89"/>
    <w:rsid w:val="00FD02FB"/>
    <w:rsid w:val="00FD077B"/>
    <w:rsid w:val="00FD0DAD"/>
    <w:rsid w:val="00FD1E76"/>
    <w:rsid w:val="00FD2138"/>
    <w:rsid w:val="00FD2BB1"/>
    <w:rsid w:val="00FD2C16"/>
    <w:rsid w:val="00FD3A9B"/>
    <w:rsid w:val="00FD3B8B"/>
    <w:rsid w:val="00FD4C3F"/>
    <w:rsid w:val="00FD4CC1"/>
    <w:rsid w:val="00FD539D"/>
    <w:rsid w:val="00FD59A6"/>
    <w:rsid w:val="00FD69CE"/>
    <w:rsid w:val="00FD735B"/>
    <w:rsid w:val="00FD739E"/>
    <w:rsid w:val="00FD7A9D"/>
    <w:rsid w:val="00FE0319"/>
    <w:rsid w:val="00FE0935"/>
    <w:rsid w:val="00FE1A71"/>
    <w:rsid w:val="00FE1C71"/>
    <w:rsid w:val="00FE1FEA"/>
    <w:rsid w:val="00FE24E5"/>
    <w:rsid w:val="00FE2677"/>
    <w:rsid w:val="00FE27E8"/>
    <w:rsid w:val="00FE29C1"/>
    <w:rsid w:val="00FE2A9C"/>
    <w:rsid w:val="00FE2AC5"/>
    <w:rsid w:val="00FE2B80"/>
    <w:rsid w:val="00FE2E96"/>
    <w:rsid w:val="00FE30D2"/>
    <w:rsid w:val="00FE3636"/>
    <w:rsid w:val="00FE376C"/>
    <w:rsid w:val="00FE42EC"/>
    <w:rsid w:val="00FE4BA2"/>
    <w:rsid w:val="00FE52AF"/>
    <w:rsid w:val="00FE5948"/>
    <w:rsid w:val="00FE5AEC"/>
    <w:rsid w:val="00FE5D6E"/>
    <w:rsid w:val="00FE5EC2"/>
    <w:rsid w:val="00FE65D3"/>
    <w:rsid w:val="00FE6788"/>
    <w:rsid w:val="00FE74AF"/>
    <w:rsid w:val="00FE78A3"/>
    <w:rsid w:val="00FE7D88"/>
    <w:rsid w:val="00FE7FBA"/>
    <w:rsid w:val="00FF0A15"/>
    <w:rsid w:val="00FF135C"/>
    <w:rsid w:val="00FF1811"/>
    <w:rsid w:val="00FF1C45"/>
    <w:rsid w:val="00FF26A7"/>
    <w:rsid w:val="00FF2F24"/>
    <w:rsid w:val="00FF30C2"/>
    <w:rsid w:val="00FF33A2"/>
    <w:rsid w:val="00FF35AF"/>
    <w:rsid w:val="00FF3D04"/>
    <w:rsid w:val="00FF3FE1"/>
    <w:rsid w:val="00FF4AD1"/>
    <w:rsid w:val="00FF4E3A"/>
    <w:rsid w:val="00FF51C5"/>
    <w:rsid w:val="00FF54AE"/>
    <w:rsid w:val="00FF54AF"/>
    <w:rsid w:val="00FF59F5"/>
    <w:rsid w:val="00FF5DCF"/>
    <w:rsid w:val="00FF63AA"/>
    <w:rsid w:val="00FF66C7"/>
    <w:rsid w:val="00FF6CBC"/>
    <w:rsid w:val="00FF6DB1"/>
    <w:rsid w:val="00FF6E13"/>
    <w:rsid w:val="00FF72B4"/>
    <w:rsid w:val="00FF74E7"/>
    <w:rsid w:val="00FF759D"/>
    <w:rsid w:val="00FF75B1"/>
    <w:rsid w:val="00FF7A86"/>
    <w:rsid w:val="00FF7EB5"/>
  </w:rsids>
  <m:mathPr>
    <m:mathFont m:val="Cambria Math"/>
    <m:brkBin m:val="before"/>
    <m:brkBinSub m:val="--"/>
    <m:smallFrac m:val="0"/>
    <m:dispDef/>
    <m:lMargin m:val="0"/>
    <m:rMargin m:val="0"/>
    <m:defJc m:val="centerGroup"/>
    <m:wrapIndent m:val="1440"/>
    <m:intLim m:val="subSup"/>
    <m:naryLim m:val="undOvr"/>
  </m:mathPr>
  <w:themeFontLang w:val="es-P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AD9BD"/>
  <w15:chartTrackingRefBased/>
  <w15:docId w15:val="{E9EF4421-4D0F-4844-AC7F-77FFEFAD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 ez"/>
    <w:qFormat/>
    <w:rsid w:val="00AD6B91"/>
    <w:pPr>
      <w:spacing w:before="120" w:after="120" w:line="240" w:lineRule="auto"/>
      <w:jc w:val="both"/>
    </w:pPr>
    <w:rPr>
      <w:rFonts w:ascii="Times New Roman" w:hAnsi="Times New Roman" w:cs="Times New Roman"/>
      <w:szCs w:val="24"/>
      <w:lang w:val="es-ES_tradnl" w:eastAsia="es-ES"/>
    </w:rPr>
  </w:style>
  <w:style w:type="paragraph" w:styleId="Heading1">
    <w:name w:val="heading 1"/>
    <w:basedOn w:val="Normal"/>
    <w:next w:val="Normal"/>
    <w:link w:val="Heading1Char"/>
    <w:uiPriority w:val="9"/>
    <w:qFormat/>
    <w:rsid w:val="00BB3A3B"/>
    <w:pPr>
      <w:outlineLvl w:val="0"/>
    </w:pPr>
    <w:rPr>
      <w:b/>
      <w:lang w:val="es-ES"/>
    </w:rPr>
  </w:style>
  <w:style w:type="paragraph" w:styleId="Heading2">
    <w:name w:val="heading 2"/>
    <w:basedOn w:val="Normal"/>
    <w:next w:val="Normal"/>
    <w:link w:val="Heading2Char"/>
    <w:uiPriority w:val="9"/>
    <w:unhideWhenUsed/>
    <w:qFormat/>
    <w:rsid w:val="00BB3A3B"/>
    <w:pPr>
      <w:outlineLvl w:val="1"/>
    </w:pPr>
    <w:rPr>
      <w:b/>
    </w:rPr>
  </w:style>
  <w:style w:type="paragraph" w:styleId="Heading3">
    <w:name w:val="heading 3"/>
    <w:basedOn w:val="Normal"/>
    <w:next w:val="Normal"/>
    <w:link w:val="Heading3Char"/>
    <w:uiPriority w:val="9"/>
    <w:unhideWhenUsed/>
    <w:qFormat/>
    <w:rsid w:val="00433162"/>
    <w:pPr>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12ED"/>
    <w:pPr>
      <w:spacing w:after="0" w:line="240" w:lineRule="auto"/>
      <w:jc w:val="center"/>
    </w:pPr>
    <w:rPr>
      <w:rFonts w:ascii="Times New Roman" w:hAnsi="Times New Roman" w:cs="Times New Roman"/>
      <w:szCs w:val="24"/>
      <w:lang w:eastAsia="es-ES"/>
    </w:rPr>
  </w:style>
  <w:style w:type="paragraph" w:styleId="Footer">
    <w:name w:val="footer"/>
    <w:basedOn w:val="Normal"/>
    <w:link w:val="FooterChar"/>
    <w:uiPriority w:val="99"/>
    <w:unhideWhenUsed/>
    <w:rsid w:val="00B54897"/>
    <w:pPr>
      <w:tabs>
        <w:tab w:val="center" w:pos="4252"/>
        <w:tab w:val="right" w:pos="8504"/>
      </w:tabs>
    </w:pPr>
  </w:style>
  <w:style w:type="character" w:customStyle="1" w:styleId="FooterChar">
    <w:name w:val="Footer Char"/>
    <w:basedOn w:val="DefaultParagraphFont"/>
    <w:link w:val="Footer"/>
    <w:uiPriority w:val="99"/>
    <w:rsid w:val="00B54897"/>
    <w:rPr>
      <w:rFonts w:ascii="Calibri" w:hAnsi="Calibri" w:cs="Times New Roman"/>
      <w:szCs w:val="24"/>
      <w:lang w:eastAsia="es-ES"/>
    </w:rPr>
  </w:style>
  <w:style w:type="character" w:styleId="FootnoteReference">
    <w:name w:val="footnote reference"/>
    <w:aliases w:val="titulo 2,16 Point,Superscript 6 Point,FC,referencia nota al pie,ftref,Ref,de nota al pie,Ref. de nota al pie.,Fußnotenzeichen DISS,Footnote Referencefra,BVI fnr,Знак сноски 1, BVI fnr"/>
    <w:basedOn w:val="DefaultParagraphFont"/>
    <w:uiPriority w:val="99"/>
    <w:qFormat/>
    <w:rsid w:val="00B54897"/>
    <w:rPr>
      <w:vertAlign w:val="superscript"/>
    </w:rPr>
  </w:style>
  <w:style w:type="paragraph" w:styleId="CommentText">
    <w:name w:val="annotation text"/>
    <w:basedOn w:val="Normal"/>
    <w:link w:val="CommentTextChar"/>
    <w:uiPriority w:val="99"/>
    <w:semiHidden/>
    <w:unhideWhenUsed/>
    <w:rsid w:val="00DE2184"/>
    <w:rPr>
      <w:sz w:val="20"/>
      <w:szCs w:val="20"/>
    </w:rPr>
  </w:style>
  <w:style w:type="character" w:customStyle="1" w:styleId="CommentTextChar">
    <w:name w:val="Comment Text Char"/>
    <w:basedOn w:val="DefaultParagraphFont"/>
    <w:link w:val="CommentText"/>
    <w:uiPriority w:val="99"/>
    <w:semiHidden/>
    <w:rsid w:val="00DE2184"/>
    <w:rPr>
      <w:rFonts w:ascii="Calibri" w:hAnsi="Calibri" w:cs="Times New Roman"/>
      <w:sz w:val="20"/>
      <w:szCs w:val="20"/>
      <w:lang w:eastAsia="es-ES"/>
    </w:rPr>
  </w:style>
  <w:style w:type="character" w:styleId="CommentReference">
    <w:name w:val="annotation reference"/>
    <w:basedOn w:val="DefaultParagraphFont"/>
    <w:uiPriority w:val="99"/>
    <w:semiHidden/>
    <w:unhideWhenUsed/>
    <w:rsid w:val="00DE2184"/>
    <w:rPr>
      <w:sz w:val="16"/>
      <w:szCs w:val="16"/>
    </w:rPr>
  </w:style>
  <w:style w:type="character" w:styleId="Hyperlink">
    <w:name w:val="Hyperlink"/>
    <w:basedOn w:val="DefaultParagraphFont"/>
    <w:uiPriority w:val="99"/>
    <w:unhideWhenUsed/>
    <w:rsid w:val="00DE2184"/>
    <w:rPr>
      <w:color w:val="0563C1" w:themeColor="hyperlink"/>
      <w:u w:val="single"/>
    </w:rPr>
  </w:style>
  <w:style w:type="paragraph" w:styleId="BalloonText">
    <w:name w:val="Balloon Text"/>
    <w:basedOn w:val="Normal"/>
    <w:link w:val="BalloonTextChar"/>
    <w:uiPriority w:val="99"/>
    <w:semiHidden/>
    <w:unhideWhenUsed/>
    <w:rsid w:val="00DE21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184"/>
    <w:rPr>
      <w:rFonts w:ascii="Segoe UI" w:hAnsi="Segoe UI" w:cs="Segoe UI"/>
      <w:sz w:val="18"/>
      <w:szCs w:val="18"/>
      <w:lang w:eastAsia="es-ES"/>
    </w:rPr>
  </w:style>
  <w:style w:type="paragraph" w:styleId="Header">
    <w:name w:val="header"/>
    <w:basedOn w:val="Normal"/>
    <w:link w:val="HeaderChar"/>
    <w:uiPriority w:val="99"/>
    <w:unhideWhenUsed/>
    <w:rsid w:val="00950270"/>
    <w:pPr>
      <w:tabs>
        <w:tab w:val="center" w:pos="4252"/>
        <w:tab w:val="right" w:pos="8504"/>
      </w:tabs>
    </w:pPr>
  </w:style>
  <w:style w:type="character" w:customStyle="1" w:styleId="HeaderChar">
    <w:name w:val="Header Char"/>
    <w:basedOn w:val="DefaultParagraphFont"/>
    <w:link w:val="Header"/>
    <w:uiPriority w:val="99"/>
    <w:rsid w:val="00950270"/>
    <w:rPr>
      <w:rFonts w:ascii="Calibri" w:hAnsi="Calibri" w:cs="Times New Roman"/>
      <w:szCs w:val="24"/>
      <w:lang w:eastAsia="es-ES"/>
    </w:rPr>
  </w:style>
  <w:style w:type="character" w:customStyle="1" w:styleId="Heading1Char">
    <w:name w:val="Heading 1 Char"/>
    <w:basedOn w:val="DefaultParagraphFont"/>
    <w:link w:val="Heading1"/>
    <w:uiPriority w:val="9"/>
    <w:rsid w:val="00BB3A3B"/>
    <w:rPr>
      <w:rFonts w:ascii="Times New Roman" w:hAnsi="Times New Roman" w:cs="Times New Roman"/>
      <w:b/>
      <w:szCs w:val="24"/>
      <w:lang w:val="es-ES" w:eastAsia="es-ES"/>
    </w:rPr>
  </w:style>
  <w:style w:type="character" w:customStyle="1" w:styleId="Heading2Char">
    <w:name w:val="Heading 2 Char"/>
    <w:basedOn w:val="DefaultParagraphFont"/>
    <w:link w:val="Heading2"/>
    <w:uiPriority w:val="9"/>
    <w:rsid w:val="00BB3A3B"/>
    <w:rPr>
      <w:rFonts w:ascii="Times New Roman" w:hAnsi="Times New Roman" w:cs="Times New Roman"/>
      <w:b/>
      <w:szCs w:val="24"/>
      <w:lang w:val="es-ES_tradnl" w:eastAsia="es-ES"/>
    </w:rPr>
  </w:style>
  <w:style w:type="character" w:customStyle="1" w:styleId="Heading3Char">
    <w:name w:val="Heading 3 Char"/>
    <w:basedOn w:val="DefaultParagraphFont"/>
    <w:link w:val="Heading3"/>
    <w:uiPriority w:val="9"/>
    <w:rsid w:val="00433162"/>
    <w:rPr>
      <w:rFonts w:ascii="Times New Roman" w:hAnsi="Times New Roman" w:cs="Times New Roman"/>
      <w:i/>
      <w:szCs w:val="24"/>
      <w:lang w:val="es-ES_tradnl" w:eastAsia="es-ES"/>
    </w:rPr>
  </w:style>
  <w:style w:type="paragraph" w:styleId="TOCHeading">
    <w:name w:val="TOC Heading"/>
    <w:basedOn w:val="Heading1"/>
    <w:next w:val="Normal"/>
    <w:uiPriority w:val="39"/>
    <w:unhideWhenUsed/>
    <w:qFormat/>
    <w:rsid w:val="009522BD"/>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PE" w:eastAsia="es-PE"/>
    </w:rPr>
  </w:style>
  <w:style w:type="paragraph" w:styleId="TOC1">
    <w:name w:val="toc 1"/>
    <w:basedOn w:val="Normal"/>
    <w:next w:val="Normal"/>
    <w:autoRedefine/>
    <w:uiPriority w:val="39"/>
    <w:unhideWhenUsed/>
    <w:rsid w:val="00811F27"/>
    <w:pPr>
      <w:tabs>
        <w:tab w:val="right" w:leader="dot" w:pos="8494"/>
      </w:tabs>
      <w:spacing w:after="100"/>
      <w:jc w:val="center"/>
    </w:pPr>
  </w:style>
  <w:style w:type="paragraph" w:styleId="TOC2">
    <w:name w:val="toc 2"/>
    <w:basedOn w:val="Normal"/>
    <w:next w:val="Normal"/>
    <w:autoRedefine/>
    <w:uiPriority w:val="39"/>
    <w:unhideWhenUsed/>
    <w:rsid w:val="009522BD"/>
    <w:pPr>
      <w:spacing w:after="100"/>
      <w:ind w:left="220"/>
    </w:pPr>
  </w:style>
  <w:style w:type="paragraph" w:styleId="TOC3">
    <w:name w:val="toc 3"/>
    <w:basedOn w:val="Normal"/>
    <w:next w:val="Normal"/>
    <w:autoRedefine/>
    <w:uiPriority w:val="39"/>
    <w:unhideWhenUsed/>
    <w:rsid w:val="009522BD"/>
    <w:pPr>
      <w:spacing w:after="100"/>
      <w:ind w:left="440"/>
    </w:pPr>
  </w:style>
  <w:style w:type="paragraph" w:styleId="ListParagraph">
    <w:name w:val="List Paragraph"/>
    <w:basedOn w:val="Normal"/>
    <w:link w:val="ListParagraphChar"/>
    <w:uiPriority w:val="34"/>
    <w:qFormat/>
    <w:rsid w:val="006A0893"/>
    <w:pPr>
      <w:ind w:left="720"/>
      <w:contextualSpacing/>
    </w:pPr>
  </w:style>
  <w:style w:type="paragraph" w:customStyle="1" w:styleId="parrafonumerado">
    <w:name w:val="parrafo numerado"/>
    <w:basedOn w:val="ListParagraph"/>
    <w:link w:val="parrafonumeradoCar"/>
    <w:qFormat/>
    <w:rsid w:val="00854EFC"/>
    <w:pPr>
      <w:numPr>
        <w:numId w:val="8"/>
      </w:numPr>
      <w:spacing w:before="240" w:after="240"/>
      <w:ind w:left="567" w:hanging="567"/>
      <w:contextualSpacing w:val="0"/>
    </w:pPr>
    <w:rPr>
      <w:lang w:val="es-PE"/>
    </w:rPr>
  </w:style>
  <w:style w:type="character" w:customStyle="1" w:styleId="ListParagraphChar">
    <w:name w:val="List Paragraph Char"/>
    <w:basedOn w:val="DefaultParagraphFont"/>
    <w:link w:val="ListParagraph"/>
    <w:uiPriority w:val="34"/>
    <w:rsid w:val="009C1958"/>
    <w:rPr>
      <w:rFonts w:ascii="Times New Roman" w:hAnsi="Times New Roman" w:cs="Times New Roman"/>
      <w:szCs w:val="24"/>
      <w:lang w:val="es-ES_tradnl" w:eastAsia="es-ES"/>
    </w:rPr>
  </w:style>
  <w:style w:type="character" w:customStyle="1" w:styleId="parrafonumeradoCar">
    <w:name w:val="parrafo numerado Car"/>
    <w:basedOn w:val="ListParagraphChar"/>
    <w:link w:val="parrafonumerado"/>
    <w:rsid w:val="00854EFC"/>
    <w:rPr>
      <w:rFonts w:ascii="Times New Roman" w:hAnsi="Times New Roman" w:cs="Times New Roman"/>
      <w:szCs w:val="24"/>
      <w:lang w:val="es-ES_tradnl" w:eastAsia="es-ES"/>
    </w:rPr>
  </w:style>
  <w:style w:type="paragraph" w:styleId="FootnoteText">
    <w:name w:val="footnote text"/>
    <w:aliases w:val="fn,Texto de rodapé,nota_rodapé,nota de rodapé,footnote,single space,FOOTNOTES,footnote text,Footnote Text Char Char,ft,Footnote Text Char1 Char,Footnote Text Char Char Char Char Char Char,ADB,Footnote Text Char Char Char Char Char Char Ch"/>
    <w:basedOn w:val="Normal"/>
    <w:link w:val="FootnoteTextChar"/>
    <w:uiPriority w:val="99"/>
    <w:unhideWhenUsed/>
    <w:rsid w:val="005B6C73"/>
    <w:pPr>
      <w:spacing w:before="0" w:after="0"/>
    </w:pPr>
    <w:rPr>
      <w:sz w:val="20"/>
      <w:szCs w:val="20"/>
    </w:rPr>
  </w:style>
  <w:style w:type="character" w:customStyle="1" w:styleId="FootnoteTextChar">
    <w:name w:val="Footnote Text Char"/>
    <w:aliases w:val="fn Char,Texto de rodapé Char,nota_rodapé Char,nota de rodapé Char,footnote Char,single space Char,FOOTNOTES Char,footnote text Char,Footnote Text Char Char Char,ft Char,Footnote Text Char1 Char Char,ADB Char"/>
    <w:basedOn w:val="DefaultParagraphFont"/>
    <w:link w:val="FootnoteText"/>
    <w:uiPriority w:val="99"/>
    <w:rsid w:val="005B6C73"/>
    <w:rPr>
      <w:rFonts w:ascii="Times New Roman" w:hAnsi="Times New Roman" w:cs="Times New Roman"/>
      <w:sz w:val="20"/>
      <w:szCs w:val="20"/>
      <w:lang w:val="es-ES_tradnl" w:eastAsia="es-ES"/>
    </w:rPr>
  </w:style>
  <w:style w:type="paragraph" w:customStyle="1" w:styleId="fuente">
    <w:name w:val="fuente"/>
    <w:basedOn w:val="Normal"/>
    <w:link w:val="fuenteCar"/>
    <w:qFormat/>
    <w:rsid w:val="00D64E0D"/>
    <w:pPr>
      <w:spacing w:before="0" w:after="0"/>
    </w:pPr>
    <w:rPr>
      <w:sz w:val="18"/>
    </w:rPr>
  </w:style>
  <w:style w:type="table" w:styleId="TableGrid">
    <w:name w:val="Table Grid"/>
    <w:basedOn w:val="TableNormal"/>
    <w:uiPriority w:val="39"/>
    <w:rsid w:val="00737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enteCar">
    <w:name w:val="fuente Car"/>
    <w:basedOn w:val="DefaultParagraphFont"/>
    <w:link w:val="fuente"/>
    <w:rsid w:val="00D64E0D"/>
    <w:rPr>
      <w:rFonts w:ascii="Times New Roman" w:hAnsi="Times New Roman" w:cs="Times New Roman"/>
      <w:sz w:val="18"/>
      <w:szCs w:val="24"/>
      <w:lang w:val="es-ES_tradnl" w:eastAsia="es-ES"/>
    </w:rPr>
  </w:style>
  <w:style w:type="paragraph" w:styleId="CommentSubject">
    <w:name w:val="annotation subject"/>
    <w:basedOn w:val="CommentText"/>
    <w:next w:val="CommentText"/>
    <w:link w:val="CommentSubjectChar"/>
    <w:uiPriority w:val="99"/>
    <w:semiHidden/>
    <w:unhideWhenUsed/>
    <w:rsid w:val="00530F53"/>
    <w:rPr>
      <w:b/>
      <w:bCs/>
    </w:rPr>
  </w:style>
  <w:style w:type="character" w:customStyle="1" w:styleId="CommentSubjectChar">
    <w:name w:val="Comment Subject Char"/>
    <w:basedOn w:val="CommentTextChar"/>
    <w:link w:val="CommentSubject"/>
    <w:uiPriority w:val="99"/>
    <w:semiHidden/>
    <w:rsid w:val="00530F53"/>
    <w:rPr>
      <w:rFonts w:ascii="Times New Roman" w:hAnsi="Times New Roman" w:cs="Times New Roman"/>
      <w:b/>
      <w:bCs/>
      <w:sz w:val="20"/>
      <w:szCs w:val="20"/>
      <w:lang w:val="es-ES_tradnl" w:eastAsia="es-ES"/>
    </w:rPr>
  </w:style>
  <w:style w:type="paragraph" w:customStyle="1" w:styleId="parrafonum">
    <w:name w:val="parrafo_num"/>
    <w:basedOn w:val="ListParagraph"/>
    <w:link w:val="parrafonumCar"/>
    <w:qFormat/>
    <w:rsid w:val="00E53A9A"/>
    <w:pPr>
      <w:numPr>
        <w:numId w:val="12"/>
      </w:numPr>
      <w:spacing w:line="259" w:lineRule="auto"/>
      <w:ind w:right="318"/>
      <w:contextualSpacing w:val="0"/>
    </w:pPr>
    <w:rPr>
      <w:rFonts w:ascii="Arial" w:eastAsiaTheme="minorEastAsia" w:hAnsi="Arial" w:cs="Arial"/>
      <w:szCs w:val="22"/>
      <w:lang w:val="es-PE" w:eastAsia="ko-KR"/>
    </w:rPr>
  </w:style>
  <w:style w:type="paragraph" w:customStyle="1" w:styleId="subitem">
    <w:name w:val="sub_item"/>
    <w:basedOn w:val="Normal"/>
    <w:link w:val="subitemCar"/>
    <w:qFormat/>
    <w:rsid w:val="00E53A9A"/>
    <w:pPr>
      <w:spacing w:before="0" w:after="160" w:line="259" w:lineRule="auto"/>
      <w:ind w:left="720" w:right="354"/>
    </w:pPr>
    <w:rPr>
      <w:rFonts w:ascii="Arial" w:eastAsiaTheme="minorEastAsia" w:hAnsi="Arial" w:cs="Arial"/>
      <w:szCs w:val="22"/>
      <w:lang w:eastAsia="ko-KR"/>
    </w:rPr>
  </w:style>
  <w:style w:type="character" w:customStyle="1" w:styleId="parrafonumCar">
    <w:name w:val="parrafo_num Car"/>
    <w:basedOn w:val="DefaultParagraphFont"/>
    <w:link w:val="parrafonum"/>
    <w:rsid w:val="00E53A9A"/>
    <w:rPr>
      <w:rFonts w:ascii="Arial" w:eastAsiaTheme="minorEastAsia" w:hAnsi="Arial" w:cs="Arial"/>
      <w:lang w:eastAsia="ko-KR"/>
    </w:rPr>
  </w:style>
  <w:style w:type="character" w:customStyle="1" w:styleId="subitemCar">
    <w:name w:val="sub_item Car"/>
    <w:basedOn w:val="DefaultParagraphFont"/>
    <w:link w:val="subitem"/>
    <w:rsid w:val="00E53A9A"/>
    <w:rPr>
      <w:rFonts w:ascii="Arial" w:eastAsiaTheme="minorEastAsia" w:hAnsi="Arial" w:cs="Arial"/>
      <w:lang w:val="es-ES_tradnl" w:eastAsia="ko-KR"/>
    </w:rPr>
  </w:style>
  <w:style w:type="paragraph" w:customStyle="1" w:styleId="bulet">
    <w:name w:val="bulet"/>
    <w:basedOn w:val="ListParagraph"/>
    <w:link w:val="buletCar"/>
    <w:qFormat/>
    <w:rsid w:val="00E53A9A"/>
    <w:pPr>
      <w:numPr>
        <w:numId w:val="9"/>
      </w:numPr>
      <w:spacing w:before="0" w:after="160" w:line="259" w:lineRule="auto"/>
      <w:ind w:left="1021" w:right="458" w:hanging="283"/>
    </w:pPr>
    <w:rPr>
      <w:rFonts w:ascii="Arial" w:eastAsiaTheme="minorEastAsia" w:hAnsi="Arial" w:cs="Arial"/>
      <w:szCs w:val="22"/>
      <w:lang w:val="es-ES" w:eastAsia="ko-KR"/>
    </w:rPr>
  </w:style>
  <w:style w:type="character" w:customStyle="1" w:styleId="buletCar">
    <w:name w:val="bulet Car"/>
    <w:basedOn w:val="DefaultParagraphFont"/>
    <w:link w:val="bulet"/>
    <w:rsid w:val="00E53A9A"/>
    <w:rPr>
      <w:rFonts w:ascii="Arial" w:eastAsiaTheme="minorEastAsia" w:hAnsi="Arial" w:cs="Arial"/>
      <w:lang w:val="es-ES" w:eastAsia="ko-KR"/>
    </w:rPr>
  </w:style>
  <w:style w:type="paragraph" w:styleId="Caption">
    <w:name w:val="caption"/>
    <w:basedOn w:val="Normal"/>
    <w:next w:val="Normal"/>
    <w:uiPriority w:val="35"/>
    <w:unhideWhenUsed/>
    <w:qFormat/>
    <w:rsid w:val="00D1228A"/>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8825">
      <w:bodyDiv w:val="1"/>
      <w:marLeft w:val="0"/>
      <w:marRight w:val="0"/>
      <w:marTop w:val="0"/>
      <w:marBottom w:val="0"/>
      <w:divBdr>
        <w:top w:val="none" w:sz="0" w:space="0" w:color="auto"/>
        <w:left w:val="none" w:sz="0" w:space="0" w:color="auto"/>
        <w:bottom w:val="none" w:sz="0" w:space="0" w:color="auto"/>
        <w:right w:val="none" w:sz="0" w:space="0" w:color="auto"/>
      </w:divBdr>
    </w:div>
    <w:div w:id="17775958">
      <w:bodyDiv w:val="1"/>
      <w:marLeft w:val="0"/>
      <w:marRight w:val="0"/>
      <w:marTop w:val="0"/>
      <w:marBottom w:val="0"/>
      <w:divBdr>
        <w:top w:val="none" w:sz="0" w:space="0" w:color="auto"/>
        <w:left w:val="none" w:sz="0" w:space="0" w:color="auto"/>
        <w:bottom w:val="none" w:sz="0" w:space="0" w:color="auto"/>
        <w:right w:val="none" w:sz="0" w:space="0" w:color="auto"/>
      </w:divBdr>
    </w:div>
    <w:div w:id="28459027">
      <w:bodyDiv w:val="1"/>
      <w:marLeft w:val="0"/>
      <w:marRight w:val="0"/>
      <w:marTop w:val="0"/>
      <w:marBottom w:val="0"/>
      <w:divBdr>
        <w:top w:val="none" w:sz="0" w:space="0" w:color="auto"/>
        <w:left w:val="none" w:sz="0" w:space="0" w:color="auto"/>
        <w:bottom w:val="none" w:sz="0" w:space="0" w:color="auto"/>
        <w:right w:val="none" w:sz="0" w:space="0" w:color="auto"/>
      </w:divBdr>
    </w:div>
    <w:div w:id="42098111">
      <w:bodyDiv w:val="1"/>
      <w:marLeft w:val="0"/>
      <w:marRight w:val="0"/>
      <w:marTop w:val="0"/>
      <w:marBottom w:val="0"/>
      <w:divBdr>
        <w:top w:val="none" w:sz="0" w:space="0" w:color="auto"/>
        <w:left w:val="none" w:sz="0" w:space="0" w:color="auto"/>
        <w:bottom w:val="none" w:sz="0" w:space="0" w:color="auto"/>
        <w:right w:val="none" w:sz="0" w:space="0" w:color="auto"/>
      </w:divBdr>
    </w:div>
    <w:div w:id="53744624">
      <w:bodyDiv w:val="1"/>
      <w:marLeft w:val="0"/>
      <w:marRight w:val="0"/>
      <w:marTop w:val="0"/>
      <w:marBottom w:val="0"/>
      <w:divBdr>
        <w:top w:val="none" w:sz="0" w:space="0" w:color="auto"/>
        <w:left w:val="none" w:sz="0" w:space="0" w:color="auto"/>
        <w:bottom w:val="none" w:sz="0" w:space="0" w:color="auto"/>
        <w:right w:val="none" w:sz="0" w:space="0" w:color="auto"/>
      </w:divBdr>
    </w:div>
    <w:div w:id="65349762">
      <w:bodyDiv w:val="1"/>
      <w:marLeft w:val="0"/>
      <w:marRight w:val="0"/>
      <w:marTop w:val="0"/>
      <w:marBottom w:val="0"/>
      <w:divBdr>
        <w:top w:val="none" w:sz="0" w:space="0" w:color="auto"/>
        <w:left w:val="none" w:sz="0" w:space="0" w:color="auto"/>
        <w:bottom w:val="none" w:sz="0" w:space="0" w:color="auto"/>
        <w:right w:val="none" w:sz="0" w:space="0" w:color="auto"/>
      </w:divBdr>
    </w:div>
    <w:div w:id="86391331">
      <w:bodyDiv w:val="1"/>
      <w:marLeft w:val="0"/>
      <w:marRight w:val="0"/>
      <w:marTop w:val="0"/>
      <w:marBottom w:val="0"/>
      <w:divBdr>
        <w:top w:val="none" w:sz="0" w:space="0" w:color="auto"/>
        <w:left w:val="none" w:sz="0" w:space="0" w:color="auto"/>
        <w:bottom w:val="none" w:sz="0" w:space="0" w:color="auto"/>
        <w:right w:val="none" w:sz="0" w:space="0" w:color="auto"/>
      </w:divBdr>
    </w:div>
    <w:div w:id="88476840">
      <w:bodyDiv w:val="1"/>
      <w:marLeft w:val="0"/>
      <w:marRight w:val="0"/>
      <w:marTop w:val="0"/>
      <w:marBottom w:val="0"/>
      <w:divBdr>
        <w:top w:val="none" w:sz="0" w:space="0" w:color="auto"/>
        <w:left w:val="none" w:sz="0" w:space="0" w:color="auto"/>
        <w:bottom w:val="none" w:sz="0" w:space="0" w:color="auto"/>
        <w:right w:val="none" w:sz="0" w:space="0" w:color="auto"/>
      </w:divBdr>
    </w:div>
    <w:div w:id="123817221">
      <w:bodyDiv w:val="1"/>
      <w:marLeft w:val="0"/>
      <w:marRight w:val="0"/>
      <w:marTop w:val="0"/>
      <w:marBottom w:val="0"/>
      <w:divBdr>
        <w:top w:val="none" w:sz="0" w:space="0" w:color="auto"/>
        <w:left w:val="none" w:sz="0" w:space="0" w:color="auto"/>
        <w:bottom w:val="none" w:sz="0" w:space="0" w:color="auto"/>
        <w:right w:val="none" w:sz="0" w:space="0" w:color="auto"/>
      </w:divBdr>
    </w:div>
    <w:div w:id="126168664">
      <w:bodyDiv w:val="1"/>
      <w:marLeft w:val="0"/>
      <w:marRight w:val="0"/>
      <w:marTop w:val="0"/>
      <w:marBottom w:val="0"/>
      <w:divBdr>
        <w:top w:val="none" w:sz="0" w:space="0" w:color="auto"/>
        <w:left w:val="none" w:sz="0" w:space="0" w:color="auto"/>
        <w:bottom w:val="none" w:sz="0" w:space="0" w:color="auto"/>
        <w:right w:val="none" w:sz="0" w:space="0" w:color="auto"/>
      </w:divBdr>
    </w:div>
    <w:div w:id="155466101">
      <w:bodyDiv w:val="1"/>
      <w:marLeft w:val="0"/>
      <w:marRight w:val="0"/>
      <w:marTop w:val="0"/>
      <w:marBottom w:val="0"/>
      <w:divBdr>
        <w:top w:val="none" w:sz="0" w:space="0" w:color="auto"/>
        <w:left w:val="none" w:sz="0" w:space="0" w:color="auto"/>
        <w:bottom w:val="none" w:sz="0" w:space="0" w:color="auto"/>
        <w:right w:val="none" w:sz="0" w:space="0" w:color="auto"/>
      </w:divBdr>
    </w:div>
    <w:div w:id="169955078">
      <w:bodyDiv w:val="1"/>
      <w:marLeft w:val="0"/>
      <w:marRight w:val="0"/>
      <w:marTop w:val="0"/>
      <w:marBottom w:val="0"/>
      <w:divBdr>
        <w:top w:val="none" w:sz="0" w:space="0" w:color="auto"/>
        <w:left w:val="none" w:sz="0" w:space="0" w:color="auto"/>
        <w:bottom w:val="none" w:sz="0" w:space="0" w:color="auto"/>
        <w:right w:val="none" w:sz="0" w:space="0" w:color="auto"/>
      </w:divBdr>
    </w:div>
    <w:div w:id="172230220">
      <w:bodyDiv w:val="1"/>
      <w:marLeft w:val="0"/>
      <w:marRight w:val="0"/>
      <w:marTop w:val="0"/>
      <w:marBottom w:val="0"/>
      <w:divBdr>
        <w:top w:val="none" w:sz="0" w:space="0" w:color="auto"/>
        <w:left w:val="none" w:sz="0" w:space="0" w:color="auto"/>
        <w:bottom w:val="none" w:sz="0" w:space="0" w:color="auto"/>
        <w:right w:val="none" w:sz="0" w:space="0" w:color="auto"/>
      </w:divBdr>
    </w:div>
    <w:div w:id="189337942">
      <w:bodyDiv w:val="1"/>
      <w:marLeft w:val="0"/>
      <w:marRight w:val="0"/>
      <w:marTop w:val="0"/>
      <w:marBottom w:val="0"/>
      <w:divBdr>
        <w:top w:val="none" w:sz="0" w:space="0" w:color="auto"/>
        <w:left w:val="none" w:sz="0" w:space="0" w:color="auto"/>
        <w:bottom w:val="none" w:sz="0" w:space="0" w:color="auto"/>
        <w:right w:val="none" w:sz="0" w:space="0" w:color="auto"/>
      </w:divBdr>
    </w:div>
    <w:div w:id="196048159">
      <w:bodyDiv w:val="1"/>
      <w:marLeft w:val="0"/>
      <w:marRight w:val="0"/>
      <w:marTop w:val="0"/>
      <w:marBottom w:val="0"/>
      <w:divBdr>
        <w:top w:val="none" w:sz="0" w:space="0" w:color="auto"/>
        <w:left w:val="none" w:sz="0" w:space="0" w:color="auto"/>
        <w:bottom w:val="none" w:sz="0" w:space="0" w:color="auto"/>
        <w:right w:val="none" w:sz="0" w:space="0" w:color="auto"/>
      </w:divBdr>
    </w:div>
    <w:div w:id="199821739">
      <w:bodyDiv w:val="1"/>
      <w:marLeft w:val="0"/>
      <w:marRight w:val="0"/>
      <w:marTop w:val="0"/>
      <w:marBottom w:val="0"/>
      <w:divBdr>
        <w:top w:val="none" w:sz="0" w:space="0" w:color="auto"/>
        <w:left w:val="none" w:sz="0" w:space="0" w:color="auto"/>
        <w:bottom w:val="none" w:sz="0" w:space="0" w:color="auto"/>
        <w:right w:val="none" w:sz="0" w:space="0" w:color="auto"/>
      </w:divBdr>
    </w:div>
    <w:div w:id="264121513">
      <w:bodyDiv w:val="1"/>
      <w:marLeft w:val="0"/>
      <w:marRight w:val="0"/>
      <w:marTop w:val="0"/>
      <w:marBottom w:val="0"/>
      <w:divBdr>
        <w:top w:val="none" w:sz="0" w:space="0" w:color="auto"/>
        <w:left w:val="none" w:sz="0" w:space="0" w:color="auto"/>
        <w:bottom w:val="none" w:sz="0" w:space="0" w:color="auto"/>
        <w:right w:val="none" w:sz="0" w:space="0" w:color="auto"/>
      </w:divBdr>
    </w:div>
    <w:div w:id="273247265">
      <w:bodyDiv w:val="1"/>
      <w:marLeft w:val="0"/>
      <w:marRight w:val="0"/>
      <w:marTop w:val="0"/>
      <w:marBottom w:val="0"/>
      <w:divBdr>
        <w:top w:val="none" w:sz="0" w:space="0" w:color="auto"/>
        <w:left w:val="none" w:sz="0" w:space="0" w:color="auto"/>
        <w:bottom w:val="none" w:sz="0" w:space="0" w:color="auto"/>
        <w:right w:val="none" w:sz="0" w:space="0" w:color="auto"/>
      </w:divBdr>
    </w:div>
    <w:div w:id="317660991">
      <w:bodyDiv w:val="1"/>
      <w:marLeft w:val="0"/>
      <w:marRight w:val="0"/>
      <w:marTop w:val="0"/>
      <w:marBottom w:val="0"/>
      <w:divBdr>
        <w:top w:val="none" w:sz="0" w:space="0" w:color="auto"/>
        <w:left w:val="none" w:sz="0" w:space="0" w:color="auto"/>
        <w:bottom w:val="none" w:sz="0" w:space="0" w:color="auto"/>
        <w:right w:val="none" w:sz="0" w:space="0" w:color="auto"/>
      </w:divBdr>
    </w:div>
    <w:div w:id="333458382">
      <w:bodyDiv w:val="1"/>
      <w:marLeft w:val="0"/>
      <w:marRight w:val="0"/>
      <w:marTop w:val="0"/>
      <w:marBottom w:val="0"/>
      <w:divBdr>
        <w:top w:val="none" w:sz="0" w:space="0" w:color="auto"/>
        <w:left w:val="none" w:sz="0" w:space="0" w:color="auto"/>
        <w:bottom w:val="none" w:sz="0" w:space="0" w:color="auto"/>
        <w:right w:val="none" w:sz="0" w:space="0" w:color="auto"/>
      </w:divBdr>
    </w:div>
    <w:div w:id="366032124">
      <w:bodyDiv w:val="1"/>
      <w:marLeft w:val="0"/>
      <w:marRight w:val="0"/>
      <w:marTop w:val="0"/>
      <w:marBottom w:val="0"/>
      <w:divBdr>
        <w:top w:val="none" w:sz="0" w:space="0" w:color="auto"/>
        <w:left w:val="none" w:sz="0" w:space="0" w:color="auto"/>
        <w:bottom w:val="none" w:sz="0" w:space="0" w:color="auto"/>
        <w:right w:val="none" w:sz="0" w:space="0" w:color="auto"/>
      </w:divBdr>
    </w:div>
    <w:div w:id="376247110">
      <w:bodyDiv w:val="1"/>
      <w:marLeft w:val="0"/>
      <w:marRight w:val="0"/>
      <w:marTop w:val="0"/>
      <w:marBottom w:val="0"/>
      <w:divBdr>
        <w:top w:val="none" w:sz="0" w:space="0" w:color="auto"/>
        <w:left w:val="none" w:sz="0" w:space="0" w:color="auto"/>
        <w:bottom w:val="none" w:sz="0" w:space="0" w:color="auto"/>
        <w:right w:val="none" w:sz="0" w:space="0" w:color="auto"/>
      </w:divBdr>
    </w:div>
    <w:div w:id="409547785">
      <w:bodyDiv w:val="1"/>
      <w:marLeft w:val="0"/>
      <w:marRight w:val="0"/>
      <w:marTop w:val="0"/>
      <w:marBottom w:val="0"/>
      <w:divBdr>
        <w:top w:val="none" w:sz="0" w:space="0" w:color="auto"/>
        <w:left w:val="none" w:sz="0" w:space="0" w:color="auto"/>
        <w:bottom w:val="none" w:sz="0" w:space="0" w:color="auto"/>
        <w:right w:val="none" w:sz="0" w:space="0" w:color="auto"/>
      </w:divBdr>
    </w:div>
    <w:div w:id="440075020">
      <w:bodyDiv w:val="1"/>
      <w:marLeft w:val="0"/>
      <w:marRight w:val="0"/>
      <w:marTop w:val="0"/>
      <w:marBottom w:val="0"/>
      <w:divBdr>
        <w:top w:val="none" w:sz="0" w:space="0" w:color="auto"/>
        <w:left w:val="none" w:sz="0" w:space="0" w:color="auto"/>
        <w:bottom w:val="none" w:sz="0" w:space="0" w:color="auto"/>
        <w:right w:val="none" w:sz="0" w:space="0" w:color="auto"/>
      </w:divBdr>
    </w:div>
    <w:div w:id="441807422">
      <w:bodyDiv w:val="1"/>
      <w:marLeft w:val="0"/>
      <w:marRight w:val="0"/>
      <w:marTop w:val="0"/>
      <w:marBottom w:val="0"/>
      <w:divBdr>
        <w:top w:val="none" w:sz="0" w:space="0" w:color="auto"/>
        <w:left w:val="none" w:sz="0" w:space="0" w:color="auto"/>
        <w:bottom w:val="none" w:sz="0" w:space="0" w:color="auto"/>
        <w:right w:val="none" w:sz="0" w:space="0" w:color="auto"/>
      </w:divBdr>
    </w:div>
    <w:div w:id="500704932">
      <w:bodyDiv w:val="1"/>
      <w:marLeft w:val="0"/>
      <w:marRight w:val="0"/>
      <w:marTop w:val="0"/>
      <w:marBottom w:val="0"/>
      <w:divBdr>
        <w:top w:val="none" w:sz="0" w:space="0" w:color="auto"/>
        <w:left w:val="none" w:sz="0" w:space="0" w:color="auto"/>
        <w:bottom w:val="none" w:sz="0" w:space="0" w:color="auto"/>
        <w:right w:val="none" w:sz="0" w:space="0" w:color="auto"/>
      </w:divBdr>
    </w:div>
    <w:div w:id="557671909">
      <w:bodyDiv w:val="1"/>
      <w:marLeft w:val="0"/>
      <w:marRight w:val="0"/>
      <w:marTop w:val="0"/>
      <w:marBottom w:val="0"/>
      <w:divBdr>
        <w:top w:val="none" w:sz="0" w:space="0" w:color="auto"/>
        <w:left w:val="none" w:sz="0" w:space="0" w:color="auto"/>
        <w:bottom w:val="none" w:sz="0" w:space="0" w:color="auto"/>
        <w:right w:val="none" w:sz="0" w:space="0" w:color="auto"/>
      </w:divBdr>
    </w:div>
    <w:div w:id="564461826">
      <w:bodyDiv w:val="1"/>
      <w:marLeft w:val="0"/>
      <w:marRight w:val="0"/>
      <w:marTop w:val="0"/>
      <w:marBottom w:val="0"/>
      <w:divBdr>
        <w:top w:val="none" w:sz="0" w:space="0" w:color="auto"/>
        <w:left w:val="none" w:sz="0" w:space="0" w:color="auto"/>
        <w:bottom w:val="none" w:sz="0" w:space="0" w:color="auto"/>
        <w:right w:val="none" w:sz="0" w:space="0" w:color="auto"/>
      </w:divBdr>
    </w:div>
    <w:div w:id="658970760">
      <w:bodyDiv w:val="1"/>
      <w:marLeft w:val="0"/>
      <w:marRight w:val="0"/>
      <w:marTop w:val="0"/>
      <w:marBottom w:val="0"/>
      <w:divBdr>
        <w:top w:val="none" w:sz="0" w:space="0" w:color="auto"/>
        <w:left w:val="none" w:sz="0" w:space="0" w:color="auto"/>
        <w:bottom w:val="none" w:sz="0" w:space="0" w:color="auto"/>
        <w:right w:val="none" w:sz="0" w:space="0" w:color="auto"/>
      </w:divBdr>
    </w:div>
    <w:div w:id="676730770">
      <w:bodyDiv w:val="1"/>
      <w:marLeft w:val="0"/>
      <w:marRight w:val="0"/>
      <w:marTop w:val="0"/>
      <w:marBottom w:val="0"/>
      <w:divBdr>
        <w:top w:val="none" w:sz="0" w:space="0" w:color="auto"/>
        <w:left w:val="none" w:sz="0" w:space="0" w:color="auto"/>
        <w:bottom w:val="none" w:sz="0" w:space="0" w:color="auto"/>
        <w:right w:val="none" w:sz="0" w:space="0" w:color="auto"/>
      </w:divBdr>
    </w:div>
    <w:div w:id="680165351">
      <w:bodyDiv w:val="1"/>
      <w:marLeft w:val="0"/>
      <w:marRight w:val="0"/>
      <w:marTop w:val="0"/>
      <w:marBottom w:val="0"/>
      <w:divBdr>
        <w:top w:val="none" w:sz="0" w:space="0" w:color="auto"/>
        <w:left w:val="none" w:sz="0" w:space="0" w:color="auto"/>
        <w:bottom w:val="none" w:sz="0" w:space="0" w:color="auto"/>
        <w:right w:val="none" w:sz="0" w:space="0" w:color="auto"/>
      </w:divBdr>
    </w:div>
    <w:div w:id="682514318">
      <w:bodyDiv w:val="1"/>
      <w:marLeft w:val="0"/>
      <w:marRight w:val="0"/>
      <w:marTop w:val="0"/>
      <w:marBottom w:val="0"/>
      <w:divBdr>
        <w:top w:val="none" w:sz="0" w:space="0" w:color="auto"/>
        <w:left w:val="none" w:sz="0" w:space="0" w:color="auto"/>
        <w:bottom w:val="none" w:sz="0" w:space="0" w:color="auto"/>
        <w:right w:val="none" w:sz="0" w:space="0" w:color="auto"/>
      </w:divBdr>
    </w:div>
    <w:div w:id="694158402">
      <w:bodyDiv w:val="1"/>
      <w:marLeft w:val="0"/>
      <w:marRight w:val="0"/>
      <w:marTop w:val="0"/>
      <w:marBottom w:val="0"/>
      <w:divBdr>
        <w:top w:val="none" w:sz="0" w:space="0" w:color="auto"/>
        <w:left w:val="none" w:sz="0" w:space="0" w:color="auto"/>
        <w:bottom w:val="none" w:sz="0" w:space="0" w:color="auto"/>
        <w:right w:val="none" w:sz="0" w:space="0" w:color="auto"/>
      </w:divBdr>
    </w:div>
    <w:div w:id="750740193">
      <w:bodyDiv w:val="1"/>
      <w:marLeft w:val="0"/>
      <w:marRight w:val="0"/>
      <w:marTop w:val="0"/>
      <w:marBottom w:val="0"/>
      <w:divBdr>
        <w:top w:val="none" w:sz="0" w:space="0" w:color="auto"/>
        <w:left w:val="none" w:sz="0" w:space="0" w:color="auto"/>
        <w:bottom w:val="none" w:sz="0" w:space="0" w:color="auto"/>
        <w:right w:val="none" w:sz="0" w:space="0" w:color="auto"/>
      </w:divBdr>
    </w:div>
    <w:div w:id="782262670">
      <w:bodyDiv w:val="1"/>
      <w:marLeft w:val="0"/>
      <w:marRight w:val="0"/>
      <w:marTop w:val="0"/>
      <w:marBottom w:val="0"/>
      <w:divBdr>
        <w:top w:val="none" w:sz="0" w:space="0" w:color="auto"/>
        <w:left w:val="none" w:sz="0" w:space="0" w:color="auto"/>
        <w:bottom w:val="none" w:sz="0" w:space="0" w:color="auto"/>
        <w:right w:val="none" w:sz="0" w:space="0" w:color="auto"/>
      </w:divBdr>
    </w:div>
    <w:div w:id="783496628">
      <w:bodyDiv w:val="1"/>
      <w:marLeft w:val="0"/>
      <w:marRight w:val="0"/>
      <w:marTop w:val="0"/>
      <w:marBottom w:val="0"/>
      <w:divBdr>
        <w:top w:val="none" w:sz="0" w:space="0" w:color="auto"/>
        <w:left w:val="none" w:sz="0" w:space="0" w:color="auto"/>
        <w:bottom w:val="none" w:sz="0" w:space="0" w:color="auto"/>
        <w:right w:val="none" w:sz="0" w:space="0" w:color="auto"/>
      </w:divBdr>
    </w:div>
    <w:div w:id="852764525">
      <w:bodyDiv w:val="1"/>
      <w:marLeft w:val="0"/>
      <w:marRight w:val="0"/>
      <w:marTop w:val="0"/>
      <w:marBottom w:val="0"/>
      <w:divBdr>
        <w:top w:val="none" w:sz="0" w:space="0" w:color="auto"/>
        <w:left w:val="none" w:sz="0" w:space="0" w:color="auto"/>
        <w:bottom w:val="none" w:sz="0" w:space="0" w:color="auto"/>
        <w:right w:val="none" w:sz="0" w:space="0" w:color="auto"/>
      </w:divBdr>
    </w:div>
    <w:div w:id="883103303">
      <w:bodyDiv w:val="1"/>
      <w:marLeft w:val="0"/>
      <w:marRight w:val="0"/>
      <w:marTop w:val="0"/>
      <w:marBottom w:val="0"/>
      <w:divBdr>
        <w:top w:val="none" w:sz="0" w:space="0" w:color="auto"/>
        <w:left w:val="none" w:sz="0" w:space="0" w:color="auto"/>
        <w:bottom w:val="none" w:sz="0" w:space="0" w:color="auto"/>
        <w:right w:val="none" w:sz="0" w:space="0" w:color="auto"/>
      </w:divBdr>
    </w:div>
    <w:div w:id="953487691">
      <w:bodyDiv w:val="1"/>
      <w:marLeft w:val="0"/>
      <w:marRight w:val="0"/>
      <w:marTop w:val="0"/>
      <w:marBottom w:val="0"/>
      <w:divBdr>
        <w:top w:val="none" w:sz="0" w:space="0" w:color="auto"/>
        <w:left w:val="none" w:sz="0" w:space="0" w:color="auto"/>
        <w:bottom w:val="none" w:sz="0" w:space="0" w:color="auto"/>
        <w:right w:val="none" w:sz="0" w:space="0" w:color="auto"/>
      </w:divBdr>
    </w:div>
    <w:div w:id="955646821">
      <w:bodyDiv w:val="1"/>
      <w:marLeft w:val="0"/>
      <w:marRight w:val="0"/>
      <w:marTop w:val="0"/>
      <w:marBottom w:val="0"/>
      <w:divBdr>
        <w:top w:val="none" w:sz="0" w:space="0" w:color="auto"/>
        <w:left w:val="none" w:sz="0" w:space="0" w:color="auto"/>
        <w:bottom w:val="none" w:sz="0" w:space="0" w:color="auto"/>
        <w:right w:val="none" w:sz="0" w:space="0" w:color="auto"/>
      </w:divBdr>
    </w:div>
    <w:div w:id="969359471">
      <w:bodyDiv w:val="1"/>
      <w:marLeft w:val="0"/>
      <w:marRight w:val="0"/>
      <w:marTop w:val="0"/>
      <w:marBottom w:val="0"/>
      <w:divBdr>
        <w:top w:val="none" w:sz="0" w:space="0" w:color="auto"/>
        <w:left w:val="none" w:sz="0" w:space="0" w:color="auto"/>
        <w:bottom w:val="none" w:sz="0" w:space="0" w:color="auto"/>
        <w:right w:val="none" w:sz="0" w:space="0" w:color="auto"/>
      </w:divBdr>
    </w:div>
    <w:div w:id="994337486">
      <w:bodyDiv w:val="1"/>
      <w:marLeft w:val="0"/>
      <w:marRight w:val="0"/>
      <w:marTop w:val="0"/>
      <w:marBottom w:val="0"/>
      <w:divBdr>
        <w:top w:val="none" w:sz="0" w:space="0" w:color="auto"/>
        <w:left w:val="none" w:sz="0" w:space="0" w:color="auto"/>
        <w:bottom w:val="none" w:sz="0" w:space="0" w:color="auto"/>
        <w:right w:val="none" w:sz="0" w:space="0" w:color="auto"/>
      </w:divBdr>
    </w:div>
    <w:div w:id="998192757">
      <w:bodyDiv w:val="1"/>
      <w:marLeft w:val="0"/>
      <w:marRight w:val="0"/>
      <w:marTop w:val="0"/>
      <w:marBottom w:val="0"/>
      <w:divBdr>
        <w:top w:val="none" w:sz="0" w:space="0" w:color="auto"/>
        <w:left w:val="none" w:sz="0" w:space="0" w:color="auto"/>
        <w:bottom w:val="none" w:sz="0" w:space="0" w:color="auto"/>
        <w:right w:val="none" w:sz="0" w:space="0" w:color="auto"/>
      </w:divBdr>
    </w:div>
    <w:div w:id="1003900205">
      <w:bodyDiv w:val="1"/>
      <w:marLeft w:val="0"/>
      <w:marRight w:val="0"/>
      <w:marTop w:val="0"/>
      <w:marBottom w:val="0"/>
      <w:divBdr>
        <w:top w:val="none" w:sz="0" w:space="0" w:color="auto"/>
        <w:left w:val="none" w:sz="0" w:space="0" w:color="auto"/>
        <w:bottom w:val="none" w:sz="0" w:space="0" w:color="auto"/>
        <w:right w:val="none" w:sz="0" w:space="0" w:color="auto"/>
      </w:divBdr>
    </w:div>
    <w:div w:id="1021514105">
      <w:bodyDiv w:val="1"/>
      <w:marLeft w:val="0"/>
      <w:marRight w:val="0"/>
      <w:marTop w:val="0"/>
      <w:marBottom w:val="0"/>
      <w:divBdr>
        <w:top w:val="none" w:sz="0" w:space="0" w:color="auto"/>
        <w:left w:val="none" w:sz="0" w:space="0" w:color="auto"/>
        <w:bottom w:val="none" w:sz="0" w:space="0" w:color="auto"/>
        <w:right w:val="none" w:sz="0" w:space="0" w:color="auto"/>
      </w:divBdr>
    </w:div>
    <w:div w:id="1080371810">
      <w:bodyDiv w:val="1"/>
      <w:marLeft w:val="0"/>
      <w:marRight w:val="0"/>
      <w:marTop w:val="0"/>
      <w:marBottom w:val="0"/>
      <w:divBdr>
        <w:top w:val="none" w:sz="0" w:space="0" w:color="auto"/>
        <w:left w:val="none" w:sz="0" w:space="0" w:color="auto"/>
        <w:bottom w:val="none" w:sz="0" w:space="0" w:color="auto"/>
        <w:right w:val="none" w:sz="0" w:space="0" w:color="auto"/>
      </w:divBdr>
    </w:div>
    <w:div w:id="1083839964">
      <w:bodyDiv w:val="1"/>
      <w:marLeft w:val="0"/>
      <w:marRight w:val="0"/>
      <w:marTop w:val="0"/>
      <w:marBottom w:val="0"/>
      <w:divBdr>
        <w:top w:val="none" w:sz="0" w:space="0" w:color="auto"/>
        <w:left w:val="none" w:sz="0" w:space="0" w:color="auto"/>
        <w:bottom w:val="none" w:sz="0" w:space="0" w:color="auto"/>
        <w:right w:val="none" w:sz="0" w:space="0" w:color="auto"/>
      </w:divBdr>
    </w:div>
    <w:div w:id="1100830861">
      <w:bodyDiv w:val="1"/>
      <w:marLeft w:val="0"/>
      <w:marRight w:val="0"/>
      <w:marTop w:val="0"/>
      <w:marBottom w:val="0"/>
      <w:divBdr>
        <w:top w:val="none" w:sz="0" w:space="0" w:color="auto"/>
        <w:left w:val="none" w:sz="0" w:space="0" w:color="auto"/>
        <w:bottom w:val="none" w:sz="0" w:space="0" w:color="auto"/>
        <w:right w:val="none" w:sz="0" w:space="0" w:color="auto"/>
      </w:divBdr>
    </w:div>
    <w:div w:id="1117872199">
      <w:bodyDiv w:val="1"/>
      <w:marLeft w:val="0"/>
      <w:marRight w:val="0"/>
      <w:marTop w:val="0"/>
      <w:marBottom w:val="0"/>
      <w:divBdr>
        <w:top w:val="none" w:sz="0" w:space="0" w:color="auto"/>
        <w:left w:val="none" w:sz="0" w:space="0" w:color="auto"/>
        <w:bottom w:val="none" w:sz="0" w:space="0" w:color="auto"/>
        <w:right w:val="none" w:sz="0" w:space="0" w:color="auto"/>
      </w:divBdr>
    </w:div>
    <w:div w:id="1118842464">
      <w:bodyDiv w:val="1"/>
      <w:marLeft w:val="0"/>
      <w:marRight w:val="0"/>
      <w:marTop w:val="0"/>
      <w:marBottom w:val="0"/>
      <w:divBdr>
        <w:top w:val="none" w:sz="0" w:space="0" w:color="auto"/>
        <w:left w:val="none" w:sz="0" w:space="0" w:color="auto"/>
        <w:bottom w:val="none" w:sz="0" w:space="0" w:color="auto"/>
        <w:right w:val="none" w:sz="0" w:space="0" w:color="auto"/>
      </w:divBdr>
    </w:div>
    <w:div w:id="1126503014">
      <w:bodyDiv w:val="1"/>
      <w:marLeft w:val="0"/>
      <w:marRight w:val="0"/>
      <w:marTop w:val="0"/>
      <w:marBottom w:val="0"/>
      <w:divBdr>
        <w:top w:val="none" w:sz="0" w:space="0" w:color="auto"/>
        <w:left w:val="none" w:sz="0" w:space="0" w:color="auto"/>
        <w:bottom w:val="none" w:sz="0" w:space="0" w:color="auto"/>
        <w:right w:val="none" w:sz="0" w:space="0" w:color="auto"/>
      </w:divBdr>
    </w:div>
    <w:div w:id="1162501806">
      <w:bodyDiv w:val="1"/>
      <w:marLeft w:val="0"/>
      <w:marRight w:val="0"/>
      <w:marTop w:val="0"/>
      <w:marBottom w:val="0"/>
      <w:divBdr>
        <w:top w:val="none" w:sz="0" w:space="0" w:color="auto"/>
        <w:left w:val="none" w:sz="0" w:space="0" w:color="auto"/>
        <w:bottom w:val="none" w:sz="0" w:space="0" w:color="auto"/>
        <w:right w:val="none" w:sz="0" w:space="0" w:color="auto"/>
      </w:divBdr>
    </w:div>
    <w:div w:id="1187446860">
      <w:bodyDiv w:val="1"/>
      <w:marLeft w:val="0"/>
      <w:marRight w:val="0"/>
      <w:marTop w:val="0"/>
      <w:marBottom w:val="0"/>
      <w:divBdr>
        <w:top w:val="none" w:sz="0" w:space="0" w:color="auto"/>
        <w:left w:val="none" w:sz="0" w:space="0" w:color="auto"/>
        <w:bottom w:val="none" w:sz="0" w:space="0" w:color="auto"/>
        <w:right w:val="none" w:sz="0" w:space="0" w:color="auto"/>
      </w:divBdr>
    </w:div>
    <w:div w:id="1208487481">
      <w:bodyDiv w:val="1"/>
      <w:marLeft w:val="0"/>
      <w:marRight w:val="0"/>
      <w:marTop w:val="0"/>
      <w:marBottom w:val="0"/>
      <w:divBdr>
        <w:top w:val="none" w:sz="0" w:space="0" w:color="auto"/>
        <w:left w:val="none" w:sz="0" w:space="0" w:color="auto"/>
        <w:bottom w:val="none" w:sz="0" w:space="0" w:color="auto"/>
        <w:right w:val="none" w:sz="0" w:space="0" w:color="auto"/>
      </w:divBdr>
    </w:div>
    <w:div w:id="1209803893">
      <w:bodyDiv w:val="1"/>
      <w:marLeft w:val="0"/>
      <w:marRight w:val="0"/>
      <w:marTop w:val="0"/>
      <w:marBottom w:val="0"/>
      <w:divBdr>
        <w:top w:val="none" w:sz="0" w:space="0" w:color="auto"/>
        <w:left w:val="none" w:sz="0" w:space="0" w:color="auto"/>
        <w:bottom w:val="none" w:sz="0" w:space="0" w:color="auto"/>
        <w:right w:val="none" w:sz="0" w:space="0" w:color="auto"/>
      </w:divBdr>
    </w:div>
    <w:div w:id="1274946776">
      <w:bodyDiv w:val="1"/>
      <w:marLeft w:val="0"/>
      <w:marRight w:val="0"/>
      <w:marTop w:val="0"/>
      <w:marBottom w:val="0"/>
      <w:divBdr>
        <w:top w:val="none" w:sz="0" w:space="0" w:color="auto"/>
        <w:left w:val="none" w:sz="0" w:space="0" w:color="auto"/>
        <w:bottom w:val="none" w:sz="0" w:space="0" w:color="auto"/>
        <w:right w:val="none" w:sz="0" w:space="0" w:color="auto"/>
      </w:divBdr>
    </w:div>
    <w:div w:id="1296329560">
      <w:bodyDiv w:val="1"/>
      <w:marLeft w:val="0"/>
      <w:marRight w:val="0"/>
      <w:marTop w:val="0"/>
      <w:marBottom w:val="0"/>
      <w:divBdr>
        <w:top w:val="none" w:sz="0" w:space="0" w:color="auto"/>
        <w:left w:val="none" w:sz="0" w:space="0" w:color="auto"/>
        <w:bottom w:val="none" w:sz="0" w:space="0" w:color="auto"/>
        <w:right w:val="none" w:sz="0" w:space="0" w:color="auto"/>
      </w:divBdr>
    </w:div>
    <w:div w:id="1311714798">
      <w:bodyDiv w:val="1"/>
      <w:marLeft w:val="0"/>
      <w:marRight w:val="0"/>
      <w:marTop w:val="0"/>
      <w:marBottom w:val="0"/>
      <w:divBdr>
        <w:top w:val="none" w:sz="0" w:space="0" w:color="auto"/>
        <w:left w:val="none" w:sz="0" w:space="0" w:color="auto"/>
        <w:bottom w:val="none" w:sz="0" w:space="0" w:color="auto"/>
        <w:right w:val="none" w:sz="0" w:space="0" w:color="auto"/>
      </w:divBdr>
    </w:div>
    <w:div w:id="1347361579">
      <w:bodyDiv w:val="1"/>
      <w:marLeft w:val="0"/>
      <w:marRight w:val="0"/>
      <w:marTop w:val="0"/>
      <w:marBottom w:val="0"/>
      <w:divBdr>
        <w:top w:val="none" w:sz="0" w:space="0" w:color="auto"/>
        <w:left w:val="none" w:sz="0" w:space="0" w:color="auto"/>
        <w:bottom w:val="none" w:sz="0" w:space="0" w:color="auto"/>
        <w:right w:val="none" w:sz="0" w:space="0" w:color="auto"/>
      </w:divBdr>
    </w:div>
    <w:div w:id="1362822831">
      <w:bodyDiv w:val="1"/>
      <w:marLeft w:val="0"/>
      <w:marRight w:val="0"/>
      <w:marTop w:val="0"/>
      <w:marBottom w:val="0"/>
      <w:divBdr>
        <w:top w:val="none" w:sz="0" w:space="0" w:color="auto"/>
        <w:left w:val="none" w:sz="0" w:space="0" w:color="auto"/>
        <w:bottom w:val="none" w:sz="0" w:space="0" w:color="auto"/>
        <w:right w:val="none" w:sz="0" w:space="0" w:color="auto"/>
      </w:divBdr>
    </w:div>
    <w:div w:id="1396198422">
      <w:bodyDiv w:val="1"/>
      <w:marLeft w:val="0"/>
      <w:marRight w:val="0"/>
      <w:marTop w:val="0"/>
      <w:marBottom w:val="0"/>
      <w:divBdr>
        <w:top w:val="none" w:sz="0" w:space="0" w:color="auto"/>
        <w:left w:val="none" w:sz="0" w:space="0" w:color="auto"/>
        <w:bottom w:val="none" w:sz="0" w:space="0" w:color="auto"/>
        <w:right w:val="none" w:sz="0" w:space="0" w:color="auto"/>
      </w:divBdr>
    </w:div>
    <w:div w:id="1411153430">
      <w:bodyDiv w:val="1"/>
      <w:marLeft w:val="0"/>
      <w:marRight w:val="0"/>
      <w:marTop w:val="0"/>
      <w:marBottom w:val="0"/>
      <w:divBdr>
        <w:top w:val="none" w:sz="0" w:space="0" w:color="auto"/>
        <w:left w:val="none" w:sz="0" w:space="0" w:color="auto"/>
        <w:bottom w:val="none" w:sz="0" w:space="0" w:color="auto"/>
        <w:right w:val="none" w:sz="0" w:space="0" w:color="auto"/>
      </w:divBdr>
    </w:div>
    <w:div w:id="1445035583">
      <w:bodyDiv w:val="1"/>
      <w:marLeft w:val="0"/>
      <w:marRight w:val="0"/>
      <w:marTop w:val="0"/>
      <w:marBottom w:val="0"/>
      <w:divBdr>
        <w:top w:val="none" w:sz="0" w:space="0" w:color="auto"/>
        <w:left w:val="none" w:sz="0" w:space="0" w:color="auto"/>
        <w:bottom w:val="none" w:sz="0" w:space="0" w:color="auto"/>
        <w:right w:val="none" w:sz="0" w:space="0" w:color="auto"/>
      </w:divBdr>
    </w:div>
    <w:div w:id="1517574276">
      <w:bodyDiv w:val="1"/>
      <w:marLeft w:val="0"/>
      <w:marRight w:val="0"/>
      <w:marTop w:val="0"/>
      <w:marBottom w:val="0"/>
      <w:divBdr>
        <w:top w:val="none" w:sz="0" w:space="0" w:color="auto"/>
        <w:left w:val="none" w:sz="0" w:space="0" w:color="auto"/>
        <w:bottom w:val="none" w:sz="0" w:space="0" w:color="auto"/>
        <w:right w:val="none" w:sz="0" w:space="0" w:color="auto"/>
      </w:divBdr>
    </w:div>
    <w:div w:id="1528061194">
      <w:bodyDiv w:val="1"/>
      <w:marLeft w:val="0"/>
      <w:marRight w:val="0"/>
      <w:marTop w:val="0"/>
      <w:marBottom w:val="0"/>
      <w:divBdr>
        <w:top w:val="none" w:sz="0" w:space="0" w:color="auto"/>
        <w:left w:val="none" w:sz="0" w:space="0" w:color="auto"/>
        <w:bottom w:val="none" w:sz="0" w:space="0" w:color="auto"/>
        <w:right w:val="none" w:sz="0" w:space="0" w:color="auto"/>
      </w:divBdr>
    </w:div>
    <w:div w:id="1547717209">
      <w:bodyDiv w:val="1"/>
      <w:marLeft w:val="0"/>
      <w:marRight w:val="0"/>
      <w:marTop w:val="0"/>
      <w:marBottom w:val="0"/>
      <w:divBdr>
        <w:top w:val="none" w:sz="0" w:space="0" w:color="auto"/>
        <w:left w:val="none" w:sz="0" w:space="0" w:color="auto"/>
        <w:bottom w:val="none" w:sz="0" w:space="0" w:color="auto"/>
        <w:right w:val="none" w:sz="0" w:space="0" w:color="auto"/>
      </w:divBdr>
    </w:div>
    <w:div w:id="1563717016">
      <w:bodyDiv w:val="1"/>
      <w:marLeft w:val="0"/>
      <w:marRight w:val="0"/>
      <w:marTop w:val="0"/>
      <w:marBottom w:val="0"/>
      <w:divBdr>
        <w:top w:val="none" w:sz="0" w:space="0" w:color="auto"/>
        <w:left w:val="none" w:sz="0" w:space="0" w:color="auto"/>
        <w:bottom w:val="none" w:sz="0" w:space="0" w:color="auto"/>
        <w:right w:val="none" w:sz="0" w:space="0" w:color="auto"/>
      </w:divBdr>
    </w:div>
    <w:div w:id="1567256202">
      <w:bodyDiv w:val="1"/>
      <w:marLeft w:val="0"/>
      <w:marRight w:val="0"/>
      <w:marTop w:val="0"/>
      <w:marBottom w:val="0"/>
      <w:divBdr>
        <w:top w:val="none" w:sz="0" w:space="0" w:color="auto"/>
        <w:left w:val="none" w:sz="0" w:space="0" w:color="auto"/>
        <w:bottom w:val="none" w:sz="0" w:space="0" w:color="auto"/>
        <w:right w:val="none" w:sz="0" w:space="0" w:color="auto"/>
      </w:divBdr>
    </w:div>
    <w:div w:id="1573419263">
      <w:bodyDiv w:val="1"/>
      <w:marLeft w:val="0"/>
      <w:marRight w:val="0"/>
      <w:marTop w:val="0"/>
      <w:marBottom w:val="0"/>
      <w:divBdr>
        <w:top w:val="none" w:sz="0" w:space="0" w:color="auto"/>
        <w:left w:val="none" w:sz="0" w:space="0" w:color="auto"/>
        <w:bottom w:val="none" w:sz="0" w:space="0" w:color="auto"/>
        <w:right w:val="none" w:sz="0" w:space="0" w:color="auto"/>
      </w:divBdr>
    </w:div>
    <w:div w:id="1585841524">
      <w:bodyDiv w:val="1"/>
      <w:marLeft w:val="0"/>
      <w:marRight w:val="0"/>
      <w:marTop w:val="0"/>
      <w:marBottom w:val="0"/>
      <w:divBdr>
        <w:top w:val="none" w:sz="0" w:space="0" w:color="auto"/>
        <w:left w:val="none" w:sz="0" w:space="0" w:color="auto"/>
        <w:bottom w:val="none" w:sz="0" w:space="0" w:color="auto"/>
        <w:right w:val="none" w:sz="0" w:space="0" w:color="auto"/>
      </w:divBdr>
    </w:div>
    <w:div w:id="1600258456">
      <w:bodyDiv w:val="1"/>
      <w:marLeft w:val="0"/>
      <w:marRight w:val="0"/>
      <w:marTop w:val="0"/>
      <w:marBottom w:val="0"/>
      <w:divBdr>
        <w:top w:val="none" w:sz="0" w:space="0" w:color="auto"/>
        <w:left w:val="none" w:sz="0" w:space="0" w:color="auto"/>
        <w:bottom w:val="none" w:sz="0" w:space="0" w:color="auto"/>
        <w:right w:val="none" w:sz="0" w:space="0" w:color="auto"/>
      </w:divBdr>
    </w:div>
    <w:div w:id="1617636001">
      <w:bodyDiv w:val="1"/>
      <w:marLeft w:val="0"/>
      <w:marRight w:val="0"/>
      <w:marTop w:val="0"/>
      <w:marBottom w:val="0"/>
      <w:divBdr>
        <w:top w:val="none" w:sz="0" w:space="0" w:color="auto"/>
        <w:left w:val="none" w:sz="0" w:space="0" w:color="auto"/>
        <w:bottom w:val="none" w:sz="0" w:space="0" w:color="auto"/>
        <w:right w:val="none" w:sz="0" w:space="0" w:color="auto"/>
      </w:divBdr>
    </w:div>
    <w:div w:id="1631202791">
      <w:bodyDiv w:val="1"/>
      <w:marLeft w:val="0"/>
      <w:marRight w:val="0"/>
      <w:marTop w:val="0"/>
      <w:marBottom w:val="0"/>
      <w:divBdr>
        <w:top w:val="none" w:sz="0" w:space="0" w:color="auto"/>
        <w:left w:val="none" w:sz="0" w:space="0" w:color="auto"/>
        <w:bottom w:val="none" w:sz="0" w:space="0" w:color="auto"/>
        <w:right w:val="none" w:sz="0" w:space="0" w:color="auto"/>
      </w:divBdr>
    </w:div>
    <w:div w:id="1664236312">
      <w:bodyDiv w:val="1"/>
      <w:marLeft w:val="0"/>
      <w:marRight w:val="0"/>
      <w:marTop w:val="0"/>
      <w:marBottom w:val="0"/>
      <w:divBdr>
        <w:top w:val="none" w:sz="0" w:space="0" w:color="auto"/>
        <w:left w:val="none" w:sz="0" w:space="0" w:color="auto"/>
        <w:bottom w:val="none" w:sz="0" w:space="0" w:color="auto"/>
        <w:right w:val="none" w:sz="0" w:space="0" w:color="auto"/>
      </w:divBdr>
    </w:div>
    <w:div w:id="1678657248">
      <w:bodyDiv w:val="1"/>
      <w:marLeft w:val="0"/>
      <w:marRight w:val="0"/>
      <w:marTop w:val="0"/>
      <w:marBottom w:val="0"/>
      <w:divBdr>
        <w:top w:val="none" w:sz="0" w:space="0" w:color="auto"/>
        <w:left w:val="none" w:sz="0" w:space="0" w:color="auto"/>
        <w:bottom w:val="none" w:sz="0" w:space="0" w:color="auto"/>
        <w:right w:val="none" w:sz="0" w:space="0" w:color="auto"/>
      </w:divBdr>
    </w:div>
    <w:div w:id="1707943623">
      <w:bodyDiv w:val="1"/>
      <w:marLeft w:val="0"/>
      <w:marRight w:val="0"/>
      <w:marTop w:val="0"/>
      <w:marBottom w:val="0"/>
      <w:divBdr>
        <w:top w:val="none" w:sz="0" w:space="0" w:color="auto"/>
        <w:left w:val="none" w:sz="0" w:space="0" w:color="auto"/>
        <w:bottom w:val="none" w:sz="0" w:space="0" w:color="auto"/>
        <w:right w:val="none" w:sz="0" w:space="0" w:color="auto"/>
      </w:divBdr>
    </w:div>
    <w:div w:id="1713532227">
      <w:bodyDiv w:val="1"/>
      <w:marLeft w:val="0"/>
      <w:marRight w:val="0"/>
      <w:marTop w:val="0"/>
      <w:marBottom w:val="0"/>
      <w:divBdr>
        <w:top w:val="none" w:sz="0" w:space="0" w:color="auto"/>
        <w:left w:val="none" w:sz="0" w:space="0" w:color="auto"/>
        <w:bottom w:val="none" w:sz="0" w:space="0" w:color="auto"/>
        <w:right w:val="none" w:sz="0" w:space="0" w:color="auto"/>
      </w:divBdr>
    </w:div>
    <w:div w:id="1714038188">
      <w:bodyDiv w:val="1"/>
      <w:marLeft w:val="0"/>
      <w:marRight w:val="0"/>
      <w:marTop w:val="0"/>
      <w:marBottom w:val="0"/>
      <w:divBdr>
        <w:top w:val="none" w:sz="0" w:space="0" w:color="auto"/>
        <w:left w:val="none" w:sz="0" w:space="0" w:color="auto"/>
        <w:bottom w:val="none" w:sz="0" w:space="0" w:color="auto"/>
        <w:right w:val="none" w:sz="0" w:space="0" w:color="auto"/>
      </w:divBdr>
    </w:div>
    <w:div w:id="1730878261">
      <w:bodyDiv w:val="1"/>
      <w:marLeft w:val="0"/>
      <w:marRight w:val="0"/>
      <w:marTop w:val="0"/>
      <w:marBottom w:val="0"/>
      <w:divBdr>
        <w:top w:val="none" w:sz="0" w:space="0" w:color="auto"/>
        <w:left w:val="none" w:sz="0" w:space="0" w:color="auto"/>
        <w:bottom w:val="none" w:sz="0" w:space="0" w:color="auto"/>
        <w:right w:val="none" w:sz="0" w:space="0" w:color="auto"/>
      </w:divBdr>
    </w:div>
    <w:div w:id="1758865724">
      <w:bodyDiv w:val="1"/>
      <w:marLeft w:val="0"/>
      <w:marRight w:val="0"/>
      <w:marTop w:val="0"/>
      <w:marBottom w:val="0"/>
      <w:divBdr>
        <w:top w:val="none" w:sz="0" w:space="0" w:color="auto"/>
        <w:left w:val="none" w:sz="0" w:space="0" w:color="auto"/>
        <w:bottom w:val="none" w:sz="0" w:space="0" w:color="auto"/>
        <w:right w:val="none" w:sz="0" w:space="0" w:color="auto"/>
      </w:divBdr>
    </w:div>
    <w:div w:id="1763405618">
      <w:bodyDiv w:val="1"/>
      <w:marLeft w:val="0"/>
      <w:marRight w:val="0"/>
      <w:marTop w:val="0"/>
      <w:marBottom w:val="0"/>
      <w:divBdr>
        <w:top w:val="none" w:sz="0" w:space="0" w:color="auto"/>
        <w:left w:val="none" w:sz="0" w:space="0" w:color="auto"/>
        <w:bottom w:val="none" w:sz="0" w:space="0" w:color="auto"/>
        <w:right w:val="none" w:sz="0" w:space="0" w:color="auto"/>
      </w:divBdr>
    </w:div>
    <w:div w:id="1764569813">
      <w:bodyDiv w:val="1"/>
      <w:marLeft w:val="0"/>
      <w:marRight w:val="0"/>
      <w:marTop w:val="0"/>
      <w:marBottom w:val="0"/>
      <w:divBdr>
        <w:top w:val="none" w:sz="0" w:space="0" w:color="auto"/>
        <w:left w:val="none" w:sz="0" w:space="0" w:color="auto"/>
        <w:bottom w:val="none" w:sz="0" w:space="0" w:color="auto"/>
        <w:right w:val="none" w:sz="0" w:space="0" w:color="auto"/>
      </w:divBdr>
    </w:div>
    <w:div w:id="1769890646">
      <w:bodyDiv w:val="1"/>
      <w:marLeft w:val="0"/>
      <w:marRight w:val="0"/>
      <w:marTop w:val="0"/>
      <w:marBottom w:val="0"/>
      <w:divBdr>
        <w:top w:val="none" w:sz="0" w:space="0" w:color="auto"/>
        <w:left w:val="none" w:sz="0" w:space="0" w:color="auto"/>
        <w:bottom w:val="none" w:sz="0" w:space="0" w:color="auto"/>
        <w:right w:val="none" w:sz="0" w:space="0" w:color="auto"/>
      </w:divBdr>
    </w:div>
    <w:div w:id="1851529833">
      <w:bodyDiv w:val="1"/>
      <w:marLeft w:val="0"/>
      <w:marRight w:val="0"/>
      <w:marTop w:val="0"/>
      <w:marBottom w:val="0"/>
      <w:divBdr>
        <w:top w:val="none" w:sz="0" w:space="0" w:color="auto"/>
        <w:left w:val="none" w:sz="0" w:space="0" w:color="auto"/>
        <w:bottom w:val="none" w:sz="0" w:space="0" w:color="auto"/>
        <w:right w:val="none" w:sz="0" w:space="0" w:color="auto"/>
      </w:divBdr>
    </w:div>
    <w:div w:id="1852375122">
      <w:bodyDiv w:val="1"/>
      <w:marLeft w:val="0"/>
      <w:marRight w:val="0"/>
      <w:marTop w:val="0"/>
      <w:marBottom w:val="0"/>
      <w:divBdr>
        <w:top w:val="none" w:sz="0" w:space="0" w:color="auto"/>
        <w:left w:val="none" w:sz="0" w:space="0" w:color="auto"/>
        <w:bottom w:val="none" w:sz="0" w:space="0" w:color="auto"/>
        <w:right w:val="none" w:sz="0" w:space="0" w:color="auto"/>
      </w:divBdr>
    </w:div>
    <w:div w:id="1871605348">
      <w:bodyDiv w:val="1"/>
      <w:marLeft w:val="0"/>
      <w:marRight w:val="0"/>
      <w:marTop w:val="0"/>
      <w:marBottom w:val="0"/>
      <w:divBdr>
        <w:top w:val="none" w:sz="0" w:space="0" w:color="auto"/>
        <w:left w:val="none" w:sz="0" w:space="0" w:color="auto"/>
        <w:bottom w:val="none" w:sz="0" w:space="0" w:color="auto"/>
        <w:right w:val="none" w:sz="0" w:space="0" w:color="auto"/>
      </w:divBdr>
    </w:div>
    <w:div w:id="1890799517">
      <w:bodyDiv w:val="1"/>
      <w:marLeft w:val="0"/>
      <w:marRight w:val="0"/>
      <w:marTop w:val="0"/>
      <w:marBottom w:val="0"/>
      <w:divBdr>
        <w:top w:val="none" w:sz="0" w:space="0" w:color="auto"/>
        <w:left w:val="none" w:sz="0" w:space="0" w:color="auto"/>
        <w:bottom w:val="none" w:sz="0" w:space="0" w:color="auto"/>
        <w:right w:val="none" w:sz="0" w:space="0" w:color="auto"/>
      </w:divBdr>
    </w:div>
    <w:div w:id="1904826526">
      <w:bodyDiv w:val="1"/>
      <w:marLeft w:val="0"/>
      <w:marRight w:val="0"/>
      <w:marTop w:val="0"/>
      <w:marBottom w:val="0"/>
      <w:divBdr>
        <w:top w:val="none" w:sz="0" w:space="0" w:color="auto"/>
        <w:left w:val="none" w:sz="0" w:space="0" w:color="auto"/>
        <w:bottom w:val="none" w:sz="0" w:space="0" w:color="auto"/>
        <w:right w:val="none" w:sz="0" w:space="0" w:color="auto"/>
      </w:divBdr>
    </w:div>
    <w:div w:id="1908874770">
      <w:bodyDiv w:val="1"/>
      <w:marLeft w:val="0"/>
      <w:marRight w:val="0"/>
      <w:marTop w:val="0"/>
      <w:marBottom w:val="0"/>
      <w:divBdr>
        <w:top w:val="none" w:sz="0" w:space="0" w:color="auto"/>
        <w:left w:val="none" w:sz="0" w:space="0" w:color="auto"/>
        <w:bottom w:val="none" w:sz="0" w:space="0" w:color="auto"/>
        <w:right w:val="none" w:sz="0" w:space="0" w:color="auto"/>
      </w:divBdr>
    </w:div>
    <w:div w:id="1925912260">
      <w:bodyDiv w:val="1"/>
      <w:marLeft w:val="0"/>
      <w:marRight w:val="0"/>
      <w:marTop w:val="0"/>
      <w:marBottom w:val="0"/>
      <w:divBdr>
        <w:top w:val="none" w:sz="0" w:space="0" w:color="auto"/>
        <w:left w:val="none" w:sz="0" w:space="0" w:color="auto"/>
        <w:bottom w:val="none" w:sz="0" w:space="0" w:color="auto"/>
        <w:right w:val="none" w:sz="0" w:space="0" w:color="auto"/>
      </w:divBdr>
    </w:div>
    <w:div w:id="1934824965">
      <w:bodyDiv w:val="1"/>
      <w:marLeft w:val="0"/>
      <w:marRight w:val="0"/>
      <w:marTop w:val="0"/>
      <w:marBottom w:val="0"/>
      <w:divBdr>
        <w:top w:val="none" w:sz="0" w:space="0" w:color="auto"/>
        <w:left w:val="none" w:sz="0" w:space="0" w:color="auto"/>
        <w:bottom w:val="none" w:sz="0" w:space="0" w:color="auto"/>
        <w:right w:val="none" w:sz="0" w:space="0" w:color="auto"/>
      </w:divBdr>
    </w:div>
    <w:div w:id="1968463115">
      <w:bodyDiv w:val="1"/>
      <w:marLeft w:val="0"/>
      <w:marRight w:val="0"/>
      <w:marTop w:val="0"/>
      <w:marBottom w:val="0"/>
      <w:divBdr>
        <w:top w:val="none" w:sz="0" w:space="0" w:color="auto"/>
        <w:left w:val="none" w:sz="0" w:space="0" w:color="auto"/>
        <w:bottom w:val="none" w:sz="0" w:space="0" w:color="auto"/>
        <w:right w:val="none" w:sz="0" w:space="0" w:color="auto"/>
      </w:divBdr>
    </w:div>
    <w:div w:id="1986350603">
      <w:bodyDiv w:val="1"/>
      <w:marLeft w:val="0"/>
      <w:marRight w:val="0"/>
      <w:marTop w:val="0"/>
      <w:marBottom w:val="0"/>
      <w:divBdr>
        <w:top w:val="none" w:sz="0" w:space="0" w:color="auto"/>
        <w:left w:val="none" w:sz="0" w:space="0" w:color="auto"/>
        <w:bottom w:val="none" w:sz="0" w:space="0" w:color="auto"/>
        <w:right w:val="none" w:sz="0" w:space="0" w:color="auto"/>
      </w:divBdr>
    </w:div>
    <w:div w:id="1994020345">
      <w:bodyDiv w:val="1"/>
      <w:marLeft w:val="0"/>
      <w:marRight w:val="0"/>
      <w:marTop w:val="0"/>
      <w:marBottom w:val="0"/>
      <w:divBdr>
        <w:top w:val="none" w:sz="0" w:space="0" w:color="auto"/>
        <w:left w:val="none" w:sz="0" w:space="0" w:color="auto"/>
        <w:bottom w:val="none" w:sz="0" w:space="0" w:color="auto"/>
        <w:right w:val="none" w:sz="0" w:space="0" w:color="auto"/>
      </w:divBdr>
    </w:div>
    <w:div w:id="2059427526">
      <w:bodyDiv w:val="1"/>
      <w:marLeft w:val="0"/>
      <w:marRight w:val="0"/>
      <w:marTop w:val="0"/>
      <w:marBottom w:val="0"/>
      <w:divBdr>
        <w:top w:val="none" w:sz="0" w:space="0" w:color="auto"/>
        <w:left w:val="none" w:sz="0" w:space="0" w:color="auto"/>
        <w:bottom w:val="none" w:sz="0" w:space="0" w:color="auto"/>
        <w:right w:val="none" w:sz="0" w:space="0" w:color="auto"/>
      </w:divBdr>
    </w:div>
    <w:div w:id="2060207210">
      <w:bodyDiv w:val="1"/>
      <w:marLeft w:val="0"/>
      <w:marRight w:val="0"/>
      <w:marTop w:val="0"/>
      <w:marBottom w:val="0"/>
      <w:divBdr>
        <w:top w:val="none" w:sz="0" w:space="0" w:color="auto"/>
        <w:left w:val="none" w:sz="0" w:space="0" w:color="auto"/>
        <w:bottom w:val="none" w:sz="0" w:space="0" w:color="auto"/>
        <w:right w:val="none" w:sz="0" w:space="0" w:color="auto"/>
      </w:divBdr>
    </w:div>
    <w:div w:id="2060324229">
      <w:bodyDiv w:val="1"/>
      <w:marLeft w:val="0"/>
      <w:marRight w:val="0"/>
      <w:marTop w:val="0"/>
      <w:marBottom w:val="0"/>
      <w:divBdr>
        <w:top w:val="none" w:sz="0" w:space="0" w:color="auto"/>
        <w:left w:val="none" w:sz="0" w:space="0" w:color="auto"/>
        <w:bottom w:val="none" w:sz="0" w:space="0" w:color="auto"/>
        <w:right w:val="none" w:sz="0" w:space="0" w:color="auto"/>
      </w:divBdr>
    </w:div>
    <w:div w:id="2063555796">
      <w:bodyDiv w:val="1"/>
      <w:marLeft w:val="0"/>
      <w:marRight w:val="0"/>
      <w:marTop w:val="0"/>
      <w:marBottom w:val="0"/>
      <w:divBdr>
        <w:top w:val="none" w:sz="0" w:space="0" w:color="auto"/>
        <w:left w:val="none" w:sz="0" w:space="0" w:color="auto"/>
        <w:bottom w:val="none" w:sz="0" w:space="0" w:color="auto"/>
        <w:right w:val="none" w:sz="0" w:space="0" w:color="auto"/>
      </w:divBdr>
    </w:div>
    <w:div w:id="2082823832">
      <w:bodyDiv w:val="1"/>
      <w:marLeft w:val="0"/>
      <w:marRight w:val="0"/>
      <w:marTop w:val="0"/>
      <w:marBottom w:val="0"/>
      <w:divBdr>
        <w:top w:val="none" w:sz="0" w:space="0" w:color="auto"/>
        <w:left w:val="none" w:sz="0" w:space="0" w:color="auto"/>
        <w:bottom w:val="none" w:sz="0" w:space="0" w:color="auto"/>
        <w:right w:val="none" w:sz="0" w:space="0" w:color="auto"/>
      </w:divBdr>
    </w:div>
    <w:div w:id="214519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hyperlink" Target="http://www.fao.org/nr/water/aquastat/countries_regions/HND/indexesp.stm" TargetMode="Externa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chart" Target="charts/chart2.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bdocs.iadb.org/wsdocs/getDocument.aspx?DOCNUM=40693296"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customXml" Target="../customXml/item3.xml"/><Relationship Id="rId28" Type="http://schemas.openxmlformats.org/officeDocument/2006/relationships/customXml" Target="../customXml/item8.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7"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2" Type="http://schemas.openxmlformats.org/officeDocument/2006/relationships/hyperlink" Target="http://170.238.108.227/binhnd/RpWebEngine.exe/Portal?BASE=EPH2016&amp;lang=ESP" TargetMode="External"/><Relationship Id="rId1" Type="http://schemas.openxmlformats.org/officeDocument/2006/relationships/hyperlink" Target="http://geoportal.icf.gob.hn/geoportal/main"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327258562644335"/>
          <c:y val="6.6404534331667125E-2"/>
          <c:w val="0.79547888669393341"/>
          <c:h val="0.83810007628403194"/>
        </c:manualLayout>
      </c:layout>
      <c:barChart>
        <c:barDir val="col"/>
        <c:grouping val="clustered"/>
        <c:varyColors val="0"/>
        <c:ser>
          <c:idx val="0"/>
          <c:order val="0"/>
          <c:tx>
            <c:strRef>
              <c:f>'EVOL COSTOS TOTALES'!#REF!</c:f>
              <c:strCache>
                <c:ptCount val="1"/>
                <c:pt idx="0">
                  <c:v>#REF!</c:v>
                </c:pt>
              </c:strCache>
            </c:strRef>
          </c:tx>
          <c:spPr>
            <a:solidFill>
              <a:schemeClr val="accent1"/>
            </a:solidFill>
            <a:ln>
              <a:noFill/>
            </a:ln>
            <a:effectLst/>
          </c:spPr>
          <c:invertIfNegative val="0"/>
          <c:cat>
            <c:numRef>
              <c:f>'EVOL COSTOS TOTALES'!$A$2:$A$26</c:f>
              <c:numCache>
                <c:formatCode>General</c:formatCode>
                <c:ptCount val="2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numCache>
            </c:numRef>
          </c:cat>
          <c:val>
            <c:numRef>
              <c:f>'EVOL COSTOS TOTALES'!#REF!</c:f>
              <c:numCache>
                <c:formatCode>General</c:formatCode>
                <c:ptCount val="1"/>
                <c:pt idx="0">
                  <c:v>1</c:v>
                </c:pt>
              </c:numCache>
            </c:numRef>
          </c:val>
          <c:extLst>
            <c:ext xmlns:c16="http://schemas.microsoft.com/office/drawing/2014/chart" uri="{C3380CC4-5D6E-409C-BE32-E72D297353CC}">
              <c16:uniqueId val="{00000000-314B-4873-8081-3D3FCEDD804C}"/>
            </c:ext>
          </c:extLst>
        </c:ser>
        <c:ser>
          <c:idx val="1"/>
          <c:order val="1"/>
          <c:tx>
            <c:strRef>
              <c:f>'EVOL COSTOS TOTALES'!#REF!</c:f>
              <c:strCache>
                <c:ptCount val="1"/>
                <c:pt idx="0">
                  <c:v>#REF!</c:v>
                </c:pt>
              </c:strCache>
            </c:strRef>
          </c:tx>
          <c:spPr>
            <a:solidFill>
              <a:schemeClr val="accent2"/>
            </a:solidFill>
            <a:ln>
              <a:noFill/>
            </a:ln>
            <a:effectLst/>
          </c:spPr>
          <c:invertIfNegative val="0"/>
          <c:cat>
            <c:numRef>
              <c:f>'EVOL COSTOS TOTALES'!$A$2:$A$26</c:f>
              <c:numCache>
                <c:formatCode>General</c:formatCode>
                <c:ptCount val="2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numCache>
            </c:numRef>
          </c:cat>
          <c:val>
            <c:numRef>
              <c:f>'EVOL COSTOS TOTALES'!#REF!</c:f>
              <c:numCache>
                <c:formatCode>General</c:formatCode>
                <c:ptCount val="1"/>
                <c:pt idx="0">
                  <c:v>1</c:v>
                </c:pt>
              </c:numCache>
            </c:numRef>
          </c:val>
          <c:extLst>
            <c:ext xmlns:c16="http://schemas.microsoft.com/office/drawing/2014/chart" uri="{C3380CC4-5D6E-409C-BE32-E72D297353CC}">
              <c16:uniqueId val="{00000001-314B-4873-8081-3D3FCEDD804C}"/>
            </c:ext>
          </c:extLst>
        </c:ser>
        <c:ser>
          <c:idx val="2"/>
          <c:order val="2"/>
          <c:tx>
            <c:strRef>
              <c:f>'EVOL COSTOS TOTALES'!$B$1</c:f>
              <c:strCache>
                <c:ptCount val="1"/>
                <c:pt idx="0">
                  <c:v>REST. PRODUCCION PRIVADA</c:v>
                </c:pt>
              </c:strCache>
            </c:strRef>
          </c:tx>
          <c:spPr>
            <a:solidFill>
              <a:schemeClr val="accent3"/>
            </a:solidFill>
            <a:ln>
              <a:noFill/>
            </a:ln>
            <a:effectLst/>
          </c:spPr>
          <c:invertIfNegative val="0"/>
          <c:cat>
            <c:numRef>
              <c:f>'EVOL COSTOS TOTALES'!$A$2:$A$26</c:f>
              <c:numCache>
                <c:formatCode>General</c:formatCode>
                <c:ptCount val="2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numCache>
            </c:numRef>
          </c:cat>
          <c:val>
            <c:numRef>
              <c:f>'EVOL COSTOS TOTALES'!$B$2:$B$26</c:f>
              <c:numCache>
                <c:formatCode>#,##0</c:formatCode>
                <c:ptCount val="25"/>
                <c:pt idx="0">
                  <c:v>587052.47597696132</c:v>
                </c:pt>
                <c:pt idx="1">
                  <c:v>1051625.1472513853</c:v>
                </c:pt>
                <c:pt idx="2">
                  <c:v>2290301.5953047536</c:v>
                </c:pt>
                <c:pt idx="3">
                  <c:v>1522861.0060221637</c:v>
                </c:pt>
                <c:pt idx="4">
                  <c:v>22392.041994750653</c:v>
                </c:pt>
                <c:pt idx="5">
                  <c:v>22392.041994750653</c:v>
                </c:pt>
                <c:pt idx="6">
                  <c:v>22392.041994750653</c:v>
                </c:pt>
                <c:pt idx="7">
                  <c:v>22392.041994750653</c:v>
                </c:pt>
                <c:pt idx="8">
                  <c:v>104029.69510061241</c:v>
                </c:pt>
                <c:pt idx="9">
                  <c:v>127354.73884514435</c:v>
                </c:pt>
                <c:pt idx="10">
                  <c:v>100142.1878098571</c:v>
                </c:pt>
                <c:pt idx="11">
                  <c:v>22392.041994750653</c:v>
                </c:pt>
                <c:pt idx="12">
                  <c:v>22392.041994750653</c:v>
                </c:pt>
                <c:pt idx="13">
                  <c:v>104029.69510061241</c:v>
                </c:pt>
                <c:pt idx="14">
                  <c:v>22392.041994750653</c:v>
                </c:pt>
                <c:pt idx="15">
                  <c:v>22392.041994750653</c:v>
                </c:pt>
                <c:pt idx="16">
                  <c:v>7829284.1832895875</c:v>
                </c:pt>
                <c:pt idx="17">
                  <c:v>22392.041994750653</c:v>
                </c:pt>
                <c:pt idx="18">
                  <c:v>181779.84091571887</c:v>
                </c:pt>
                <c:pt idx="19">
                  <c:v>22392.041994750653</c:v>
                </c:pt>
                <c:pt idx="20">
                  <c:v>22392.041994750653</c:v>
                </c:pt>
                <c:pt idx="21">
                  <c:v>22392.041994750653</c:v>
                </c:pt>
                <c:pt idx="22">
                  <c:v>22392.041994750653</c:v>
                </c:pt>
                <c:pt idx="23">
                  <c:v>226574.3434247594</c:v>
                </c:pt>
                <c:pt idx="24">
                  <c:v>22392.041994750653</c:v>
                </c:pt>
              </c:numCache>
            </c:numRef>
          </c:val>
          <c:extLst>
            <c:ext xmlns:c16="http://schemas.microsoft.com/office/drawing/2014/chart" uri="{C3380CC4-5D6E-409C-BE32-E72D297353CC}">
              <c16:uniqueId val="{00000002-314B-4873-8081-3D3FCEDD804C}"/>
            </c:ext>
          </c:extLst>
        </c:ser>
        <c:ser>
          <c:idx val="3"/>
          <c:order val="3"/>
          <c:tx>
            <c:strRef>
              <c:f>'EVOL COSTOS TOTALES'!$C$1</c:f>
              <c:strCache>
                <c:ptCount val="1"/>
                <c:pt idx="0">
                  <c:v>MAB NO PLAGADO</c:v>
                </c:pt>
              </c:strCache>
            </c:strRef>
          </c:tx>
          <c:spPr>
            <a:solidFill>
              <a:schemeClr val="accent4"/>
            </a:solidFill>
            <a:ln>
              <a:noFill/>
            </a:ln>
            <a:effectLst/>
          </c:spPr>
          <c:invertIfNegative val="0"/>
          <c:cat>
            <c:numRef>
              <c:f>'EVOL COSTOS TOTALES'!$A$2:$A$26</c:f>
              <c:numCache>
                <c:formatCode>General</c:formatCode>
                <c:ptCount val="2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numCache>
            </c:numRef>
          </c:cat>
          <c:val>
            <c:numRef>
              <c:f>'EVOL COSTOS TOTALES'!$C$2:$C$26</c:f>
              <c:numCache>
                <c:formatCode>#,##0</c:formatCode>
                <c:ptCount val="25"/>
                <c:pt idx="0">
                  <c:v>4442394.1732283467</c:v>
                </c:pt>
                <c:pt idx="1">
                  <c:v>5262024.0944881896</c:v>
                </c:pt>
                <c:pt idx="2">
                  <c:v>14966442.362204727</c:v>
                </c:pt>
                <c:pt idx="3">
                  <c:v>4098149.6062992131</c:v>
                </c:pt>
                <c:pt idx="4">
                  <c:v>6557039.3700787416</c:v>
                </c:pt>
                <c:pt idx="5">
                  <c:v>1231903.7716535435</c:v>
                </c:pt>
                <c:pt idx="6">
                  <c:v>1231903.7716535435</c:v>
                </c:pt>
                <c:pt idx="7">
                  <c:v>1231903.7716535435</c:v>
                </c:pt>
                <c:pt idx="8">
                  <c:v>1231903.7716535435</c:v>
                </c:pt>
                <c:pt idx="9">
                  <c:v>1231903.7716535435</c:v>
                </c:pt>
                <c:pt idx="10">
                  <c:v>1231903.7716535435</c:v>
                </c:pt>
                <c:pt idx="11">
                  <c:v>1231903.7716535435</c:v>
                </c:pt>
                <c:pt idx="12">
                  <c:v>1231903.7716535435</c:v>
                </c:pt>
                <c:pt idx="13">
                  <c:v>1231903.7716535435</c:v>
                </c:pt>
                <c:pt idx="14">
                  <c:v>1231903.7716535435</c:v>
                </c:pt>
                <c:pt idx="15">
                  <c:v>1231903.7716535435</c:v>
                </c:pt>
                <c:pt idx="16">
                  <c:v>1231903.7716535435</c:v>
                </c:pt>
                <c:pt idx="17">
                  <c:v>1231903.7716535435</c:v>
                </c:pt>
                <c:pt idx="18">
                  <c:v>1231903.7716535435</c:v>
                </c:pt>
                <c:pt idx="19">
                  <c:v>1231903.7716535435</c:v>
                </c:pt>
                <c:pt idx="20">
                  <c:v>1231903.7716535435</c:v>
                </c:pt>
                <c:pt idx="21">
                  <c:v>1231903.7716535435</c:v>
                </c:pt>
                <c:pt idx="22">
                  <c:v>1231903.7716535435</c:v>
                </c:pt>
                <c:pt idx="23">
                  <c:v>1231903.7716535435</c:v>
                </c:pt>
                <c:pt idx="24">
                  <c:v>1231903.7716535435</c:v>
                </c:pt>
              </c:numCache>
            </c:numRef>
          </c:val>
          <c:extLst>
            <c:ext xmlns:c16="http://schemas.microsoft.com/office/drawing/2014/chart" uri="{C3380CC4-5D6E-409C-BE32-E72D297353CC}">
              <c16:uniqueId val="{00000003-314B-4873-8081-3D3FCEDD804C}"/>
            </c:ext>
          </c:extLst>
        </c:ser>
        <c:ser>
          <c:idx val="4"/>
          <c:order val="4"/>
          <c:tx>
            <c:strRef>
              <c:f>'EVOL COSTOS TOTALES'!$D$1</c:f>
              <c:strCache>
                <c:ptCount val="1"/>
                <c:pt idx="0">
                  <c:v>SAF-AGROFORESTERIA</c:v>
                </c:pt>
              </c:strCache>
            </c:strRef>
          </c:tx>
          <c:spPr>
            <a:solidFill>
              <a:schemeClr val="accent5"/>
            </a:solidFill>
            <a:ln>
              <a:noFill/>
            </a:ln>
            <a:effectLst/>
          </c:spPr>
          <c:invertIfNegative val="0"/>
          <c:cat>
            <c:numRef>
              <c:f>'EVOL COSTOS TOTALES'!$A$2:$A$26</c:f>
              <c:numCache>
                <c:formatCode>General</c:formatCode>
                <c:ptCount val="2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numCache>
            </c:numRef>
          </c:cat>
          <c:val>
            <c:numRef>
              <c:f>'EVOL COSTOS TOTALES'!$D$2:$D$26</c:f>
              <c:numCache>
                <c:formatCode>#,##0</c:formatCode>
                <c:ptCount val="25"/>
                <c:pt idx="0">
                  <c:v>1710000</c:v>
                </c:pt>
                <c:pt idx="1">
                  <c:v>1710000</c:v>
                </c:pt>
                <c:pt idx="2">
                  <c:v>5130000</c:v>
                </c:pt>
                <c:pt idx="3">
                  <c:v>427500</c:v>
                </c:pt>
                <c:pt idx="4">
                  <c:v>427500</c:v>
                </c:pt>
                <c:pt idx="5">
                  <c:v>427500</c:v>
                </c:pt>
                <c:pt idx="6">
                  <c:v>427500</c:v>
                </c:pt>
                <c:pt idx="7">
                  <c:v>427500</c:v>
                </c:pt>
                <c:pt idx="8">
                  <c:v>427500</c:v>
                </c:pt>
                <c:pt idx="9">
                  <c:v>427500</c:v>
                </c:pt>
                <c:pt idx="10">
                  <c:v>427500</c:v>
                </c:pt>
                <c:pt idx="11">
                  <c:v>427500</c:v>
                </c:pt>
                <c:pt idx="12">
                  <c:v>427500</c:v>
                </c:pt>
                <c:pt idx="13">
                  <c:v>427500</c:v>
                </c:pt>
                <c:pt idx="14">
                  <c:v>427500</c:v>
                </c:pt>
                <c:pt idx="15">
                  <c:v>427500</c:v>
                </c:pt>
                <c:pt idx="16">
                  <c:v>427500</c:v>
                </c:pt>
                <c:pt idx="17">
                  <c:v>427500</c:v>
                </c:pt>
                <c:pt idx="18">
                  <c:v>427500</c:v>
                </c:pt>
                <c:pt idx="19">
                  <c:v>427500</c:v>
                </c:pt>
                <c:pt idx="20">
                  <c:v>427500</c:v>
                </c:pt>
                <c:pt idx="21">
                  <c:v>427500</c:v>
                </c:pt>
                <c:pt idx="22">
                  <c:v>427500</c:v>
                </c:pt>
                <c:pt idx="23">
                  <c:v>427500</c:v>
                </c:pt>
                <c:pt idx="24">
                  <c:v>427500</c:v>
                </c:pt>
              </c:numCache>
            </c:numRef>
          </c:val>
          <c:extLst>
            <c:ext xmlns:c16="http://schemas.microsoft.com/office/drawing/2014/chart" uri="{C3380CC4-5D6E-409C-BE32-E72D297353CC}">
              <c16:uniqueId val="{00000004-314B-4873-8081-3D3FCEDD804C}"/>
            </c:ext>
          </c:extLst>
        </c:ser>
        <c:ser>
          <c:idx val="5"/>
          <c:order val="5"/>
          <c:tx>
            <c:strRef>
              <c:f>'EVOL COSTOS TOTALES'!#REF!</c:f>
              <c:strCache>
                <c:ptCount val="1"/>
                <c:pt idx="0">
                  <c:v>#REF!</c:v>
                </c:pt>
              </c:strCache>
            </c:strRef>
          </c:tx>
          <c:spPr>
            <a:solidFill>
              <a:schemeClr val="accent6"/>
            </a:solidFill>
            <a:ln>
              <a:noFill/>
            </a:ln>
            <a:effectLst/>
          </c:spPr>
          <c:invertIfNegative val="0"/>
          <c:cat>
            <c:numRef>
              <c:f>'EVOL COSTOS TOTALES'!$A$2:$A$26</c:f>
              <c:numCache>
                <c:formatCode>General</c:formatCode>
                <c:ptCount val="2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numCache>
            </c:numRef>
          </c:cat>
          <c:val>
            <c:numRef>
              <c:f>'EVOL COSTOS TOTALES'!#REF!</c:f>
              <c:numCache>
                <c:formatCode>General</c:formatCode>
                <c:ptCount val="1"/>
                <c:pt idx="0">
                  <c:v>1</c:v>
                </c:pt>
              </c:numCache>
            </c:numRef>
          </c:val>
          <c:extLst>
            <c:ext xmlns:c16="http://schemas.microsoft.com/office/drawing/2014/chart" uri="{C3380CC4-5D6E-409C-BE32-E72D297353CC}">
              <c16:uniqueId val="{00000005-314B-4873-8081-3D3FCEDD804C}"/>
            </c:ext>
          </c:extLst>
        </c:ser>
        <c:dLbls>
          <c:showLegendKey val="0"/>
          <c:showVal val="0"/>
          <c:showCatName val="0"/>
          <c:showSerName val="0"/>
          <c:showPercent val="0"/>
          <c:showBubbleSize val="0"/>
        </c:dLbls>
        <c:gapWidth val="100"/>
        <c:axId val="180130048"/>
        <c:axId val="180132768"/>
      </c:barChart>
      <c:lineChart>
        <c:grouping val="standard"/>
        <c:varyColors val="0"/>
        <c:ser>
          <c:idx val="6"/>
          <c:order val="6"/>
          <c:tx>
            <c:strRef>
              <c:f>'EVOL COSTOS TOTALES'!$E$1</c:f>
              <c:strCache>
                <c:ptCount val="1"/>
                <c:pt idx="0">
                  <c:v>COSTO TOTAL</c:v>
                </c:pt>
              </c:strCache>
            </c:strRef>
          </c:tx>
          <c:spPr>
            <a:ln w="28575" cap="rnd">
              <a:solidFill>
                <a:schemeClr val="accent1">
                  <a:lumMod val="60000"/>
                </a:schemeClr>
              </a:solidFill>
              <a:round/>
            </a:ln>
            <a:effectLst/>
          </c:spPr>
          <c:marker>
            <c:symbol val="none"/>
          </c:marker>
          <c:cat>
            <c:numRef>
              <c:f>'EVOL COSTOS TOTALES'!$A$2:$A$26</c:f>
              <c:numCache>
                <c:formatCode>General</c:formatCode>
                <c:ptCount val="2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numCache>
            </c:numRef>
          </c:cat>
          <c:val>
            <c:numRef>
              <c:f>'EVOL COSTOS TOTALES'!$E$2:$E$26</c:f>
              <c:numCache>
                <c:formatCode>#,##0</c:formatCode>
                <c:ptCount val="25"/>
                <c:pt idx="0">
                  <c:v>6739446.6492053084</c:v>
                </c:pt>
                <c:pt idx="1">
                  <c:v>8023649.2417395748</c:v>
                </c:pt>
                <c:pt idx="2">
                  <c:v>22386743.95750948</c:v>
                </c:pt>
                <c:pt idx="3">
                  <c:v>6048510.6123213768</c:v>
                </c:pt>
                <c:pt idx="4">
                  <c:v>7006931.4120734921</c:v>
                </c:pt>
                <c:pt idx="5">
                  <c:v>1681795.8136482942</c:v>
                </c:pt>
                <c:pt idx="6">
                  <c:v>1681795.8136482942</c:v>
                </c:pt>
                <c:pt idx="7">
                  <c:v>1681795.8136482942</c:v>
                </c:pt>
                <c:pt idx="8">
                  <c:v>1763433.4667541559</c:v>
                </c:pt>
                <c:pt idx="9">
                  <c:v>1786758.5104986879</c:v>
                </c:pt>
                <c:pt idx="10">
                  <c:v>1759545.9594634005</c:v>
                </c:pt>
                <c:pt idx="11">
                  <c:v>1681795.8136482942</c:v>
                </c:pt>
                <c:pt idx="12">
                  <c:v>1681795.8136482942</c:v>
                </c:pt>
                <c:pt idx="13">
                  <c:v>1763433.4667541559</c:v>
                </c:pt>
                <c:pt idx="14">
                  <c:v>1681795.8136482942</c:v>
                </c:pt>
                <c:pt idx="15">
                  <c:v>1681795.8136482942</c:v>
                </c:pt>
                <c:pt idx="16">
                  <c:v>9488687.9549431317</c:v>
                </c:pt>
                <c:pt idx="17">
                  <c:v>1681795.8136482942</c:v>
                </c:pt>
                <c:pt idx="18">
                  <c:v>1841183.6125692623</c:v>
                </c:pt>
                <c:pt idx="19">
                  <c:v>1681795.8136482942</c:v>
                </c:pt>
                <c:pt idx="20">
                  <c:v>1681795.8136482942</c:v>
                </c:pt>
                <c:pt idx="21">
                  <c:v>1681795.8136482942</c:v>
                </c:pt>
                <c:pt idx="22">
                  <c:v>1681795.8136482942</c:v>
                </c:pt>
                <c:pt idx="23">
                  <c:v>1885978.1150783028</c:v>
                </c:pt>
                <c:pt idx="24">
                  <c:v>1681795.8136482942</c:v>
                </c:pt>
              </c:numCache>
            </c:numRef>
          </c:val>
          <c:smooth val="0"/>
          <c:extLst>
            <c:ext xmlns:c16="http://schemas.microsoft.com/office/drawing/2014/chart" uri="{C3380CC4-5D6E-409C-BE32-E72D297353CC}">
              <c16:uniqueId val="{00000006-314B-4873-8081-3D3FCEDD804C}"/>
            </c:ext>
          </c:extLst>
        </c:ser>
        <c:dLbls>
          <c:showLegendKey val="0"/>
          <c:showVal val="0"/>
          <c:showCatName val="0"/>
          <c:showSerName val="0"/>
          <c:showPercent val="0"/>
          <c:showBubbleSize val="0"/>
        </c:dLbls>
        <c:marker val="1"/>
        <c:smooth val="0"/>
        <c:axId val="180130048"/>
        <c:axId val="180132768"/>
      </c:lineChart>
      <c:catAx>
        <c:axId val="180130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80132768"/>
        <c:crosses val="autoZero"/>
        <c:auto val="1"/>
        <c:lblAlgn val="ctr"/>
        <c:lblOffset val="100"/>
        <c:noMultiLvlLbl val="0"/>
      </c:catAx>
      <c:valAx>
        <c:axId val="1801327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80130048"/>
        <c:crosses val="autoZero"/>
        <c:crossBetween val="between"/>
      </c:valAx>
      <c:spPr>
        <a:noFill/>
        <a:ln>
          <a:noFill/>
        </a:ln>
        <a:effectLst/>
      </c:spPr>
    </c:plotArea>
    <c:legend>
      <c:legendPos val="b"/>
      <c:legendEntry>
        <c:idx val="0"/>
        <c:delete val="1"/>
      </c:legendEntry>
      <c:legendEntry>
        <c:idx val="1"/>
        <c:delete val="1"/>
      </c:legendEntry>
      <c:legendEntry>
        <c:idx val="5"/>
        <c:delete val="1"/>
      </c:legendEntry>
      <c:layout>
        <c:manualLayout>
          <c:xMode val="edge"/>
          <c:yMode val="edge"/>
          <c:x val="0.27985754430872817"/>
          <c:y val="0.16775772279505574"/>
          <c:w val="0.68527902210103586"/>
          <c:h val="0.28718827572194594"/>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solidFill>
      <a:round/>
    </a:ln>
    <a:effectLst/>
  </c:spPr>
  <c:txPr>
    <a:bodyPr/>
    <a:lstStyle/>
    <a:p>
      <a:pPr>
        <a:defRPr sz="900">
          <a:solidFill>
            <a:sysClr val="windowText" lastClr="000000"/>
          </a:solidFill>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39148002991216"/>
          <c:y val="6.0214670534604227E-2"/>
          <c:w val="0.76736636370893141"/>
          <c:h val="0.80946898742920281"/>
        </c:manualLayout>
      </c:layout>
      <c:barChart>
        <c:barDir val="col"/>
        <c:grouping val="clustered"/>
        <c:varyColors val="0"/>
        <c:ser>
          <c:idx val="0"/>
          <c:order val="0"/>
          <c:tx>
            <c:strRef>
              <c:f>SENSIBILIDAD!$B$5</c:f>
              <c:strCache>
                <c:ptCount val="1"/>
                <c:pt idx="0">
                  <c:v>VPN TD 12%</c:v>
                </c:pt>
              </c:strCache>
            </c:strRef>
          </c:tx>
          <c:spPr>
            <a:solidFill>
              <a:schemeClr val="accent1"/>
            </a:solidFill>
            <a:ln>
              <a:noFill/>
            </a:ln>
            <a:effectLst/>
          </c:spPr>
          <c:invertIfNegative val="0"/>
          <c:dLbls>
            <c:dLbl>
              <c:idx val="0"/>
              <c:layout>
                <c:manualLayout>
                  <c:x val="4.0548898886815189E-3"/>
                  <c:y val="-1.98408619975134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2DF-4227-856C-B0A0A1FBE181}"/>
                </c:ext>
              </c:extLst>
            </c:dLbl>
            <c:dLbl>
              <c:idx val="1"/>
              <c:layout>
                <c:manualLayout>
                  <c:x val="9.3291850699737847E-2"/>
                  <c:y val="0.1684210526315789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030-473D-9E5C-3438829B41EF}"/>
                </c:ext>
              </c:extLst>
            </c:dLbl>
            <c:dLbl>
              <c:idx val="2"/>
              <c:layout>
                <c:manualLayout>
                  <c:x val="-4.1335390814499148E-2"/>
                  <c:y val="9.34267163972924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2DF-4227-856C-B0A0A1FBE18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SENSIBILIDAD!$C$2:$F$2</c:f>
              <c:strCache>
                <c:ptCount val="4"/>
                <c:pt idx="0">
                  <c:v>Restauración Privada</c:v>
                </c:pt>
                <c:pt idx="1">
                  <c:v>MFA</c:v>
                </c:pt>
                <c:pt idx="2">
                  <c:v>SAF</c:v>
                </c:pt>
                <c:pt idx="3">
                  <c:v>TOTAL</c:v>
                </c:pt>
              </c:strCache>
            </c:strRef>
          </c:cat>
          <c:val>
            <c:numRef>
              <c:f>SENSIBILIDAD!$C$5:$F$5</c:f>
              <c:numCache>
                <c:formatCode>#,##0_ ;[Red]\-#,##0\ </c:formatCode>
                <c:ptCount val="4"/>
                <c:pt idx="0">
                  <c:v>4834137.3724699859</c:v>
                </c:pt>
                <c:pt idx="1">
                  <c:v>21707741.331932135</c:v>
                </c:pt>
                <c:pt idx="2">
                  <c:v>-1194519.9307833933</c:v>
                </c:pt>
                <c:pt idx="3">
                  <c:v>25347358.773618724</c:v>
                </c:pt>
              </c:numCache>
            </c:numRef>
          </c:val>
          <c:extLst>
            <c:ext xmlns:c16="http://schemas.microsoft.com/office/drawing/2014/chart" uri="{C3380CC4-5D6E-409C-BE32-E72D297353CC}">
              <c16:uniqueId val="{00000004-62DF-4227-856C-B0A0A1FBE181}"/>
            </c:ext>
          </c:extLst>
        </c:ser>
        <c:dLbls>
          <c:showLegendKey val="0"/>
          <c:showVal val="0"/>
          <c:showCatName val="0"/>
          <c:showSerName val="0"/>
          <c:showPercent val="0"/>
          <c:showBubbleSize val="0"/>
        </c:dLbls>
        <c:gapWidth val="219"/>
        <c:overlap val="-27"/>
        <c:axId val="180133856"/>
        <c:axId val="180138208"/>
      </c:barChart>
      <c:lineChart>
        <c:grouping val="standard"/>
        <c:varyColors val="0"/>
        <c:ser>
          <c:idx val="1"/>
          <c:order val="1"/>
          <c:tx>
            <c:strRef>
              <c:f>SENSIBILIDAD!$B$6</c:f>
              <c:strCache>
                <c:ptCount val="1"/>
                <c:pt idx="0">
                  <c:v>TIR %</c:v>
                </c:pt>
              </c:strCache>
            </c:strRef>
          </c:tx>
          <c:spPr>
            <a:ln w="28575" cap="rnd">
              <a:solidFill>
                <a:schemeClr val="accent2"/>
              </a:solidFill>
              <a:round/>
            </a:ln>
            <a:effectLst/>
          </c:spPr>
          <c:marker>
            <c:symbol val="none"/>
          </c:marker>
          <c:dLbls>
            <c:dLbl>
              <c:idx val="1"/>
              <c:layout>
                <c:manualLayout>
                  <c:x val="-8.7772042056586605E-2"/>
                  <c:y val="-1.63320900676889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2DF-4227-856C-B0A0A1FBE181}"/>
                </c:ext>
              </c:extLst>
            </c:dLbl>
            <c:dLbl>
              <c:idx val="2"/>
              <c:layout>
                <c:manualLayout>
                  <c:x val="-2.8596616622125856E-2"/>
                  <c:y val="-0.1047775150555160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2DF-4227-856C-B0A0A1FBE18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SENSIBILIDAD!$C$2:$F$2</c:f>
              <c:strCache>
                <c:ptCount val="4"/>
                <c:pt idx="0">
                  <c:v>Restauración Privada</c:v>
                </c:pt>
                <c:pt idx="1">
                  <c:v>MFA</c:v>
                </c:pt>
                <c:pt idx="2">
                  <c:v>SAF</c:v>
                </c:pt>
                <c:pt idx="3">
                  <c:v>TOTAL</c:v>
                </c:pt>
              </c:strCache>
            </c:strRef>
          </c:cat>
          <c:val>
            <c:numRef>
              <c:f>SENSIBILIDAD!$C$6:$F$6</c:f>
              <c:numCache>
                <c:formatCode>0.0%</c:formatCode>
                <c:ptCount val="4"/>
                <c:pt idx="0">
                  <c:v>0.16885974034320528</c:v>
                </c:pt>
                <c:pt idx="1">
                  <c:v>0.24466383793117963</c:v>
                </c:pt>
                <c:pt idx="2">
                  <c:v>8.4970562270169747E-2</c:v>
                </c:pt>
                <c:pt idx="3">
                  <c:v>0.20353489190548402</c:v>
                </c:pt>
              </c:numCache>
            </c:numRef>
          </c:val>
          <c:smooth val="0"/>
          <c:extLst>
            <c:ext xmlns:c16="http://schemas.microsoft.com/office/drawing/2014/chart" uri="{C3380CC4-5D6E-409C-BE32-E72D297353CC}">
              <c16:uniqueId val="{00000001-8030-473D-9E5C-3438829B41EF}"/>
            </c:ext>
          </c:extLst>
        </c:ser>
        <c:dLbls>
          <c:showLegendKey val="0"/>
          <c:showVal val="0"/>
          <c:showCatName val="0"/>
          <c:showSerName val="0"/>
          <c:showPercent val="0"/>
          <c:showBubbleSize val="0"/>
        </c:dLbls>
        <c:marker val="1"/>
        <c:smooth val="0"/>
        <c:axId val="180122432"/>
        <c:axId val="180141472"/>
      </c:lineChart>
      <c:catAx>
        <c:axId val="180133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0138208"/>
        <c:crosses val="autoZero"/>
        <c:auto val="1"/>
        <c:lblAlgn val="ctr"/>
        <c:lblOffset val="100"/>
        <c:noMultiLvlLbl val="0"/>
      </c:catAx>
      <c:valAx>
        <c:axId val="180138208"/>
        <c:scaling>
          <c:orientation val="minMax"/>
        </c:scaling>
        <c:delete val="0"/>
        <c:axPos val="l"/>
        <c:majorGridlines>
          <c:spPr>
            <a:ln w="9525" cap="flat" cmpd="sng" algn="ctr">
              <a:solidFill>
                <a:schemeClr val="tx1">
                  <a:lumMod val="15000"/>
                  <a:lumOff val="85000"/>
                </a:schemeClr>
              </a:solidFill>
              <a:round/>
            </a:ln>
            <a:effectLst/>
          </c:spPr>
        </c:majorGridlines>
        <c:numFmt formatCode="#,##0_ ;[Red]\-#,##0\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0133856"/>
        <c:crosses val="autoZero"/>
        <c:crossBetween val="between"/>
      </c:valAx>
      <c:valAx>
        <c:axId val="180141472"/>
        <c:scaling>
          <c:orientation val="minMax"/>
        </c:scaling>
        <c:delete val="0"/>
        <c:axPos val="r"/>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0122432"/>
        <c:crosses val="max"/>
        <c:crossBetween val="between"/>
      </c:valAx>
      <c:catAx>
        <c:axId val="180122432"/>
        <c:scaling>
          <c:orientation val="minMax"/>
        </c:scaling>
        <c:delete val="1"/>
        <c:axPos val="b"/>
        <c:numFmt formatCode="General" sourceLinked="1"/>
        <c:majorTickMark val="out"/>
        <c:minorTickMark val="none"/>
        <c:tickLblPos val="nextTo"/>
        <c:crossAx val="180141472"/>
        <c:crosses val="autoZero"/>
        <c:auto val="1"/>
        <c:lblAlgn val="ctr"/>
        <c:lblOffset val="100"/>
        <c:noMultiLvlLbl val="0"/>
      </c:catAx>
      <c:spPr>
        <a:noFill/>
        <a:ln>
          <a:solidFill>
            <a:schemeClr val="tx1"/>
          </a:solidFill>
        </a:ln>
        <a:effectLst/>
      </c:spPr>
    </c:plotArea>
    <c:legend>
      <c:legendPos val="b"/>
      <c:layout>
        <c:manualLayout>
          <c:xMode val="edge"/>
          <c:yMode val="edge"/>
          <c:x val="0.52953172714639407"/>
          <c:y val="9.5445227241331657E-2"/>
          <c:w val="0.21248406570292838"/>
          <c:h val="0.19307804945434454"/>
        </c:manualLayout>
      </c:layout>
      <c:overlay val="0"/>
      <c:spPr>
        <a:noFill/>
        <a:ln>
          <a:solidFill>
            <a:schemeClr val="tx1"/>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solidFill>
      <a:round/>
    </a:ln>
    <a:effectLst/>
  </c:spPr>
  <c:txPr>
    <a:bodyPr/>
    <a:lstStyle/>
    <a:p>
      <a:pPr>
        <a:defRPr sz="90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325BAE725C499C4B88D19AB3E0DE7BDB" ma:contentTypeVersion="2423" ma:contentTypeDescription="The base project type from which other project content types inherit their information." ma:contentTypeScope="" ma:versionID="858758422bc0afde7d994200bbdfb517">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1F45882C107D0418BA25527F491EE3F" ma:contentTypeVersion="4318" ma:contentTypeDescription="A content type to manage public (operations) IDB documents" ma:contentTypeScope="" ma:versionID="25af092122f526b3fb0e004df5df9d6e">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CSD/RND</Division_x0020_or_x0020_Unit>
    <IDBDocs_x0020_Number xmlns="cdc7663a-08f0-4737-9e8c-148ce897a09c" xsi:nil="true"/>
    <Document_x0020_Author xmlns="cdc7663a-08f0-4737-9e8c-148ce897a09c">Valle Porrua, Yolanda</Document_x0020_Author>
    <_dlc_DocId xmlns="cdc7663a-08f0-4737-9e8c-148ce897a09c">EZSHARE-1227142564-45</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TermName>
          <TermId xmlns="http://schemas.microsoft.com/office/infopath/2007/PartnerControls">0dd9f989-602d-4742-8212-5c1b8b0b74d5</TermId>
        </TermInfo>
      </Terms>
    </ic46d7e087fd4a108fb86518ca413cc6>
    <TaxCatchAll xmlns="cdc7663a-08f0-4737-9e8c-148ce897a09c">
      <Value>60</Value>
      <Value>326</Value>
      <Value>26</Value>
      <Value>65</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HO-L1200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PA-FOR</TermName>
          <TermId xmlns="http://schemas.microsoft.com/office/infopath/2007/PartnerControls">cbc326e6-da2e-4ccd-aed3-11af3d212869</TermId>
        </TermInfo>
      </Terms>
    </b2ec7cfb18674cb8803df6b262e8b107>
    <Document_x0020_Language_x0020_IDB xmlns="cdc7663a-08f0-4737-9e8c-148ce897a09c">Spanish</Document_x0020_Language_x0020_IDB>
    <_dlc_DocIdUrl xmlns="cdc7663a-08f0-4737-9e8c-148ce897a09c">
      <Url>https://idbg.sharepoint.com/teams/EZ-HO-LON/HO-L1200/_layouts/15/DocIdRedir.aspx?ID=EZSHARE-1227142564-45</Url>
      <Description>EZSHARE-1227142564-45</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4B43EEF-5AD6-42EF-94B4-B8B4CE41B621}">
  <ds:schemaRefs>
    <ds:schemaRef ds:uri="http://schemas.openxmlformats.org/officeDocument/2006/bibliography"/>
  </ds:schemaRefs>
</ds:datastoreItem>
</file>

<file path=customXml/itemProps2.xml><?xml version="1.0" encoding="utf-8"?>
<ds:datastoreItem xmlns:ds="http://schemas.openxmlformats.org/officeDocument/2006/customXml" ds:itemID="{7D720E0C-49EB-455F-B0D0-0709D86EB042}"/>
</file>

<file path=customXml/itemProps3.xml><?xml version="1.0" encoding="utf-8"?>
<ds:datastoreItem xmlns:ds="http://schemas.openxmlformats.org/officeDocument/2006/customXml" ds:itemID="{F68BFA40-681B-49D8-BDB6-54705B87C21D}"/>
</file>

<file path=customXml/itemProps4.xml><?xml version="1.0" encoding="utf-8"?>
<ds:datastoreItem xmlns:ds="http://schemas.openxmlformats.org/officeDocument/2006/customXml" ds:itemID="{63B7F4B0-A207-4892-97C4-7CD65BF07AA3}"/>
</file>

<file path=customXml/itemProps5.xml><?xml version="1.0" encoding="utf-8"?>
<ds:datastoreItem xmlns:ds="http://schemas.openxmlformats.org/officeDocument/2006/customXml" ds:itemID="{02BA7BD3-7FD3-49CF-B122-CF6FC4E44646}"/>
</file>

<file path=customXml/itemProps6.xml><?xml version="1.0" encoding="utf-8"?>
<ds:datastoreItem xmlns:ds="http://schemas.openxmlformats.org/officeDocument/2006/customXml" ds:itemID="{FA940AFA-7F4E-46DB-8AA0-9749C022B5CF}"/>
</file>

<file path=customXml/itemProps7.xml><?xml version="1.0" encoding="utf-8"?>
<ds:datastoreItem xmlns:ds="http://schemas.openxmlformats.org/officeDocument/2006/customXml" ds:itemID="{23F04D37-5114-4644-9363-A54C5633E805}"/>
</file>

<file path=customXml/itemProps8.xml><?xml version="1.0" encoding="utf-8"?>
<ds:datastoreItem xmlns:ds="http://schemas.openxmlformats.org/officeDocument/2006/customXml" ds:itemID="{EA8DB4A4-1B30-46F9-8063-A7D5A543C883}"/>
</file>

<file path=docProps/app.xml><?xml version="1.0" encoding="utf-8"?>
<Properties xmlns="http://schemas.openxmlformats.org/officeDocument/2006/extended-properties" xmlns:vt="http://schemas.openxmlformats.org/officeDocument/2006/docPropsVTypes">
  <Template>Normal.dotm</Template>
  <TotalTime>0</TotalTime>
  <Pages>31</Pages>
  <Words>9520</Words>
  <Characters>54265</Characters>
  <Application>Microsoft Office Word</Application>
  <DocSecurity>0</DocSecurity>
  <Lines>452</Lines>
  <Paragraphs>127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Zegarra</dc:creator>
  <cp:keywords/>
  <dc:description/>
  <cp:lastModifiedBy>Rios Galvez, Ana R.</cp:lastModifiedBy>
  <cp:revision>2</cp:revision>
  <cp:lastPrinted>2019-09-25T20:39:00Z</cp:lastPrinted>
  <dcterms:created xsi:type="dcterms:W3CDTF">2019-09-28T20:28:00Z</dcterms:created>
  <dcterms:modified xsi:type="dcterms:W3CDTF">2019-09-28T20:28:00Z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65;#PA-FOR|cbc326e6-da2e-4ccd-aed3-11af3d212869</vt:lpwstr>
  </property>
  <property fmtid="{D5CDD505-2E9C-101B-9397-08002B2CF9AE}" pid="7" name="Country">
    <vt:lpwstr>26;#HO|0dd9f989-602d-4742-8212-5c1b8b0b74d5</vt:lpwstr>
  </property>
  <property fmtid="{D5CDD505-2E9C-101B-9397-08002B2CF9AE}" pid="8" name="Fund IDB">
    <vt:lpwstr>326;#GRN|d0f1dc7f-e162-4a9c-9421-b7d8c382a710</vt:lpwstr>
  </property>
  <property fmtid="{D5CDD505-2E9C-101B-9397-08002B2CF9AE}" pid="9" name="_dlc_DocIdItemGuid">
    <vt:lpwstr>92dccafc-0538-407b-8ab7-e9905215ceb3</vt:lpwstr>
  </property>
  <property fmtid="{D5CDD505-2E9C-101B-9397-08002B2CF9AE}" pid="10" name="Sector IDB">
    <vt:lpwstr>60;#PA|261e2b33-090b-4ab0-8e06-3aa3e7f32d57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0x0101001A458A224826124E8B45B1D613300CFC0051F45882C107D0418BA25527F491EE3F</vt:lpwstr>
  </property>
</Properties>
</file>