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drawings/drawing1.xml" ContentType="application/vnd.openxmlformats-officedocument.drawingml.chartshape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8FB15B" w14:textId="145FDB39" w:rsidR="00165338" w:rsidRPr="00165338" w:rsidRDefault="00165338" w:rsidP="00F53774">
      <w:pPr>
        <w:spacing w:line="360" w:lineRule="auto"/>
        <w:jc w:val="center"/>
        <w:rPr>
          <w:rFonts w:ascii="Arial" w:eastAsia="Calibri" w:hAnsi="Arial" w:cs="Arial"/>
          <w:b/>
          <w:bCs/>
          <w:lang w:val="es-ES"/>
        </w:rPr>
      </w:pPr>
      <w:r w:rsidRPr="00165338">
        <w:rPr>
          <w:rFonts w:ascii="Arial" w:eastAsia="Calibri" w:hAnsi="Arial" w:cs="Arial"/>
          <w:b/>
          <w:bCs/>
          <w:lang w:val="es-ES"/>
        </w:rPr>
        <w:t>PLAN DE ACCIÓN DE GÉNERO</w:t>
      </w:r>
      <w:r w:rsidR="00F53774">
        <w:rPr>
          <w:rFonts w:ascii="Arial" w:eastAsia="Calibri" w:hAnsi="Arial" w:cs="Arial"/>
          <w:b/>
          <w:bCs/>
          <w:lang w:val="es-ES"/>
        </w:rPr>
        <w:t xml:space="preserve"> HO-L1200/HO-G1252</w:t>
      </w:r>
    </w:p>
    <w:p w14:paraId="6EEAC5DB" w14:textId="35E9EA2F" w:rsidR="00165338" w:rsidRPr="00165338" w:rsidRDefault="00165338" w:rsidP="00165338">
      <w:pPr>
        <w:spacing w:line="360" w:lineRule="auto"/>
        <w:jc w:val="both"/>
        <w:rPr>
          <w:rFonts w:ascii="Arial" w:eastAsia="Calibri" w:hAnsi="Arial" w:cs="Arial"/>
          <w:lang w:val="es-ES"/>
        </w:rPr>
      </w:pPr>
      <w:r w:rsidRPr="00165338">
        <w:rPr>
          <w:rFonts w:ascii="Arial" w:eastAsia="Calibri" w:hAnsi="Arial" w:cs="Arial"/>
          <w:lang w:val="es-ES"/>
        </w:rPr>
        <w:t xml:space="preserve">I. </w:t>
      </w:r>
      <w:r w:rsidR="00F53774">
        <w:rPr>
          <w:rFonts w:ascii="Arial" w:eastAsia="Calibri" w:hAnsi="Arial" w:cs="Arial"/>
          <w:lang w:val="es-ES"/>
        </w:rPr>
        <w:t>A</w:t>
      </w:r>
      <w:r w:rsidRPr="00165338">
        <w:rPr>
          <w:rFonts w:ascii="Arial" w:eastAsia="Calibri" w:hAnsi="Arial" w:cs="Arial"/>
          <w:lang w:val="es-ES"/>
        </w:rPr>
        <w:t xml:space="preserve">nálisis de género </w:t>
      </w:r>
    </w:p>
    <w:p w14:paraId="3FB548B0" w14:textId="77777777" w:rsidR="00165338" w:rsidRPr="00165338" w:rsidRDefault="00165338" w:rsidP="00165338">
      <w:pPr>
        <w:spacing w:line="360" w:lineRule="auto"/>
        <w:jc w:val="both"/>
        <w:rPr>
          <w:rFonts w:ascii="Arial" w:eastAsia="Calibri" w:hAnsi="Arial" w:cs="Arial"/>
          <w:lang w:val="es-ES"/>
        </w:rPr>
      </w:pPr>
      <w:r w:rsidRPr="00165338">
        <w:rPr>
          <w:rFonts w:ascii="Arial" w:eastAsia="Calibri" w:hAnsi="Arial" w:cs="Arial"/>
          <w:lang w:val="es-ES"/>
        </w:rPr>
        <w:t>Honduras se posiciona en el lugar 55 entre 144 países dentro del índice de disparidad de géneros, índice en el cual ha escalado 19 posiciones en los últimos 10 años. En esta década, se ha registrado progreso en la situación social y condición de las mujeres, específicamente en el desarrollo del marco legal que incluye acciones para la protección, promoción y ejercicio de sus derechos humanos. El país ha alcanzado equidad de género en educación, sin embargo esto no ha sido trasladado ni en ganancias económicas</w:t>
      </w:r>
      <w:r w:rsidRPr="00165338">
        <w:rPr>
          <w:rFonts w:ascii="Arial" w:eastAsia="Calibri" w:hAnsi="Arial" w:cs="Arial"/>
          <w:vertAlign w:val="superscript"/>
          <w:lang w:val="es-ES"/>
        </w:rPr>
        <w:footnoteReference w:id="1"/>
      </w:r>
      <w:r w:rsidRPr="00165338">
        <w:rPr>
          <w:rFonts w:ascii="Arial" w:eastAsia="Calibri" w:hAnsi="Arial" w:cs="Arial"/>
          <w:lang w:val="es-ES"/>
        </w:rPr>
        <w:t xml:space="preserve"> ni en participación en el trabajo de para las mujeres. Honduras posee el segundo nivel más alto de mujeres sin sus propios ingresos (39.7%)</w:t>
      </w:r>
      <w:r w:rsidRPr="00165338">
        <w:rPr>
          <w:rFonts w:ascii="Arial" w:eastAsia="Calibri" w:hAnsi="Arial" w:cs="Arial"/>
          <w:vertAlign w:val="superscript"/>
          <w:lang w:val="es-ES"/>
        </w:rPr>
        <w:footnoteReference w:id="2"/>
      </w:r>
      <w:r w:rsidRPr="00165338">
        <w:rPr>
          <w:rFonts w:ascii="Arial" w:eastAsia="Calibri" w:hAnsi="Arial" w:cs="Arial"/>
          <w:lang w:val="es-ES"/>
        </w:rPr>
        <w:t xml:space="preserve"> y registra uno de los más altos índices de asesinatos de mujeres en la región.</w:t>
      </w:r>
      <w:r w:rsidRPr="00165338">
        <w:rPr>
          <w:rFonts w:ascii="Arial" w:eastAsia="Calibri" w:hAnsi="Arial" w:cs="Arial"/>
          <w:vertAlign w:val="superscript"/>
          <w:lang w:val="es-ES"/>
        </w:rPr>
        <w:footnoteReference w:id="3"/>
      </w:r>
      <w:r w:rsidRPr="00165338">
        <w:rPr>
          <w:rFonts w:ascii="Arial" w:eastAsia="Calibri" w:hAnsi="Arial" w:cs="Arial"/>
          <w:lang w:val="es-ES"/>
        </w:rPr>
        <w:t xml:space="preserve"> La representación femenina en política es aún muy baja.</w:t>
      </w:r>
    </w:p>
    <w:p w14:paraId="28B25198" w14:textId="7B78C536" w:rsidR="00165338" w:rsidRPr="00165338" w:rsidRDefault="00165338" w:rsidP="00165338">
      <w:pPr>
        <w:spacing w:line="360" w:lineRule="auto"/>
        <w:jc w:val="both"/>
        <w:rPr>
          <w:rFonts w:ascii="Arial" w:eastAsia="Calibri" w:hAnsi="Arial" w:cs="Arial"/>
          <w:lang w:val="es-ES"/>
        </w:rPr>
      </w:pPr>
      <w:r w:rsidRPr="00165338">
        <w:rPr>
          <w:rFonts w:ascii="Arial" w:eastAsia="Calibri" w:hAnsi="Arial" w:cs="Arial"/>
          <w:lang w:val="es-ES"/>
        </w:rPr>
        <w:t xml:space="preserve">a) </w:t>
      </w:r>
      <w:r w:rsidR="00F53774">
        <w:rPr>
          <w:rFonts w:ascii="Arial" w:eastAsia="Calibri" w:hAnsi="Arial" w:cs="Arial"/>
          <w:lang w:val="es-ES"/>
        </w:rPr>
        <w:t>Marco institucional</w:t>
      </w:r>
    </w:p>
    <w:p w14:paraId="5BF0FCE6" w14:textId="77777777" w:rsidR="00165338" w:rsidRPr="00165338" w:rsidRDefault="00165338" w:rsidP="00165338">
      <w:pPr>
        <w:spacing w:line="360" w:lineRule="auto"/>
        <w:jc w:val="both"/>
        <w:rPr>
          <w:rFonts w:ascii="Arial" w:eastAsia="Calibri" w:hAnsi="Arial" w:cs="Arial"/>
          <w:lang w:val="es-ES"/>
        </w:rPr>
      </w:pPr>
      <w:r w:rsidRPr="00165338">
        <w:rPr>
          <w:rFonts w:ascii="Arial" w:eastAsia="Calibri" w:hAnsi="Arial" w:cs="Arial"/>
          <w:lang w:val="es-ES"/>
        </w:rPr>
        <w:t xml:space="preserve">El marco de Género Institucional de Honduras está principalmente a cargo del Instituto Nacional de la Mujer (INAM), fundado en 1998. </w:t>
      </w:r>
      <w:r w:rsidRPr="00165338">
        <w:rPr>
          <w:rFonts w:ascii="Arial" w:eastAsia="Calibri" w:hAnsi="Arial" w:cs="Arial"/>
          <w:vertAlign w:val="superscript"/>
          <w:lang w:val="es-ES"/>
        </w:rPr>
        <w:footnoteReference w:id="4"/>
      </w:r>
      <w:r w:rsidRPr="00165338">
        <w:rPr>
          <w:rFonts w:ascii="Arial" w:eastAsia="Calibri" w:hAnsi="Arial" w:cs="Arial"/>
          <w:lang w:val="es-ES"/>
        </w:rPr>
        <w:t>Tiene un estatus de Secretaría del Estado y está a cargo de elaborar, promocionar y coordinar la ejecución y seguimiento de la política de las mujeres, así como de la ejecución de planes de acción e inclusión de las mujeres dentro del desarrollo sostenible.</w:t>
      </w:r>
    </w:p>
    <w:p w14:paraId="4722E4BD" w14:textId="77777777" w:rsidR="00165338" w:rsidRPr="00165338" w:rsidRDefault="00165338" w:rsidP="00165338">
      <w:pPr>
        <w:spacing w:line="360" w:lineRule="auto"/>
        <w:jc w:val="both"/>
        <w:rPr>
          <w:rFonts w:ascii="Arial" w:eastAsia="Calibri" w:hAnsi="Arial" w:cs="Arial"/>
          <w:lang w:val="es-ES"/>
        </w:rPr>
      </w:pPr>
      <w:r w:rsidRPr="00165338">
        <w:rPr>
          <w:rFonts w:ascii="Arial" w:eastAsia="Calibri" w:hAnsi="Arial" w:cs="Arial"/>
          <w:lang w:val="es-ES"/>
        </w:rPr>
        <w:t>El INAM ha apadrinado el desarrollo de dos planes de equidad de oportunidades entre mujeres y hombres, mientras que el Plan Nacional de Mujeres- segundo plan hondureño de igualdad de género y plan de equidad, 2010-2022 (II PIEGH) fue validado.</w:t>
      </w:r>
      <w:r w:rsidRPr="00165338">
        <w:rPr>
          <w:rFonts w:ascii="Arial" w:eastAsia="Calibri" w:hAnsi="Arial" w:cs="Arial"/>
          <w:vertAlign w:val="superscript"/>
          <w:lang w:val="es-ES"/>
        </w:rPr>
        <w:footnoteReference w:id="5"/>
      </w:r>
      <w:r w:rsidRPr="00165338">
        <w:rPr>
          <w:rFonts w:ascii="Arial" w:eastAsia="Calibri" w:hAnsi="Arial" w:cs="Arial"/>
          <w:lang w:val="es-ES"/>
        </w:rPr>
        <w:t xml:space="preserve"> También impulsó el Plan Nacional para la reducción de la violencia contra las mujeres 2014-2022.</w:t>
      </w:r>
    </w:p>
    <w:p w14:paraId="20ADF0B1" w14:textId="77777777" w:rsidR="00165338" w:rsidRPr="00165338" w:rsidRDefault="00165338" w:rsidP="00165338">
      <w:pPr>
        <w:spacing w:line="360" w:lineRule="auto"/>
        <w:jc w:val="both"/>
        <w:rPr>
          <w:rFonts w:ascii="Arial" w:eastAsia="Calibri" w:hAnsi="Arial" w:cs="Arial"/>
          <w:lang w:val="es-ES"/>
        </w:rPr>
      </w:pPr>
      <w:r w:rsidRPr="00165338">
        <w:rPr>
          <w:rFonts w:ascii="Arial" w:eastAsia="Calibri" w:hAnsi="Arial" w:cs="Arial"/>
          <w:lang w:val="es-ES"/>
        </w:rPr>
        <w:t>Existen unidades de género en la secretaria de seguridad y en el poder judicial, así como mecanismos de género sectorial en la Secretaría de Agricultura y Ganadería, Secretaría de Finanzas y en la Secretaría de Recursos Naturales y Ambiente.</w:t>
      </w:r>
    </w:p>
    <w:p w14:paraId="4BF77B76" w14:textId="456DB77D" w:rsidR="00165338" w:rsidRPr="00165338" w:rsidRDefault="00165338" w:rsidP="00165338">
      <w:pPr>
        <w:spacing w:line="360" w:lineRule="auto"/>
        <w:jc w:val="both"/>
        <w:rPr>
          <w:rFonts w:ascii="Arial" w:eastAsia="Calibri" w:hAnsi="Arial" w:cs="Arial"/>
          <w:lang w:val="es-ES"/>
        </w:rPr>
      </w:pPr>
      <w:r w:rsidRPr="00165338">
        <w:rPr>
          <w:rFonts w:ascii="Arial" w:eastAsia="Calibri" w:hAnsi="Arial" w:cs="Arial"/>
          <w:lang w:val="es-ES"/>
        </w:rPr>
        <w:lastRenderedPageBreak/>
        <w:t xml:space="preserve">b) </w:t>
      </w:r>
      <w:r w:rsidR="00F53774">
        <w:rPr>
          <w:rFonts w:ascii="Arial" w:eastAsia="Calibri" w:hAnsi="Arial" w:cs="Arial"/>
          <w:lang w:val="es-ES"/>
        </w:rPr>
        <w:t>Marco legal</w:t>
      </w:r>
    </w:p>
    <w:p w14:paraId="70482A71" w14:textId="542FD206" w:rsidR="00165338" w:rsidRPr="00165338" w:rsidRDefault="00165338" w:rsidP="00165338">
      <w:pPr>
        <w:spacing w:line="360" w:lineRule="auto"/>
        <w:jc w:val="both"/>
        <w:rPr>
          <w:rFonts w:ascii="Arial" w:eastAsia="Calibri" w:hAnsi="Arial" w:cs="Arial"/>
          <w:lang w:val="es-ES"/>
        </w:rPr>
      </w:pPr>
      <w:r w:rsidRPr="00165338">
        <w:rPr>
          <w:rFonts w:ascii="Arial" w:eastAsia="Calibri" w:hAnsi="Arial" w:cs="Arial"/>
          <w:lang w:val="es-ES"/>
        </w:rPr>
        <w:t xml:space="preserve">El país cuenta con un </w:t>
      </w:r>
      <w:r w:rsidR="00621A5D">
        <w:rPr>
          <w:rFonts w:ascii="Arial" w:eastAsia="Calibri" w:hAnsi="Arial" w:cs="Arial"/>
          <w:lang w:val="es-ES"/>
        </w:rPr>
        <w:t>Ley</w:t>
      </w:r>
      <w:r w:rsidR="00621A5D" w:rsidRPr="00165338">
        <w:rPr>
          <w:rFonts w:ascii="Arial" w:eastAsia="Calibri" w:hAnsi="Arial" w:cs="Arial"/>
          <w:lang w:val="es-ES"/>
        </w:rPr>
        <w:t xml:space="preserve"> </w:t>
      </w:r>
      <w:r w:rsidRPr="00165338">
        <w:rPr>
          <w:rFonts w:ascii="Arial" w:eastAsia="Calibri" w:hAnsi="Arial" w:cs="Arial"/>
          <w:lang w:val="es-ES"/>
        </w:rPr>
        <w:t>de oportunidades iguales para mujeres (decreto n. 34-2000)</w:t>
      </w:r>
      <w:r w:rsidRPr="00165338">
        <w:rPr>
          <w:rFonts w:ascii="Arial" w:eastAsia="Calibri" w:hAnsi="Arial" w:cs="Arial"/>
          <w:vertAlign w:val="superscript"/>
          <w:lang w:val="es-ES"/>
        </w:rPr>
        <w:footnoteReference w:id="6"/>
      </w:r>
      <w:r w:rsidRPr="00165338">
        <w:rPr>
          <w:rFonts w:ascii="Arial" w:eastAsia="Calibri" w:hAnsi="Arial" w:cs="Arial"/>
          <w:lang w:val="es-ES"/>
        </w:rPr>
        <w:t>, Ley contra la violencia doméstica- promulgada en septiembre de 1997 y sus reformas, en 2005-, así como reformas en la Ley Electoral y de las Organizaciones Políticas (LEOP) Decreto 44-2004. Honduras ratificó la convención Interamericana sobre la prevención, castigo y erradicación de la violencia contra las mujeres.</w:t>
      </w:r>
      <w:r w:rsidRPr="00165338">
        <w:rPr>
          <w:rFonts w:ascii="Arial" w:eastAsia="Calibri" w:hAnsi="Arial" w:cs="Arial"/>
          <w:vertAlign w:val="superscript"/>
          <w:lang w:val="es-ES"/>
        </w:rPr>
        <w:footnoteReference w:id="7"/>
      </w:r>
    </w:p>
    <w:p w14:paraId="1B912352" w14:textId="3B797560" w:rsidR="00165338" w:rsidRPr="00165338" w:rsidRDefault="00165338" w:rsidP="00165338">
      <w:pPr>
        <w:spacing w:line="360" w:lineRule="auto"/>
        <w:jc w:val="both"/>
        <w:rPr>
          <w:rFonts w:ascii="Arial" w:eastAsia="Calibri" w:hAnsi="Arial" w:cs="Arial"/>
          <w:lang w:val="es-ES"/>
        </w:rPr>
      </w:pPr>
      <w:r w:rsidRPr="00165338">
        <w:rPr>
          <w:rFonts w:ascii="Arial" w:eastAsia="Calibri" w:hAnsi="Arial" w:cs="Arial"/>
          <w:lang w:val="es-ES"/>
        </w:rPr>
        <w:t xml:space="preserve">c) </w:t>
      </w:r>
      <w:r w:rsidR="00F53774">
        <w:rPr>
          <w:rFonts w:ascii="Arial" w:eastAsia="Calibri" w:hAnsi="Arial" w:cs="Arial"/>
          <w:lang w:val="es-ES"/>
        </w:rPr>
        <w:t>Características en el país</w:t>
      </w:r>
    </w:p>
    <w:p w14:paraId="2A04B46B" w14:textId="77777777" w:rsidR="00165338" w:rsidRPr="00165338" w:rsidRDefault="00165338" w:rsidP="00165338">
      <w:pPr>
        <w:spacing w:line="360" w:lineRule="auto"/>
        <w:jc w:val="both"/>
        <w:rPr>
          <w:rFonts w:ascii="Arial" w:eastAsia="Calibri" w:hAnsi="Arial" w:cs="Arial"/>
          <w:lang w:val="es-ES"/>
        </w:rPr>
      </w:pPr>
      <w:r w:rsidRPr="00165338">
        <w:rPr>
          <w:rFonts w:ascii="Arial" w:eastAsia="Calibri" w:hAnsi="Arial" w:cs="Arial"/>
          <w:lang w:val="es-ES"/>
        </w:rPr>
        <w:t xml:space="preserve">En 2016, la población de Honduras era estimada en 8, 714,641 individuos, de los cuales el </w:t>
      </w:r>
      <w:r w:rsidRPr="00697845">
        <w:rPr>
          <w:rFonts w:ascii="Arial" w:eastAsia="Calibri" w:hAnsi="Arial" w:cs="Arial"/>
          <w:lang w:val="es-ES"/>
        </w:rPr>
        <w:t xml:space="preserve">47.4% son </w:t>
      </w:r>
      <w:r w:rsidRPr="00165338">
        <w:rPr>
          <w:rFonts w:ascii="Arial" w:eastAsia="Calibri" w:hAnsi="Arial" w:cs="Arial"/>
          <w:lang w:val="es-ES"/>
        </w:rPr>
        <w:t>hombres y el 52.6% mujeres. Del total de la población femenina, 55.5% está ubicada en el área urbana y 44.5% en el área rural.</w:t>
      </w:r>
    </w:p>
    <w:p w14:paraId="118A261F" w14:textId="77777777" w:rsidR="00165338" w:rsidRPr="00165338" w:rsidRDefault="00165338" w:rsidP="00165338">
      <w:pPr>
        <w:spacing w:line="360" w:lineRule="auto"/>
        <w:jc w:val="both"/>
        <w:rPr>
          <w:rFonts w:ascii="Arial" w:eastAsia="Calibri" w:hAnsi="Arial" w:cs="Arial"/>
          <w:lang w:val="es-ES"/>
        </w:rPr>
      </w:pPr>
      <w:r w:rsidRPr="00165338">
        <w:rPr>
          <w:rFonts w:ascii="Arial" w:eastAsia="Calibri" w:hAnsi="Arial" w:cs="Arial"/>
          <w:b/>
          <w:lang w:val="es-ES"/>
        </w:rPr>
        <w:t>Educación</w:t>
      </w:r>
      <w:r w:rsidRPr="00165338">
        <w:rPr>
          <w:rFonts w:ascii="Arial" w:eastAsia="Calibri" w:hAnsi="Arial" w:cs="Arial"/>
          <w:lang w:val="es-ES"/>
        </w:rPr>
        <w:t xml:space="preserve">. La tasa de alfabetización es similar para las mujeres (89%) </w:t>
      </w:r>
      <w:r w:rsidRPr="00165338">
        <w:rPr>
          <w:rFonts w:ascii="Arial" w:eastAsia="Calibri" w:hAnsi="Arial" w:cs="Arial"/>
          <w:vertAlign w:val="superscript"/>
          <w:lang w:val="es-ES"/>
        </w:rPr>
        <w:footnoteReference w:id="8"/>
      </w:r>
      <w:r w:rsidRPr="00165338">
        <w:rPr>
          <w:rFonts w:ascii="Arial" w:eastAsia="Calibri" w:hAnsi="Arial" w:cs="Arial"/>
          <w:lang w:val="es-ES"/>
        </w:rPr>
        <w:t>y hombres (88%). La tasa de matrícula en la educación básica es la misma en ambos sexos (94%). No obstante, en educación secundaria y superior, las mujeres tienen un índice de matrícula más alto que el de los hombres, 53% versus 46%, y 24% versus 18%, respectivamente.</w:t>
      </w:r>
      <w:r w:rsidRPr="00165338">
        <w:rPr>
          <w:rFonts w:ascii="Arial" w:eastAsia="Calibri" w:hAnsi="Arial" w:cs="Arial"/>
          <w:vertAlign w:val="superscript"/>
          <w:lang w:val="es-ES"/>
        </w:rPr>
        <w:footnoteReference w:id="9"/>
      </w:r>
      <w:r w:rsidRPr="00165338">
        <w:rPr>
          <w:rFonts w:ascii="Arial" w:eastAsia="Calibri" w:hAnsi="Arial" w:cs="Arial"/>
          <w:lang w:val="es-ES"/>
        </w:rPr>
        <w:t xml:space="preserve"> Las mujeres indígenas tienen una tasa de analfabetismo de 7.2 puntos sobre el porcentaje nacional de mujeres. Adicionalmente, 1.3 años menos de escolaridad.</w:t>
      </w:r>
    </w:p>
    <w:p w14:paraId="7BE51E0B" w14:textId="3C69CFBB" w:rsidR="00165338" w:rsidRDefault="00165338" w:rsidP="00165338">
      <w:pPr>
        <w:spacing w:line="360" w:lineRule="auto"/>
        <w:jc w:val="both"/>
        <w:rPr>
          <w:rFonts w:ascii="Arial" w:eastAsia="Calibri" w:hAnsi="Arial" w:cs="Arial"/>
          <w:lang w:val="es-ES"/>
        </w:rPr>
      </w:pPr>
      <w:r w:rsidRPr="00165338">
        <w:rPr>
          <w:rFonts w:ascii="Arial" w:eastAsia="Calibri" w:hAnsi="Arial" w:cs="Arial"/>
          <w:b/>
          <w:lang w:val="es-ES"/>
        </w:rPr>
        <w:t>Participación laboral</w:t>
      </w:r>
      <w:r w:rsidRPr="00165338">
        <w:rPr>
          <w:rFonts w:ascii="Arial" w:eastAsia="Calibri" w:hAnsi="Arial" w:cs="Arial"/>
          <w:lang w:val="es-ES"/>
        </w:rPr>
        <w:t>. De 2007 a 2016, la participación laboral de las mujeres incrementó alrededor de 8 puntos porcentuales (</w:t>
      </w:r>
      <w:r w:rsidR="00F53774">
        <w:rPr>
          <w:rFonts w:ascii="Arial" w:eastAsia="Calibri" w:hAnsi="Arial" w:cs="Arial"/>
          <w:lang w:val="es-ES"/>
        </w:rPr>
        <w:t>gráfico</w:t>
      </w:r>
      <w:r w:rsidRPr="00165338">
        <w:rPr>
          <w:rFonts w:ascii="Arial" w:eastAsia="Calibri" w:hAnsi="Arial" w:cs="Arial"/>
          <w:lang w:val="es-ES"/>
        </w:rPr>
        <w:t xml:space="preserve"> 1). Sin embargo, la diferencia de género es todavía alta con una diferencia de 34.6 percentiles de participación entre hombres y mujeres. El país se encuentra dentro de los que cuentan con menor participación femenina en la región de Latinoamérica, donde la tasa de participación promedio es de 68%.</w:t>
      </w:r>
      <w:r w:rsidRPr="00165338">
        <w:rPr>
          <w:rFonts w:ascii="Arial" w:eastAsia="Calibri" w:hAnsi="Arial" w:cs="Arial"/>
          <w:vertAlign w:val="superscript"/>
          <w:lang w:val="es-ES"/>
        </w:rPr>
        <w:footnoteReference w:id="10"/>
      </w:r>
    </w:p>
    <w:p w14:paraId="42531159" w14:textId="77777777" w:rsidR="00F53774" w:rsidRPr="00165338" w:rsidRDefault="00F53774" w:rsidP="00165338">
      <w:pPr>
        <w:spacing w:line="360" w:lineRule="auto"/>
        <w:jc w:val="both"/>
        <w:rPr>
          <w:rFonts w:ascii="Arial" w:eastAsia="Calibri" w:hAnsi="Arial" w:cs="Arial"/>
          <w:lang w:val="es-ES"/>
        </w:rPr>
      </w:pPr>
    </w:p>
    <w:p w14:paraId="1FBE8156" w14:textId="77777777" w:rsidR="00165338" w:rsidRPr="00165338" w:rsidRDefault="00165338" w:rsidP="00165338">
      <w:pPr>
        <w:shd w:val="clear" w:color="auto" w:fill="FFFFFF"/>
        <w:spacing w:after="0" w:line="360" w:lineRule="auto"/>
        <w:jc w:val="both"/>
        <w:rPr>
          <w:rFonts w:ascii="Arial" w:eastAsia="Calibri" w:hAnsi="Arial" w:cs="Arial"/>
          <w:lang w:val="es-ES"/>
        </w:rPr>
      </w:pPr>
      <w:r w:rsidRPr="00165338">
        <w:rPr>
          <w:rFonts w:ascii="Arial" w:eastAsia="Calibri" w:hAnsi="Arial" w:cs="Arial"/>
          <w:lang w:val="es-ES"/>
        </w:rPr>
        <w:lastRenderedPageBreak/>
        <w:t>Gráfico 1: tasa de participación laboral por sexo 2007 y 2016</w:t>
      </w:r>
    </w:p>
    <w:p w14:paraId="6A748519" w14:textId="77777777" w:rsidR="00165338" w:rsidRPr="00165338" w:rsidRDefault="00165338" w:rsidP="00165338">
      <w:pPr>
        <w:shd w:val="clear" w:color="auto" w:fill="FFFFFF"/>
        <w:spacing w:after="0" w:line="360" w:lineRule="auto"/>
        <w:rPr>
          <w:rFonts w:ascii="Arial" w:eastAsia="Calibri" w:hAnsi="Arial" w:cs="Arial"/>
          <w:lang w:val="es-ES"/>
        </w:rPr>
      </w:pPr>
      <w:r w:rsidRPr="00165338">
        <w:rPr>
          <w:rFonts w:ascii="Arial" w:eastAsia="Calibri" w:hAnsi="Arial" w:cs="Arial"/>
          <w:lang w:val="es-ES"/>
        </w:rPr>
        <w:t>(%, 15 años de edad o mayores)</w:t>
      </w:r>
      <w:r w:rsidRPr="00165338">
        <w:rPr>
          <w:rFonts w:ascii="Arial" w:eastAsia="Calibri" w:hAnsi="Arial" w:cs="Arial"/>
          <w:noProof/>
          <w:lang w:eastAsia="es-HN"/>
        </w:rPr>
        <w:t xml:space="preserve"> </w:t>
      </w:r>
      <w:r w:rsidRPr="00165338">
        <w:rPr>
          <w:rFonts w:ascii="Arial" w:eastAsia="Calibri" w:hAnsi="Arial" w:cs="Arial"/>
          <w:noProof/>
          <w:lang w:eastAsia="es-HN"/>
        </w:rPr>
        <w:drawing>
          <wp:inline distT="0" distB="0" distL="0" distR="0" wp14:anchorId="3E547B04" wp14:editId="4A002EBB">
            <wp:extent cx="5612130" cy="1679926"/>
            <wp:effectExtent l="0" t="0" r="7620" b="15875"/>
            <wp:docPr id="1" name="Chart 33">
              <a:extLst xmlns:a="http://schemas.openxmlformats.org/drawingml/2006/main">
                <a:ext uri="{FF2B5EF4-FFF2-40B4-BE49-F238E27FC236}">
                  <a16:creationId xmlns:a16="http://schemas.microsoft.com/office/drawing/2014/main" id="{6E82529D-B5C4-41AB-AAF4-D191011BD84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13230D84" w14:textId="77777777" w:rsidR="00165338" w:rsidRPr="00165338" w:rsidRDefault="00165338" w:rsidP="00165338">
      <w:pPr>
        <w:autoSpaceDE w:val="0"/>
        <w:autoSpaceDN w:val="0"/>
        <w:adjustRightInd w:val="0"/>
        <w:spacing w:line="360" w:lineRule="auto"/>
        <w:ind w:left="720"/>
        <w:contextualSpacing/>
        <w:jc w:val="both"/>
        <w:rPr>
          <w:rFonts w:ascii="Arial" w:eastAsia="Calibri" w:hAnsi="Arial" w:cs="Arial"/>
        </w:rPr>
      </w:pPr>
    </w:p>
    <w:p w14:paraId="42CA36FA" w14:textId="56D4070E" w:rsidR="00165338" w:rsidRPr="00165338" w:rsidRDefault="00165338" w:rsidP="00165338">
      <w:pPr>
        <w:autoSpaceDE w:val="0"/>
        <w:autoSpaceDN w:val="0"/>
        <w:adjustRightInd w:val="0"/>
        <w:spacing w:line="360" w:lineRule="auto"/>
        <w:ind w:left="720"/>
        <w:contextualSpacing/>
        <w:jc w:val="both"/>
        <w:rPr>
          <w:rFonts w:ascii="Arial" w:eastAsia="Times New Roman" w:hAnsi="Arial" w:cs="Arial"/>
          <w:lang w:val="es-ES"/>
        </w:rPr>
      </w:pPr>
      <w:r w:rsidRPr="00165338">
        <w:rPr>
          <w:rFonts w:ascii="Arial" w:eastAsia="Times New Roman" w:hAnsi="Arial" w:cs="Arial"/>
          <w:lang w:val="es-ES"/>
        </w:rPr>
        <w:t xml:space="preserve">Fuente: </w:t>
      </w:r>
      <w:r w:rsidR="00F53774">
        <w:rPr>
          <w:rFonts w:ascii="Arial" w:eastAsia="Times New Roman" w:hAnsi="Arial" w:cs="Arial"/>
          <w:lang w:val="es-ES"/>
        </w:rPr>
        <w:t>I</w:t>
      </w:r>
      <w:r w:rsidRPr="00165338">
        <w:rPr>
          <w:rFonts w:ascii="Arial" w:eastAsia="Times New Roman" w:hAnsi="Arial" w:cs="Arial"/>
          <w:lang w:val="es-ES"/>
        </w:rPr>
        <w:t>nformación del INE Honduras e ILO.</w:t>
      </w:r>
    </w:p>
    <w:p w14:paraId="62ABED3C" w14:textId="77777777" w:rsidR="00165338" w:rsidRPr="00165338" w:rsidRDefault="00165338" w:rsidP="00165338">
      <w:pPr>
        <w:spacing w:line="360" w:lineRule="auto"/>
        <w:jc w:val="both"/>
        <w:rPr>
          <w:rFonts w:ascii="Arial" w:eastAsia="Calibri" w:hAnsi="Arial" w:cs="Arial"/>
          <w:lang w:val="es-ES"/>
        </w:rPr>
      </w:pPr>
      <w:r w:rsidRPr="00165338">
        <w:rPr>
          <w:rFonts w:ascii="Arial" w:eastAsia="Calibri" w:hAnsi="Arial" w:cs="Arial"/>
          <w:b/>
          <w:lang w:val="es-ES"/>
        </w:rPr>
        <w:t>Trabajo no renumerado</w:t>
      </w:r>
      <w:r w:rsidRPr="00165338">
        <w:rPr>
          <w:rFonts w:ascii="Arial" w:eastAsia="Calibri" w:hAnsi="Arial" w:cs="Arial"/>
          <w:lang w:val="es-ES"/>
        </w:rPr>
        <w:t>. El trabajo no renumerado es proporcionalmente más alto que en los hombres (12.8% versus 10.6%, respectivamente). Adicionalmente, varios estudios indican que las mujeres de América Latina dedican 80% más tiempo en tareas de cuidados de terceros, en comparación con los hombres.</w:t>
      </w:r>
      <w:r w:rsidRPr="00165338">
        <w:rPr>
          <w:rFonts w:ascii="Arial" w:eastAsia="Calibri" w:hAnsi="Arial" w:cs="Arial"/>
          <w:vertAlign w:val="superscript"/>
          <w:lang w:val="es-ES"/>
        </w:rPr>
        <w:footnoteReference w:id="11"/>
      </w:r>
    </w:p>
    <w:p w14:paraId="78B8FD85" w14:textId="77777777" w:rsidR="00165338" w:rsidRPr="00165338" w:rsidRDefault="00165338" w:rsidP="00165338">
      <w:pPr>
        <w:spacing w:line="360" w:lineRule="auto"/>
        <w:jc w:val="both"/>
        <w:rPr>
          <w:rFonts w:ascii="Arial" w:eastAsia="Calibri" w:hAnsi="Arial" w:cs="Arial"/>
          <w:lang w:val="es-ES"/>
        </w:rPr>
      </w:pPr>
      <w:r w:rsidRPr="00165338">
        <w:rPr>
          <w:rFonts w:ascii="Arial" w:eastAsia="Calibri" w:hAnsi="Arial" w:cs="Arial"/>
          <w:b/>
          <w:lang w:val="es-ES"/>
        </w:rPr>
        <w:t>Brecha salarial</w:t>
      </w:r>
      <w:r w:rsidRPr="00165338">
        <w:rPr>
          <w:rFonts w:ascii="Arial" w:eastAsia="Calibri" w:hAnsi="Arial" w:cs="Arial"/>
          <w:lang w:val="es-ES"/>
        </w:rPr>
        <w:t xml:space="preserve">. En promedio, el ingreso de mujeres empleadas y con salario, así como las </w:t>
      </w:r>
      <w:r w:rsidRPr="00165338">
        <w:rPr>
          <w:rFonts w:ascii="Arial" w:eastAsia="Calibri" w:hAnsi="Arial" w:cs="Arial"/>
          <w:i/>
          <w:lang w:val="es-ES"/>
        </w:rPr>
        <w:t>freelance</w:t>
      </w:r>
      <w:r w:rsidRPr="00165338">
        <w:rPr>
          <w:rFonts w:ascii="Arial" w:eastAsia="Calibri" w:hAnsi="Arial" w:cs="Arial"/>
          <w:lang w:val="es-ES"/>
        </w:rPr>
        <w:t xml:space="preserve"> es equivalente al 92.2% y 92.9% del ingreso de los hombres, en 2007 y 2016 respectivamente.</w:t>
      </w:r>
    </w:p>
    <w:p w14:paraId="6BE2D8A4" w14:textId="40809B97" w:rsidR="00165338" w:rsidRPr="00165338" w:rsidRDefault="00165338" w:rsidP="00165338">
      <w:pPr>
        <w:spacing w:line="360" w:lineRule="auto"/>
        <w:jc w:val="both"/>
        <w:rPr>
          <w:rFonts w:ascii="Arial" w:eastAsia="Calibri" w:hAnsi="Arial" w:cs="Arial"/>
          <w:lang w:val="es-ES"/>
        </w:rPr>
      </w:pPr>
      <w:r w:rsidRPr="00165338">
        <w:rPr>
          <w:rFonts w:ascii="Arial" w:eastAsia="Calibri" w:hAnsi="Arial" w:cs="Arial"/>
          <w:b/>
          <w:lang w:val="es-ES"/>
        </w:rPr>
        <w:t>Empleo informal</w:t>
      </w:r>
      <w:r w:rsidRPr="00165338">
        <w:rPr>
          <w:rFonts w:ascii="Arial" w:eastAsia="Calibri" w:hAnsi="Arial" w:cs="Arial"/>
          <w:lang w:val="es-ES"/>
        </w:rPr>
        <w:t>. Entre 2009 y 2013, la tasa de trabajo informal de los hombres decreció del 73% al 71.3%. En ese mismo periodo, el porcentaje de mujeres con el mismo tipo de empleos aumentó del 74.8% al 75.5%</w:t>
      </w:r>
      <w:r w:rsidR="00F53774">
        <w:rPr>
          <w:rFonts w:ascii="Arial" w:eastAsia="Calibri" w:hAnsi="Arial" w:cs="Arial"/>
          <w:lang w:val="es-ES"/>
        </w:rPr>
        <w:t>.</w:t>
      </w:r>
    </w:p>
    <w:p w14:paraId="789DF932" w14:textId="4F076315" w:rsidR="00165338" w:rsidRPr="00165338" w:rsidRDefault="00165338" w:rsidP="00165338">
      <w:pPr>
        <w:spacing w:line="360" w:lineRule="auto"/>
        <w:jc w:val="both"/>
        <w:rPr>
          <w:rFonts w:ascii="Arial" w:eastAsia="Calibri" w:hAnsi="Arial" w:cs="Arial"/>
          <w:lang w:val="es-ES"/>
        </w:rPr>
      </w:pPr>
      <w:r w:rsidRPr="00165338">
        <w:rPr>
          <w:rFonts w:ascii="Arial" w:eastAsia="Calibri" w:hAnsi="Arial" w:cs="Arial"/>
          <w:b/>
          <w:lang w:val="es-ES"/>
        </w:rPr>
        <w:t>Sector empresarial</w:t>
      </w:r>
      <w:r w:rsidRPr="00165338">
        <w:rPr>
          <w:rFonts w:ascii="Arial" w:eastAsia="Calibri" w:hAnsi="Arial" w:cs="Arial"/>
          <w:lang w:val="es-ES"/>
        </w:rPr>
        <w:t>. En 2016, las mujeres trabajadoras fueron agrupadas en actividades del área terciaria, como venta al por mayor y comercio minorista (28.7%), así como en actividades de servicio comunitario, social y personal (25.5%)</w:t>
      </w:r>
      <w:r w:rsidRPr="00165338">
        <w:rPr>
          <w:rFonts w:ascii="Arial" w:eastAsia="Calibri" w:hAnsi="Arial" w:cs="Arial"/>
          <w:vertAlign w:val="superscript"/>
          <w:lang w:val="es-ES"/>
        </w:rPr>
        <w:footnoteReference w:id="12"/>
      </w:r>
      <w:r w:rsidRPr="00165338">
        <w:rPr>
          <w:rFonts w:ascii="Arial" w:eastAsia="Calibri" w:hAnsi="Arial" w:cs="Arial"/>
          <w:lang w:val="es-ES"/>
        </w:rPr>
        <w:t>, mientras que sus compañeros hombres fueron ocupados en actividades primarias, como la agricultura, ganadería, silvicultura y pesca, principalmente (41%), y en venta al por mayor y comercio minoritario (15.7%)</w:t>
      </w:r>
      <w:r w:rsidR="00F53774">
        <w:rPr>
          <w:rFonts w:ascii="Arial" w:eastAsia="Calibri" w:hAnsi="Arial" w:cs="Arial"/>
          <w:lang w:val="es-ES"/>
        </w:rPr>
        <w:t>.</w:t>
      </w:r>
    </w:p>
    <w:p w14:paraId="5F6DE979" w14:textId="77777777" w:rsidR="00165338" w:rsidRPr="00165338" w:rsidRDefault="00165338" w:rsidP="00165338">
      <w:pPr>
        <w:spacing w:line="360" w:lineRule="auto"/>
        <w:jc w:val="both"/>
        <w:rPr>
          <w:rFonts w:ascii="Arial" w:eastAsia="Calibri" w:hAnsi="Arial" w:cs="Arial"/>
          <w:lang w:val="es-ES"/>
        </w:rPr>
      </w:pPr>
      <w:r w:rsidRPr="00165338">
        <w:rPr>
          <w:rFonts w:ascii="Arial" w:eastAsia="Calibri" w:hAnsi="Arial" w:cs="Arial"/>
          <w:b/>
          <w:lang w:val="es-ES"/>
        </w:rPr>
        <w:lastRenderedPageBreak/>
        <w:t>Empresas.</w:t>
      </w:r>
      <w:r w:rsidRPr="00165338">
        <w:rPr>
          <w:rFonts w:ascii="Arial" w:eastAsia="Calibri" w:hAnsi="Arial" w:cs="Arial"/>
          <w:lang w:val="es-ES"/>
        </w:rPr>
        <w:t xml:space="preserve"> Casi la mitad de los negocios en Honduras son propiedad de mujeres o el principal socio en una mujer (43.3%).</w:t>
      </w:r>
      <w:r w:rsidRPr="00165338">
        <w:rPr>
          <w:rFonts w:ascii="Arial" w:eastAsia="Calibri" w:hAnsi="Arial" w:cs="Arial"/>
          <w:vertAlign w:val="superscript"/>
          <w:lang w:val="es-ES"/>
        </w:rPr>
        <w:footnoteReference w:id="13"/>
      </w:r>
      <w:r w:rsidRPr="00165338">
        <w:rPr>
          <w:rFonts w:ascii="Arial" w:eastAsia="Calibri" w:hAnsi="Arial" w:cs="Arial"/>
          <w:lang w:val="es-ES"/>
        </w:rPr>
        <w:t xml:space="preserve"> De acuerdo con el BID, en 2014 había 127,330 micro, pequeña y mediana empresas (MIPYME) de las cuales 52% eran propiedad de mujeres o su principal socio era una mujer.</w:t>
      </w:r>
    </w:p>
    <w:p w14:paraId="16A2BFF8" w14:textId="77777777" w:rsidR="00165338" w:rsidRPr="00165338" w:rsidRDefault="00165338" w:rsidP="00165338">
      <w:pPr>
        <w:spacing w:line="360" w:lineRule="auto"/>
        <w:jc w:val="both"/>
        <w:rPr>
          <w:rFonts w:ascii="Arial" w:eastAsia="Calibri" w:hAnsi="Arial" w:cs="Arial"/>
          <w:lang w:val="es-ES"/>
        </w:rPr>
      </w:pPr>
      <w:r w:rsidRPr="00165338">
        <w:rPr>
          <w:rFonts w:ascii="Arial" w:eastAsia="Calibri" w:hAnsi="Arial" w:cs="Arial"/>
          <w:b/>
          <w:lang w:val="es-ES"/>
        </w:rPr>
        <w:t>Violencia contra la mujer</w:t>
      </w:r>
      <w:r w:rsidRPr="00165338">
        <w:rPr>
          <w:rFonts w:ascii="Arial" w:eastAsia="Calibri" w:hAnsi="Arial" w:cs="Arial"/>
          <w:lang w:val="es-ES"/>
        </w:rPr>
        <w:t>. (i) Honduras es el país con la tasa más alta de homicidios de mujeres en Latinoamérica y el Caribe, con una tasa de 10.9 por cada 100,000 mujeres, en 2015. El porcentaje más alto, 62.8%, se comete debido a razones de género, así que son considerados feminicidios. (ii) Las jóvenes son las más afectadas por la violencia sexual. En 2016, medicina forense evaluó 3,075 casos de crímenes sexuales, de los cuales 88.5% fueron dirigidos a jóvenes, adolescentes y mujeres adultas. De la cantidad total de evaluaciones de crímenes sexuales, 8 de 10 fueron mujeres menores de 20 años. Así como en agresión con lesiones, la mayoría de asaltantes fueron reconocidos por sus víctimas (75%). (iii) Honduras es el país con las tasas más altas de violencia contra las mujeres, chicas jóvenes y adolescentes</w:t>
      </w:r>
      <w:r w:rsidRPr="00165338">
        <w:rPr>
          <w:rFonts w:ascii="Arial" w:eastAsia="Calibri" w:hAnsi="Arial" w:cs="Arial"/>
          <w:vertAlign w:val="superscript"/>
          <w:lang w:val="es-ES"/>
        </w:rPr>
        <w:footnoteReference w:id="14"/>
      </w:r>
      <w:r w:rsidRPr="00165338">
        <w:rPr>
          <w:rFonts w:ascii="Arial" w:eastAsia="Calibri" w:hAnsi="Arial" w:cs="Arial"/>
          <w:lang w:val="es-ES"/>
        </w:rPr>
        <w:t xml:space="preserve"> en Centro América. Una de cada cuatro mujeres entre los 15 y 49 años de edad ha experimentado algún tipo de violencia de pareja en los últimos 12 meses, con una tendencia a incrementar en las diferentes tipologías.</w:t>
      </w:r>
    </w:p>
    <w:p w14:paraId="7CAB4DFA" w14:textId="77777777" w:rsidR="00165338" w:rsidRPr="00165338" w:rsidRDefault="00165338" w:rsidP="00165338">
      <w:pPr>
        <w:spacing w:line="360" w:lineRule="auto"/>
        <w:jc w:val="both"/>
        <w:rPr>
          <w:rFonts w:ascii="Arial" w:eastAsia="Calibri" w:hAnsi="Arial" w:cs="Arial"/>
          <w:lang w:val="es-ES"/>
        </w:rPr>
      </w:pPr>
      <w:r w:rsidRPr="00165338">
        <w:rPr>
          <w:rFonts w:ascii="Arial" w:eastAsia="Calibri" w:hAnsi="Arial" w:cs="Arial"/>
          <w:b/>
          <w:lang w:val="es-ES"/>
        </w:rPr>
        <w:t>Acceso a la tierra y vivienda</w:t>
      </w:r>
      <w:r w:rsidRPr="00165338">
        <w:rPr>
          <w:rFonts w:ascii="Arial" w:eastAsia="Calibri" w:hAnsi="Arial" w:cs="Arial"/>
          <w:lang w:val="es-ES"/>
        </w:rPr>
        <w:t>. De acuerdo a la información de ENDESA 2011-12, en Honduras 35.3% y 11.7% de mujeres entre los 15 y 49 años son dueñas de viviendas y terrenos, respectivamente, ya sea de manera separada o en conjunto con otros individuos: mientras estas figuras son 37,9% y 25.9% para hombres en el mismo rango de edad, respectivamente.</w:t>
      </w:r>
      <w:r w:rsidRPr="00165338">
        <w:rPr>
          <w:rFonts w:ascii="Arial" w:eastAsia="Calibri" w:hAnsi="Arial" w:cs="Arial"/>
          <w:vertAlign w:val="superscript"/>
          <w:lang w:val="es-ES"/>
        </w:rPr>
        <w:footnoteReference w:id="15"/>
      </w:r>
      <w:r w:rsidRPr="00165338">
        <w:rPr>
          <w:rFonts w:ascii="Arial" w:eastAsia="Calibri" w:hAnsi="Arial" w:cs="Arial"/>
          <w:lang w:val="es-ES"/>
        </w:rPr>
        <w:t xml:space="preserve"> Se confirma que la diferencia de género es más grande en cuanto a propiedad de tierra que de vivienda. En términos de tierras productivas, las mujeres apenas poseen 12% de la superficie cultivada.</w:t>
      </w:r>
      <w:r w:rsidRPr="00165338">
        <w:rPr>
          <w:rFonts w:ascii="Arial" w:eastAsia="Calibri" w:hAnsi="Arial" w:cs="Arial"/>
          <w:vertAlign w:val="superscript"/>
          <w:lang w:val="es-ES"/>
        </w:rPr>
        <w:footnoteReference w:id="16"/>
      </w:r>
    </w:p>
    <w:p w14:paraId="52DB7B90" w14:textId="77777777" w:rsidR="00165338" w:rsidRPr="00165338" w:rsidRDefault="00165338" w:rsidP="00165338">
      <w:pPr>
        <w:spacing w:line="360" w:lineRule="auto"/>
        <w:jc w:val="both"/>
        <w:rPr>
          <w:rFonts w:ascii="Arial" w:eastAsia="Calibri" w:hAnsi="Arial" w:cs="Arial"/>
          <w:lang w:val="es-ES"/>
        </w:rPr>
      </w:pPr>
      <w:r w:rsidRPr="00165338">
        <w:rPr>
          <w:rFonts w:ascii="Arial" w:eastAsia="Calibri" w:hAnsi="Arial" w:cs="Arial"/>
          <w:lang w:val="es-ES"/>
        </w:rPr>
        <w:t xml:space="preserve">No existen restricciones para las mujeres en cuanto al acceso a la tierra, pero, a pesar de la ley, hay restricciones para ellas en cuento a propiedades. Existe una cultura patriarcal que hace que los hombres tengan que ver más sobre la decisión de las tierras. En las comunidades indígenas, las mujeres son todavía más marginadas que los hombres en </w:t>
      </w:r>
      <w:r w:rsidRPr="00165338">
        <w:rPr>
          <w:rFonts w:ascii="Arial" w:eastAsia="Calibri" w:hAnsi="Arial" w:cs="Arial"/>
          <w:lang w:val="es-ES"/>
        </w:rPr>
        <w:lastRenderedPageBreak/>
        <w:t xml:space="preserve">cuanto al acceso a la tierra. En términos de tierras productivas, las mujeres apenas son dueñas del 12% de la superficie agrícola. </w:t>
      </w:r>
      <w:r w:rsidRPr="00165338">
        <w:rPr>
          <w:rFonts w:ascii="Arial" w:eastAsia="Calibri" w:hAnsi="Arial" w:cs="Arial"/>
          <w:vertAlign w:val="superscript"/>
          <w:lang w:val="es-ES"/>
        </w:rPr>
        <w:footnoteReference w:id="17"/>
      </w:r>
    </w:p>
    <w:p w14:paraId="49201403" w14:textId="77777777" w:rsidR="00165338" w:rsidRPr="00165338" w:rsidRDefault="00165338" w:rsidP="00165338">
      <w:pPr>
        <w:spacing w:line="360" w:lineRule="auto"/>
        <w:jc w:val="both"/>
        <w:rPr>
          <w:rFonts w:ascii="Arial" w:eastAsia="Calibri" w:hAnsi="Arial" w:cs="Arial"/>
          <w:lang w:val="es-ES"/>
        </w:rPr>
      </w:pPr>
      <w:r w:rsidRPr="00165338">
        <w:rPr>
          <w:rFonts w:ascii="Arial" w:eastAsia="Calibri" w:hAnsi="Arial" w:cs="Arial"/>
          <w:b/>
          <w:lang w:val="es-ES"/>
        </w:rPr>
        <w:t>Acceso a servicios financieros</w:t>
      </w:r>
      <w:r w:rsidRPr="00165338">
        <w:rPr>
          <w:rFonts w:ascii="Arial" w:eastAsia="Calibri" w:hAnsi="Arial" w:cs="Arial"/>
          <w:lang w:val="es-ES"/>
        </w:rPr>
        <w:t>. En 2014, 24.9% de las mujeres mayores de 15 años tenían una cuenta en una institución financiera</w:t>
      </w:r>
      <w:r w:rsidRPr="00165338">
        <w:rPr>
          <w:rFonts w:ascii="Arial" w:eastAsia="Calibri" w:hAnsi="Arial" w:cs="Arial"/>
          <w:vertAlign w:val="superscript"/>
          <w:lang w:val="es-ES"/>
        </w:rPr>
        <w:footnoteReference w:id="18"/>
      </w:r>
      <w:r w:rsidRPr="00165338">
        <w:rPr>
          <w:rFonts w:ascii="Arial" w:eastAsia="Calibri" w:hAnsi="Arial" w:cs="Arial"/>
          <w:lang w:val="es-ES"/>
        </w:rPr>
        <w:t>, 10 puntos porcentuales abajo del acceso que los hombres tenían, 35.4%. En cuanto a acceso a crédito, 7.2% de mujeres arriba de los 15 años, fue otorgado un crédito por una institución financiera, mientras que a los hombres les otorgaron el 12.2%.</w:t>
      </w:r>
    </w:p>
    <w:p w14:paraId="6EAC829D" w14:textId="77777777" w:rsidR="00165338" w:rsidRPr="00165338" w:rsidRDefault="00165338" w:rsidP="00165338">
      <w:pPr>
        <w:spacing w:line="360" w:lineRule="auto"/>
        <w:jc w:val="both"/>
        <w:rPr>
          <w:rFonts w:ascii="Arial" w:eastAsia="Calibri" w:hAnsi="Arial" w:cs="Arial"/>
          <w:lang w:val="es-ES"/>
        </w:rPr>
      </w:pPr>
      <w:r w:rsidRPr="00165338">
        <w:rPr>
          <w:rFonts w:ascii="Arial" w:eastAsia="Calibri" w:hAnsi="Arial" w:cs="Arial"/>
          <w:lang w:val="es-ES"/>
        </w:rPr>
        <w:t>d) CARACTERÍSTICAS DE LAS MUJERES EN EL ÁREA DEL PROYECTO</w:t>
      </w:r>
    </w:p>
    <w:p w14:paraId="6EB36CAC" w14:textId="1C3809A2" w:rsidR="00165338" w:rsidRPr="00697845" w:rsidRDefault="00165338" w:rsidP="00697845">
      <w:pPr>
        <w:spacing w:line="360" w:lineRule="auto"/>
        <w:jc w:val="both"/>
        <w:rPr>
          <w:rFonts w:ascii="Arial" w:eastAsia="Calibri" w:hAnsi="Arial" w:cs="Arial"/>
          <w:lang w:val="es-ES"/>
        </w:rPr>
      </w:pPr>
      <w:r w:rsidRPr="00165338">
        <w:rPr>
          <w:rFonts w:ascii="Arial" w:eastAsia="Calibri" w:hAnsi="Arial" w:cs="Arial"/>
          <w:lang w:val="es-ES"/>
        </w:rPr>
        <w:t xml:space="preserve">Se estima que 27,000 hogares serán directamente beneficiarios del proyecto, de los cuales </w:t>
      </w:r>
      <w:r w:rsidR="00201B80">
        <w:rPr>
          <w:rFonts w:ascii="Arial" w:eastAsia="Calibri" w:hAnsi="Arial" w:cs="Arial"/>
          <w:lang w:val="es-ES"/>
        </w:rPr>
        <w:t>2,700</w:t>
      </w:r>
      <w:r w:rsidRPr="00165338">
        <w:rPr>
          <w:rFonts w:ascii="Arial" w:eastAsia="Calibri" w:hAnsi="Arial" w:cs="Arial"/>
          <w:lang w:val="es-ES"/>
        </w:rPr>
        <w:t xml:space="preserve"> serán hogares encabezados por mujeres. Estos beneficiarios son, en su mayoría, participantes en las organizaciones agroforestales y de </w:t>
      </w:r>
      <w:proofErr w:type="spellStart"/>
      <w:proofErr w:type="gramStart"/>
      <w:r w:rsidRPr="00165338">
        <w:rPr>
          <w:rFonts w:ascii="Arial" w:eastAsia="Calibri" w:hAnsi="Arial" w:cs="Arial"/>
          <w:lang w:val="es-ES"/>
        </w:rPr>
        <w:t>micro</w:t>
      </w:r>
      <w:r w:rsidR="00697845">
        <w:rPr>
          <w:rFonts w:ascii="Arial" w:eastAsia="Calibri" w:hAnsi="Arial" w:cs="Arial"/>
          <w:lang w:val="es-ES"/>
        </w:rPr>
        <w:t>-</w:t>
      </w:r>
      <w:r w:rsidRPr="00165338">
        <w:rPr>
          <w:rFonts w:ascii="Arial" w:eastAsia="Calibri" w:hAnsi="Arial" w:cs="Arial"/>
          <w:lang w:val="es-ES"/>
        </w:rPr>
        <w:t>cuencas</w:t>
      </w:r>
      <w:proofErr w:type="spellEnd"/>
      <w:proofErr w:type="gramEnd"/>
      <w:r w:rsidRPr="00165338">
        <w:rPr>
          <w:rFonts w:ascii="Arial" w:eastAsia="Calibri" w:hAnsi="Arial" w:cs="Arial"/>
          <w:lang w:val="es-ES"/>
        </w:rPr>
        <w:t xml:space="preserve"> </w:t>
      </w:r>
      <w:r w:rsidR="0058195E">
        <w:rPr>
          <w:rFonts w:ascii="Arial" w:eastAsia="Calibri" w:hAnsi="Arial" w:cs="Arial"/>
          <w:lang w:val="es-ES"/>
        </w:rPr>
        <w:t xml:space="preserve">reconocidas por </w:t>
      </w:r>
      <w:r w:rsidRPr="00165338">
        <w:rPr>
          <w:rFonts w:ascii="Arial" w:eastAsia="Calibri" w:hAnsi="Arial" w:cs="Arial"/>
          <w:lang w:val="es-ES"/>
        </w:rPr>
        <w:t>el ICF</w:t>
      </w:r>
      <w:r w:rsidRPr="00165338">
        <w:rPr>
          <w:rFonts w:ascii="Arial" w:eastAsia="Calibri" w:hAnsi="Arial" w:cs="Arial"/>
          <w:vertAlign w:val="superscript"/>
          <w:lang w:val="es-ES"/>
        </w:rPr>
        <w:footnoteReference w:id="19"/>
      </w:r>
      <w:r w:rsidRPr="00165338">
        <w:rPr>
          <w:rFonts w:ascii="Arial" w:eastAsia="Calibri" w:hAnsi="Arial" w:cs="Arial"/>
          <w:lang w:val="es-ES"/>
        </w:rPr>
        <w:t>. Se estima que la seguridad y disponibilidad del agua beneficiará a 450,000 beneficiarios indirectos (4.8% del total de la población) durante la estación seca del año de acuerdo a la cantidad adicional de agua producida de las intervenciones del proyecto. Estos beneficiarios se localizarán en el área urbana, 75% en Tegucigalpa y 25% en otras ciudades con más de 10,000 habitantes. Aproximadamente, 52% son mujeres.</w:t>
      </w:r>
    </w:p>
    <w:p w14:paraId="3CE454FC" w14:textId="77777777" w:rsidR="00165338" w:rsidRPr="00165338" w:rsidRDefault="00165338" w:rsidP="00165338">
      <w:pPr>
        <w:spacing w:line="360" w:lineRule="auto"/>
        <w:jc w:val="both"/>
        <w:rPr>
          <w:rFonts w:ascii="Arial" w:eastAsia="Calibri" w:hAnsi="Arial" w:cs="Arial"/>
          <w:lang w:val="es-ES"/>
        </w:rPr>
      </w:pPr>
      <w:r w:rsidRPr="00165338">
        <w:rPr>
          <w:rFonts w:ascii="Arial" w:eastAsia="Calibri" w:hAnsi="Arial" w:cs="Arial"/>
          <w:b/>
          <w:lang w:val="es-ES"/>
        </w:rPr>
        <w:t>Mujeres en la fuerza laboral</w:t>
      </w:r>
      <w:r w:rsidRPr="00165338">
        <w:rPr>
          <w:rFonts w:ascii="Arial" w:eastAsia="Calibri" w:hAnsi="Arial" w:cs="Arial"/>
          <w:lang w:val="es-ES"/>
        </w:rPr>
        <w:t>. En Honduras, la fuerza laboral de las mujeres en las labores agrícolas representa 10.3%. Sin embargo, en las áreas rurales donde el proyecto va a ser implementado este número es ligeramente más alto de acuerdo con la información del censo de 2013:</w:t>
      </w:r>
    </w:p>
    <w:p w14:paraId="1E9D17A6" w14:textId="77777777" w:rsidR="00165338" w:rsidRPr="00165338" w:rsidRDefault="00165338" w:rsidP="00165338">
      <w:pPr>
        <w:numPr>
          <w:ilvl w:val="0"/>
          <w:numId w:val="1"/>
        </w:numPr>
        <w:spacing w:after="0" w:line="360" w:lineRule="auto"/>
        <w:jc w:val="both"/>
        <w:rPr>
          <w:rFonts w:ascii="Arial" w:eastAsia="Calibri" w:hAnsi="Arial" w:cs="Arial"/>
          <w:lang w:val="es-ES"/>
        </w:rPr>
      </w:pPr>
      <w:r w:rsidRPr="00165338">
        <w:rPr>
          <w:rFonts w:ascii="Arial" w:eastAsia="Calibri" w:hAnsi="Arial" w:cs="Arial"/>
          <w:lang w:val="es-ES"/>
        </w:rPr>
        <w:t>EL PARAISO. Las mujeres en el área urbana trabajan como comerciantes (18.8%), la industria del tabaco (13.4%), sector doméstico (10.5%) y como maestras en educación primaria (10.5%). Solamente 1.8% de las mujeres trabajan en el sector agrícola contra 23% de los hombres. En el área rural, la principal ocupación para las mujeres es en el sector agrícola (19%), seguido del sector doméstico (11.8%), maestras en educación primaria (10.5%), y en el sector del tabaco (6%).</w:t>
      </w:r>
    </w:p>
    <w:p w14:paraId="0BA0F574" w14:textId="77777777" w:rsidR="00165338" w:rsidRPr="00165338" w:rsidRDefault="00165338" w:rsidP="00165338">
      <w:pPr>
        <w:numPr>
          <w:ilvl w:val="0"/>
          <w:numId w:val="1"/>
        </w:numPr>
        <w:spacing w:after="0" w:line="360" w:lineRule="auto"/>
        <w:jc w:val="both"/>
        <w:rPr>
          <w:rFonts w:ascii="Arial" w:eastAsia="Calibri" w:hAnsi="Arial" w:cs="Arial"/>
          <w:lang w:val="es-ES"/>
        </w:rPr>
      </w:pPr>
      <w:r w:rsidRPr="00165338">
        <w:rPr>
          <w:rFonts w:ascii="Arial" w:eastAsia="Calibri" w:hAnsi="Arial" w:cs="Arial"/>
          <w:lang w:val="es-ES"/>
        </w:rPr>
        <w:t xml:space="preserve">FRANCISCO MORAZÁN. Las dos principales ocupaciones de las mujeres en el área urbana son como comerciantes (13%) y en el sector doméstico (10.3%). Solo </w:t>
      </w:r>
      <w:r w:rsidRPr="00165338">
        <w:rPr>
          <w:rFonts w:ascii="Arial" w:eastAsia="Calibri" w:hAnsi="Arial" w:cs="Arial"/>
          <w:lang w:val="es-ES"/>
        </w:rPr>
        <w:lastRenderedPageBreak/>
        <w:t>el 0.3% trabaja en el sector agrícola. En el área rural, las mujeres trabajan en el sector doméstico (20%), comerciantes (12%), y sector agrícola (5.8%)</w:t>
      </w:r>
    </w:p>
    <w:p w14:paraId="38F514D2" w14:textId="77777777" w:rsidR="00165338" w:rsidRPr="00165338" w:rsidRDefault="00165338" w:rsidP="00165338">
      <w:pPr>
        <w:numPr>
          <w:ilvl w:val="0"/>
          <w:numId w:val="1"/>
        </w:numPr>
        <w:spacing w:after="0" w:line="360" w:lineRule="auto"/>
        <w:jc w:val="both"/>
        <w:rPr>
          <w:rFonts w:ascii="Arial" w:eastAsia="Calibri" w:hAnsi="Arial" w:cs="Arial"/>
          <w:lang w:val="es-ES"/>
        </w:rPr>
      </w:pPr>
      <w:r w:rsidRPr="00165338">
        <w:rPr>
          <w:rFonts w:ascii="Arial" w:eastAsia="Calibri" w:hAnsi="Arial" w:cs="Arial"/>
          <w:lang w:val="es-ES"/>
        </w:rPr>
        <w:t>COMAYAGUA. La principal ocupación para las mujeres urbanas es el comercio (12.7%), sector doméstico (10.8%), y maestras en educación primaria (9.65%). 2.5% de las mujeres trabajan en el sector agrícola. En el área rural, 25% de las mujeres trabajan en el sector agrícola en comparación con el 82% de los hombres. Otras ocupaciones para las mujeres son el sector doméstico (14.5%) y comercio (12.7%).</w:t>
      </w:r>
    </w:p>
    <w:p w14:paraId="2D2C802D" w14:textId="77777777" w:rsidR="00165338" w:rsidRPr="00165338" w:rsidRDefault="00165338" w:rsidP="00165338">
      <w:pPr>
        <w:numPr>
          <w:ilvl w:val="0"/>
          <w:numId w:val="1"/>
        </w:numPr>
        <w:spacing w:after="0" w:line="360" w:lineRule="auto"/>
        <w:jc w:val="both"/>
        <w:rPr>
          <w:rFonts w:ascii="Arial" w:eastAsia="Calibri" w:hAnsi="Arial" w:cs="Arial"/>
          <w:lang w:val="es-ES"/>
        </w:rPr>
      </w:pPr>
      <w:r w:rsidRPr="00165338">
        <w:rPr>
          <w:rFonts w:ascii="Arial" w:eastAsia="Calibri" w:hAnsi="Arial" w:cs="Arial"/>
          <w:lang w:val="es-ES"/>
        </w:rPr>
        <w:t>CHOLUTECA. Las mujeres en el área urbana trabajan como comerciantes (25%), servicio doméstico (11%), y como maestras de educación primaria (11%). 0.8% trabaja en agricultura. En el sector rural, las mujeres trabajan en el sector doméstico (14%), como comerciantes (12.7%), y en agricultura (11%). 73% de los hombres trabaja en el sector agrícola.</w:t>
      </w:r>
    </w:p>
    <w:p w14:paraId="1F3E078E" w14:textId="77777777" w:rsidR="00165338" w:rsidRPr="00165338" w:rsidRDefault="00165338" w:rsidP="00165338">
      <w:pPr>
        <w:numPr>
          <w:ilvl w:val="0"/>
          <w:numId w:val="1"/>
        </w:numPr>
        <w:spacing w:after="0" w:line="360" w:lineRule="auto"/>
        <w:jc w:val="both"/>
        <w:rPr>
          <w:rFonts w:ascii="Arial" w:eastAsia="Calibri" w:hAnsi="Arial" w:cs="Arial"/>
          <w:lang w:val="es-ES"/>
        </w:rPr>
      </w:pPr>
      <w:r w:rsidRPr="00165338">
        <w:rPr>
          <w:rFonts w:ascii="Arial" w:eastAsia="Calibri" w:hAnsi="Arial" w:cs="Arial"/>
          <w:lang w:val="es-ES"/>
        </w:rPr>
        <w:t>OLANCHO. Como en el resto de los departamentos, las mujeres trabajan como comerciantes (16%), sector doméstico (13%), y como maestras en educación secundaria (12%). En el área rural, 20% de las mujeres trabaja en el sector agrícola, 13% en el sector doméstico, y 7.6% como comerciantes. 82% de los hombres trabaja en agricultura.</w:t>
      </w:r>
    </w:p>
    <w:p w14:paraId="29B497D2" w14:textId="77777777" w:rsidR="00165338" w:rsidRPr="00165338" w:rsidRDefault="00165338" w:rsidP="00165338">
      <w:pPr>
        <w:spacing w:line="360" w:lineRule="auto"/>
        <w:jc w:val="both"/>
        <w:rPr>
          <w:rFonts w:ascii="Arial" w:eastAsia="Calibri" w:hAnsi="Arial" w:cs="Arial"/>
          <w:lang w:val="es-ES"/>
        </w:rPr>
      </w:pPr>
      <w:r w:rsidRPr="00165338">
        <w:rPr>
          <w:rFonts w:ascii="Arial" w:eastAsia="Calibri" w:hAnsi="Arial" w:cs="Arial"/>
          <w:b/>
          <w:lang w:val="es-ES"/>
        </w:rPr>
        <w:t>Hogares encabezados por mujeres</w:t>
      </w:r>
      <w:r w:rsidRPr="00165338">
        <w:rPr>
          <w:rFonts w:ascii="Arial" w:eastAsia="Calibri" w:hAnsi="Arial" w:cs="Arial"/>
          <w:lang w:val="es-ES"/>
        </w:rPr>
        <w:t>. En Honduras, entre más urbano es un municipio son más las posibilidades de encontrar un hogar dirigido por una mujer. Por ejemplo, la municipalidad más urbana, el Distrito Central, tiene el número más alto de hogares encabezados por mujeres en el área de intervención (34%). En San Marcos de Colón, una municipalidad con 51% de población rural, solo tiene 26.6% de casas con mujeres como cabeza de hogar.</w:t>
      </w:r>
    </w:p>
    <w:p w14:paraId="417BC2A5" w14:textId="77777777" w:rsidR="00165338" w:rsidRPr="00165338" w:rsidRDefault="00165338" w:rsidP="00165338">
      <w:pPr>
        <w:autoSpaceDE w:val="0"/>
        <w:autoSpaceDN w:val="0"/>
        <w:adjustRightInd w:val="0"/>
        <w:spacing w:after="240" w:line="360" w:lineRule="auto"/>
        <w:jc w:val="both"/>
        <w:rPr>
          <w:rFonts w:ascii="Arial" w:eastAsia="Calibri" w:hAnsi="Arial" w:cs="Arial"/>
        </w:rPr>
      </w:pPr>
      <w:r w:rsidRPr="00165338">
        <w:rPr>
          <w:rFonts w:ascii="Arial" w:eastAsia="Calibri" w:hAnsi="Arial" w:cs="Arial"/>
          <w:b/>
        </w:rPr>
        <w:t>Organizaciones en el área de intervención</w:t>
      </w:r>
      <w:r w:rsidRPr="00165338">
        <w:rPr>
          <w:rFonts w:ascii="Arial" w:eastAsia="Calibri" w:hAnsi="Arial" w:cs="Arial"/>
        </w:rPr>
        <w:t>. La mayoría de las mujeres beneficiarias son participantes de las organizaciones agroforestales y micro cuencas del ICF</w:t>
      </w:r>
      <w:r w:rsidRPr="00165338">
        <w:rPr>
          <w:rFonts w:ascii="Arial" w:eastAsia="Calibri" w:hAnsi="Arial" w:cs="Arial"/>
          <w:vertAlign w:val="superscript"/>
        </w:rPr>
        <w:footnoteReference w:id="20"/>
      </w:r>
      <w:r w:rsidRPr="00165338">
        <w:rPr>
          <w:rFonts w:ascii="Arial" w:eastAsia="Calibri" w:hAnsi="Arial" w:cs="Arial"/>
        </w:rPr>
        <w:t>. Durante la preparación del Plan de Formación para este proyecto, 32 de estas organizaciones de potenciales beneficiarios fueron entrevistadas. Estas organizaciones comprenden un total de 13,079 miembros, de los cuales 60% son hombres y 40% son mujeres. La participación de las mujeres se reduce drásticamente en los procesos de toma de decisiones dentro de las organizaciones, dado que de los 240 miembros que conforman las directivas, solo 24% son mujeres.</w:t>
      </w:r>
    </w:p>
    <w:p w14:paraId="43E7046A" w14:textId="2EC2FEB9" w:rsidR="00165338" w:rsidRPr="00165338" w:rsidRDefault="00165338" w:rsidP="00165338">
      <w:pPr>
        <w:autoSpaceDE w:val="0"/>
        <w:autoSpaceDN w:val="0"/>
        <w:adjustRightInd w:val="0"/>
        <w:spacing w:after="240" w:line="360" w:lineRule="auto"/>
        <w:jc w:val="both"/>
        <w:rPr>
          <w:rFonts w:ascii="Arial" w:eastAsia="Calibri" w:hAnsi="Arial" w:cs="Arial"/>
        </w:rPr>
      </w:pPr>
      <w:r w:rsidRPr="00165338">
        <w:rPr>
          <w:rFonts w:ascii="Arial" w:eastAsia="Calibri" w:hAnsi="Arial" w:cs="Arial"/>
        </w:rPr>
        <w:lastRenderedPageBreak/>
        <w:t>Adicionalmente, durante la fase de encuesta de información cualitativa, se observa que existen diferencias visibles en los roles de género debido a las normas tradicionales. Mujeres y hombres juegan diferentes roles en la casa, en el espacio público y en el espacio agrícola. Las mujeres son asignadas para trabajar en la casa, con participación limitada en espacios públicos y en la agricultura, donde ellas solo ayudan a sus esposos.</w:t>
      </w:r>
    </w:p>
    <w:p w14:paraId="10A1337F" w14:textId="77777777" w:rsidR="00165338" w:rsidRPr="00165338" w:rsidRDefault="00165338" w:rsidP="00165338">
      <w:pPr>
        <w:autoSpaceDE w:val="0"/>
        <w:autoSpaceDN w:val="0"/>
        <w:adjustRightInd w:val="0"/>
        <w:spacing w:after="240" w:line="360" w:lineRule="auto"/>
        <w:jc w:val="both"/>
        <w:rPr>
          <w:rFonts w:ascii="Arial" w:eastAsia="Calibri" w:hAnsi="Arial" w:cs="Arial"/>
        </w:rPr>
      </w:pPr>
      <w:r w:rsidRPr="00165338">
        <w:rPr>
          <w:rFonts w:ascii="Arial" w:eastAsia="Calibri" w:hAnsi="Arial" w:cs="Arial"/>
        </w:rPr>
        <w:t>Un análisis más profundo será llevado a cabo durante los primeros meses de la implementación del proyecto para aprender más acerca de las condiciones socio-económicas de las mujeres trabajadoras en las organizaciones beneficiarias.</w:t>
      </w:r>
    </w:p>
    <w:p w14:paraId="13415293" w14:textId="2AC22F9D" w:rsidR="00165338" w:rsidRPr="00165338" w:rsidRDefault="00165338" w:rsidP="00165338">
      <w:pPr>
        <w:autoSpaceDE w:val="0"/>
        <w:autoSpaceDN w:val="0"/>
        <w:adjustRightInd w:val="0"/>
        <w:spacing w:after="240" w:line="360" w:lineRule="auto"/>
        <w:jc w:val="both"/>
        <w:rPr>
          <w:rFonts w:ascii="Arial" w:eastAsia="Calibri" w:hAnsi="Arial" w:cs="Arial"/>
        </w:rPr>
      </w:pPr>
      <w:r w:rsidRPr="00165338">
        <w:rPr>
          <w:rFonts w:ascii="Arial" w:eastAsia="Calibri" w:hAnsi="Arial" w:cs="Arial"/>
          <w:b/>
        </w:rPr>
        <w:t>Sistemas agroforestales (SA</w:t>
      </w:r>
      <w:r w:rsidR="00F53774">
        <w:rPr>
          <w:rFonts w:ascii="Arial" w:eastAsia="Calibri" w:hAnsi="Arial" w:cs="Arial"/>
          <w:b/>
        </w:rPr>
        <w:t>F</w:t>
      </w:r>
      <w:r w:rsidRPr="00165338">
        <w:rPr>
          <w:rFonts w:ascii="Arial" w:eastAsia="Calibri" w:hAnsi="Arial" w:cs="Arial"/>
          <w:b/>
        </w:rPr>
        <w:t>).</w:t>
      </w:r>
      <w:r w:rsidRPr="00165338">
        <w:rPr>
          <w:rFonts w:ascii="Arial" w:eastAsia="Calibri" w:hAnsi="Arial" w:cs="Arial"/>
        </w:rPr>
        <w:t xml:space="preserve"> El proyecto apoyará la implementación de sistemas agroforestales en un total de 30,000 hectáreas localizadas en áreas adyacentes a los bosques de pino con actividades de agricultura y ganadería. Las principales barreras para la adopción de los SA en el área del proyecto son la falta de recursos financieros, conocimiento limitado de las prácticas de SA</w:t>
      </w:r>
      <w:r w:rsidR="00F53774">
        <w:rPr>
          <w:rFonts w:ascii="Arial" w:eastAsia="Calibri" w:hAnsi="Arial" w:cs="Arial"/>
        </w:rPr>
        <w:t>F</w:t>
      </w:r>
      <w:r w:rsidRPr="00165338">
        <w:rPr>
          <w:rFonts w:ascii="Arial" w:eastAsia="Calibri" w:hAnsi="Arial" w:cs="Arial"/>
        </w:rPr>
        <w:t xml:space="preserve"> y débil suministro de asistencia técnica y calidad de aportaciones clave como semilleros. Estas barreras son especialmente importantes para las mujeres que tienen peores registros que los hombres en el acceso a financiamiento en Honduras y que tienen más dificultades asistiendo a entrenamientos y asistencia técnica. El proyecto promoverá, principalmente, café bajo la sombra, instalación financiada de cafetos y sombreado adecuado, con el suministro de asistencia técnica y entrenamiento.</w:t>
      </w:r>
    </w:p>
    <w:p w14:paraId="4C099729" w14:textId="77777777" w:rsidR="00165338" w:rsidRPr="00165338" w:rsidRDefault="00165338" w:rsidP="00165338">
      <w:pPr>
        <w:autoSpaceDE w:val="0"/>
        <w:autoSpaceDN w:val="0"/>
        <w:adjustRightInd w:val="0"/>
        <w:spacing w:after="240" w:line="360" w:lineRule="auto"/>
        <w:jc w:val="both"/>
        <w:rPr>
          <w:rFonts w:ascii="Arial" w:eastAsia="Calibri" w:hAnsi="Arial" w:cs="Arial"/>
        </w:rPr>
      </w:pPr>
      <w:r w:rsidRPr="00165338">
        <w:rPr>
          <w:rFonts w:ascii="Arial" w:eastAsia="Calibri" w:hAnsi="Arial" w:cs="Arial"/>
        </w:rPr>
        <w:t>De acuerdo a un estudio llevado a cabo en 2018 por la Comisión Europea sobre la cadena de valor del café en Honduras, ha habido avances en la participación de las mujeres en la toma de decisiones, liderazgo y empoderamiento en años recientes. No obstante, aún hay poca visibilidad de la participación de las mujeres en actividades cafeteras, y su dificultad en acceder a la tierra limita su acceso a los servicios.</w:t>
      </w:r>
    </w:p>
    <w:p w14:paraId="26F8DDDB" w14:textId="77777777" w:rsidR="00165338" w:rsidRPr="00165338" w:rsidRDefault="00165338" w:rsidP="00165338">
      <w:pPr>
        <w:autoSpaceDE w:val="0"/>
        <w:autoSpaceDN w:val="0"/>
        <w:adjustRightInd w:val="0"/>
        <w:spacing w:after="240" w:line="360" w:lineRule="auto"/>
        <w:jc w:val="both"/>
        <w:rPr>
          <w:rFonts w:ascii="Arial" w:eastAsia="Calibri" w:hAnsi="Arial" w:cs="Arial"/>
        </w:rPr>
      </w:pPr>
      <w:r w:rsidRPr="00165338">
        <w:rPr>
          <w:rFonts w:ascii="Arial" w:eastAsia="Calibri" w:hAnsi="Arial" w:cs="Arial"/>
        </w:rPr>
        <w:t>El sector café genera un millón de empleos en el país y 30% de la población vive del café, hay 17,978 productoras de café en Honduras, 19% del total de productores.</w:t>
      </w:r>
    </w:p>
    <w:p w14:paraId="3463EBDB" w14:textId="77777777" w:rsidR="00165338" w:rsidRPr="00165338" w:rsidRDefault="00165338" w:rsidP="00165338">
      <w:pPr>
        <w:autoSpaceDE w:val="0"/>
        <w:autoSpaceDN w:val="0"/>
        <w:adjustRightInd w:val="0"/>
        <w:spacing w:after="240" w:line="360" w:lineRule="auto"/>
        <w:jc w:val="both"/>
        <w:rPr>
          <w:rFonts w:ascii="Arial" w:eastAsia="Calibri" w:hAnsi="Arial" w:cs="Arial"/>
        </w:rPr>
      </w:pPr>
      <w:r w:rsidRPr="00165338">
        <w:rPr>
          <w:rFonts w:ascii="Arial" w:eastAsia="Calibri" w:hAnsi="Arial" w:cs="Arial"/>
        </w:rPr>
        <w:t>Familias enteras e individuales se mueven de un municipio a otro para trabajar en el sector cafetalero. Este cambio de personas puede causar algunos efectos indeseados por la población local.</w:t>
      </w:r>
    </w:p>
    <w:p w14:paraId="785C0D77" w14:textId="77777777" w:rsidR="00165338" w:rsidRPr="00165338" w:rsidRDefault="00165338" w:rsidP="00165338">
      <w:pPr>
        <w:autoSpaceDE w:val="0"/>
        <w:autoSpaceDN w:val="0"/>
        <w:adjustRightInd w:val="0"/>
        <w:spacing w:after="240" w:line="360" w:lineRule="auto"/>
        <w:jc w:val="both"/>
        <w:rPr>
          <w:rFonts w:ascii="Arial" w:eastAsia="Calibri" w:hAnsi="Arial" w:cs="Arial"/>
        </w:rPr>
      </w:pPr>
      <w:r w:rsidRPr="00165338">
        <w:rPr>
          <w:rFonts w:ascii="Arial" w:eastAsia="Calibri" w:hAnsi="Arial" w:cs="Arial"/>
        </w:rPr>
        <w:lastRenderedPageBreak/>
        <w:t xml:space="preserve">De acuerdo con </w:t>
      </w:r>
      <w:proofErr w:type="spellStart"/>
      <w:r w:rsidRPr="00165338">
        <w:rPr>
          <w:rFonts w:ascii="Arial" w:eastAsia="Calibri" w:hAnsi="Arial" w:cs="Arial"/>
        </w:rPr>
        <w:t>Action</w:t>
      </w:r>
      <w:proofErr w:type="spellEnd"/>
      <w:r w:rsidRPr="00165338">
        <w:rPr>
          <w:rFonts w:ascii="Arial" w:eastAsia="Calibri" w:hAnsi="Arial" w:cs="Arial"/>
        </w:rPr>
        <w:t xml:space="preserve"> </w:t>
      </w:r>
      <w:proofErr w:type="spellStart"/>
      <w:r w:rsidRPr="00165338">
        <w:rPr>
          <w:rFonts w:ascii="Arial" w:eastAsia="Calibri" w:hAnsi="Arial" w:cs="Arial"/>
        </w:rPr>
        <w:t>Aid</w:t>
      </w:r>
      <w:proofErr w:type="spellEnd"/>
      <w:r w:rsidRPr="00165338">
        <w:rPr>
          <w:rFonts w:ascii="Arial" w:eastAsia="Calibri" w:hAnsi="Arial" w:cs="Arial"/>
        </w:rPr>
        <w:t>, en las áreas donde se planta el café, los centros de salud denuncian que hay un incremento en la violencia sexual contra las mujeres, así como embarazos en adolescentes.</w:t>
      </w:r>
    </w:p>
    <w:p w14:paraId="7E7D976C" w14:textId="78E44D67" w:rsidR="00165338" w:rsidRDefault="00D623EA" w:rsidP="00165338">
      <w:pPr>
        <w:autoSpaceDE w:val="0"/>
        <w:autoSpaceDN w:val="0"/>
        <w:adjustRightInd w:val="0"/>
        <w:spacing w:after="240" w:line="360" w:lineRule="auto"/>
        <w:jc w:val="both"/>
        <w:rPr>
          <w:rFonts w:ascii="Arial" w:eastAsia="Calibri" w:hAnsi="Arial" w:cs="Arial"/>
        </w:rPr>
      </w:pPr>
      <w:r>
        <w:rPr>
          <w:rFonts w:ascii="Arial" w:eastAsia="Calibri" w:hAnsi="Arial" w:cs="Arial"/>
        </w:rPr>
        <w:t>Según el Anuario Estadístico Forestal del año 2018</w:t>
      </w:r>
      <w:r w:rsidR="00623CDE">
        <w:rPr>
          <w:rFonts w:ascii="Arial" w:eastAsia="Calibri" w:hAnsi="Arial" w:cs="Arial"/>
        </w:rPr>
        <w:t xml:space="preserve"> (ICF, 2019)</w:t>
      </w:r>
      <w:r>
        <w:rPr>
          <w:rFonts w:ascii="Arial" w:eastAsia="Calibri" w:hAnsi="Arial" w:cs="Arial"/>
        </w:rPr>
        <w:t xml:space="preserve">, la membresía de las 152 organizaciones agroforestales localizadas en los cinco departamentos de influencia del </w:t>
      </w:r>
      <w:r w:rsidR="00F53774">
        <w:rPr>
          <w:rFonts w:ascii="Arial" w:eastAsia="Calibri" w:hAnsi="Arial" w:cs="Arial"/>
        </w:rPr>
        <w:t>Proyecto</w:t>
      </w:r>
      <w:r>
        <w:rPr>
          <w:rFonts w:ascii="Arial" w:eastAsia="Calibri" w:hAnsi="Arial" w:cs="Arial"/>
        </w:rPr>
        <w:t xml:space="preserve"> reporta una participación de 24 % de mujeres</w:t>
      </w:r>
      <w:r w:rsidR="00F53774">
        <w:rPr>
          <w:rFonts w:ascii="Arial" w:eastAsia="Calibri" w:hAnsi="Arial" w:cs="Arial"/>
        </w:rPr>
        <w:t xml:space="preserve"> (Cuadro 1)</w:t>
      </w:r>
      <w:r>
        <w:rPr>
          <w:rFonts w:ascii="Arial" w:eastAsia="Calibri" w:hAnsi="Arial" w:cs="Arial"/>
        </w:rPr>
        <w:t>.</w:t>
      </w:r>
    </w:p>
    <w:p w14:paraId="37969644" w14:textId="57B12397" w:rsidR="00F53774" w:rsidRPr="00165338" w:rsidRDefault="00F53774" w:rsidP="00165338">
      <w:pPr>
        <w:autoSpaceDE w:val="0"/>
        <w:autoSpaceDN w:val="0"/>
        <w:adjustRightInd w:val="0"/>
        <w:spacing w:after="240" w:line="360" w:lineRule="auto"/>
        <w:jc w:val="both"/>
        <w:rPr>
          <w:rFonts w:ascii="Arial" w:eastAsia="Calibri" w:hAnsi="Arial" w:cs="Arial"/>
        </w:rPr>
      </w:pPr>
      <w:r>
        <w:rPr>
          <w:rFonts w:ascii="Arial" w:eastAsia="Calibri" w:hAnsi="Arial" w:cs="Arial"/>
        </w:rPr>
        <w:t>Cuadro 1. Participación de mujeres en organizaciones agroforestales</w:t>
      </w:r>
    </w:p>
    <w:tbl>
      <w:tblPr>
        <w:tblW w:w="9062" w:type="dxa"/>
        <w:tblCellMar>
          <w:left w:w="70" w:type="dxa"/>
          <w:right w:w="70" w:type="dxa"/>
        </w:tblCellMar>
        <w:tblLook w:val="04A0" w:firstRow="1" w:lastRow="0" w:firstColumn="1" w:lastColumn="0" w:noHBand="0" w:noVBand="1"/>
      </w:tblPr>
      <w:tblGrid>
        <w:gridCol w:w="1833"/>
        <w:gridCol w:w="1529"/>
        <w:gridCol w:w="1164"/>
        <w:gridCol w:w="1134"/>
        <w:gridCol w:w="1134"/>
        <w:gridCol w:w="1134"/>
        <w:gridCol w:w="1134"/>
      </w:tblGrid>
      <w:tr w:rsidR="00623CDE" w:rsidRPr="00623CDE" w14:paraId="59F2FB5E" w14:textId="77777777" w:rsidTr="00623CDE">
        <w:trPr>
          <w:trHeight w:val="300"/>
        </w:trPr>
        <w:tc>
          <w:tcPr>
            <w:tcW w:w="1833"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14:paraId="364C6609" w14:textId="77777777" w:rsidR="00623CDE" w:rsidRPr="00623CDE" w:rsidRDefault="00623CDE" w:rsidP="00623CDE">
            <w:pPr>
              <w:spacing w:after="0" w:line="240" w:lineRule="auto"/>
              <w:jc w:val="center"/>
              <w:rPr>
                <w:rFonts w:ascii="Calibri" w:eastAsia="Times New Roman" w:hAnsi="Calibri" w:cs="Calibri"/>
                <w:b/>
                <w:bCs/>
                <w:color w:val="000000"/>
                <w:lang w:eastAsia="es-HN"/>
              </w:rPr>
            </w:pPr>
            <w:r w:rsidRPr="00623CDE">
              <w:rPr>
                <w:rFonts w:ascii="Calibri" w:eastAsia="Times New Roman" w:hAnsi="Calibri" w:cs="Calibri"/>
                <w:b/>
                <w:bCs/>
                <w:color w:val="000000"/>
                <w:lang w:eastAsia="es-HN"/>
              </w:rPr>
              <w:t>Departamento</w:t>
            </w:r>
          </w:p>
        </w:tc>
        <w:tc>
          <w:tcPr>
            <w:tcW w:w="152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2BF33D37" w14:textId="77777777" w:rsidR="00623CDE" w:rsidRPr="00623CDE" w:rsidRDefault="00623CDE" w:rsidP="00623CDE">
            <w:pPr>
              <w:spacing w:after="0" w:line="240" w:lineRule="auto"/>
              <w:jc w:val="center"/>
              <w:rPr>
                <w:rFonts w:ascii="Calibri" w:eastAsia="Times New Roman" w:hAnsi="Calibri" w:cs="Calibri"/>
                <w:b/>
                <w:bCs/>
                <w:color w:val="000000"/>
                <w:lang w:eastAsia="es-HN"/>
              </w:rPr>
            </w:pPr>
            <w:r w:rsidRPr="00623CDE">
              <w:rPr>
                <w:rFonts w:ascii="Calibri" w:eastAsia="Times New Roman" w:hAnsi="Calibri" w:cs="Calibri"/>
                <w:b/>
                <w:bCs/>
                <w:color w:val="000000"/>
                <w:lang w:eastAsia="es-HN"/>
              </w:rPr>
              <w:t>Cantidad Organizaciones</w:t>
            </w:r>
          </w:p>
        </w:tc>
        <w:tc>
          <w:tcPr>
            <w:tcW w:w="2298" w:type="dxa"/>
            <w:gridSpan w:val="2"/>
            <w:tcBorders>
              <w:top w:val="single" w:sz="8" w:space="0" w:color="auto"/>
              <w:left w:val="nil"/>
              <w:bottom w:val="single" w:sz="4" w:space="0" w:color="auto"/>
              <w:right w:val="single" w:sz="4" w:space="0" w:color="000000"/>
            </w:tcBorders>
            <w:shd w:val="clear" w:color="auto" w:fill="auto"/>
            <w:noWrap/>
            <w:vAlign w:val="bottom"/>
            <w:hideMark/>
          </w:tcPr>
          <w:p w14:paraId="2D802792" w14:textId="77777777" w:rsidR="00623CDE" w:rsidRPr="00623CDE" w:rsidRDefault="00623CDE" w:rsidP="00623CDE">
            <w:pPr>
              <w:spacing w:after="0" w:line="240" w:lineRule="auto"/>
              <w:jc w:val="center"/>
              <w:rPr>
                <w:rFonts w:ascii="Calibri" w:eastAsia="Times New Roman" w:hAnsi="Calibri" w:cs="Calibri"/>
                <w:b/>
                <w:bCs/>
                <w:color w:val="000000"/>
                <w:lang w:eastAsia="es-HN"/>
              </w:rPr>
            </w:pPr>
            <w:r w:rsidRPr="00623CDE">
              <w:rPr>
                <w:rFonts w:ascii="Calibri" w:eastAsia="Times New Roman" w:hAnsi="Calibri" w:cs="Calibri"/>
                <w:b/>
                <w:bCs/>
                <w:color w:val="000000"/>
                <w:lang w:eastAsia="es-HN"/>
              </w:rPr>
              <w:t>Hombres</w:t>
            </w:r>
          </w:p>
        </w:tc>
        <w:tc>
          <w:tcPr>
            <w:tcW w:w="2268" w:type="dxa"/>
            <w:gridSpan w:val="2"/>
            <w:tcBorders>
              <w:top w:val="single" w:sz="8" w:space="0" w:color="auto"/>
              <w:left w:val="nil"/>
              <w:bottom w:val="single" w:sz="4" w:space="0" w:color="auto"/>
              <w:right w:val="single" w:sz="4" w:space="0" w:color="000000"/>
            </w:tcBorders>
            <w:shd w:val="clear" w:color="auto" w:fill="auto"/>
            <w:noWrap/>
            <w:vAlign w:val="bottom"/>
            <w:hideMark/>
          </w:tcPr>
          <w:p w14:paraId="287AD58C" w14:textId="77777777" w:rsidR="00623CDE" w:rsidRPr="00623CDE" w:rsidRDefault="00623CDE" w:rsidP="00623CDE">
            <w:pPr>
              <w:spacing w:after="0" w:line="240" w:lineRule="auto"/>
              <w:jc w:val="center"/>
              <w:rPr>
                <w:rFonts w:ascii="Calibri" w:eastAsia="Times New Roman" w:hAnsi="Calibri" w:cs="Calibri"/>
                <w:b/>
                <w:bCs/>
                <w:color w:val="000000"/>
                <w:lang w:eastAsia="es-HN"/>
              </w:rPr>
            </w:pPr>
            <w:r w:rsidRPr="00623CDE">
              <w:rPr>
                <w:rFonts w:ascii="Calibri" w:eastAsia="Times New Roman" w:hAnsi="Calibri" w:cs="Calibri"/>
                <w:b/>
                <w:bCs/>
                <w:color w:val="000000"/>
                <w:lang w:eastAsia="es-HN"/>
              </w:rPr>
              <w:t>Mujeres</w:t>
            </w:r>
          </w:p>
        </w:tc>
        <w:tc>
          <w:tcPr>
            <w:tcW w:w="1134" w:type="dxa"/>
            <w:vMerge w:val="restart"/>
            <w:tcBorders>
              <w:top w:val="single" w:sz="8" w:space="0" w:color="auto"/>
              <w:left w:val="single" w:sz="4" w:space="0" w:color="auto"/>
              <w:bottom w:val="single" w:sz="8" w:space="0" w:color="000000"/>
              <w:right w:val="single" w:sz="8" w:space="0" w:color="auto"/>
            </w:tcBorders>
            <w:shd w:val="clear" w:color="auto" w:fill="auto"/>
            <w:noWrap/>
            <w:vAlign w:val="center"/>
            <w:hideMark/>
          </w:tcPr>
          <w:p w14:paraId="0B5F169B" w14:textId="77777777" w:rsidR="00623CDE" w:rsidRPr="00623CDE" w:rsidRDefault="00623CDE" w:rsidP="00623CDE">
            <w:pPr>
              <w:spacing w:after="0" w:line="240" w:lineRule="auto"/>
              <w:jc w:val="center"/>
              <w:rPr>
                <w:rFonts w:ascii="Calibri" w:eastAsia="Times New Roman" w:hAnsi="Calibri" w:cs="Calibri"/>
                <w:b/>
                <w:bCs/>
                <w:color w:val="000000"/>
                <w:lang w:eastAsia="es-HN"/>
              </w:rPr>
            </w:pPr>
            <w:r w:rsidRPr="00623CDE">
              <w:rPr>
                <w:rFonts w:ascii="Calibri" w:eastAsia="Times New Roman" w:hAnsi="Calibri" w:cs="Calibri"/>
                <w:b/>
                <w:bCs/>
                <w:color w:val="000000"/>
                <w:lang w:eastAsia="es-HN"/>
              </w:rPr>
              <w:t>Total</w:t>
            </w:r>
          </w:p>
        </w:tc>
      </w:tr>
      <w:tr w:rsidR="00623CDE" w:rsidRPr="00623CDE" w14:paraId="121E5BCA" w14:textId="77777777" w:rsidTr="00623CDE">
        <w:trPr>
          <w:trHeight w:val="315"/>
        </w:trPr>
        <w:tc>
          <w:tcPr>
            <w:tcW w:w="1833" w:type="dxa"/>
            <w:vMerge/>
            <w:tcBorders>
              <w:top w:val="single" w:sz="8" w:space="0" w:color="auto"/>
              <w:left w:val="single" w:sz="8" w:space="0" w:color="auto"/>
              <w:bottom w:val="single" w:sz="8" w:space="0" w:color="000000"/>
              <w:right w:val="single" w:sz="4" w:space="0" w:color="auto"/>
            </w:tcBorders>
            <w:vAlign w:val="center"/>
            <w:hideMark/>
          </w:tcPr>
          <w:p w14:paraId="59A234CA" w14:textId="77777777" w:rsidR="00623CDE" w:rsidRPr="00623CDE" w:rsidRDefault="00623CDE" w:rsidP="00623CDE">
            <w:pPr>
              <w:spacing w:after="0" w:line="240" w:lineRule="auto"/>
              <w:rPr>
                <w:rFonts w:ascii="Calibri" w:eastAsia="Times New Roman" w:hAnsi="Calibri" w:cs="Calibri"/>
                <w:b/>
                <w:bCs/>
                <w:color w:val="000000"/>
                <w:lang w:eastAsia="es-HN"/>
              </w:rPr>
            </w:pPr>
          </w:p>
        </w:tc>
        <w:tc>
          <w:tcPr>
            <w:tcW w:w="1529" w:type="dxa"/>
            <w:vMerge/>
            <w:tcBorders>
              <w:top w:val="single" w:sz="8" w:space="0" w:color="auto"/>
              <w:left w:val="single" w:sz="4" w:space="0" w:color="auto"/>
              <w:bottom w:val="single" w:sz="8" w:space="0" w:color="000000"/>
              <w:right w:val="single" w:sz="4" w:space="0" w:color="auto"/>
            </w:tcBorders>
            <w:vAlign w:val="center"/>
            <w:hideMark/>
          </w:tcPr>
          <w:p w14:paraId="3ED01BF3" w14:textId="77777777" w:rsidR="00623CDE" w:rsidRPr="00623CDE" w:rsidRDefault="00623CDE" w:rsidP="00623CDE">
            <w:pPr>
              <w:spacing w:after="0" w:line="240" w:lineRule="auto"/>
              <w:rPr>
                <w:rFonts w:ascii="Calibri" w:eastAsia="Times New Roman" w:hAnsi="Calibri" w:cs="Calibri"/>
                <w:b/>
                <w:bCs/>
                <w:color w:val="000000"/>
                <w:lang w:eastAsia="es-HN"/>
              </w:rPr>
            </w:pPr>
          </w:p>
        </w:tc>
        <w:tc>
          <w:tcPr>
            <w:tcW w:w="1164" w:type="dxa"/>
            <w:tcBorders>
              <w:top w:val="nil"/>
              <w:left w:val="nil"/>
              <w:bottom w:val="single" w:sz="8" w:space="0" w:color="auto"/>
              <w:right w:val="single" w:sz="4" w:space="0" w:color="auto"/>
            </w:tcBorders>
            <w:shd w:val="clear" w:color="auto" w:fill="auto"/>
            <w:noWrap/>
            <w:vAlign w:val="bottom"/>
            <w:hideMark/>
          </w:tcPr>
          <w:p w14:paraId="50CD08B3" w14:textId="77777777" w:rsidR="00623CDE" w:rsidRPr="00623CDE" w:rsidRDefault="00623CDE" w:rsidP="00623CDE">
            <w:pPr>
              <w:spacing w:after="0" w:line="240" w:lineRule="auto"/>
              <w:jc w:val="center"/>
              <w:rPr>
                <w:rFonts w:ascii="Calibri" w:eastAsia="Times New Roman" w:hAnsi="Calibri" w:cs="Calibri"/>
                <w:b/>
                <w:bCs/>
                <w:color w:val="000000"/>
                <w:lang w:eastAsia="es-HN"/>
              </w:rPr>
            </w:pPr>
            <w:r w:rsidRPr="00623CDE">
              <w:rPr>
                <w:rFonts w:ascii="Calibri" w:eastAsia="Times New Roman" w:hAnsi="Calibri" w:cs="Calibri"/>
                <w:b/>
                <w:bCs/>
                <w:color w:val="000000"/>
                <w:lang w:eastAsia="es-HN"/>
              </w:rPr>
              <w:t>Cantidad</w:t>
            </w:r>
          </w:p>
        </w:tc>
        <w:tc>
          <w:tcPr>
            <w:tcW w:w="1134" w:type="dxa"/>
            <w:tcBorders>
              <w:top w:val="nil"/>
              <w:left w:val="nil"/>
              <w:bottom w:val="single" w:sz="8" w:space="0" w:color="auto"/>
              <w:right w:val="single" w:sz="4" w:space="0" w:color="auto"/>
            </w:tcBorders>
            <w:shd w:val="clear" w:color="auto" w:fill="auto"/>
            <w:noWrap/>
            <w:vAlign w:val="bottom"/>
            <w:hideMark/>
          </w:tcPr>
          <w:p w14:paraId="64D3A98B" w14:textId="77777777" w:rsidR="00623CDE" w:rsidRPr="00623CDE" w:rsidRDefault="00623CDE" w:rsidP="00623CDE">
            <w:pPr>
              <w:spacing w:after="0" w:line="240" w:lineRule="auto"/>
              <w:jc w:val="center"/>
              <w:rPr>
                <w:rFonts w:ascii="Calibri" w:eastAsia="Times New Roman" w:hAnsi="Calibri" w:cs="Calibri"/>
                <w:b/>
                <w:bCs/>
                <w:color w:val="000000"/>
                <w:lang w:eastAsia="es-HN"/>
              </w:rPr>
            </w:pPr>
            <w:r w:rsidRPr="00623CDE">
              <w:rPr>
                <w:rFonts w:ascii="Calibri" w:eastAsia="Times New Roman" w:hAnsi="Calibri" w:cs="Calibri"/>
                <w:b/>
                <w:bCs/>
                <w:color w:val="000000"/>
                <w:lang w:eastAsia="es-HN"/>
              </w:rPr>
              <w:t>%</w:t>
            </w:r>
          </w:p>
        </w:tc>
        <w:tc>
          <w:tcPr>
            <w:tcW w:w="1134" w:type="dxa"/>
            <w:tcBorders>
              <w:top w:val="nil"/>
              <w:left w:val="nil"/>
              <w:bottom w:val="single" w:sz="8" w:space="0" w:color="auto"/>
              <w:right w:val="single" w:sz="4" w:space="0" w:color="auto"/>
            </w:tcBorders>
            <w:shd w:val="clear" w:color="auto" w:fill="auto"/>
            <w:noWrap/>
            <w:vAlign w:val="bottom"/>
            <w:hideMark/>
          </w:tcPr>
          <w:p w14:paraId="271C36A1" w14:textId="77777777" w:rsidR="00623CDE" w:rsidRPr="00623CDE" w:rsidRDefault="00623CDE" w:rsidP="00623CDE">
            <w:pPr>
              <w:spacing w:after="0" w:line="240" w:lineRule="auto"/>
              <w:jc w:val="center"/>
              <w:rPr>
                <w:rFonts w:ascii="Calibri" w:eastAsia="Times New Roman" w:hAnsi="Calibri" w:cs="Calibri"/>
                <w:b/>
                <w:bCs/>
                <w:color w:val="000000"/>
                <w:lang w:eastAsia="es-HN"/>
              </w:rPr>
            </w:pPr>
            <w:r w:rsidRPr="00623CDE">
              <w:rPr>
                <w:rFonts w:ascii="Calibri" w:eastAsia="Times New Roman" w:hAnsi="Calibri" w:cs="Calibri"/>
                <w:b/>
                <w:bCs/>
                <w:color w:val="000000"/>
                <w:lang w:eastAsia="es-HN"/>
              </w:rPr>
              <w:t>Cantidad</w:t>
            </w:r>
          </w:p>
        </w:tc>
        <w:tc>
          <w:tcPr>
            <w:tcW w:w="1134" w:type="dxa"/>
            <w:tcBorders>
              <w:top w:val="nil"/>
              <w:left w:val="nil"/>
              <w:bottom w:val="single" w:sz="8" w:space="0" w:color="auto"/>
              <w:right w:val="single" w:sz="4" w:space="0" w:color="auto"/>
            </w:tcBorders>
            <w:shd w:val="clear" w:color="auto" w:fill="auto"/>
            <w:noWrap/>
            <w:vAlign w:val="bottom"/>
            <w:hideMark/>
          </w:tcPr>
          <w:p w14:paraId="00687F01" w14:textId="77777777" w:rsidR="00623CDE" w:rsidRPr="00623CDE" w:rsidRDefault="00623CDE" w:rsidP="00623CDE">
            <w:pPr>
              <w:spacing w:after="0" w:line="240" w:lineRule="auto"/>
              <w:jc w:val="center"/>
              <w:rPr>
                <w:rFonts w:ascii="Calibri" w:eastAsia="Times New Roman" w:hAnsi="Calibri" w:cs="Calibri"/>
                <w:b/>
                <w:bCs/>
                <w:color w:val="000000"/>
                <w:lang w:eastAsia="es-HN"/>
              </w:rPr>
            </w:pPr>
            <w:r w:rsidRPr="00623CDE">
              <w:rPr>
                <w:rFonts w:ascii="Calibri" w:eastAsia="Times New Roman" w:hAnsi="Calibri" w:cs="Calibri"/>
                <w:b/>
                <w:bCs/>
                <w:color w:val="000000"/>
                <w:lang w:eastAsia="es-HN"/>
              </w:rPr>
              <w:t>%</w:t>
            </w:r>
          </w:p>
        </w:tc>
        <w:tc>
          <w:tcPr>
            <w:tcW w:w="1134" w:type="dxa"/>
            <w:vMerge/>
            <w:tcBorders>
              <w:top w:val="single" w:sz="8" w:space="0" w:color="auto"/>
              <w:left w:val="single" w:sz="4" w:space="0" w:color="auto"/>
              <w:bottom w:val="single" w:sz="8" w:space="0" w:color="000000"/>
              <w:right w:val="single" w:sz="8" w:space="0" w:color="auto"/>
            </w:tcBorders>
            <w:vAlign w:val="center"/>
            <w:hideMark/>
          </w:tcPr>
          <w:p w14:paraId="43DD0BE6" w14:textId="77777777" w:rsidR="00623CDE" w:rsidRPr="00623CDE" w:rsidRDefault="00623CDE" w:rsidP="00623CDE">
            <w:pPr>
              <w:spacing w:after="0" w:line="240" w:lineRule="auto"/>
              <w:rPr>
                <w:rFonts w:ascii="Calibri" w:eastAsia="Times New Roman" w:hAnsi="Calibri" w:cs="Calibri"/>
                <w:b/>
                <w:bCs/>
                <w:color w:val="000000"/>
                <w:lang w:eastAsia="es-HN"/>
              </w:rPr>
            </w:pPr>
          </w:p>
        </w:tc>
      </w:tr>
      <w:tr w:rsidR="00623CDE" w:rsidRPr="00623CDE" w14:paraId="57F7AE73" w14:textId="77777777" w:rsidTr="00623CDE">
        <w:trPr>
          <w:trHeight w:val="300"/>
        </w:trPr>
        <w:tc>
          <w:tcPr>
            <w:tcW w:w="1833" w:type="dxa"/>
            <w:tcBorders>
              <w:top w:val="nil"/>
              <w:left w:val="single" w:sz="8" w:space="0" w:color="auto"/>
              <w:bottom w:val="single" w:sz="4" w:space="0" w:color="auto"/>
              <w:right w:val="single" w:sz="4" w:space="0" w:color="auto"/>
            </w:tcBorders>
            <w:shd w:val="clear" w:color="auto" w:fill="auto"/>
            <w:noWrap/>
            <w:vAlign w:val="bottom"/>
            <w:hideMark/>
          </w:tcPr>
          <w:p w14:paraId="31B3FF18" w14:textId="77777777" w:rsidR="00623CDE" w:rsidRPr="00623CDE" w:rsidRDefault="00623CDE" w:rsidP="00623CDE">
            <w:pPr>
              <w:spacing w:after="0" w:line="240" w:lineRule="auto"/>
              <w:rPr>
                <w:rFonts w:ascii="Calibri" w:eastAsia="Times New Roman" w:hAnsi="Calibri" w:cs="Calibri"/>
                <w:color w:val="000000"/>
                <w:lang w:eastAsia="es-HN"/>
              </w:rPr>
            </w:pPr>
            <w:r w:rsidRPr="00623CDE">
              <w:rPr>
                <w:rFonts w:ascii="Calibri" w:eastAsia="Times New Roman" w:hAnsi="Calibri" w:cs="Calibri"/>
                <w:color w:val="000000"/>
                <w:lang w:eastAsia="es-HN"/>
              </w:rPr>
              <w:t xml:space="preserve">Comayagua </w:t>
            </w:r>
          </w:p>
        </w:tc>
        <w:tc>
          <w:tcPr>
            <w:tcW w:w="1529" w:type="dxa"/>
            <w:tcBorders>
              <w:top w:val="nil"/>
              <w:left w:val="nil"/>
              <w:bottom w:val="single" w:sz="4" w:space="0" w:color="auto"/>
              <w:right w:val="single" w:sz="4" w:space="0" w:color="auto"/>
            </w:tcBorders>
            <w:shd w:val="clear" w:color="auto" w:fill="auto"/>
            <w:noWrap/>
            <w:vAlign w:val="center"/>
            <w:hideMark/>
          </w:tcPr>
          <w:p w14:paraId="614E03B9" w14:textId="77777777" w:rsidR="00623CDE" w:rsidRPr="00623CDE" w:rsidRDefault="00623CDE" w:rsidP="00623CDE">
            <w:pPr>
              <w:spacing w:after="0" w:line="240" w:lineRule="auto"/>
              <w:jc w:val="center"/>
              <w:rPr>
                <w:rFonts w:ascii="Calibri" w:eastAsia="Times New Roman" w:hAnsi="Calibri" w:cs="Calibri"/>
                <w:color w:val="000000"/>
                <w:lang w:eastAsia="es-HN"/>
              </w:rPr>
            </w:pPr>
            <w:r w:rsidRPr="00623CDE">
              <w:rPr>
                <w:rFonts w:ascii="Calibri" w:eastAsia="Times New Roman" w:hAnsi="Calibri" w:cs="Calibri"/>
                <w:color w:val="000000"/>
                <w:lang w:eastAsia="es-HN"/>
              </w:rPr>
              <w:t>13</w:t>
            </w:r>
          </w:p>
        </w:tc>
        <w:tc>
          <w:tcPr>
            <w:tcW w:w="1164" w:type="dxa"/>
            <w:tcBorders>
              <w:top w:val="nil"/>
              <w:left w:val="nil"/>
              <w:bottom w:val="single" w:sz="4" w:space="0" w:color="auto"/>
              <w:right w:val="single" w:sz="4" w:space="0" w:color="auto"/>
            </w:tcBorders>
            <w:shd w:val="clear" w:color="auto" w:fill="auto"/>
            <w:noWrap/>
            <w:vAlign w:val="bottom"/>
            <w:hideMark/>
          </w:tcPr>
          <w:p w14:paraId="08F1BF68" w14:textId="77777777" w:rsidR="00623CDE" w:rsidRPr="00623CDE" w:rsidRDefault="00623CDE" w:rsidP="00623CDE">
            <w:pPr>
              <w:spacing w:after="0" w:line="240" w:lineRule="auto"/>
              <w:jc w:val="right"/>
              <w:rPr>
                <w:rFonts w:ascii="Calibri" w:eastAsia="Times New Roman" w:hAnsi="Calibri" w:cs="Calibri"/>
                <w:color w:val="000000"/>
                <w:lang w:eastAsia="es-HN"/>
              </w:rPr>
            </w:pPr>
            <w:r w:rsidRPr="00623CDE">
              <w:rPr>
                <w:rFonts w:ascii="Calibri" w:eastAsia="Times New Roman" w:hAnsi="Calibri" w:cs="Calibri"/>
                <w:color w:val="000000"/>
                <w:lang w:eastAsia="es-HN"/>
              </w:rPr>
              <w:t>358</w:t>
            </w:r>
          </w:p>
        </w:tc>
        <w:tc>
          <w:tcPr>
            <w:tcW w:w="1134" w:type="dxa"/>
            <w:tcBorders>
              <w:top w:val="nil"/>
              <w:left w:val="nil"/>
              <w:bottom w:val="single" w:sz="4" w:space="0" w:color="auto"/>
              <w:right w:val="single" w:sz="4" w:space="0" w:color="auto"/>
            </w:tcBorders>
            <w:shd w:val="clear" w:color="auto" w:fill="auto"/>
            <w:noWrap/>
            <w:vAlign w:val="bottom"/>
            <w:hideMark/>
          </w:tcPr>
          <w:p w14:paraId="3D489B2D" w14:textId="77777777" w:rsidR="00623CDE" w:rsidRPr="00623CDE" w:rsidRDefault="00623CDE" w:rsidP="00623CDE">
            <w:pPr>
              <w:spacing w:after="0" w:line="240" w:lineRule="auto"/>
              <w:jc w:val="right"/>
              <w:rPr>
                <w:rFonts w:ascii="Calibri" w:eastAsia="Times New Roman" w:hAnsi="Calibri" w:cs="Calibri"/>
                <w:color w:val="000000"/>
                <w:lang w:eastAsia="es-HN"/>
              </w:rPr>
            </w:pPr>
            <w:r w:rsidRPr="00623CDE">
              <w:rPr>
                <w:rFonts w:ascii="Calibri" w:eastAsia="Times New Roman" w:hAnsi="Calibri" w:cs="Calibri"/>
                <w:color w:val="000000"/>
                <w:lang w:eastAsia="es-HN"/>
              </w:rPr>
              <w:t>82.11</w:t>
            </w:r>
          </w:p>
        </w:tc>
        <w:tc>
          <w:tcPr>
            <w:tcW w:w="1134" w:type="dxa"/>
            <w:tcBorders>
              <w:top w:val="nil"/>
              <w:left w:val="nil"/>
              <w:bottom w:val="single" w:sz="4" w:space="0" w:color="auto"/>
              <w:right w:val="single" w:sz="4" w:space="0" w:color="auto"/>
            </w:tcBorders>
            <w:shd w:val="clear" w:color="auto" w:fill="auto"/>
            <w:noWrap/>
            <w:vAlign w:val="bottom"/>
            <w:hideMark/>
          </w:tcPr>
          <w:p w14:paraId="2575CF23" w14:textId="77777777" w:rsidR="00623CDE" w:rsidRPr="00623CDE" w:rsidRDefault="00623CDE" w:rsidP="00623CDE">
            <w:pPr>
              <w:spacing w:after="0" w:line="240" w:lineRule="auto"/>
              <w:jc w:val="right"/>
              <w:rPr>
                <w:rFonts w:ascii="Calibri" w:eastAsia="Times New Roman" w:hAnsi="Calibri" w:cs="Calibri"/>
                <w:color w:val="000000"/>
                <w:lang w:eastAsia="es-HN"/>
              </w:rPr>
            </w:pPr>
            <w:r w:rsidRPr="00623CDE">
              <w:rPr>
                <w:rFonts w:ascii="Calibri" w:eastAsia="Times New Roman" w:hAnsi="Calibri" w:cs="Calibri"/>
                <w:color w:val="000000"/>
                <w:lang w:eastAsia="es-HN"/>
              </w:rPr>
              <w:t>78</w:t>
            </w:r>
          </w:p>
        </w:tc>
        <w:tc>
          <w:tcPr>
            <w:tcW w:w="1134" w:type="dxa"/>
            <w:tcBorders>
              <w:top w:val="nil"/>
              <w:left w:val="nil"/>
              <w:bottom w:val="single" w:sz="4" w:space="0" w:color="auto"/>
              <w:right w:val="single" w:sz="4" w:space="0" w:color="auto"/>
            </w:tcBorders>
            <w:shd w:val="clear" w:color="auto" w:fill="auto"/>
            <w:noWrap/>
            <w:vAlign w:val="bottom"/>
            <w:hideMark/>
          </w:tcPr>
          <w:p w14:paraId="339837A0" w14:textId="77777777" w:rsidR="00623CDE" w:rsidRPr="00623CDE" w:rsidRDefault="00623CDE" w:rsidP="00623CDE">
            <w:pPr>
              <w:spacing w:after="0" w:line="240" w:lineRule="auto"/>
              <w:jc w:val="right"/>
              <w:rPr>
                <w:rFonts w:ascii="Calibri" w:eastAsia="Times New Roman" w:hAnsi="Calibri" w:cs="Calibri"/>
                <w:color w:val="000000"/>
                <w:lang w:eastAsia="es-HN"/>
              </w:rPr>
            </w:pPr>
            <w:r w:rsidRPr="00623CDE">
              <w:rPr>
                <w:rFonts w:ascii="Calibri" w:eastAsia="Times New Roman" w:hAnsi="Calibri" w:cs="Calibri"/>
                <w:color w:val="000000"/>
                <w:lang w:eastAsia="es-HN"/>
              </w:rPr>
              <w:t>17.89</w:t>
            </w:r>
          </w:p>
        </w:tc>
        <w:tc>
          <w:tcPr>
            <w:tcW w:w="1134" w:type="dxa"/>
            <w:tcBorders>
              <w:top w:val="nil"/>
              <w:left w:val="nil"/>
              <w:bottom w:val="single" w:sz="4" w:space="0" w:color="auto"/>
              <w:right w:val="single" w:sz="8" w:space="0" w:color="auto"/>
            </w:tcBorders>
            <w:shd w:val="clear" w:color="auto" w:fill="auto"/>
            <w:noWrap/>
            <w:vAlign w:val="bottom"/>
            <w:hideMark/>
          </w:tcPr>
          <w:p w14:paraId="719ABAA8" w14:textId="77777777" w:rsidR="00623CDE" w:rsidRPr="00623CDE" w:rsidRDefault="00623CDE" w:rsidP="00623CDE">
            <w:pPr>
              <w:spacing w:after="0" w:line="240" w:lineRule="auto"/>
              <w:jc w:val="right"/>
              <w:rPr>
                <w:rFonts w:ascii="Calibri" w:eastAsia="Times New Roman" w:hAnsi="Calibri" w:cs="Calibri"/>
                <w:color w:val="000000"/>
                <w:lang w:eastAsia="es-HN"/>
              </w:rPr>
            </w:pPr>
            <w:r w:rsidRPr="00623CDE">
              <w:rPr>
                <w:rFonts w:ascii="Calibri" w:eastAsia="Times New Roman" w:hAnsi="Calibri" w:cs="Calibri"/>
                <w:color w:val="000000"/>
                <w:lang w:eastAsia="es-HN"/>
              </w:rPr>
              <w:t>436</w:t>
            </w:r>
          </w:p>
        </w:tc>
      </w:tr>
      <w:tr w:rsidR="00623CDE" w:rsidRPr="00623CDE" w14:paraId="721DAD42" w14:textId="77777777" w:rsidTr="00623CDE">
        <w:trPr>
          <w:trHeight w:val="300"/>
        </w:trPr>
        <w:tc>
          <w:tcPr>
            <w:tcW w:w="1833" w:type="dxa"/>
            <w:tcBorders>
              <w:top w:val="nil"/>
              <w:left w:val="single" w:sz="8" w:space="0" w:color="auto"/>
              <w:bottom w:val="single" w:sz="4" w:space="0" w:color="auto"/>
              <w:right w:val="single" w:sz="4" w:space="0" w:color="auto"/>
            </w:tcBorders>
            <w:shd w:val="clear" w:color="auto" w:fill="auto"/>
            <w:noWrap/>
            <w:vAlign w:val="bottom"/>
            <w:hideMark/>
          </w:tcPr>
          <w:p w14:paraId="53EC4F83" w14:textId="77777777" w:rsidR="00623CDE" w:rsidRPr="00623CDE" w:rsidRDefault="00623CDE" w:rsidP="00623CDE">
            <w:pPr>
              <w:spacing w:after="0" w:line="240" w:lineRule="auto"/>
              <w:rPr>
                <w:rFonts w:ascii="Calibri" w:eastAsia="Times New Roman" w:hAnsi="Calibri" w:cs="Calibri"/>
                <w:color w:val="000000"/>
                <w:lang w:eastAsia="es-HN"/>
              </w:rPr>
            </w:pPr>
            <w:r w:rsidRPr="00623CDE">
              <w:rPr>
                <w:rFonts w:ascii="Calibri" w:eastAsia="Times New Roman" w:hAnsi="Calibri" w:cs="Calibri"/>
                <w:color w:val="000000"/>
                <w:lang w:eastAsia="es-HN"/>
              </w:rPr>
              <w:t>Choluteca</w:t>
            </w:r>
          </w:p>
        </w:tc>
        <w:tc>
          <w:tcPr>
            <w:tcW w:w="1529" w:type="dxa"/>
            <w:tcBorders>
              <w:top w:val="nil"/>
              <w:left w:val="nil"/>
              <w:bottom w:val="single" w:sz="4" w:space="0" w:color="auto"/>
              <w:right w:val="single" w:sz="4" w:space="0" w:color="auto"/>
            </w:tcBorders>
            <w:shd w:val="clear" w:color="auto" w:fill="auto"/>
            <w:noWrap/>
            <w:vAlign w:val="center"/>
            <w:hideMark/>
          </w:tcPr>
          <w:p w14:paraId="2BB33759" w14:textId="77777777" w:rsidR="00623CDE" w:rsidRPr="00623CDE" w:rsidRDefault="00623CDE" w:rsidP="00623CDE">
            <w:pPr>
              <w:spacing w:after="0" w:line="240" w:lineRule="auto"/>
              <w:jc w:val="center"/>
              <w:rPr>
                <w:rFonts w:ascii="Calibri" w:eastAsia="Times New Roman" w:hAnsi="Calibri" w:cs="Calibri"/>
                <w:color w:val="000000"/>
                <w:lang w:eastAsia="es-HN"/>
              </w:rPr>
            </w:pPr>
            <w:r w:rsidRPr="00623CDE">
              <w:rPr>
                <w:rFonts w:ascii="Calibri" w:eastAsia="Times New Roman" w:hAnsi="Calibri" w:cs="Calibri"/>
                <w:color w:val="000000"/>
                <w:lang w:eastAsia="es-HN"/>
              </w:rPr>
              <w:t>5</w:t>
            </w:r>
          </w:p>
        </w:tc>
        <w:tc>
          <w:tcPr>
            <w:tcW w:w="1164" w:type="dxa"/>
            <w:tcBorders>
              <w:top w:val="nil"/>
              <w:left w:val="nil"/>
              <w:bottom w:val="single" w:sz="4" w:space="0" w:color="auto"/>
              <w:right w:val="single" w:sz="4" w:space="0" w:color="auto"/>
            </w:tcBorders>
            <w:shd w:val="clear" w:color="auto" w:fill="auto"/>
            <w:noWrap/>
            <w:vAlign w:val="bottom"/>
            <w:hideMark/>
          </w:tcPr>
          <w:p w14:paraId="155F143F" w14:textId="77777777" w:rsidR="00623CDE" w:rsidRPr="00623CDE" w:rsidRDefault="00623CDE" w:rsidP="00623CDE">
            <w:pPr>
              <w:spacing w:after="0" w:line="240" w:lineRule="auto"/>
              <w:jc w:val="right"/>
              <w:rPr>
                <w:rFonts w:ascii="Calibri" w:eastAsia="Times New Roman" w:hAnsi="Calibri" w:cs="Calibri"/>
                <w:color w:val="000000"/>
                <w:lang w:eastAsia="es-HN"/>
              </w:rPr>
            </w:pPr>
            <w:r w:rsidRPr="00623CDE">
              <w:rPr>
                <w:rFonts w:ascii="Calibri" w:eastAsia="Times New Roman" w:hAnsi="Calibri" w:cs="Calibri"/>
                <w:color w:val="000000"/>
                <w:lang w:eastAsia="es-HN"/>
              </w:rPr>
              <w:t>90</w:t>
            </w:r>
          </w:p>
        </w:tc>
        <w:tc>
          <w:tcPr>
            <w:tcW w:w="1134" w:type="dxa"/>
            <w:tcBorders>
              <w:top w:val="nil"/>
              <w:left w:val="nil"/>
              <w:bottom w:val="single" w:sz="4" w:space="0" w:color="auto"/>
              <w:right w:val="single" w:sz="4" w:space="0" w:color="auto"/>
            </w:tcBorders>
            <w:shd w:val="clear" w:color="auto" w:fill="auto"/>
            <w:noWrap/>
            <w:vAlign w:val="bottom"/>
            <w:hideMark/>
          </w:tcPr>
          <w:p w14:paraId="7B98703A" w14:textId="77777777" w:rsidR="00623CDE" w:rsidRPr="00623CDE" w:rsidRDefault="00623CDE" w:rsidP="00623CDE">
            <w:pPr>
              <w:spacing w:after="0" w:line="240" w:lineRule="auto"/>
              <w:jc w:val="right"/>
              <w:rPr>
                <w:rFonts w:ascii="Calibri" w:eastAsia="Times New Roman" w:hAnsi="Calibri" w:cs="Calibri"/>
                <w:color w:val="000000"/>
                <w:lang w:eastAsia="es-HN"/>
              </w:rPr>
            </w:pPr>
            <w:r w:rsidRPr="00623CDE">
              <w:rPr>
                <w:rFonts w:ascii="Calibri" w:eastAsia="Times New Roman" w:hAnsi="Calibri" w:cs="Calibri"/>
                <w:color w:val="000000"/>
                <w:lang w:eastAsia="es-HN"/>
              </w:rPr>
              <w:t>90.00</w:t>
            </w:r>
          </w:p>
        </w:tc>
        <w:tc>
          <w:tcPr>
            <w:tcW w:w="1134" w:type="dxa"/>
            <w:tcBorders>
              <w:top w:val="nil"/>
              <w:left w:val="nil"/>
              <w:bottom w:val="single" w:sz="4" w:space="0" w:color="auto"/>
              <w:right w:val="single" w:sz="4" w:space="0" w:color="auto"/>
            </w:tcBorders>
            <w:shd w:val="clear" w:color="auto" w:fill="auto"/>
            <w:noWrap/>
            <w:vAlign w:val="bottom"/>
            <w:hideMark/>
          </w:tcPr>
          <w:p w14:paraId="22165BE1" w14:textId="77777777" w:rsidR="00623CDE" w:rsidRPr="00623CDE" w:rsidRDefault="00623CDE" w:rsidP="00623CDE">
            <w:pPr>
              <w:spacing w:after="0" w:line="240" w:lineRule="auto"/>
              <w:jc w:val="right"/>
              <w:rPr>
                <w:rFonts w:ascii="Calibri" w:eastAsia="Times New Roman" w:hAnsi="Calibri" w:cs="Calibri"/>
                <w:color w:val="000000"/>
                <w:lang w:eastAsia="es-HN"/>
              </w:rPr>
            </w:pPr>
            <w:r w:rsidRPr="00623CDE">
              <w:rPr>
                <w:rFonts w:ascii="Calibri" w:eastAsia="Times New Roman" w:hAnsi="Calibri" w:cs="Calibri"/>
                <w:color w:val="000000"/>
                <w:lang w:eastAsia="es-HN"/>
              </w:rPr>
              <w:t>10</w:t>
            </w:r>
          </w:p>
        </w:tc>
        <w:tc>
          <w:tcPr>
            <w:tcW w:w="1134" w:type="dxa"/>
            <w:tcBorders>
              <w:top w:val="nil"/>
              <w:left w:val="nil"/>
              <w:bottom w:val="single" w:sz="4" w:space="0" w:color="auto"/>
              <w:right w:val="single" w:sz="4" w:space="0" w:color="auto"/>
            </w:tcBorders>
            <w:shd w:val="clear" w:color="auto" w:fill="auto"/>
            <w:noWrap/>
            <w:vAlign w:val="bottom"/>
            <w:hideMark/>
          </w:tcPr>
          <w:p w14:paraId="4ECF957D" w14:textId="77777777" w:rsidR="00623CDE" w:rsidRPr="00623CDE" w:rsidRDefault="00623CDE" w:rsidP="00623CDE">
            <w:pPr>
              <w:spacing w:after="0" w:line="240" w:lineRule="auto"/>
              <w:jc w:val="right"/>
              <w:rPr>
                <w:rFonts w:ascii="Calibri" w:eastAsia="Times New Roman" w:hAnsi="Calibri" w:cs="Calibri"/>
                <w:color w:val="000000"/>
                <w:lang w:eastAsia="es-HN"/>
              </w:rPr>
            </w:pPr>
            <w:r w:rsidRPr="00623CDE">
              <w:rPr>
                <w:rFonts w:ascii="Calibri" w:eastAsia="Times New Roman" w:hAnsi="Calibri" w:cs="Calibri"/>
                <w:color w:val="000000"/>
                <w:lang w:eastAsia="es-HN"/>
              </w:rPr>
              <w:t>10.00</w:t>
            </w:r>
          </w:p>
        </w:tc>
        <w:tc>
          <w:tcPr>
            <w:tcW w:w="1134" w:type="dxa"/>
            <w:tcBorders>
              <w:top w:val="nil"/>
              <w:left w:val="nil"/>
              <w:bottom w:val="single" w:sz="4" w:space="0" w:color="auto"/>
              <w:right w:val="single" w:sz="8" w:space="0" w:color="auto"/>
            </w:tcBorders>
            <w:shd w:val="clear" w:color="auto" w:fill="auto"/>
            <w:noWrap/>
            <w:vAlign w:val="bottom"/>
            <w:hideMark/>
          </w:tcPr>
          <w:p w14:paraId="0CA6B295" w14:textId="77777777" w:rsidR="00623CDE" w:rsidRPr="00623CDE" w:rsidRDefault="00623CDE" w:rsidP="00623CDE">
            <w:pPr>
              <w:spacing w:after="0" w:line="240" w:lineRule="auto"/>
              <w:jc w:val="right"/>
              <w:rPr>
                <w:rFonts w:ascii="Calibri" w:eastAsia="Times New Roman" w:hAnsi="Calibri" w:cs="Calibri"/>
                <w:color w:val="000000"/>
                <w:lang w:eastAsia="es-HN"/>
              </w:rPr>
            </w:pPr>
            <w:r w:rsidRPr="00623CDE">
              <w:rPr>
                <w:rFonts w:ascii="Calibri" w:eastAsia="Times New Roman" w:hAnsi="Calibri" w:cs="Calibri"/>
                <w:color w:val="000000"/>
                <w:lang w:eastAsia="es-HN"/>
              </w:rPr>
              <w:t>100</w:t>
            </w:r>
          </w:p>
        </w:tc>
      </w:tr>
      <w:tr w:rsidR="00623CDE" w:rsidRPr="00623CDE" w14:paraId="07CF718A" w14:textId="77777777" w:rsidTr="00623CDE">
        <w:trPr>
          <w:trHeight w:val="300"/>
        </w:trPr>
        <w:tc>
          <w:tcPr>
            <w:tcW w:w="1833" w:type="dxa"/>
            <w:tcBorders>
              <w:top w:val="nil"/>
              <w:left w:val="single" w:sz="8" w:space="0" w:color="auto"/>
              <w:bottom w:val="single" w:sz="4" w:space="0" w:color="auto"/>
              <w:right w:val="single" w:sz="4" w:space="0" w:color="auto"/>
            </w:tcBorders>
            <w:shd w:val="clear" w:color="auto" w:fill="auto"/>
            <w:noWrap/>
            <w:vAlign w:val="bottom"/>
            <w:hideMark/>
          </w:tcPr>
          <w:p w14:paraId="778CA07A" w14:textId="77777777" w:rsidR="00623CDE" w:rsidRPr="00623CDE" w:rsidRDefault="00623CDE" w:rsidP="00623CDE">
            <w:pPr>
              <w:spacing w:after="0" w:line="240" w:lineRule="auto"/>
              <w:rPr>
                <w:rFonts w:ascii="Calibri" w:eastAsia="Times New Roman" w:hAnsi="Calibri" w:cs="Calibri"/>
                <w:color w:val="000000"/>
                <w:lang w:eastAsia="es-HN"/>
              </w:rPr>
            </w:pPr>
            <w:r w:rsidRPr="00623CDE">
              <w:rPr>
                <w:rFonts w:ascii="Calibri" w:eastAsia="Times New Roman" w:hAnsi="Calibri" w:cs="Calibri"/>
                <w:color w:val="000000"/>
                <w:lang w:eastAsia="es-HN"/>
              </w:rPr>
              <w:t>El Paraíso</w:t>
            </w:r>
          </w:p>
        </w:tc>
        <w:tc>
          <w:tcPr>
            <w:tcW w:w="1529" w:type="dxa"/>
            <w:tcBorders>
              <w:top w:val="nil"/>
              <w:left w:val="nil"/>
              <w:bottom w:val="single" w:sz="4" w:space="0" w:color="auto"/>
              <w:right w:val="single" w:sz="4" w:space="0" w:color="auto"/>
            </w:tcBorders>
            <w:shd w:val="clear" w:color="auto" w:fill="auto"/>
            <w:noWrap/>
            <w:vAlign w:val="center"/>
            <w:hideMark/>
          </w:tcPr>
          <w:p w14:paraId="68F570EA" w14:textId="77777777" w:rsidR="00623CDE" w:rsidRPr="00623CDE" w:rsidRDefault="00623CDE" w:rsidP="00623CDE">
            <w:pPr>
              <w:spacing w:after="0" w:line="240" w:lineRule="auto"/>
              <w:jc w:val="center"/>
              <w:rPr>
                <w:rFonts w:ascii="Calibri" w:eastAsia="Times New Roman" w:hAnsi="Calibri" w:cs="Calibri"/>
                <w:color w:val="000000"/>
                <w:lang w:eastAsia="es-HN"/>
              </w:rPr>
            </w:pPr>
            <w:r w:rsidRPr="00623CDE">
              <w:rPr>
                <w:rFonts w:ascii="Calibri" w:eastAsia="Times New Roman" w:hAnsi="Calibri" w:cs="Calibri"/>
                <w:color w:val="000000"/>
                <w:lang w:eastAsia="es-HN"/>
              </w:rPr>
              <w:t>31</w:t>
            </w:r>
          </w:p>
        </w:tc>
        <w:tc>
          <w:tcPr>
            <w:tcW w:w="1164" w:type="dxa"/>
            <w:tcBorders>
              <w:top w:val="nil"/>
              <w:left w:val="nil"/>
              <w:bottom w:val="single" w:sz="4" w:space="0" w:color="auto"/>
              <w:right w:val="single" w:sz="4" w:space="0" w:color="auto"/>
            </w:tcBorders>
            <w:shd w:val="clear" w:color="auto" w:fill="auto"/>
            <w:noWrap/>
            <w:vAlign w:val="bottom"/>
            <w:hideMark/>
          </w:tcPr>
          <w:p w14:paraId="2AF99FF2" w14:textId="77777777" w:rsidR="00623CDE" w:rsidRPr="00623CDE" w:rsidRDefault="00623CDE" w:rsidP="00623CDE">
            <w:pPr>
              <w:spacing w:after="0" w:line="240" w:lineRule="auto"/>
              <w:jc w:val="right"/>
              <w:rPr>
                <w:rFonts w:ascii="Calibri" w:eastAsia="Times New Roman" w:hAnsi="Calibri" w:cs="Calibri"/>
                <w:color w:val="000000"/>
                <w:lang w:eastAsia="es-HN"/>
              </w:rPr>
            </w:pPr>
            <w:r w:rsidRPr="00623CDE">
              <w:rPr>
                <w:rFonts w:ascii="Calibri" w:eastAsia="Times New Roman" w:hAnsi="Calibri" w:cs="Calibri"/>
                <w:color w:val="000000"/>
                <w:lang w:eastAsia="es-HN"/>
              </w:rPr>
              <w:t>1064</w:t>
            </w:r>
          </w:p>
        </w:tc>
        <w:tc>
          <w:tcPr>
            <w:tcW w:w="1134" w:type="dxa"/>
            <w:tcBorders>
              <w:top w:val="nil"/>
              <w:left w:val="nil"/>
              <w:bottom w:val="single" w:sz="4" w:space="0" w:color="auto"/>
              <w:right w:val="single" w:sz="4" w:space="0" w:color="auto"/>
            </w:tcBorders>
            <w:shd w:val="clear" w:color="auto" w:fill="auto"/>
            <w:noWrap/>
            <w:vAlign w:val="bottom"/>
            <w:hideMark/>
          </w:tcPr>
          <w:p w14:paraId="4579BFB6" w14:textId="77777777" w:rsidR="00623CDE" w:rsidRPr="00623CDE" w:rsidRDefault="00623CDE" w:rsidP="00623CDE">
            <w:pPr>
              <w:spacing w:after="0" w:line="240" w:lineRule="auto"/>
              <w:jc w:val="right"/>
              <w:rPr>
                <w:rFonts w:ascii="Calibri" w:eastAsia="Times New Roman" w:hAnsi="Calibri" w:cs="Calibri"/>
                <w:color w:val="000000"/>
                <w:lang w:eastAsia="es-HN"/>
              </w:rPr>
            </w:pPr>
            <w:r w:rsidRPr="00623CDE">
              <w:rPr>
                <w:rFonts w:ascii="Calibri" w:eastAsia="Times New Roman" w:hAnsi="Calibri" w:cs="Calibri"/>
                <w:color w:val="000000"/>
                <w:lang w:eastAsia="es-HN"/>
              </w:rPr>
              <w:t>78.41</w:t>
            </w:r>
          </w:p>
        </w:tc>
        <w:tc>
          <w:tcPr>
            <w:tcW w:w="1134" w:type="dxa"/>
            <w:tcBorders>
              <w:top w:val="nil"/>
              <w:left w:val="nil"/>
              <w:bottom w:val="single" w:sz="4" w:space="0" w:color="auto"/>
              <w:right w:val="single" w:sz="4" w:space="0" w:color="auto"/>
            </w:tcBorders>
            <w:shd w:val="clear" w:color="auto" w:fill="auto"/>
            <w:noWrap/>
            <w:vAlign w:val="bottom"/>
            <w:hideMark/>
          </w:tcPr>
          <w:p w14:paraId="6ABC76D1" w14:textId="77777777" w:rsidR="00623CDE" w:rsidRPr="00623CDE" w:rsidRDefault="00623CDE" w:rsidP="00623CDE">
            <w:pPr>
              <w:spacing w:after="0" w:line="240" w:lineRule="auto"/>
              <w:jc w:val="right"/>
              <w:rPr>
                <w:rFonts w:ascii="Calibri" w:eastAsia="Times New Roman" w:hAnsi="Calibri" w:cs="Calibri"/>
                <w:color w:val="000000"/>
                <w:lang w:eastAsia="es-HN"/>
              </w:rPr>
            </w:pPr>
            <w:r w:rsidRPr="00623CDE">
              <w:rPr>
                <w:rFonts w:ascii="Calibri" w:eastAsia="Times New Roman" w:hAnsi="Calibri" w:cs="Calibri"/>
                <w:color w:val="000000"/>
                <w:lang w:eastAsia="es-HN"/>
              </w:rPr>
              <w:t>293</w:t>
            </w:r>
          </w:p>
        </w:tc>
        <w:tc>
          <w:tcPr>
            <w:tcW w:w="1134" w:type="dxa"/>
            <w:tcBorders>
              <w:top w:val="nil"/>
              <w:left w:val="nil"/>
              <w:bottom w:val="single" w:sz="4" w:space="0" w:color="auto"/>
              <w:right w:val="single" w:sz="4" w:space="0" w:color="auto"/>
            </w:tcBorders>
            <w:shd w:val="clear" w:color="auto" w:fill="auto"/>
            <w:noWrap/>
            <w:vAlign w:val="bottom"/>
            <w:hideMark/>
          </w:tcPr>
          <w:p w14:paraId="5B2717A0" w14:textId="77777777" w:rsidR="00623CDE" w:rsidRPr="00623CDE" w:rsidRDefault="00623CDE" w:rsidP="00623CDE">
            <w:pPr>
              <w:spacing w:after="0" w:line="240" w:lineRule="auto"/>
              <w:jc w:val="right"/>
              <w:rPr>
                <w:rFonts w:ascii="Calibri" w:eastAsia="Times New Roman" w:hAnsi="Calibri" w:cs="Calibri"/>
                <w:color w:val="000000"/>
                <w:lang w:eastAsia="es-HN"/>
              </w:rPr>
            </w:pPr>
            <w:r w:rsidRPr="00623CDE">
              <w:rPr>
                <w:rFonts w:ascii="Calibri" w:eastAsia="Times New Roman" w:hAnsi="Calibri" w:cs="Calibri"/>
                <w:color w:val="000000"/>
                <w:lang w:eastAsia="es-HN"/>
              </w:rPr>
              <w:t>21.59</w:t>
            </w:r>
          </w:p>
        </w:tc>
        <w:tc>
          <w:tcPr>
            <w:tcW w:w="1134" w:type="dxa"/>
            <w:tcBorders>
              <w:top w:val="nil"/>
              <w:left w:val="nil"/>
              <w:bottom w:val="single" w:sz="4" w:space="0" w:color="auto"/>
              <w:right w:val="single" w:sz="8" w:space="0" w:color="auto"/>
            </w:tcBorders>
            <w:shd w:val="clear" w:color="auto" w:fill="auto"/>
            <w:noWrap/>
            <w:vAlign w:val="bottom"/>
            <w:hideMark/>
          </w:tcPr>
          <w:p w14:paraId="05C23DF4" w14:textId="77777777" w:rsidR="00623CDE" w:rsidRPr="00623CDE" w:rsidRDefault="00623CDE" w:rsidP="00623CDE">
            <w:pPr>
              <w:spacing w:after="0" w:line="240" w:lineRule="auto"/>
              <w:jc w:val="right"/>
              <w:rPr>
                <w:rFonts w:ascii="Calibri" w:eastAsia="Times New Roman" w:hAnsi="Calibri" w:cs="Calibri"/>
                <w:color w:val="000000"/>
                <w:lang w:eastAsia="es-HN"/>
              </w:rPr>
            </w:pPr>
            <w:r w:rsidRPr="00623CDE">
              <w:rPr>
                <w:rFonts w:ascii="Calibri" w:eastAsia="Times New Roman" w:hAnsi="Calibri" w:cs="Calibri"/>
                <w:color w:val="000000"/>
                <w:lang w:eastAsia="es-HN"/>
              </w:rPr>
              <w:t>1357</w:t>
            </w:r>
          </w:p>
        </w:tc>
      </w:tr>
      <w:tr w:rsidR="00623CDE" w:rsidRPr="00623CDE" w14:paraId="78AD1440" w14:textId="77777777" w:rsidTr="00623CDE">
        <w:trPr>
          <w:trHeight w:val="300"/>
        </w:trPr>
        <w:tc>
          <w:tcPr>
            <w:tcW w:w="1833" w:type="dxa"/>
            <w:tcBorders>
              <w:top w:val="nil"/>
              <w:left w:val="single" w:sz="8" w:space="0" w:color="auto"/>
              <w:bottom w:val="single" w:sz="4" w:space="0" w:color="auto"/>
              <w:right w:val="single" w:sz="4" w:space="0" w:color="auto"/>
            </w:tcBorders>
            <w:shd w:val="clear" w:color="auto" w:fill="auto"/>
            <w:noWrap/>
            <w:vAlign w:val="bottom"/>
            <w:hideMark/>
          </w:tcPr>
          <w:p w14:paraId="3C4381F1" w14:textId="77777777" w:rsidR="00623CDE" w:rsidRPr="00623CDE" w:rsidRDefault="00623CDE" w:rsidP="00623CDE">
            <w:pPr>
              <w:spacing w:after="0" w:line="240" w:lineRule="auto"/>
              <w:rPr>
                <w:rFonts w:ascii="Calibri" w:eastAsia="Times New Roman" w:hAnsi="Calibri" w:cs="Calibri"/>
                <w:color w:val="000000"/>
                <w:lang w:eastAsia="es-HN"/>
              </w:rPr>
            </w:pPr>
            <w:r w:rsidRPr="00623CDE">
              <w:rPr>
                <w:rFonts w:ascii="Calibri" w:eastAsia="Times New Roman" w:hAnsi="Calibri" w:cs="Calibri"/>
                <w:color w:val="000000"/>
                <w:lang w:eastAsia="es-HN"/>
              </w:rPr>
              <w:t>Fco. Morazán</w:t>
            </w:r>
          </w:p>
        </w:tc>
        <w:tc>
          <w:tcPr>
            <w:tcW w:w="1529" w:type="dxa"/>
            <w:tcBorders>
              <w:top w:val="nil"/>
              <w:left w:val="nil"/>
              <w:bottom w:val="single" w:sz="4" w:space="0" w:color="auto"/>
              <w:right w:val="single" w:sz="4" w:space="0" w:color="auto"/>
            </w:tcBorders>
            <w:shd w:val="clear" w:color="auto" w:fill="auto"/>
            <w:noWrap/>
            <w:vAlign w:val="center"/>
            <w:hideMark/>
          </w:tcPr>
          <w:p w14:paraId="04DCC6FB" w14:textId="77777777" w:rsidR="00623CDE" w:rsidRPr="00623CDE" w:rsidRDefault="00623CDE" w:rsidP="00623CDE">
            <w:pPr>
              <w:spacing w:after="0" w:line="240" w:lineRule="auto"/>
              <w:jc w:val="center"/>
              <w:rPr>
                <w:rFonts w:ascii="Calibri" w:eastAsia="Times New Roman" w:hAnsi="Calibri" w:cs="Calibri"/>
                <w:color w:val="000000"/>
                <w:lang w:eastAsia="es-HN"/>
              </w:rPr>
            </w:pPr>
            <w:r w:rsidRPr="00623CDE">
              <w:rPr>
                <w:rFonts w:ascii="Calibri" w:eastAsia="Times New Roman" w:hAnsi="Calibri" w:cs="Calibri"/>
                <w:color w:val="000000"/>
                <w:lang w:eastAsia="es-HN"/>
              </w:rPr>
              <w:t>25</w:t>
            </w:r>
          </w:p>
        </w:tc>
        <w:tc>
          <w:tcPr>
            <w:tcW w:w="1164" w:type="dxa"/>
            <w:tcBorders>
              <w:top w:val="nil"/>
              <w:left w:val="nil"/>
              <w:bottom w:val="single" w:sz="4" w:space="0" w:color="auto"/>
              <w:right w:val="single" w:sz="4" w:space="0" w:color="auto"/>
            </w:tcBorders>
            <w:shd w:val="clear" w:color="auto" w:fill="auto"/>
            <w:noWrap/>
            <w:vAlign w:val="bottom"/>
            <w:hideMark/>
          </w:tcPr>
          <w:p w14:paraId="24CA4927" w14:textId="77777777" w:rsidR="00623CDE" w:rsidRPr="00623CDE" w:rsidRDefault="00623CDE" w:rsidP="00623CDE">
            <w:pPr>
              <w:spacing w:after="0" w:line="240" w:lineRule="auto"/>
              <w:jc w:val="right"/>
              <w:rPr>
                <w:rFonts w:ascii="Calibri" w:eastAsia="Times New Roman" w:hAnsi="Calibri" w:cs="Calibri"/>
                <w:color w:val="000000"/>
                <w:lang w:eastAsia="es-HN"/>
              </w:rPr>
            </w:pPr>
            <w:r w:rsidRPr="00623CDE">
              <w:rPr>
                <w:rFonts w:ascii="Calibri" w:eastAsia="Times New Roman" w:hAnsi="Calibri" w:cs="Calibri"/>
                <w:color w:val="000000"/>
                <w:lang w:eastAsia="es-HN"/>
              </w:rPr>
              <w:t>1615</w:t>
            </w:r>
          </w:p>
        </w:tc>
        <w:tc>
          <w:tcPr>
            <w:tcW w:w="1134" w:type="dxa"/>
            <w:tcBorders>
              <w:top w:val="nil"/>
              <w:left w:val="nil"/>
              <w:bottom w:val="single" w:sz="4" w:space="0" w:color="auto"/>
              <w:right w:val="single" w:sz="4" w:space="0" w:color="auto"/>
            </w:tcBorders>
            <w:shd w:val="clear" w:color="auto" w:fill="auto"/>
            <w:noWrap/>
            <w:vAlign w:val="bottom"/>
            <w:hideMark/>
          </w:tcPr>
          <w:p w14:paraId="7F6518F5" w14:textId="77777777" w:rsidR="00623CDE" w:rsidRPr="00623CDE" w:rsidRDefault="00623CDE" w:rsidP="00623CDE">
            <w:pPr>
              <w:spacing w:after="0" w:line="240" w:lineRule="auto"/>
              <w:jc w:val="right"/>
              <w:rPr>
                <w:rFonts w:ascii="Calibri" w:eastAsia="Times New Roman" w:hAnsi="Calibri" w:cs="Calibri"/>
                <w:color w:val="000000"/>
                <w:lang w:eastAsia="es-HN"/>
              </w:rPr>
            </w:pPr>
            <w:r w:rsidRPr="00623CDE">
              <w:rPr>
                <w:rFonts w:ascii="Calibri" w:eastAsia="Times New Roman" w:hAnsi="Calibri" w:cs="Calibri"/>
                <w:color w:val="000000"/>
                <w:lang w:eastAsia="es-HN"/>
              </w:rPr>
              <w:t>81.86</w:t>
            </w:r>
          </w:p>
        </w:tc>
        <w:tc>
          <w:tcPr>
            <w:tcW w:w="1134" w:type="dxa"/>
            <w:tcBorders>
              <w:top w:val="nil"/>
              <w:left w:val="nil"/>
              <w:bottom w:val="single" w:sz="4" w:space="0" w:color="auto"/>
              <w:right w:val="single" w:sz="4" w:space="0" w:color="auto"/>
            </w:tcBorders>
            <w:shd w:val="clear" w:color="auto" w:fill="auto"/>
            <w:noWrap/>
            <w:vAlign w:val="bottom"/>
            <w:hideMark/>
          </w:tcPr>
          <w:p w14:paraId="647B6D42" w14:textId="77777777" w:rsidR="00623CDE" w:rsidRPr="00623CDE" w:rsidRDefault="00623CDE" w:rsidP="00623CDE">
            <w:pPr>
              <w:spacing w:after="0" w:line="240" w:lineRule="auto"/>
              <w:jc w:val="right"/>
              <w:rPr>
                <w:rFonts w:ascii="Calibri" w:eastAsia="Times New Roman" w:hAnsi="Calibri" w:cs="Calibri"/>
                <w:color w:val="000000"/>
                <w:lang w:eastAsia="es-HN"/>
              </w:rPr>
            </w:pPr>
            <w:r w:rsidRPr="00623CDE">
              <w:rPr>
                <w:rFonts w:ascii="Calibri" w:eastAsia="Times New Roman" w:hAnsi="Calibri" w:cs="Calibri"/>
                <w:color w:val="000000"/>
                <w:lang w:eastAsia="es-HN"/>
              </w:rPr>
              <w:t>358</w:t>
            </w:r>
          </w:p>
        </w:tc>
        <w:tc>
          <w:tcPr>
            <w:tcW w:w="1134" w:type="dxa"/>
            <w:tcBorders>
              <w:top w:val="nil"/>
              <w:left w:val="nil"/>
              <w:bottom w:val="single" w:sz="4" w:space="0" w:color="auto"/>
              <w:right w:val="single" w:sz="4" w:space="0" w:color="auto"/>
            </w:tcBorders>
            <w:shd w:val="clear" w:color="auto" w:fill="auto"/>
            <w:noWrap/>
            <w:vAlign w:val="bottom"/>
            <w:hideMark/>
          </w:tcPr>
          <w:p w14:paraId="6E1B595C" w14:textId="77777777" w:rsidR="00623CDE" w:rsidRPr="00623CDE" w:rsidRDefault="00623CDE" w:rsidP="00623CDE">
            <w:pPr>
              <w:spacing w:after="0" w:line="240" w:lineRule="auto"/>
              <w:jc w:val="right"/>
              <w:rPr>
                <w:rFonts w:ascii="Calibri" w:eastAsia="Times New Roman" w:hAnsi="Calibri" w:cs="Calibri"/>
                <w:color w:val="000000"/>
                <w:lang w:eastAsia="es-HN"/>
              </w:rPr>
            </w:pPr>
            <w:r w:rsidRPr="00623CDE">
              <w:rPr>
                <w:rFonts w:ascii="Calibri" w:eastAsia="Times New Roman" w:hAnsi="Calibri" w:cs="Calibri"/>
                <w:color w:val="000000"/>
                <w:lang w:eastAsia="es-HN"/>
              </w:rPr>
              <w:t>18.14</w:t>
            </w:r>
          </w:p>
        </w:tc>
        <w:tc>
          <w:tcPr>
            <w:tcW w:w="1134" w:type="dxa"/>
            <w:tcBorders>
              <w:top w:val="nil"/>
              <w:left w:val="nil"/>
              <w:bottom w:val="single" w:sz="4" w:space="0" w:color="auto"/>
              <w:right w:val="single" w:sz="8" w:space="0" w:color="auto"/>
            </w:tcBorders>
            <w:shd w:val="clear" w:color="auto" w:fill="auto"/>
            <w:noWrap/>
            <w:vAlign w:val="bottom"/>
            <w:hideMark/>
          </w:tcPr>
          <w:p w14:paraId="2A401D34" w14:textId="77777777" w:rsidR="00623CDE" w:rsidRPr="00623CDE" w:rsidRDefault="00623CDE" w:rsidP="00623CDE">
            <w:pPr>
              <w:spacing w:after="0" w:line="240" w:lineRule="auto"/>
              <w:jc w:val="right"/>
              <w:rPr>
                <w:rFonts w:ascii="Calibri" w:eastAsia="Times New Roman" w:hAnsi="Calibri" w:cs="Calibri"/>
                <w:color w:val="000000"/>
                <w:lang w:eastAsia="es-HN"/>
              </w:rPr>
            </w:pPr>
            <w:r w:rsidRPr="00623CDE">
              <w:rPr>
                <w:rFonts w:ascii="Calibri" w:eastAsia="Times New Roman" w:hAnsi="Calibri" w:cs="Calibri"/>
                <w:color w:val="000000"/>
                <w:lang w:eastAsia="es-HN"/>
              </w:rPr>
              <w:t>1973</w:t>
            </w:r>
          </w:p>
        </w:tc>
      </w:tr>
      <w:tr w:rsidR="00623CDE" w:rsidRPr="00623CDE" w14:paraId="17559C14" w14:textId="77777777" w:rsidTr="00623CDE">
        <w:trPr>
          <w:trHeight w:val="315"/>
        </w:trPr>
        <w:tc>
          <w:tcPr>
            <w:tcW w:w="1833" w:type="dxa"/>
            <w:tcBorders>
              <w:top w:val="nil"/>
              <w:left w:val="single" w:sz="8" w:space="0" w:color="auto"/>
              <w:bottom w:val="nil"/>
              <w:right w:val="single" w:sz="4" w:space="0" w:color="auto"/>
            </w:tcBorders>
            <w:shd w:val="clear" w:color="auto" w:fill="auto"/>
            <w:noWrap/>
            <w:vAlign w:val="bottom"/>
            <w:hideMark/>
          </w:tcPr>
          <w:p w14:paraId="22EEDC94" w14:textId="77777777" w:rsidR="00623CDE" w:rsidRPr="00623CDE" w:rsidRDefault="00623CDE" w:rsidP="00623CDE">
            <w:pPr>
              <w:spacing w:after="0" w:line="240" w:lineRule="auto"/>
              <w:rPr>
                <w:rFonts w:ascii="Calibri" w:eastAsia="Times New Roman" w:hAnsi="Calibri" w:cs="Calibri"/>
                <w:color w:val="000000"/>
                <w:lang w:eastAsia="es-HN"/>
              </w:rPr>
            </w:pPr>
            <w:r w:rsidRPr="00623CDE">
              <w:rPr>
                <w:rFonts w:ascii="Calibri" w:eastAsia="Times New Roman" w:hAnsi="Calibri" w:cs="Calibri"/>
                <w:color w:val="000000"/>
                <w:lang w:eastAsia="es-HN"/>
              </w:rPr>
              <w:t>Olancho</w:t>
            </w:r>
          </w:p>
        </w:tc>
        <w:tc>
          <w:tcPr>
            <w:tcW w:w="1529" w:type="dxa"/>
            <w:tcBorders>
              <w:top w:val="nil"/>
              <w:left w:val="nil"/>
              <w:bottom w:val="nil"/>
              <w:right w:val="single" w:sz="4" w:space="0" w:color="auto"/>
            </w:tcBorders>
            <w:shd w:val="clear" w:color="auto" w:fill="auto"/>
            <w:noWrap/>
            <w:vAlign w:val="center"/>
            <w:hideMark/>
          </w:tcPr>
          <w:p w14:paraId="4090E106" w14:textId="77777777" w:rsidR="00623CDE" w:rsidRPr="00623CDE" w:rsidRDefault="00623CDE" w:rsidP="00623CDE">
            <w:pPr>
              <w:spacing w:after="0" w:line="240" w:lineRule="auto"/>
              <w:jc w:val="center"/>
              <w:rPr>
                <w:rFonts w:ascii="Calibri" w:eastAsia="Times New Roman" w:hAnsi="Calibri" w:cs="Calibri"/>
                <w:color w:val="000000"/>
                <w:lang w:eastAsia="es-HN"/>
              </w:rPr>
            </w:pPr>
            <w:r w:rsidRPr="00623CDE">
              <w:rPr>
                <w:rFonts w:ascii="Calibri" w:eastAsia="Times New Roman" w:hAnsi="Calibri" w:cs="Calibri"/>
                <w:color w:val="000000"/>
                <w:lang w:eastAsia="es-HN"/>
              </w:rPr>
              <w:t>78</w:t>
            </w:r>
          </w:p>
        </w:tc>
        <w:tc>
          <w:tcPr>
            <w:tcW w:w="1164" w:type="dxa"/>
            <w:tcBorders>
              <w:top w:val="nil"/>
              <w:left w:val="nil"/>
              <w:bottom w:val="nil"/>
              <w:right w:val="single" w:sz="4" w:space="0" w:color="auto"/>
            </w:tcBorders>
            <w:shd w:val="clear" w:color="auto" w:fill="auto"/>
            <w:noWrap/>
            <w:vAlign w:val="bottom"/>
            <w:hideMark/>
          </w:tcPr>
          <w:p w14:paraId="1115730E" w14:textId="77777777" w:rsidR="00623CDE" w:rsidRPr="00623CDE" w:rsidRDefault="00623CDE" w:rsidP="00623CDE">
            <w:pPr>
              <w:spacing w:after="0" w:line="240" w:lineRule="auto"/>
              <w:jc w:val="right"/>
              <w:rPr>
                <w:rFonts w:ascii="Calibri" w:eastAsia="Times New Roman" w:hAnsi="Calibri" w:cs="Calibri"/>
                <w:color w:val="000000"/>
                <w:lang w:eastAsia="es-HN"/>
              </w:rPr>
            </w:pPr>
            <w:r w:rsidRPr="00623CDE">
              <w:rPr>
                <w:rFonts w:ascii="Calibri" w:eastAsia="Times New Roman" w:hAnsi="Calibri" w:cs="Calibri"/>
                <w:color w:val="000000"/>
                <w:lang w:eastAsia="es-HN"/>
              </w:rPr>
              <w:t>2710</w:t>
            </w:r>
          </w:p>
        </w:tc>
        <w:tc>
          <w:tcPr>
            <w:tcW w:w="1134" w:type="dxa"/>
            <w:tcBorders>
              <w:top w:val="nil"/>
              <w:left w:val="nil"/>
              <w:bottom w:val="nil"/>
              <w:right w:val="single" w:sz="4" w:space="0" w:color="auto"/>
            </w:tcBorders>
            <w:shd w:val="clear" w:color="auto" w:fill="auto"/>
            <w:noWrap/>
            <w:vAlign w:val="bottom"/>
            <w:hideMark/>
          </w:tcPr>
          <w:p w14:paraId="7EEBABAF" w14:textId="77777777" w:rsidR="00623CDE" w:rsidRPr="00623CDE" w:rsidRDefault="00623CDE" w:rsidP="00623CDE">
            <w:pPr>
              <w:spacing w:after="0" w:line="240" w:lineRule="auto"/>
              <w:jc w:val="right"/>
              <w:rPr>
                <w:rFonts w:ascii="Calibri" w:eastAsia="Times New Roman" w:hAnsi="Calibri" w:cs="Calibri"/>
                <w:color w:val="000000"/>
                <w:lang w:eastAsia="es-HN"/>
              </w:rPr>
            </w:pPr>
            <w:r w:rsidRPr="00623CDE">
              <w:rPr>
                <w:rFonts w:ascii="Calibri" w:eastAsia="Times New Roman" w:hAnsi="Calibri" w:cs="Calibri"/>
                <w:color w:val="000000"/>
                <w:lang w:eastAsia="es-HN"/>
              </w:rPr>
              <w:t>71.02</w:t>
            </w:r>
          </w:p>
        </w:tc>
        <w:tc>
          <w:tcPr>
            <w:tcW w:w="1134" w:type="dxa"/>
            <w:tcBorders>
              <w:top w:val="nil"/>
              <w:left w:val="nil"/>
              <w:bottom w:val="nil"/>
              <w:right w:val="single" w:sz="4" w:space="0" w:color="auto"/>
            </w:tcBorders>
            <w:shd w:val="clear" w:color="auto" w:fill="auto"/>
            <w:noWrap/>
            <w:vAlign w:val="bottom"/>
            <w:hideMark/>
          </w:tcPr>
          <w:p w14:paraId="32266358" w14:textId="77777777" w:rsidR="00623CDE" w:rsidRPr="00623CDE" w:rsidRDefault="00623CDE" w:rsidP="00623CDE">
            <w:pPr>
              <w:spacing w:after="0" w:line="240" w:lineRule="auto"/>
              <w:jc w:val="right"/>
              <w:rPr>
                <w:rFonts w:ascii="Calibri" w:eastAsia="Times New Roman" w:hAnsi="Calibri" w:cs="Calibri"/>
                <w:color w:val="000000"/>
                <w:lang w:eastAsia="es-HN"/>
              </w:rPr>
            </w:pPr>
            <w:r w:rsidRPr="00623CDE">
              <w:rPr>
                <w:rFonts w:ascii="Calibri" w:eastAsia="Times New Roman" w:hAnsi="Calibri" w:cs="Calibri"/>
                <w:color w:val="000000"/>
                <w:lang w:eastAsia="es-HN"/>
              </w:rPr>
              <w:t>1106</w:t>
            </w:r>
          </w:p>
        </w:tc>
        <w:tc>
          <w:tcPr>
            <w:tcW w:w="1134" w:type="dxa"/>
            <w:tcBorders>
              <w:top w:val="nil"/>
              <w:left w:val="nil"/>
              <w:bottom w:val="nil"/>
              <w:right w:val="single" w:sz="4" w:space="0" w:color="auto"/>
            </w:tcBorders>
            <w:shd w:val="clear" w:color="auto" w:fill="auto"/>
            <w:noWrap/>
            <w:vAlign w:val="bottom"/>
            <w:hideMark/>
          </w:tcPr>
          <w:p w14:paraId="05BDE9BC" w14:textId="77777777" w:rsidR="00623CDE" w:rsidRPr="00623CDE" w:rsidRDefault="00623CDE" w:rsidP="00623CDE">
            <w:pPr>
              <w:spacing w:after="0" w:line="240" w:lineRule="auto"/>
              <w:jc w:val="right"/>
              <w:rPr>
                <w:rFonts w:ascii="Calibri" w:eastAsia="Times New Roman" w:hAnsi="Calibri" w:cs="Calibri"/>
                <w:color w:val="000000"/>
                <w:lang w:eastAsia="es-HN"/>
              </w:rPr>
            </w:pPr>
            <w:r w:rsidRPr="00623CDE">
              <w:rPr>
                <w:rFonts w:ascii="Calibri" w:eastAsia="Times New Roman" w:hAnsi="Calibri" w:cs="Calibri"/>
                <w:color w:val="000000"/>
                <w:lang w:eastAsia="es-HN"/>
              </w:rPr>
              <w:t>28.98</w:t>
            </w:r>
          </w:p>
        </w:tc>
        <w:tc>
          <w:tcPr>
            <w:tcW w:w="1134" w:type="dxa"/>
            <w:tcBorders>
              <w:top w:val="nil"/>
              <w:left w:val="nil"/>
              <w:bottom w:val="nil"/>
              <w:right w:val="single" w:sz="8" w:space="0" w:color="auto"/>
            </w:tcBorders>
            <w:shd w:val="clear" w:color="auto" w:fill="auto"/>
            <w:noWrap/>
            <w:vAlign w:val="bottom"/>
            <w:hideMark/>
          </w:tcPr>
          <w:p w14:paraId="61BC7EB4" w14:textId="77777777" w:rsidR="00623CDE" w:rsidRPr="00623CDE" w:rsidRDefault="00623CDE" w:rsidP="00623CDE">
            <w:pPr>
              <w:spacing w:after="0" w:line="240" w:lineRule="auto"/>
              <w:jc w:val="right"/>
              <w:rPr>
                <w:rFonts w:ascii="Calibri" w:eastAsia="Times New Roman" w:hAnsi="Calibri" w:cs="Calibri"/>
                <w:color w:val="000000"/>
                <w:lang w:eastAsia="es-HN"/>
              </w:rPr>
            </w:pPr>
            <w:r w:rsidRPr="00623CDE">
              <w:rPr>
                <w:rFonts w:ascii="Calibri" w:eastAsia="Times New Roman" w:hAnsi="Calibri" w:cs="Calibri"/>
                <w:color w:val="000000"/>
                <w:lang w:eastAsia="es-HN"/>
              </w:rPr>
              <w:t>3816</w:t>
            </w:r>
          </w:p>
        </w:tc>
      </w:tr>
      <w:tr w:rsidR="00623CDE" w:rsidRPr="00623CDE" w14:paraId="5C7706D9" w14:textId="77777777" w:rsidTr="00623CDE">
        <w:trPr>
          <w:trHeight w:val="315"/>
        </w:trPr>
        <w:tc>
          <w:tcPr>
            <w:tcW w:w="1833"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4A517931" w14:textId="77777777" w:rsidR="00623CDE" w:rsidRPr="00623CDE" w:rsidRDefault="00623CDE" w:rsidP="00623CDE">
            <w:pPr>
              <w:spacing w:after="0" w:line="240" w:lineRule="auto"/>
              <w:rPr>
                <w:rFonts w:ascii="Calibri" w:eastAsia="Times New Roman" w:hAnsi="Calibri" w:cs="Calibri"/>
                <w:color w:val="000000"/>
                <w:lang w:eastAsia="es-HN"/>
              </w:rPr>
            </w:pPr>
            <w:r w:rsidRPr="00623CDE">
              <w:rPr>
                <w:rFonts w:ascii="Calibri" w:eastAsia="Times New Roman" w:hAnsi="Calibri" w:cs="Calibri"/>
                <w:color w:val="000000"/>
                <w:lang w:eastAsia="es-HN"/>
              </w:rPr>
              <w:t>Total</w:t>
            </w:r>
          </w:p>
        </w:tc>
        <w:tc>
          <w:tcPr>
            <w:tcW w:w="1529" w:type="dxa"/>
            <w:tcBorders>
              <w:top w:val="single" w:sz="8" w:space="0" w:color="auto"/>
              <w:left w:val="nil"/>
              <w:bottom w:val="single" w:sz="8" w:space="0" w:color="auto"/>
              <w:right w:val="single" w:sz="4" w:space="0" w:color="auto"/>
            </w:tcBorders>
            <w:shd w:val="clear" w:color="auto" w:fill="auto"/>
            <w:noWrap/>
            <w:vAlign w:val="center"/>
            <w:hideMark/>
          </w:tcPr>
          <w:p w14:paraId="32A3230B" w14:textId="77777777" w:rsidR="00623CDE" w:rsidRPr="00623CDE" w:rsidRDefault="00623CDE" w:rsidP="00623CDE">
            <w:pPr>
              <w:spacing w:after="0" w:line="240" w:lineRule="auto"/>
              <w:jc w:val="center"/>
              <w:rPr>
                <w:rFonts w:ascii="Calibri" w:eastAsia="Times New Roman" w:hAnsi="Calibri" w:cs="Calibri"/>
                <w:b/>
                <w:bCs/>
                <w:color w:val="000000"/>
                <w:lang w:eastAsia="es-HN"/>
              </w:rPr>
            </w:pPr>
            <w:r w:rsidRPr="00623CDE">
              <w:rPr>
                <w:rFonts w:ascii="Calibri" w:eastAsia="Times New Roman" w:hAnsi="Calibri" w:cs="Calibri"/>
                <w:b/>
                <w:bCs/>
                <w:color w:val="000000"/>
                <w:lang w:eastAsia="es-HN"/>
              </w:rPr>
              <w:t>152</w:t>
            </w:r>
          </w:p>
        </w:tc>
        <w:tc>
          <w:tcPr>
            <w:tcW w:w="1164" w:type="dxa"/>
            <w:tcBorders>
              <w:top w:val="single" w:sz="8" w:space="0" w:color="auto"/>
              <w:left w:val="nil"/>
              <w:bottom w:val="single" w:sz="8" w:space="0" w:color="auto"/>
              <w:right w:val="single" w:sz="4" w:space="0" w:color="auto"/>
            </w:tcBorders>
            <w:shd w:val="clear" w:color="auto" w:fill="auto"/>
            <w:noWrap/>
            <w:vAlign w:val="bottom"/>
            <w:hideMark/>
          </w:tcPr>
          <w:p w14:paraId="37843975" w14:textId="77777777" w:rsidR="00623CDE" w:rsidRPr="00623CDE" w:rsidRDefault="00623CDE" w:rsidP="00623CDE">
            <w:pPr>
              <w:spacing w:after="0" w:line="240" w:lineRule="auto"/>
              <w:jc w:val="right"/>
              <w:rPr>
                <w:rFonts w:ascii="Calibri" w:eastAsia="Times New Roman" w:hAnsi="Calibri" w:cs="Calibri"/>
                <w:color w:val="000000"/>
                <w:lang w:eastAsia="es-HN"/>
              </w:rPr>
            </w:pPr>
            <w:r w:rsidRPr="00623CDE">
              <w:rPr>
                <w:rFonts w:ascii="Calibri" w:eastAsia="Times New Roman" w:hAnsi="Calibri" w:cs="Calibri"/>
                <w:color w:val="000000"/>
                <w:lang w:eastAsia="es-HN"/>
              </w:rPr>
              <w:t>5837</w:t>
            </w:r>
          </w:p>
        </w:tc>
        <w:tc>
          <w:tcPr>
            <w:tcW w:w="1134" w:type="dxa"/>
            <w:tcBorders>
              <w:top w:val="single" w:sz="8" w:space="0" w:color="auto"/>
              <w:left w:val="nil"/>
              <w:bottom w:val="single" w:sz="8" w:space="0" w:color="auto"/>
              <w:right w:val="single" w:sz="4" w:space="0" w:color="auto"/>
            </w:tcBorders>
            <w:shd w:val="clear" w:color="auto" w:fill="auto"/>
            <w:noWrap/>
            <w:vAlign w:val="bottom"/>
            <w:hideMark/>
          </w:tcPr>
          <w:p w14:paraId="669D1CE3" w14:textId="77777777" w:rsidR="00623CDE" w:rsidRPr="00623CDE" w:rsidRDefault="00623CDE" w:rsidP="00623CDE">
            <w:pPr>
              <w:spacing w:after="0" w:line="240" w:lineRule="auto"/>
              <w:jc w:val="right"/>
              <w:rPr>
                <w:rFonts w:ascii="Calibri" w:eastAsia="Times New Roman" w:hAnsi="Calibri" w:cs="Calibri"/>
                <w:b/>
                <w:bCs/>
                <w:color w:val="000000"/>
                <w:lang w:eastAsia="es-HN"/>
              </w:rPr>
            </w:pPr>
            <w:r w:rsidRPr="00623CDE">
              <w:rPr>
                <w:rFonts w:ascii="Calibri" w:eastAsia="Times New Roman" w:hAnsi="Calibri" w:cs="Calibri"/>
                <w:b/>
                <w:bCs/>
                <w:color w:val="000000"/>
                <w:lang w:eastAsia="es-HN"/>
              </w:rPr>
              <w:t>75.98</w:t>
            </w:r>
          </w:p>
        </w:tc>
        <w:tc>
          <w:tcPr>
            <w:tcW w:w="1134" w:type="dxa"/>
            <w:tcBorders>
              <w:top w:val="single" w:sz="8" w:space="0" w:color="auto"/>
              <w:left w:val="nil"/>
              <w:bottom w:val="single" w:sz="8" w:space="0" w:color="auto"/>
              <w:right w:val="single" w:sz="4" w:space="0" w:color="auto"/>
            </w:tcBorders>
            <w:shd w:val="clear" w:color="auto" w:fill="auto"/>
            <w:noWrap/>
            <w:vAlign w:val="bottom"/>
            <w:hideMark/>
          </w:tcPr>
          <w:p w14:paraId="346A1312" w14:textId="77777777" w:rsidR="00623CDE" w:rsidRPr="00623CDE" w:rsidRDefault="00623CDE" w:rsidP="00623CDE">
            <w:pPr>
              <w:spacing w:after="0" w:line="240" w:lineRule="auto"/>
              <w:jc w:val="right"/>
              <w:rPr>
                <w:rFonts w:ascii="Calibri" w:eastAsia="Times New Roman" w:hAnsi="Calibri" w:cs="Calibri"/>
                <w:color w:val="000000"/>
                <w:lang w:eastAsia="es-HN"/>
              </w:rPr>
            </w:pPr>
            <w:r w:rsidRPr="00623CDE">
              <w:rPr>
                <w:rFonts w:ascii="Calibri" w:eastAsia="Times New Roman" w:hAnsi="Calibri" w:cs="Calibri"/>
                <w:color w:val="000000"/>
                <w:lang w:eastAsia="es-HN"/>
              </w:rPr>
              <w:t>1845</w:t>
            </w:r>
          </w:p>
        </w:tc>
        <w:tc>
          <w:tcPr>
            <w:tcW w:w="1134" w:type="dxa"/>
            <w:tcBorders>
              <w:top w:val="single" w:sz="8" w:space="0" w:color="auto"/>
              <w:left w:val="nil"/>
              <w:bottom w:val="single" w:sz="8" w:space="0" w:color="auto"/>
              <w:right w:val="single" w:sz="4" w:space="0" w:color="auto"/>
            </w:tcBorders>
            <w:shd w:val="clear" w:color="auto" w:fill="auto"/>
            <w:noWrap/>
            <w:vAlign w:val="bottom"/>
            <w:hideMark/>
          </w:tcPr>
          <w:p w14:paraId="646A74E0" w14:textId="77777777" w:rsidR="00623CDE" w:rsidRPr="00623CDE" w:rsidRDefault="00623CDE" w:rsidP="00623CDE">
            <w:pPr>
              <w:spacing w:after="0" w:line="240" w:lineRule="auto"/>
              <w:jc w:val="right"/>
              <w:rPr>
                <w:rFonts w:ascii="Calibri" w:eastAsia="Times New Roman" w:hAnsi="Calibri" w:cs="Calibri"/>
                <w:b/>
                <w:bCs/>
                <w:color w:val="000000"/>
                <w:lang w:eastAsia="es-HN"/>
              </w:rPr>
            </w:pPr>
            <w:r w:rsidRPr="00623CDE">
              <w:rPr>
                <w:rFonts w:ascii="Calibri" w:eastAsia="Times New Roman" w:hAnsi="Calibri" w:cs="Calibri"/>
                <w:b/>
                <w:bCs/>
                <w:color w:val="000000"/>
                <w:lang w:eastAsia="es-HN"/>
              </w:rPr>
              <w:t>24.02</w:t>
            </w:r>
          </w:p>
        </w:tc>
        <w:tc>
          <w:tcPr>
            <w:tcW w:w="1134" w:type="dxa"/>
            <w:tcBorders>
              <w:top w:val="single" w:sz="8" w:space="0" w:color="auto"/>
              <w:left w:val="nil"/>
              <w:bottom w:val="single" w:sz="8" w:space="0" w:color="auto"/>
              <w:right w:val="single" w:sz="8" w:space="0" w:color="auto"/>
            </w:tcBorders>
            <w:shd w:val="clear" w:color="auto" w:fill="auto"/>
            <w:noWrap/>
            <w:vAlign w:val="bottom"/>
            <w:hideMark/>
          </w:tcPr>
          <w:p w14:paraId="63129F52" w14:textId="77777777" w:rsidR="00623CDE" w:rsidRPr="00623CDE" w:rsidRDefault="00623CDE" w:rsidP="00623CDE">
            <w:pPr>
              <w:spacing w:after="0" w:line="240" w:lineRule="auto"/>
              <w:jc w:val="right"/>
              <w:rPr>
                <w:rFonts w:ascii="Calibri" w:eastAsia="Times New Roman" w:hAnsi="Calibri" w:cs="Calibri"/>
                <w:color w:val="000000"/>
                <w:lang w:eastAsia="es-HN"/>
              </w:rPr>
            </w:pPr>
            <w:r w:rsidRPr="00623CDE">
              <w:rPr>
                <w:rFonts w:ascii="Calibri" w:eastAsia="Times New Roman" w:hAnsi="Calibri" w:cs="Calibri"/>
                <w:color w:val="000000"/>
                <w:lang w:eastAsia="es-HN"/>
              </w:rPr>
              <w:t>7682</w:t>
            </w:r>
          </w:p>
        </w:tc>
      </w:tr>
    </w:tbl>
    <w:p w14:paraId="3326FA8E" w14:textId="77777777" w:rsidR="00165338" w:rsidRPr="00165338" w:rsidRDefault="00165338" w:rsidP="00165338">
      <w:pPr>
        <w:autoSpaceDE w:val="0"/>
        <w:autoSpaceDN w:val="0"/>
        <w:adjustRightInd w:val="0"/>
        <w:spacing w:after="240" w:line="360" w:lineRule="auto"/>
        <w:jc w:val="both"/>
        <w:rPr>
          <w:rFonts w:ascii="Arial" w:eastAsia="Calibri" w:hAnsi="Arial" w:cs="Arial"/>
        </w:rPr>
      </w:pPr>
    </w:p>
    <w:p w14:paraId="5F6439A4" w14:textId="77777777" w:rsidR="00165338" w:rsidRPr="00165338" w:rsidRDefault="00165338" w:rsidP="00165338">
      <w:pPr>
        <w:autoSpaceDE w:val="0"/>
        <w:autoSpaceDN w:val="0"/>
        <w:adjustRightInd w:val="0"/>
        <w:spacing w:after="240" w:line="360" w:lineRule="auto"/>
        <w:jc w:val="both"/>
        <w:rPr>
          <w:rFonts w:ascii="Arial" w:eastAsia="Calibri" w:hAnsi="Arial" w:cs="Arial"/>
        </w:rPr>
        <w:sectPr w:rsidR="00165338" w:rsidRPr="00165338" w:rsidSect="00A45F01">
          <w:pgSz w:w="12240" w:h="15840" w:code="1"/>
          <w:pgMar w:top="1417" w:right="1701" w:bottom="1417" w:left="1701" w:header="708" w:footer="708" w:gutter="0"/>
          <w:cols w:space="708"/>
          <w:docGrid w:linePitch="360"/>
        </w:sectPr>
      </w:pPr>
    </w:p>
    <w:p w14:paraId="230423FE" w14:textId="77777777" w:rsidR="00165338" w:rsidRPr="00165338" w:rsidRDefault="00165338" w:rsidP="00165338">
      <w:pPr>
        <w:autoSpaceDE w:val="0"/>
        <w:autoSpaceDN w:val="0"/>
        <w:adjustRightInd w:val="0"/>
        <w:spacing w:after="240" w:line="360" w:lineRule="auto"/>
        <w:jc w:val="both"/>
        <w:rPr>
          <w:rFonts w:ascii="Arial" w:eastAsia="Calibri" w:hAnsi="Arial" w:cs="Arial"/>
          <w:b/>
        </w:rPr>
      </w:pPr>
      <w:r w:rsidRPr="00165338">
        <w:rPr>
          <w:rFonts w:ascii="Arial" w:eastAsia="Calibri" w:hAnsi="Arial" w:cs="Arial"/>
          <w:b/>
        </w:rPr>
        <w:lastRenderedPageBreak/>
        <w:t>II. PLAN DE ACCIÓN DE GÉNERO</w:t>
      </w:r>
    </w:p>
    <w:tbl>
      <w:tblPr>
        <w:tblW w:w="13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8"/>
        <w:gridCol w:w="3251"/>
        <w:gridCol w:w="2507"/>
        <w:gridCol w:w="13"/>
        <w:gridCol w:w="2970"/>
        <w:gridCol w:w="1271"/>
        <w:gridCol w:w="13"/>
      </w:tblGrid>
      <w:tr w:rsidR="00165338" w:rsidRPr="00165338" w14:paraId="3814B86B" w14:textId="77777777" w:rsidTr="00165338">
        <w:trPr>
          <w:trHeight w:val="300"/>
          <w:tblHeader/>
        </w:trPr>
        <w:tc>
          <w:tcPr>
            <w:tcW w:w="3208" w:type="dxa"/>
            <w:shd w:val="clear" w:color="auto" w:fill="BFBFBF"/>
            <w:noWrap/>
            <w:vAlign w:val="bottom"/>
            <w:hideMark/>
          </w:tcPr>
          <w:p w14:paraId="70E591D3" w14:textId="77777777"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t>ACTIVIDADES</w:t>
            </w:r>
          </w:p>
        </w:tc>
        <w:tc>
          <w:tcPr>
            <w:tcW w:w="3251" w:type="dxa"/>
            <w:shd w:val="clear" w:color="auto" w:fill="BFBFBF"/>
            <w:noWrap/>
            <w:vAlign w:val="bottom"/>
            <w:hideMark/>
          </w:tcPr>
          <w:p w14:paraId="32184197" w14:textId="77777777"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t>INDICADORES Y OBJETIVOS</w:t>
            </w:r>
          </w:p>
        </w:tc>
        <w:tc>
          <w:tcPr>
            <w:tcW w:w="2520" w:type="dxa"/>
            <w:gridSpan w:val="2"/>
            <w:shd w:val="clear" w:color="auto" w:fill="BFBFBF"/>
            <w:noWrap/>
            <w:vAlign w:val="bottom"/>
            <w:hideMark/>
          </w:tcPr>
          <w:p w14:paraId="67991419" w14:textId="77777777"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t>PLAZO</w:t>
            </w:r>
          </w:p>
        </w:tc>
        <w:tc>
          <w:tcPr>
            <w:tcW w:w="2970" w:type="dxa"/>
            <w:shd w:val="clear" w:color="auto" w:fill="BFBFBF"/>
            <w:noWrap/>
            <w:vAlign w:val="bottom"/>
            <w:hideMark/>
          </w:tcPr>
          <w:p w14:paraId="76A4DF8A" w14:textId="77777777"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t>RESPONSABILIDADES</w:t>
            </w:r>
          </w:p>
        </w:tc>
        <w:tc>
          <w:tcPr>
            <w:tcW w:w="1284" w:type="dxa"/>
            <w:gridSpan w:val="2"/>
            <w:shd w:val="clear" w:color="auto" w:fill="BFBFBF"/>
            <w:noWrap/>
            <w:vAlign w:val="bottom"/>
            <w:hideMark/>
          </w:tcPr>
          <w:p w14:paraId="2E20B6E2" w14:textId="77777777"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t>COSTO</w:t>
            </w:r>
          </w:p>
        </w:tc>
      </w:tr>
      <w:tr w:rsidR="00165338" w:rsidRPr="00165338" w14:paraId="0E24301E" w14:textId="77777777" w:rsidTr="00165338">
        <w:trPr>
          <w:trHeight w:val="300"/>
        </w:trPr>
        <w:tc>
          <w:tcPr>
            <w:tcW w:w="13233" w:type="dxa"/>
            <w:gridSpan w:val="7"/>
            <w:shd w:val="clear" w:color="auto" w:fill="BFBFBF"/>
            <w:hideMark/>
          </w:tcPr>
          <w:p w14:paraId="5877FCA5" w14:textId="77777777"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t>Resultado 1: mujeres empleadas en actividades de restauración.</w:t>
            </w:r>
          </w:p>
        </w:tc>
      </w:tr>
      <w:tr w:rsidR="00165338" w:rsidRPr="00165338" w14:paraId="665F86EB" w14:textId="77777777" w:rsidTr="009529E5">
        <w:trPr>
          <w:trHeight w:val="4078"/>
        </w:trPr>
        <w:tc>
          <w:tcPr>
            <w:tcW w:w="3208" w:type="dxa"/>
            <w:shd w:val="clear" w:color="auto" w:fill="auto"/>
            <w:hideMark/>
          </w:tcPr>
          <w:p w14:paraId="1D56B123" w14:textId="77777777"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t>1) Desarrollar Jornadas de capacitación para mujeres.</w:t>
            </w:r>
          </w:p>
          <w:p w14:paraId="21D65512" w14:textId="77777777"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t>2) Las mujeres son capacitadas en actividades relacionadas a la restauración del bosque de pino afectado por el gorgojo (clareo, control de incendios y diversificación del bosque conífero)</w:t>
            </w:r>
          </w:p>
          <w:p w14:paraId="368A66B6" w14:textId="77777777"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t>3) Las mujeres son empleadas para trabajar en actividades relacionadas a la restauración del bosque de pino.</w:t>
            </w:r>
          </w:p>
          <w:p w14:paraId="76931F6B" w14:textId="77777777"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t>4) Organizaciones y comunidades reciben capacitación de género.</w:t>
            </w:r>
          </w:p>
          <w:p w14:paraId="05293AC5" w14:textId="77777777"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t>5) Análisis de las condiciones socioeconómicas de las mujeres en las organizaciones participantes.</w:t>
            </w:r>
          </w:p>
          <w:p w14:paraId="19C04473" w14:textId="77777777" w:rsidR="00165338" w:rsidRPr="00165338" w:rsidRDefault="00165338" w:rsidP="00165338">
            <w:pPr>
              <w:spacing w:after="0" w:line="240" w:lineRule="auto"/>
              <w:rPr>
                <w:rFonts w:ascii="Arial" w:eastAsia="Times New Roman" w:hAnsi="Arial" w:cs="Arial"/>
                <w:sz w:val="18"/>
                <w:szCs w:val="18"/>
                <w:lang w:eastAsia="es-HN"/>
              </w:rPr>
            </w:pPr>
          </w:p>
        </w:tc>
        <w:tc>
          <w:tcPr>
            <w:tcW w:w="3251" w:type="dxa"/>
            <w:shd w:val="clear" w:color="auto" w:fill="auto"/>
            <w:noWrap/>
            <w:hideMark/>
          </w:tcPr>
          <w:p w14:paraId="000EC20E" w14:textId="116430A3"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t xml:space="preserve">1) </w:t>
            </w:r>
            <w:r w:rsidR="0038649C">
              <w:rPr>
                <w:rFonts w:ascii="Arial" w:eastAsia="Times New Roman" w:hAnsi="Arial" w:cs="Arial"/>
                <w:sz w:val="18"/>
                <w:szCs w:val="18"/>
                <w:lang w:eastAsia="es-HN"/>
              </w:rPr>
              <w:t>20</w:t>
            </w:r>
            <w:r w:rsidRPr="00165338">
              <w:rPr>
                <w:rFonts w:ascii="Arial" w:eastAsia="Times New Roman" w:hAnsi="Arial" w:cs="Arial"/>
                <w:sz w:val="18"/>
                <w:szCs w:val="18"/>
                <w:lang w:eastAsia="es-HN"/>
              </w:rPr>
              <w:t>% de mujeres capacitadas en actividades relacionadas a la restauración de bosque de pino.</w:t>
            </w:r>
          </w:p>
          <w:p w14:paraId="51373122" w14:textId="77777777"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t>2) Número de personas empleadas en actividades relacionadas en la restauración de bosque de pino, de las cuales 20% son mujeres.</w:t>
            </w:r>
          </w:p>
          <w:p w14:paraId="4D64B8F9" w14:textId="77777777" w:rsidR="00165338" w:rsidRPr="00165338" w:rsidRDefault="00165338" w:rsidP="00165338">
            <w:pPr>
              <w:spacing w:after="0" w:line="240" w:lineRule="auto"/>
              <w:rPr>
                <w:rFonts w:ascii="Arial" w:eastAsia="Times New Roman" w:hAnsi="Arial" w:cs="Arial"/>
                <w:sz w:val="18"/>
                <w:szCs w:val="18"/>
                <w:lang w:eastAsia="es-HN"/>
              </w:rPr>
            </w:pPr>
          </w:p>
        </w:tc>
        <w:tc>
          <w:tcPr>
            <w:tcW w:w="2520" w:type="dxa"/>
            <w:gridSpan w:val="2"/>
            <w:shd w:val="clear" w:color="auto" w:fill="auto"/>
            <w:noWrap/>
            <w:hideMark/>
          </w:tcPr>
          <w:p w14:paraId="2C1904D8" w14:textId="77777777"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t>1) Para el 2024, 20% de las personas capacitadas serán mujeres.</w:t>
            </w:r>
          </w:p>
          <w:p w14:paraId="56DBAAE2" w14:textId="442DB333"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t>2) Para el 2024: 20% de las personas empleadas en actividades de restauración serán mujeres</w:t>
            </w:r>
            <w:r w:rsidR="00F8485F">
              <w:rPr>
                <w:rFonts w:ascii="Arial" w:eastAsia="Times New Roman" w:hAnsi="Arial" w:cs="Arial"/>
                <w:sz w:val="18"/>
                <w:szCs w:val="18"/>
                <w:lang w:eastAsia="es-HN"/>
              </w:rPr>
              <w:t>.</w:t>
            </w:r>
          </w:p>
          <w:p w14:paraId="443786D4" w14:textId="77777777" w:rsidR="00165338" w:rsidRPr="00165338" w:rsidRDefault="00165338" w:rsidP="00165338">
            <w:pPr>
              <w:spacing w:after="0" w:line="240" w:lineRule="auto"/>
              <w:rPr>
                <w:rFonts w:ascii="Arial" w:eastAsia="Times New Roman" w:hAnsi="Arial" w:cs="Arial"/>
                <w:sz w:val="18"/>
                <w:szCs w:val="18"/>
                <w:lang w:eastAsia="es-HN"/>
              </w:rPr>
            </w:pPr>
          </w:p>
        </w:tc>
        <w:tc>
          <w:tcPr>
            <w:tcW w:w="2970" w:type="dxa"/>
            <w:shd w:val="clear" w:color="auto" w:fill="auto"/>
            <w:noWrap/>
            <w:hideMark/>
          </w:tcPr>
          <w:p w14:paraId="213C4DFB" w14:textId="77777777"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t>-Consultor de género</w:t>
            </w:r>
          </w:p>
          <w:p w14:paraId="21885D4B" w14:textId="77777777"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t>-Agencia ejecutora.</w:t>
            </w:r>
          </w:p>
        </w:tc>
        <w:tc>
          <w:tcPr>
            <w:tcW w:w="1284" w:type="dxa"/>
            <w:gridSpan w:val="2"/>
            <w:shd w:val="clear" w:color="auto" w:fill="auto"/>
            <w:noWrap/>
            <w:hideMark/>
          </w:tcPr>
          <w:p w14:paraId="076FC830" w14:textId="77777777"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t>US$30,000</w:t>
            </w:r>
          </w:p>
        </w:tc>
      </w:tr>
      <w:tr w:rsidR="00165338" w:rsidRPr="00165338" w14:paraId="0077DB5A" w14:textId="77777777" w:rsidTr="00165338">
        <w:trPr>
          <w:trHeight w:val="300"/>
        </w:trPr>
        <w:tc>
          <w:tcPr>
            <w:tcW w:w="13233" w:type="dxa"/>
            <w:gridSpan w:val="7"/>
            <w:shd w:val="clear" w:color="auto" w:fill="BFBFBF"/>
            <w:hideMark/>
          </w:tcPr>
          <w:p w14:paraId="79C7C906" w14:textId="77777777"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t>Resultado 2: mujeres productoras reciben financiamiento para sistemas agroforestales.</w:t>
            </w:r>
          </w:p>
        </w:tc>
      </w:tr>
      <w:tr w:rsidR="00165338" w:rsidRPr="00165338" w14:paraId="43B95A97" w14:textId="77777777" w:rsidTr="009529E5">
        <w:trPr>
          <w:trHeight w:val="1375"/>
        </w:trPr>
        <w:tc>
          <w:tcPr>
            <w:tcW w:w="3208" w:type="dxa"/>
            <w:shd w:val="clear" w:color="auto" w:fill="auto"/>
            <w:hideMark/>
          </w:tcPr>
          <w:p w14:paraId="1126BC07" w14:textId="77777777"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t>1) Mujeres reciben financiamiento por la instalación de cafetos u otros SA.</w:t>
            </w:r>
          </w:p>
          <w:p w14:paraId="16081218" w14:textId="77777777"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t>2) Las mujeres reciben capacitación.</w:t>
            </w:r>
          </w:p>
          <w:p w14:paraId="4EAACE84" w14:textId="77777777"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t>3) Capacitación de género para productores y organizaciones.</w:t>
            </w:r>
          </w:p>
          <w:p w14:paraId="09C16B18" w14:textId="77777777"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t>4) Análisis de la seguridad de las mujeres en las plantaciones e introducción de medidas si fuera necesario.</w:t>
            </w:r>
          </w:p>
          <w:p w14:paraId="5C363E4D" w14:textId="43005F9D"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t xml:space="preserve">5) Análisis de las condiciones </w:t>
            </w:r>
            <w:r w:rsidR="00697845" w:rsidRPr="00165338">
              <w:rPr>
                <w:rFonts w:ascii="Arial" w:eastAsia="Times New Roman" w:hAnsi="Arial" w:cs="Arial"/>
                <w:sz w:val="18"/>
                <w:szCs w:val="18"/>
                <w:lang w:eastAsia="es-HN"/>
              </w:rPr>
              <w:t>socioeconómicas</w:t>
            </w:r>
            <w:r w:rsidRPr="00165338">
              <w:rPr>
                <w:rFonts w:ascii="Arial" w:eastAsia="Times New Roman" w:hAnsi="Arial" w:cs="Arial"/>
                <w:sz w:val="18"/>
                <w:szCs w:val="18"/>
                <w:lang w:eastAsia="es-HN"/>
              </w:rPr>
              <w:t xml:space="preserve"> de las mujeres en las organizaciones participantes.</w:t>
            </w:r>
          </w:p>
          <w:p w14:paraId="2800EDDC" w14:textId="77777777" w:rsidR="00165338" w:rsidRPr="00165338" w:rsidRDefault="00165338" w:rsidP="00165338">
            <w:pPr>
              <w:spacing w:after="0" w:line="240" w:lineRule="auto"/>
              <w:rPr>
                <w:rFonts w:ascii="Arial" w:eastAsia="Times New Roman" w:hAnsi="Arial" w:cs="Arial"/>
                <w:sz w:val="18"/>
                <w:szCs w:val="18"/>
                <w:lang w:eastAsia="es-HN"/>
              </w:rPr>
            </w:pPr>
          </w:p>
        </w:tc>
        <w:tc>
          <w:tcPr>
            <w:tcW w:w="3251" w:type="dxa"/>
            <w:shd w:val="clear" w:color="auto" w:fill="auto"/>
            <w:noWrap/>
          </w:tcPr>
          <w:p w14:paraId="46B1DB40" w14:textId="77777777"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t>1) Número de hogares que reciben financiamiento, de los cuales 10% son de mujeres como jefas de familia.</w:t>
            </w:r>
          </w:p>
          <w:p w14:paraId="30350749" w14:textId="77777777"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t xml:space="preserve">2) % de mujeres capacitadas. </w:t>
            </w:r>
          </w:p>
          <w:p w14:paraId="7D65379C" w14:textId="77777777"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t>3) % de hogares que reciben capacitación de género.</w:t>
            </w:r>
          </w:p>
        </w:tc>
        <w:tc>
          <w:tcPr>
            <w:tcW w:w="2520" w:type="dxa"/>
            <w:gridSpan w:val="2"/>
            <w:shd w:val="clear" w:color="auto" w:fill="auto"/>
            <w:noWrap/>
          </w:tcPr>
          <w:p w14:paraId="12DB4798" w14:textId="0060F02B"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t>1) Para el 2024: 10% de los hogares recibiendo financiamiento están encabezados por mujeres.</w:t>
            </w:r>
          </w:p>
          <w:p w14:paraId="015645C6" w14:textId="77777777"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t>2) Para el 2021: 10% de las personas capacitadas son mujeres</w:t>
            </w:r>
          </w:p>
          <w:p w14:paraId="65BF6F34" w14:textId="77777777"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t>Para el 2024: 20% de las personas capacitadas son mujeres</w:t>
            </w:r>
          </w:p>
          <w:p w14:paraId="7C1A1985" w14:textId="77777777"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t xml:space="preserve">3) Para el 2021: 30% de los hogares recibirán capacitación de género. </w:t>
            </w:r>
          </w:p>
          <w:p w14:paraId="105203BF" w14:textId="77777777"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lastRenderedPageBreak/>
              <w:t>Para el 2024: 80% de los hogares recibirán capacitación de género.</w:t>
            </w:r>
          </w:p>
          <w:p w14:paraId="356676C0" w14:textId="77777777" w:rsidR="00165338" w:rsidRPr="00165338" w:rsidRDefault="00165338" w:rsidP="00165338">
            <w:pPr>
              <w:spacing w:after="0" w:line="240" w:lineRule="auto"/>
              <w:rPr>
                <w:rFonts w:ascii="Arial" w:eastAsia="Times New Roman" w:hAnsi="Arial" w:cs="Arial"/>
                <w:color w:val="FF0000"/>
                <w:sz w:val="18"/>
                <w:szCs w:val="18"/>
                <w:lang w:eastAsia="es-HN"/>
              </w:rPr>
            </w:pPr>
          </w:p>
        </w:tc>
        <w:tc>
          <w:tcPr>
            <w:tcW w:w="2970" w:type="dxa"/>
            <w:shd w:val="clear" w:color="auto" w:fill="auto"/>
            <w:noWrap/>
            <w:hideMark/>
          </w:tcPr>
          <w:p w14:paraId="36E67EB7" w14:textId="77777777"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lastRenderedPageBreak/>
              <w:t>Consultor de género</w:t>
            </w:r>
          </w:p>
          <w:p w14:paraId="4397F996" w14:textId="77777777"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t>Agencia ejecutora</w:t>
            </w:r>
          </w:p>
        </w:tc>
        <w:tc>
          <w:tcPr>
            <w:tcW w:w="1284" w:type="dxa"/>
            <w:gridSpan w:val="2"/>
            <w:shd w:val="clear" w:color="auto" w:fill="auto"/>
            <w:noWrap/>
            <w:hideMark/>
          </w:tcPr>
          <w:p w14:paraId="384ED7CB" w14:textId="77777777"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t>US$60,000</w:t>
            </w:r>
          </w:p>
        </w:tc>
      </w:tr>
      <w:tr w:rsidR="00165338" w:rsidRPr="00165338" w14:paraId="66990964" w14:textId="77777777" w:rsidTr="001653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3233" w:type="dxa"/>
            <w:gridSpan w:val="7"/>
            <w:tcBorders>
              <w:top w:val="single" w:sz="4" w:space="0" w:color="auto"/>
              <w:left w:val="single" w:sz="4" w:space="0" w:color="auto"/>
              <w:bottom w:val="single" w:sz="4" w:space="0" w:color="auto"/>
              <w:right w:val="single" w:sz="4" w:space="0" w:color="auto"/>
            </w:tcBorders>
            <w:shd w:val="clear" w:color="auto" w:fill="BFBFBF"/>
            <w:hideMark/>
          </w:tcPr>
          <w:p w14:paraId="38D53683" w14:textId="77777777"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t>Resultado 3: mujeres del Instituto de Conservación Forestal (ICF) fortalecen sus capacidades.</w:t>
            </w:r>
          </w:p>
        </w:tc>
      </w:tr>
      <w:tr w:rsidR="00165338" w:rsidRPr="00165338" w14:paraId="13AA8BE8" w14:textId="77777777" w:rsidTr="009529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300"/>
        </w:trPr>
        <w:tc>
          <w:tcPr>
            <w:tcW w:w="3208" w:type="dxa"/>
            <w:tcBorders>
              <w:top w:val="single" w:sz="4" w:space="0" w:color="auto"/>
              <w:left w:val="single" w:sz="4" w:space="0" w:color="auto"/>
              <w:bottom w:val="single" w:sz="4" w:space="0" w:color="auto"/>
              <w:right w:val="single" w:sz="4" w:space="0" w:color="auto"/>
            </w:tcBorders>
            <w:shd w:val="clear" w:color="auto" w:fill="auto"/>
            <w:hideMark/>
          </w:tcPr>
          <w:p w14:paraId="180A3E50" w14:textId="77777777"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t>1) Las mujeres en el ICF participan en las actividades de capacitación.</w:t>
            </w:r>
          </w:p>
          <w:p w14:paraId="5C0535A3" w14:textId="77777777"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t>2) Las mujeres toman parte en los procesos de toma de decisiones para la instalación de un Sistema temprano de alerta y la creación de un banco de germoplasma,</w:t>
            </w:r>
          </w:p>
          <w:p w14:paraId="4EE79F5B" w14:textId="77777777"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t>3) Empleados del ICF reciben capacitación de género.</w:t>
            </w:r>
          </w:p>
        </w:tc>
        <w:tc>
          <w:tcPr>
            <w:tcW w:w="3251" w:type="dxa"/>
            <w:tcBorders>
              <w:top w:val="single" w:sz="4" w:space="0" w:color="auto"/>
              <w:left w:val="single" w:sz="4" w:space="0" w:color="auto"/>
              <w:bottom w:val="single" w:sz="4" w:space="0" w:color="auto"/>
              <w:right w:val="single" w:sz="4" w:space="0" w:color="auto"/>
            </w:tcBorders>
            <w:shd w:val="clear" w:color="auto" w:fill="auto"/>
            <w:noWrap/>
            <w:hideMark/>
          </w:tcPr>
          <w:p w14:paraId="26D94A8A" w14:textId="77777777"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t>1) % de mujeres que participan en capacitación.</w:t>
            </w:r>
          </w:p>
          <w:p w14:paraId="790D59DC" w14:textId="5DBE1439"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t>2) %</w:t>
            </w:r>
            <w:r w:rsidRPr="00165338">
              <w:rPr>
                <w:rFonts w:ascii="Arial" w:eastAsia="Times New Roman" w:hAnsi="Arial" w:cs="Arial"/>
                <w:sz w:val="18"/>
                <w:szCs w:val="18"/>
                <w:vertAlign w:val="superscript"/>
                <w:lang w:eastAsia="es-HN"/>
              </w:rPr>
              <w:footnoteReference w:id="21"/>
            </w:r>
            <w:r w:rsidRPr="00165338">
              <w:rPr>
                <w:rFonts w:ascii="Arial" w:eastAsia="Times New Roman" w:hAnsi="Arial" w:cs="Arial"/>
                <w:sz w:val="18"/>
                <w:szCs w:val="18"/>
                <w:lang w:eastAsia="es-HN"/>
              </w:rPr>
              <w:t xml:space="preserve">de personas que son acreditadas en el curso sobre </w:t>
            </w:r>
            <w:r w:rsidR="00B27C93">
              <w:rPr>
                <w:rFonts w:ascii="Arial" w:eastAsia="Times New Roman" w:hAnsi="Arial" w:cs="Arial"/>
                <w:sz w:val="18"/>
                <w:szCs w:val="18"/>
                <w:lang w:eastAsia="es-HN"/>
              </w:rPr>
              <w:t>m</w:t>
            </w:r>
            <w:r w:rsidRPr="00165338">
              <w:rPr>
                <w:rFonts w:ascii="Arial" w:eastAsia="Times New Roman" w:hAnsi="Arial" w:cs="Arial"/>
                <w:sz w:val="18"/>
                <w:szCs w:val="18"/>
                <w:lang w:eastAsia="es-HN"/>
              </w:rPr>
              <w:t>anejo de bosque adaptable, de las cuales 20% son mujeres.</w:t>
            </w:r>
          </w:p>
          <w:p w14:paraId="103D42F0" w14:textId="6CDB1B0A"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t xml:space="preserve">3) Número de técnicos del ICF con capacidad para manejar e implementar </w:t>
            </w:r>
            <w:r w:rsidR="00B27C93">
              <w:rPr>
                <w:rFonts w:ascii="Arial" w:eastAsia="Times New Roman" w:hAnsi="Arial" w:cs="Arial"/>
                <w:sz w:val="18"/>
                <w:szCs w:val="18"/>
                <w:lang w:eastAsia="es-HN"/>
              </w:rPr>
              <w:t>manejo forestal adaptativo (MFA)</w:t>
            </w:r>
            <w:r w:rsidRPr="00165338">
              <w:rPr>
                <w:rFonts w:ascii="Arial" w:eastAsia="Times New Roman" w:hAnsi="Arial" w:cs="Arial"/>
                <w:sz w:val="18"/>
                <w:szCs w:val="18"/>
                <w:lang w:eastAsia="es-HN"/>
              </w:rPr>
              <w:t xml:space="preserve"> y control de plagas, de los cuales 20%</w:t>
            </w:r>
            <w:r w:rsidRPr="00165338">
              <w:rPr>
                <w:rFonts w:ascii="Arial" w:eastAsia="Times New Roman" w:hAnsi="Arial" w:cs="Arial"/>
                <w:sz w:val="18"/>
                <w:szCs w:val="18"/>
                <w:vertAlign w:val="superscript"/>
                <w:lang w:eastAsia="es-HN"/>
              </w:rPr>
              <w:footnoteReference w:id="22"/>
            </w:r>
            <w:r w:rsidRPr="00165338">
              <w:rPr>
                <w:rFonts w:ascii="Arial" w:eastAsia="Times New Roman" w:hAnsi="Arial" w:cs="Arial"/>
                <w:sz w:val="18"/>
                <w:szCs w:val="18"/>
                <w:lang w:eastAsia="es-HN"/>
              </w:rPr>
              <w:t xml:space="preserve"> son mujeres.</w:t>
            </w:r>
          </w:p>
        </w:tc>
        <w:tc>
          <w:tcPr>
            <w:tcW w:w="2507" w:type="dxa"/>
            <w:tcBorders>
              <w:top w:val="single" w:sz="4" w:space="0" w:color="auto"/>
              <w:left w:val="single" w:sz="4" w:space="0" w:color="auto"/>
              <w:bottom w:val="single" w:sz="4" w:space="0" w:color="auto"/>
              <w:right w:val="single" w:sz="4" w:space="0" w:color="auto"/>
            </w:tcBorders>
            <w:shd w:val="clear" w:color="auto" w:fill="auto"/>
            <w:noWrap/>
            <w:hideMark/>
          </w:tcPr>
          <w:p w14:paraId="193DA7F6" w14:textId="77777777"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t>1) Para el 2021: 10% de las personas capacitadas serán mujeres.</w:t>
            </w:r>
          </w:p>
          <w:p w14:paraId="6D6159BD" w14:textId="77777777"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t>Para el 2024: 20% de la gente capacitada serán mujeres.</w:t>
            </w:r>
          </w:p>
          <w:p w14:paraId="4ABC8B8A" w14:textId="77777777"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t>2) Para el 2021: 10% de las personas acreditadas serán mujeres.</w:t>
            </w:r>
          </w:p>
          <w:p w14:paraId="3E420BEB" w14:textId="77777777"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t>Para el 2024: 20% de las personas acreditadas serán mujeres.</w:t>
            </w:r>
          </w:p>
          <w:p w14:paraId="06D00799" w14:textId="4DC2C76A"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t xml:space="preserve">3) Para el 2021: 10% de los técnicos con capacidad de manejar e implementar </w:t>
            </w:r>
            <w:r w:rsidR="00B27C93">
              <w:rPr>
                <w:rFonts w:ascii="Arial" w:eastAsia="Times New Roman" w:hAnsi="Arial" w:cs="Arial"/>
                <w:sz w:val="18"/>
                <w:szCs w:val="18"/>
                <w:lang w:eastAsia="es-HN"/>
              </w:rPr>
              <w:t>MFA</w:t>
            </w:r>
            <w:r w:rsidRPr="00165338">
              <w:rPr>
                <w:rFonts w:ascii="Arial" w:eastAsia="Times New Roman" w:hAnsi="Arial" w:cs="Arial"/>
                <w:sz w:val="18"/>
                <w:szCs w:val="18"/>
                <w:lang w:eastAsia="es-HN"/>
              </w:rPr>
              <w:t xml:space="preserve"> y control de plagas serán mujeres.</w:t>
            </w:r>
          </w:p>
          <w:p w14:paraId="75C02829" w14:textId="297909FF"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t xml:space="preserve">Para el 2024: 20% de los técnicos con capacidad de manejar e implementar </w:t>
            </w:r>
            <w:r w:rsidR="00B27C93">
              <w:rPr>
                <w:rFonts w:ascii="Arial" w:eastAsia="Times New Roman" w:hAnsi="Arial" w:cs="Arial"/>
                <w:sz w:val="18"/>
                <w:szCs w:val="18"/>
                <w:lang w:eastAsia="es-HN"/>
              </w:rPr>
              <w:t>MFA</w:t>
            </w:r>
            <w:r w:rsidRPr="00165338">
              <w:rPr>
                <w:rFonts w:ascii="Arial" w:eastAsia="Times New Roman" w:hAnsi="Arial" w:cs="Arial"/>
                <w:sz w:val="18"/>
                <w:szCs w:val="18"/>
                <w:lang w:eastAsia="es-HN"/>
              </w:rPr>
              <w:t xml:space="preserve"> y control de plagas serán mujeres.</w:t>
            </w:r>
          </w:p>
          <w:p w14:paraId="67D193D8" w14:textId="77777777"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t xml:space="preserve"> </w:t>
            </w:r>
          </w:p>
        </w:tc>
        <w:tc>
          <w:tcPr>
            <w:tcW w:w="2983"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6E21B57C" w14:textId="77777777"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t>Consultor de género.</w:t>
            </w:r>
          </w:p>
          <w:p w14:paraId="1E3C4518" w14:textId="77777777"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t>Agencia ejecutora</w:t>
            </w:r>
          </w:p>
        </w:tc>
        <w:tc>
          <w:tcPr>
            <w:tcW w:w="1271" w:type="dxa"/>
            <w:tcBorders>
              <w:top w:val="single" w:sz="4" w:space="0" w:color="auto"/>
              <w:left w:val="single" w:sz="4" w:space="0" w:color="auto"/>
              <w:bottom w:val="single" w:sz="4" w:space="0" w:color="auto"/>
              <w:right w:val="single" w:sz="4" w:space="0" w:color="auto"/>
            </w:tcBorders>
            <w:shd w:val="clear" w:color="auto" w:fill="auto"/>
            <w:noWrap/>
            <w:hideMark/>
          </w:tcPr>
          <w:p w14:paraId="093364B1" w14:textId="77777777"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t>US$15,000</w:t>
            </w:r>
          </w:p>
        </w:tc>
      </w:tr>
      <w:tr w:rsidR="00165338" w:rsidRPr="00165338" w14:paraId="170271DB" w14:textId="77777777" w:rsidTr="001653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3233" w:type="dxa"/>
            <w:gridSpan w:val="7"/>
            <w:tcBorders>
              <w:top w:val="single" w:sz="4" w:space="0" w:color="auto"/>
              <w:left w:val="single" w:sz="4" w:space="0" w:color="auto"/>
              <w:bottom w:val="single" w:sz="4" w:space="0" w:color="auto"/>
              <w:right w:val="single" w:sz="4" w:space="0" w:color="auto"/>
            </w:tcBorders>
            <w:shd w:val="clear" w:color="auto" w:fill="BFBFBF"/>
            <w:hideMark/>
          </w:tcPr>
          <w:p w14:paraId="10C60033" w14:textId="77777777"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t xml:space="preserve"> Resultado 4: las mujeres incrementan su participación en los comités de manejo del agua y cooperativas agroforestales</w:t>
            </w:r>
          </w:p>
        </w:tc>
      </w:tr>
      <w:tr w:rsidR="00165338" w:rsidRPr="00165338" w14:paraId="393DB606" w14:textId="77777777" w:rsidTr="009529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270"/>
        </w:trPr>
        <w:tc>
          <w:tcPr>
            <w:tcW w:w="3208" w:type="dxa"/>
            <w:tcBorders>
              <w:top w:val="single" w:sz="4" w:space="0" w:color="auto"/>
              <w:left w:val="single" w:sz="4" w:space="0" w:color="auto"/>
              <w:bottom w:val="single" w:sz="4" w:space="0" w:color="auto"/>
              <w:right w:val="single" w:sz="4" w:space="0" w:color="auto"/>
            </w:tcBorders>
            <w:shd w:val="clear" w:color="auto" w:fill="auto"/>
            <w:hideMark/>
          </w:tcPr>
          <w:p w14:paraId="53D6A36B" w14:textId="77777777" w:rsidR="00165338" w:rsidRPr="00165338" w:rsidRDefault="00165338" w:rsidP="00165338">
            <w:pPr>
              <w:spacing w:after="0" w:line="240" w:lineRule="auto"/>
              <w:rPr>
                <w:rFonts w:ascii="Arial" w:eastAsia="Times New Roman" w:hAnsi="Arial" w:cs="Arial"/>
                <w:sz w:val="18"/>
                <w:szCs w:val="18"/>
                <w:lang w:val="es-ES_tradnl" w:eastAsia="es-HN"/>
              </w:rPr>
            </w:pPr>
            <w:r w:rsidRPr="00165338">
              <w:rPr>
                <w:rFonts w:ascii="Arial" w:eastAsia="Times New Roman" w:hAnsi="Arial" w:cs="Arial"/>
                <w:sz w:val="18"/>
                <w:szCs w:val="18"/>
                <w:lang w:val="es-ES_tradnl" w:eastAsia="es-HN"/>
              </w:rPr>
              <w:t>1) Las mujeres en las comunidades son empoderadas a través de capacitaciones (de género y técnicas)</w:t>
            </w:r>
          </w:p>
          <w:p w14:paraId="6C4816EF" w14:textId="77777777"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lastRenderedPageBreak/>
              <w:t>2) Las mujeres son incentivadas a participar en asambleas comunitarias.</w:t>
            </w:r>
          </w:p>
          <w:p w14:paraId="24A4D193" w14:textId="77777777"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t>3) Los hombres en las comunidades y organizaciones reciben capacitaciones de género.</w:t>
            </w:r>
          </w:p>
          <w:p w14:paraId="6208CCE4" w14:textId="77777777"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t>4) Se establece una cuota de género.</w:t>
            </w:r>
          </w:p>
          <w:p w14:paraId="06A93487" w14:textId="77777777"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t>5) Análisis de las condiciones socioeconómicas de las mujeres en las organizaciones participantes.</w:t>
            </w:r>
          </w:p>
        </w:tc>
        <w:tc>
          <w:tcPr>
            <w:tcW w:w="3251" w:type="dxa"/>
            <w:tcBorders>
              <w:top w:val="single" w:sz="4" w:space="0" w:color="auto"/>
              <w:left w:val="single" w:sz="4" w:space="0" w:color="auto"/>
              <w:bottom w:val="single" w:sz="4" w:space="0" w:color="auto"/>
              <w:right w:val="single" w:sz="4" w:space="0" w:color="auto"/>
            </w:tcBorders>
            <w:shd w:val="clear" w:color="auto" w:fill="auto"/>
            <w:noWrap/>
            <w:hideMark/>
          </w:tcPr>
          <w:p w14:paraId="2450CF86" w14:textId="77777777"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lastRenderedPageBreak/>
              <w:t>1) % de crecimiento en la participación de las mujeres en los comités de manejo de agua</w:t>
            </w:r>
          </w:p>
          <w:p w14:paraId="4B360F29" w14:textId="77777777"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lastRenderedPageBreak/>
              <w:t>2) % de crecimiento en la participación de las mujeres en las cooperativas agroforestales.</w:t>
            </w:r>
          </w:p>
        </w:tc>
        <w:tc>
          <w:tcPr>
            <w:tcW w:w="2507" w:type="dxa"/>
            <w:tcBorders>
              <w:top w:val="single" w:sz="4" w:space="0" w:color="auto"/>
              <w:left w:val="single" w:sz="4" w:space="0" w:color="auto"/>
              <w:bottom w:val="single" w:sz="4" w:space="0" w:color="auto"/>
              <w:right w:val="single" w:sz="4" w:space="0" w:color="auto"/>
            </w:tcBorders>
            <w:shd w:val="clear" w:color="auto" w:fill="auto"/>
            <w:noWrap/>
            <w:hideMark/>
          </w:tcPr>
          <w:p w14:paraId="73F07CAC" w14:textId="214E82A5"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lastRenderedPageBreak/>
              <w:t xml:space="preserve">1) Para el 2021: 10% de crecimiento de mujeres en </w:t>
            </w:r>
            <w:r w:rsidR="00CD2E25">
              <w:rPr>
                <w:rFonts w:ascii="Arial" w:eastAsia="Times New Roman" w:hAnsi="Arial" w:cs="Arial"/>
                <w:sz w:val="18"/>
                <w:szCs w:val="18"/>
                <w:lang w:eastAsia="es-HN"/>
              </w:rPr>
              <w:t xml:space="preserve">cargos directivos de </w:t>
            </w:r>
            <w:r w:rsidRPr="00165338">
              <w:rPr>
                <w:rFonts w:ascii="Arial" w:eastAsia="Times New Roman" w:hAnsi="Arial" w:cs="Arial"/>
                <w:sz w:val="18"/>
                <w:szCs w:val="18"/>
                <w:lang w:eastAsia="es-HN"/>
              </w:rPr>
              <w:t xml:space="preserve">los </w:t>
            </w:r>
            <w:r w:rsidRPr="00165338">
              <w:rPr>
                <w:rFonts w:ascii="Arial" w:eastAsia="Times New Roman" w:hAnsi="Arial" w:cs="Arial"/>
                <w:sz w:val="18"/>
                <w:szCs w:val="18"/>
                <w:lang w:eastAsia="es-HN"/>
              </w:rPr>
              <w:lastRenderedPageBreak/>
              <w:t xml:space="preserve">comités de manejo del agua. </w:t>
            </w:r>
          </w:p>
          <w:p w14:paraId="6BEBB816" w14:textId="231FDFD9"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t>Para el 2024: 20% de crecimiento de mujeres en</w:t>
            </w:r>
            <w:r w:rsidR="00CD2E25">
              <w:rPr>
                <w:rFonts w:ascii="Arial" w:eastAsia="Times New Roman" w:hAnsi="Arial" w:cs="Arial"/>
                <w:sz w:val="18"/>
                <w:szCs w:val="18"/>
                <w:lang w:eastAsia="es-HN"/>
              </w:rPr>
              <w:t xml:space="preserve"> cargos directivos de</w:t>
            </w:r>
            <w:r w:rsidRPr="00165338">
              <w:rPr>
                <w:rFonts w:ascii="Arial" w:eastAsia="Times New Roman" w:hAnsi="Arial" w:cs="Arial"/>
                <w:sz w:val="18"/>
                <w:szCs w:val="18"/>
                <w:lang w:eastAsia="es-HN"/>
              </w:rPr>
              <w:t xml:space="preserve"> los comités de manejo del agua. </w:t>
            </w:r>
          </w:p>
          <w:p w14:paraId="4D020985" w14:textId="335FADD2"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t xml:space="preserve">2) Para el 2021: 10% de </w:t>
            </w:r>
            <w:r w:rsidR="00CD2E25">
              <w:rPr>
                <w:rFonts w:ascii="Arial" w:eastAsia="Times New Roman" w:hAnsi="Arial" w:cs="Arial"/>
                <w:sz w:val="18"/>
                <w:szCs w:val="18"/>
                <w:lang w:eastAsia="es-HN"/>
              </w:rPr>
              <w:t xml:space="preserve">los cargos directivos de </w:t>
            </w:r>
            <w:r w:rsidR="00CD2E25" w:rsidRPr="00165338">
              <w:rPr>
                <w:rFonts w:ascii="Arial" w:eastAsia="Times New Roman" w:hAnsi="Arial" w:cs="Arial"/>
                <w:sz w:val="18"/>
                <w:szCs w:val="18"/>
                <w:lang w:eastAsia="es-HN"/>
              </w:rPr>
              <w:t>las cooperativas agroforestales</w:t>
            </w:r>
            <w:r w:rsidR="00CD2E25">
              <w:rPr>
                <w:rFonts w:ascii="Arial" w:eastAsia="Times New Roman" w:hAnsi="Arial" w:cs="Arial"/>
                <w:sz w:val="18"/>
                <w:szCs w:val="18"/>
                <w:lang w:eastAsia="es-HN"/>
              </w:rPr>
              <w:t xml:space="preserve"> son ocupados por </w:t>
            </w:r>
            <w:r w:rsidRPr="00165338">
              <w:rPr>
                <w:rFonts w:ascii="Arial" w:eastAsia="Times New Roman" w:hAnsi="Arial" w:cs="Arial"/>
                <w:sz w:val="18"/>
                <w:szCs w:val="18"/>
                <w:lang w:eastAsia="es-HN"/>
              </w:rPr>
              <w:t>mujeres.</w:t>
            </w:r>
          </w:p>
          <w:p w14:paraId="623411F3" w14:textId="184F5843"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t xml:space="preserve">Para el 2024: 20% de </w:t>
            </w:r>
            <w:r w:rsidR="00CD2E25">
              <w:rPr>
                <w:rFonts w:ascii="Arial" w:eastAsia="Times New Roman" w:hAnsi="Arial" w:cs="Arial"/>
                <w:sz w:val="18"/>
                <w:szCs w:val="18"/>
                <w:lang w:eastAsia="es-HN"/>
              </w:rPr>
              <w:t xml:space="preserve">los cargos directivos de las </w:t>
            </w:r>
            <w:r w:rsidR="00CD2E25" w:rsidRPr="00165338">
              <w:rPr>
                <w:rFonts w:ascii="Arial" w:eastAsia="Times New Roman" w:hAnsi="Arial" w:cs="Arial"/>
                <w:sz w:val="18"/>
                <w:szCs w:val="18"/>
                <w:lang w:eastAsia="es-HN"/>
              </w:rPr>
              <w:t>cooperativas agroforestales</w:t>
            </w:r>
            <w:r w:rsidR="00697845">
              <w:rPr>
                <w:rFonts w:ascii="Arial" w:eastAsia="Times New Roman" w:hAnsi="Arial" w:cs="Arial"/>
                <w:sz w:val="18"/>
                <w:szCs w:val="18"/>
                <w:lang w:eastAsia="es-HN"/>
              </w:rPr>
              <w:t xml:space="preserve"> </w:t>
            </w:r>
            <w:r w:rsidR="00CD2E25">
              <w:rPr>
                <w:rFonts w:ascii="Arial" w:eastAsia="Times New Roman" w:hAnsi="Arial" w:cs="Arial"/>
                <w:sz w:val="18"/>
                <w:szCs w:val="18"/>
                <w:lang w:eastAsia="es-HN"/>
              </w:rPr>
              <w:t xml:space="preserve">son ocupados por </w:t>
            </w:r>
            <w:r w:rsidRPr="00165338">
              <w:rPr>
                <w:rFonts w:ascii="Arial" w:eastAsia="Times New Roman" w:hAnsi="Arial" w:cs="Arial"/>
                <w:sz w:val="18"/>
                <w:szCs w:val="18"/>
                <w:lang w:eastAsia="es-HN"/>
              </w:rPr>
              <w:t>mujeres</w:t>
            </w:r>
            <w:r w:rsidR="00CD2E25">
              <w:rPr>
                <w:rFonts w:ascii="Arial" w:eastAsia="Times New Roman" w:hAnsi="Arial" w:cs="Arial"/>
                <w:sz w:val="18"/>
                <w:szCs w:val="18"/>
                <w:lang w:eastAsia="es-HN"/>
              </w:rPr>
              <w:t>.</w:t>
            </w:r>
            <w:r w:rsidRPr="00165338">
              <w:rPr>
                <w:rFonts w:ascii="Arial" w:eastAsia="Times New Roman" w:hAnsi="Arial" w:cs="Arial"/>
                <w:sz w:val="18"/>
                <w:szCs w:val="18"/>
                <w:lang w:eastAsia="es-HN"/>
              </w:rPr>
              <w:t xml:space="preserve"> </w:t>
            </w:r>
          </w:p>
          <w:p w14:paraId="02A180EE" w14:textId="77777777" w:rsidR="00165338" w:rsidRPr="00165338" w:rsidRDefault="00165338" w:rsidP="00165338">
            <w:pPr>
              <w:spacing w:after="0" w:line="240" w:lineRule="auto"/>
              <w:rPr>
                <w:rFonts w:ascii="Arial" w:eastAsia="Times New Roman" w:hAnsi="Arial" w:cs="Arial"/>
                <w:sz w:val="18"/>
                <w:szCs w:val="18"/>
                <w:lang w:eastAsia="es-HN"/>
              </w:rPr>
            </w:pPr>
          </w:p>
          <w:p w14:paraId="08DBE249" w14:textId="77777777" w:rsidR="00165338" w:rsidRPr="00165338" w:rsidRDefault="00165338" w:rsidP="00165338">
            <w:pPr>
              <w:spacing w:after="0" w:line="240" w:lineRule="auto"/>
              <w:rPr>
                <w:rFonts w:ascii="Arial" w:eastAsia="Times New Roman" w:hAnsi="Arial" w:cs="Arial"/>
                <w:sz w:val="18"/>
                <w:szCs w:val="18"/>
                <w:lang w:eastAsia="es-HN"/>
              </w:rPr>
            </w:pPr>
          </w:p>
        </w:tc>
        <w:tc>
          <w:tcPr>
            <w:tcW w:w="2983"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7684CA5C" w14:textId="77777777"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lastRenderedPageBreak/>
              <w:t>-Consultor de género</w:t>
            </w:r>
          </w:p>
          <w:p w14:paraId="5F5412F6" w14:textId="77777777"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t>-Agencia ejecutora</w:t>
            </w:r>
          </w:p>
        </w:tc>
        <w:tc>
          <w:tcPr>
            <w:tcW w:w="1271" w:type="dxa"/>
            <w:tcBorders>
              <w:top w:val="single" w:sz="4" w:space="0" w:color="auto"/>
              <w:left w:val="single" w:sz="4" w:space="0" w:color="auto"/>
              <w:bottom w:val="single" w:sz="4" w:space="0" w:color="auto"/>
              <w:right w:val="single" w:sz="4" w:space="0" w:color="auto"/>
            </w:tcBorders>
            <w:shd w:val="clear" w:color="auto" w:fill="auto"/>
            <w:noWrap/>
            <w:hideMark/>
          </w:tcPr>
          <w:p w14:paraId="3768597C" w14:textId="77777777"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t>US$50,000</w:t>
            </w:r>
          </w:p>
        </w:tc>
      </w:tr>
      <w:tr w:rsidR="00165338" w:rsidRPr="00165338" w14:paraId="456C6B55" w14:textId="77777777" w:rsidTr="001653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3233" w:type="dxa"/>
            <w:gridSpan w:val="7"/>
            <w:tcBorders>
              <w:top w:val="single" w:sz="4" w:space="0" w:color="auto"/>
              <w:left w:val="single" w:sz="4" w:space="0" w:color="auto"/>
              <w:bottom w:val="single" w:sz="4" w:space="0" w:color="auto"/>
              <w:right w:val="single" w:sz="4" w:space="0" w:color="auto"/>
            </w:tcBorders>
            <w:shd w:val="clear" w:color="auto" w:fill="BFBFBF"/>
            <w:hideMark/>
          </w:tcPr>
          <w:p w14:paraId="0F7CE511" w14:textId="5D61DB45"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t xml:space="preserve"> Resultado 5: las mujeres reciben </w:t>
            </w:r>
            <w:r w:rsidR="00F53774">
              <w:rPr>
                <w:rFonts w:ascii="Arial" w:eastAsia="Times New Roman" w:hAnsi="Arial" w:cs="Arial"/>
                <w:sz w:val="18"/>
                <w:szCs w:val="18"/>
                <w:lang w:eastAsia="es-HN"/>
              </w:rPr>
              <w:t>compensaciones por servicios ambientales (CSA)</w:t>
            </w:r>
            <w:r w:rsidRPr="00165338">
              <w:rPr>
                <w:rFonts w:ascii="Arial" w:eastAsia="Times New Roman" w:hAnsi="Arial" w:cs="Arial"/>
                <w:sz w:val="18"/>
                <w:szCs w:val="18"/>
                <w:lang w:eastAsia="es-HN"/>
              </w:rPr>
              <w:t xml:space="preserve"> </w:t>
            </w:r>
          </w:p>
        </w:tc>
      </w:tr>
      <w:tr w:rsidR="00165338" w:rsidRPr="00165338" w14:paraId="143C5F54" w14:textId="77777777" w:rsidTr="009529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300"/>
        </w:trPr>
        <w:tc>
          <w:tcPr>
            <w:tcW w:w="3208" w:type="dxa"/>
            <w:tcBorders>
              <w:top w:val="single" w:sz="4" w:space="0" w:color="auto"/>
              <w:left w:val="single" w:sz="4" w:space="0" w:color="auto"/>
              <w:bottom w:val="single" w:sz="4" w:space="0" w:color="auto"/>
              <w:right w:val="single" w:sz="4" w:space="0" w:color="auto"/>
            </w:tcBorders>
            <w:shd w:val="clear" w:color="auto" w:fill="auto"/>
            <w:hideMark/>
          </w:tcPr>
          <w:p w14:paraId="6B5E7185" w14:textId="7175AE28"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t xml:space="preserve">1) Las mujeres en cualquier comunidad en el área de intervención pueden acceder </w:t>
            </w:r>
            <w:r w:rsidR="00F53774">
              <w:rPr>
                <w:rFonts w:ascii="Arial" w:eastAsia="Times New Roman" w:hAnsi="Arial" w:cs="Arial"/>
                <w:sz w:val="18"/>
                <w:szCs w:val="18"/>
                <w:lang w:eastAsia="es-HN"/>
              </w:rPr>
              <w:t>a CSA</w:t>
            </w:r>
          </w:p>
          <w:p w14:paraId="2135ECC3" w14:textId="5D974669"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t>2) Las mujeres participan en el diseño de</w:t>
            </w:r>
            <w:r w:rsidR="00F53774">
              <w:rPr>
                <w:rFonts w:ascii="Arial" w:eastAsia="Times New Roman" w:hAnsi="Arial" w:cs="Arial"/>
                <w:sz w:val="18"/>
                <w:szCs w:val="18"/>
                <w:lang w:eastAsia="es-HN"/>
              </w:rPr>
              <w:t xml:space="preserve"> CSA </w:t>
            </w:r>
            <w:r w:rsidRPr="00165338">
              <w:rPr>
                <w:rFonts w:ascii="Arial" w:eastAsia="Times New Roman" w:hAnsi="Arial" w:cs="Arial"/>
                <w:sz w:val="18"/>
                <w:szCs w:val="18"/>
                <w:lang w:eastAsia="es-HN"/>
              </w:rPr>
              <w:t xml:space="preserve">(consultas/consejo comunitario/comités, </w:t>
            </w:r>
            <w:proofErr w:type="spellStart"/>
            <w:r w:rsidRPr="00165338">
              <w:rPr>
                <w:rFonts w:ascii="Arial" w:eastAsia="Times New Roman" w:hAnsi="Arial" w:cs="Arial"/>
                <w:sz w:val="18"/>
                <w:szCs w:val="18"/>
                <w:lang w:eastAsia="es-HN"/>
              </w:rPr>
              <w:t>etc</w:t>
            </w:r>
            <w:proofErr w:type="spellEnd"/>
            <w:r w:rsidRPr="00165338">
              <w:rPr>
                <w:rFonts w:ascii="Arial" w:eastAsia="Times New Roman" w:hAnsi="Arial" w:cs="Arial"/>
                <w:sz w:val="18"/>
                <w:szCs w:val="18"/>
                <w:lang w:eastAsia="es-HN"/>
              </w:rPr>
              <w:t>)</w:t>
            </w:r>
          </w:p>
          <w:p w14:paraId="2CC8A89E" w14:textId="28ECA3FC"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t xml:space="preserve">3) Las mujeres reciben </w:t>
            </w:r>
            <w:r w:rsidR="00F53774">
              <w:rPr>
                <w:rFonts w:ascii="Arial" w:eastAsia="Times New Roman" w:hAnsi="Arial" w:cs="Arial"/>
                <w:sz w:val="18"/>
                <w:szCs w:val="18"/>
                <w:lang w:eastAsia="es-HN"/>
              </w:rPr>
              <w:t>CSA</w:t>
            </w:r>
          </w:p>
          <w:p w14:paraId="28F97C95" w14:textId="777F019A"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t xml:space="preserve">4) </w:t>
            </w:r>
            <w:r w:rsidR="00F53774">
              <w:rPr>
                <w:rFonts w:ascii="Arial" w:eastAsia="Times New Roman" w:hAnsi="Arial" w:cs="Arial"/>
                <w:sz w:val="18"/>
                <w:szCs w:val="18"/>
                <w:lang w:eastAsia="es-HN"/>
              </w:rPr>
              <w:t>CSA</w:t>
            </w:r>
            <w:r w:rsidRPr="00165338">
              <w:rPr>
                <w:rFonts w:ascii="Arial" w:eastAsia="Times New Roman" w:hAnsi="Arial" w:cs="Arial"/>
                <w:sz w:val="18"/>
                <w:szCs w:val="18"/>
                <w:lang w:eastAsia="es-HN"/>
              </w:rPr>
              <w:t xml:space="preserve"> incluye</w:t>
            </w:r>
            <w:r w:rsidR="00F53774">
              <w:rPr>
                <w:rFonts w:ascii="Arial" w:eastAsia="Times New Roman" w:hAnsi="Arial" w:cs="Arial"/>
                <w:sz w:val="18"/>
                <w:szCs w:val="18"/>
                <w:lang w:eastAsia="es-HN"/>
              </w:rPr>
              <w:t>n</w:t>
            </w:r>
            <w:r w:rsidRPr="00165338">
              <w:rPr>
                <w:rFonts w:ascii="Arial" w:eastAsia="Times New Roman" w:hAnsi="Arial" w:cs="Arial"/>
                <w:sz w:val="18"/>
                <w:szCs w:val="18"/>
                <w:lang w:eastAsia="es-HN"/>
              </w:rPr>
              <w:t xml:space="preserve"> una perspectiva de género y su diseño.</w:t>
            </w:r>
          </w:p>
          <w:p w14:paraId="062D290A" w14:textId="77777777"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t xml:space="preserve"> Análisis de las condiciones socioeconómicas de las mujeres en las organizaciones participantes</w:t>
            </w:r>
          </w:p>
          <w:p w14:paraId="0D8C0DFF" w14:textId="77777777" w:rsidR="00165338" w:rsidRPr="00165338" w:rsidRDefault="00165338" w:rsidP="00165338">
            <w:pPr>
              <w:spacing w:after="0" w:line="240" w:lineRule="auto"/>
              <w:rPr>
                <w:rFonts w:ascii="Arial" w:eastAsia="Times New Roman" w:hAnsi="Arial" w:cs="Arial"/>
                <w:sz w:val="18"/>
                <w:szCs w:val="18"/>
                <w:lang w:eastAsia="es-HN"/>
              </w:rPr>
            </w:pPr>
          </w:p>
        </w:tc>
        <w:tc>
          <w:tcPr>
            <w:tcW w:w="3251" w:type="dxa"/>
            <w:tcBorders>
              <w:top w:val="single" w:sz="4" w:space="0" w:color="auto"/>
              <w:left w:val="single" w:sz="4" w:space="0" w:color="auto"/>
              <w:bottom w:val="single" w:sz="4" w:space="0" w:color="auto"/>
              <w:right w:val="single" w:sz="4" w:space="0" w:color="auto"/>
            </w:tcBorders>
            <w:shd w:val="clear" w:color="auto" w:fill="auto"/>
            <w:noWrap/>
            <w:hideMark/>
          </w:tcPr>
          <w:p w14:paraId="5101AD4D" w14:textId="77777777"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t>1)  Número de los beneficiarios que reciben el pago por los servicios ambientales, de los cuales % son mujeres.</w:t>
            </w:r>
          </w:p>
          <w:p w14:paraId="48624F9E" w14:textId="77777777" w:rsidR="00165338" w:rsidRPr="00165338" w:rsidRDefault="00165338" w:rsidP="00165338">
            <w:pPr>
              <w:spacing w:after="0" w:line="240" w:lineRule="auto"/>
              <w:rPr>
                <w:rFonts w:ascii="Arial" w:eastAsia="Times New Roman" w:hAnsi="Arial" w:cs="Arial"/>
                <w:sz w:val="18"/>
                <w:szCs w:val="18"/>
                <w:lang w:eastAsia="es-HN"/>
              </w:rPr>
            </w:pPr>
          </w:p>
        </w:tc>
        <w:tc>
          <w:tcPr>
            <w:tcW w:w="2507" w:type="dxa"/>
            <w:tcBorders>
              <w:top w:val="single" w:sz="4" w:space="0" w:color="auto"/>
              <w:left w:val="single" w:sz="4" w:space="0" w:color="auto"/>
              <w:bottom w:val="single" w:sz="4" w:space="0" w:color="auto"/>
              <w:right w:val="single" w:sz="4" w:space="0" w:color="auto"/>
            </w:tcBorders>
            <w:shd w:val="clear" w:color="auto" w:fill="auto"/>
            <w:noWrap/>
            <w:hideMark/>
          </w:tcPr>
          <w:p w14:paraId="7E9548C5" w14:textId="0B91406D"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t>1) Para el 2024: 10% del total de beneficiarios individuales serán mujeres; 20% de los beneficiarios en cooperativas agroforestales serán mujeres (con base en el número de mujeres en la organización)</w:t>
            </w:r>
            <w:r w:rsidR="00CB3617">
              <w:rPr>
                <w:rFonts w:ascii="Arial" w:eastAsia="Times New Roman" w:hAnsi="Arial" w:cs="Arial"/>
                <w:sz w:val="18"/>
                <w:szCs w:val="18"/>
                <w:lang w:eastAsia="es-HN"/>
              </w:rPr>
              <w:t>.</w:t>
            </w:r>
          </w:p>
          <w:p w14:paraId="4015AEBE" w14:textId="77777777" w:rsidR="00165338" w:rsidRPr="00165338" w:rsidRDefault="00165338" w:rsidP="00165338">
            <w:pPr>
              <w:spacing w:after="0" w:line="240" w:lineRule="auto"/>
              <w:rPr>
                <w:rFonts w:ascii="Arial" w:eastAsia="Times New Roman" w:hAnsi="Arial" w:cs="Arial"/>
                <w:sz w:val="18"/>
                <w:szCs w:val="18"/>
                <w:lang w:eastAsia="es-HN"/>
              </w:rPr>
            </w:pPr>
          </w:p>
        </w:tc>
        <w:tc>
          <w:tcPr>
            <w:tcW w:w="2983"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1ADD8E8F" w14:textId="77777777"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t>·Consultor de género</w:t>
            </w:r>
          </w:p>
          <w:p w14:paraId="40B2CE21" w14:textId="77777777"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t>·Agencia ejecutora</w:t>
            </w:r>
          </w:p>
        </w:tc>
        <w:tc>
          <w:tcPr>
            <w:tcW w:w="1271" w:type="dxa"/>
            <w:tcBorders>
              <w:top w:val="single" w:sz="4" w:space="0" w:color="auto"/>
              <w:left w:val="single" w:sz="4" w:space="0" w:color="auto"/>
              <w:bottom w:val="single" w:sz="4" w:space="0" w:color="auto"/>
              <w:right w:val="single" w:sz="4" w:space="0" w:color="auto"/>
            </w:tcBorders>
            <w:shd w:val="clear" w:color="auto" w:fill="auto"/>
            <w:noWrap/>
            <w:hideMark/>
          </w:tcPr>
          <w:p w14:paraId="269A9B16" w14:textId="77777777" w:rsidR="00165338" w:rsidRPr="00165338" w:rsidRDefault="00165338" w:rsidP="00165338">
            <w:pPr>
              <w:spacing w:after="0" w:line="240" w:lineRule="auto"/>
              <w:rPr>
                <w:rFonts w:ascii="Arial" w:eastAsia="Times New Roman" w:hAnsi="Arial" w:cs="Arial"/>
                <w:sz w:val="18"/>
                <w:szCs w:val="18"/>
                <w:lang w:eastAsia="es-HN"/>
              </w:rPr>
            </w:pPr>
            <w:r w:rsidRPr="00165338">
              <w:rPr>
                <w:rFonts w:ascii="Arial" w:eastAsia="Times New Roman" w:hAnsi="Arial" w:cs="Arial"/>
                <w:sz w:val="18"/>
                <w:szCs w:val="18"/>
                <w:lang w:eastAsia="es-HN"/>
              </w:rPr>
              <w:t>US$50,000</w:t>
            </w:r>
          </w:p>
        </w:tc>
      </w:tr>
    </w:tbl>
    <w:p w14:paraId="6B21E62A" w14:textId="77777777" w:rsidR="00165338" w:rsidRPr="00165338" w:rsidRDefault="00165338" w:rsidP="00165338">
      <w:pPr>
        <w:spacing w:line="360" w:lineRule="auto"/>
        <w:jc w:val="both"/>
        <w:rPr>
          <w:rFonts w:ascii="Arial" w:eastAsia="Times New Roman" w:hAnsi="Arial" w:cs="Arial"/>
          <w:b/>
          <w:lang w:val="en-US"/>
        </w:rPr>
        <w:sectPr w:rsidR="00165338" w:rsidRPr="00165338" w:rsidSect="00A45F01">
          <w:pgSz w:w="15840" w:h="12240" w:orient="landscape" w:code="1"/>
          <w:pgMar w:top="1701" w:right="1418" w:bottom="1701" w:left="1418" w:header="709" w:footer="709" w:gutter="0"/>
          <w:cols w:space="708"/>
          <w:docGrid w:linePitch="360"/>
        </w:sectPr>
      </w:pPr>
    </w:p>
    <w:p w14:paraId="0E87D27F" w14:textId="7AD133A4" w:rsidR="004020D3" w:rsidRPr="000B34D8" w:rsidRDefault="004F4946">
      <w:pPr>
        <w:rPr>
          <w:rFonts w:ascii="Arial" w:hAnsi="Arial" w:cs="Arial"/>
          <w:b/>
        </w:rPr>
      </w:pPr>
      <w:r w:rsidRPr="000B34D8">
        <w:rPr>
          <w:rFonts w:ascii="Arial" w:hAnsi="Arial" w:cs="Arial"/>
          <w:b/>
        </w:rPr>
        <w:lastRenderedPageBreak/>
        <w:t>Justificaciones</w:t>
      </w:r>
    </w:p>
    <w:p w14:paraId="782C8C2D" w14:textId="77777777" w:rsidR="002F7812" w:rsidRPr="000B34D8" w:rsidRDefault="002F7812" w:rsidP="00C771E0">
      <w:pPr>
        <w:pStyle w:val="ListParagraph"/>
        <w:numPr>
          <w:ilvl w:val="0"/>
          <w:numId w:val="2"/>
        </w:numPr>
        <w:ind w:left="426" w:hanging="426"/>
        <w:jc w:val="both"/>
        <w:rPr>
          <w:rFonts w:ascii="Arial" w:hAnsi="Arial" w:cs="Arial"/>
        </w:rPr>
      </w:pPr>
      <w:r w:rsidRPr="000B34D8">
        <w:rPr>
          <w:rFonts w:ascii="Arial" w:hAnsi="Arial" w:cs="Arial"/>
        </w:rPr>
        <w:t xml:space="preserve">Aunque el rango de porcentaje de hogares </w:t>
      </w:r>
      <w:proofErr w:type="spellStart"/>
      <w:r w:rsidRPr="000B34D8">
        <w:rPr>
          <w:rFonts w:ascii="Arial" w:hAnsi="Arial" w:cs="Arial"/>
        </w:rPr>
        <w:t>jefeados</w:t>
      </w:r>
      <w:proofErr w:type="spellEnd"/>
      <w:r w:rsidRPr="000B34D8">
        <w:rPr>
          <w:rFonts w:ascii="Arial" w:hAnsi="Arial" w:cs="Arial"/>
        </w:rPr>
        <w:t xml:space="preserve"> por mujeres varía de 26 a 34 por ciento en municipios con alta población urbana, se espera que este porcentaje sea menor en municipios con mayor población rural. Adicionalmente, solamente un 11.7% de mujeres son poseedoras de terrenos y sólo un 12% de la superficie cultivada se encuentra en posesión de mujeres. Además de lo anterior es necesario considerar que de esta población de mujeres con tierra cultivada no todas podrán reunir los requisitos técnicos, económicos y legales o estar en la disposición de participar como beneficiarias. Por lo anterior, se estima que un máximo de 2,700 hogares que recibirán beneficios económicos y sociales serán encabezados por mujeres, lo que representa un 10%. </w:t>
      </w:r>
    </w:p>
    <w:p w14:paraId="600AA51D" w14:textId="77777777" w:rsidR="002F7812" w:rsidRPr="000B34D8" w:rsidRDefault="002F7812" w:rsidP="00C771E0">
      <w:pPr>
        <w:pStyle w:val="ListParagraph"/>
        <w:numPr>
          <w:ilvl w:val="0"/>
          <w:numId w:val="2"/>
        </w:numPr>
        <w:ind w:left="426" w:hanging="426"/>
        <w:jc w:val="both"/>
        <w:rPr>
          <w:rFonts w:ascii="Arial" w:hAnsi="Arial" w:cs="Arial"/>
        </w:rPr>
      </w:pPr>
      <w:r w:rsidRPr="000B34D8">
        <w:rPr>
          <w:rFonts w:ascii="Arial" w:hAnsi="Arial" w:cs="Arial"/>
        </w:rPr>
        <w:t>En las actividades de restauración en cuencas o subcuencas, la posesión de la tierra no es una limitante de la participación de la mujer, por lo que se plantea un 20% como meta tanto en el empleo como en la capacitación, considerando también que se reporta un 24% de participación de la mujer en la membresía de grupos agroforestales y organizaciones manejadoras de cuencas.</w:t>
      </w:r>
    </w:p>
    <w:p w14:paraId="136D32AA" w14:textId="77777777" w:rsidR="002F7812" w:rsidRPr="000B34D8" w:rsidRDefault="002F7812" w:rsidP="00C771E0">
      <w:pPr>
        <w:pStyle w:val="ListParagraph"/>
        <w:numPr>
          <w:ilvl w:val="0"/>
          <w:numId w:val="2"/>
        </w:numPr>
        <w:ind w:left="426" w:hanging="426"/>
        <w:jc w:val="both"/>
        <w:rPr>
          <w:rFonts w:ascii="Arial" w:hAnsi="Arial" w:cs="Arial"/>
        </w:rPr>
      </w:pPr>
      <w:r w:rsidRPr="000B34D8">
        <w:rPr>
          <w:rFonts w:ascii="Arial" w:hAnsi="Arial" w:cs="Arial"/>
        </w:rPr>
        <w:t xml:space="preserve">51% del personal permanente del ICF son mujeres, pero no se cuenta con el dato exacto de la distribución específica en cargos administrativos y técnicos. La matrícula inicial para el Diplomado en Salud y Sanidad Forestal frente al Cambio Climático apoyada por el Proyecto Manejo Sostenible de Bosques, reporta un 28% de registro de mujeres de </w:t>
      </w:r>
      <w:proofErr w:type="spellStart"/>
      <w:r w:rsidRPr="000B34D8">
        <w:rPr>
          <w:rFonts w:ascii="Arial" w:hAnsi="Arial" w:cs="Arial"/>
        </w:rPr>
        <w:t>ONGs</w:t>
      </w:r>
      <w:proofErr w:type="spellEnd"/>
      <w:r w:rsidRPr="000B34D8">
        <w:rPr>
          <w:rFonts w:ascii="Arial" w:hAnsi="Arial" w:cs="Arial"/>
        </w:rPr>
        <w:t>, ICF, otros proyectos y otros socios estratégicos. Se considera que al menos debe buscarse una representación mínima del 20% de mujeres empleadas del ICF en procesos de fortalecimiento de sus capacidades.</w:t>
      </w:r>
    </w:p>
    <w:p w14:paraId="5F3D512A" w14:textId="77777777" w:rsidR="002F7812" w:rsidRPr="000B34D8" w:rsidRDefault="002F7812" w:rsidP="00C771E0">
      <w:pPr>
        <w:pStyle w:val="ListParagraph"/>
        <w:numPr>
          <w:ilvl w:val="0"/>
          <w:numId w:val="2"/>
        </w:numPr>
        <w:ind w:left="426" w:hanging="426"/>
        <w:jc w:val="both"/>
        <w:rPr>
          <w:rFonts w:ascii="Arial" w:hAnsi="Arial" w:cs="Arial"/>
        </w:rPr>
      </w:pPr>
      <w:r w:rsidRPr="000B34D8">
        <w:rPr>
          <w:rFonts w:ascii="Arial" w:hAnsi="Arial" w:cs="Arial"/>
        </w:rPr>
        <w:t>El 10% de crecimiento de mujeres en los cargos directivos de los comités de manejo del agua se considerará a partir de un 24% de participación de la mujer en las juntas directivas reportado en el diagnóstico organizacional del PMSB (presentado en este documento).</w:t>
      </w:r>
    </w:p>
    <w:p w14:paraId="4E5F94F2" w14:textId="77777777" w:rsidR="002F7812" w:rsidRPr="000B34D8" w:rsidRDefault="002F7812" w:rsidP="00C771E0">
      <w:pPr>
        <w:pStyle w:val="ListParagraph"/>
        <w:numPr>
          <w:ilvl w:val="0"/>
          <w:numId w:val="2"/>
        </w:numPr>
        <w:ind w:left="426" w:hanging="426"/>
        <w:jc w:val="both"/>
        <w:rPr>
          <w:rFonts w:ascii="Arial" w:hAnsi="Arial" w:cs="Arial"/>
        </w:rPr>
      </w:pPr>
      <w:r w:rsidRPr="000B34D8">
        <w:rPr>
          <w:rFonts w:ascii="Arial" w:hAnsi="Arial" w:cs="Arial"/>
        </w:rPr>
        <w:t>Considerando que en la membresía de las organizaciones agroforestales se reporta solamente un 24% de mujeres, se plantea una meta de garantizar un 10% de participación de la mujer en los cargos directivos al año 2021 y un 20% al año 2024.</w:t>
      </w:r>
    </w:p>
    <w:p w14:paraId="4E5FB255" w14:textId="039960BD" w:rsidR="001C6FC6" w:rsidRPr="000B34D8" w:rsidRDefault="001C6FC6" w:rsidP="002F7812">
      <w:pPr>
        <w:rPr>
          <w:rFonts w:ascii="Arial" w:hAnsi="Arial" w:cs="Arial"/>
        </w:rPr>
      </w:pPr>
      <w:bookmarkStart w:id="0" w:name="_GoBack"/>
      <w:bookmarkEnd w:id="0"/>
    </w:p>
    <w:sectPr w:rsidR="001C6FC6" w:rsidRPr="000B34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37DCD9" w14:textId="77777777" w:rsidR="004F5E54" w:rsidRDefault="004F5E54" w:rsidP="00165338">
      <w:pPr>
        <w:spacing w:after="0" w:line="240" w:lineRule="auto"/>
      </w:pPr>
      <w:r>
        <w:separator/>
      </w:r>
    </w:p>
  </w:endnote>
  <w:endnote w:type="continuationSeparator" w:id="0">
    <w:p w14:paraId="6FD2FFBB" w14:textId="77777777" w:rsidR="004F5E54" w:rsidRDefault="004F5E54" w:rsidP="001653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C771CC" w14:textId="77777777" w:rsidR="004F5E54" w:rsidRDefault="004F5E54" w:rsidP="00165338">
      <w:pPr>
        <w:spacing w:after="0" w:line="240" w:lineRule="auto"/>
      </w:pPr>
      <w:r>
        <w:separator/>
      </w:r>
    </w:p>
  </w:footnote>
  <w:footnote w:type="continuationSeparator" w:id="0">
    <w:p w14:paraId="5A03B4CC" w14:textId="77777777" w:rsidR="004F5E54" w:rsidRDefault="004F5E54" w:rsidP="00165338">
      <w:pPr>
        <w:spacing w:after="0" w:line="240" w:lineRule="auto"/>
      </w:pPr>
      <w:r>
        <w:continuationSeparator/>
      </w:r>
    </w:p>
  </w:footnote>
  <w:footnote w:id="1">
    <w:p w14:paraId="3AEB622D" w14:textId="697A5D61" w:rsidR="00165338" w:rsidRPr="00CD6AFB" w:rsidRDefault="00165338" w:rsidP="00165338">
      <w:pPr>
        <w:pStyle w:val="FootnoteText"/>
        <w:rPr>
          <w:rFonts w:ascii="Arial" w:hAnsi="Arial" w:cs="Arial"/>
          <w:sz w:val="18"/>
          <w:szCs w:val="18"/>
        </w:rPr>
      </w:pPr>
      <w:r>
        <w:rPr>
          <w:rStyle w:val="FootnoteReference"/>
        </w:rPr>
        <w:footnoteRef/>
      </w:r>
      <w:r>
        <w:t xml:space="preserve"> </w:t>
      </w:r>
      <w:r w:rsidRPr="002E768B">
        <w:rPr>
          <w:rFonts w:ascii="Arial" w:hAnsi="Arial" w:cs="Arial"/>
          <w:sz w:val="18"/>
          <w:szCs w:val="18"/>
        </w:rPr>
        <w:t xml:space="preserve">Foro Económico Mundial. El Informe Global de Diferencias de Género. </w:t>
      </w:r>
      <w:r w:rsidRPr="00CD6AFB">
        <w:rPr>
          <w:rFonts w:ascii="Arial" w:hAnsi="Arial" w:cs="Arial"/>
          <w:sz w:val="18"/>
          <w:szCs w:val="18"/>
        </w:rPr>
        <w:t>Ginebra. http://www3.weforum.org/docs/GGGR16/WEF_Global_Gender_Gap_Report_2016.pdf</w:t>
      </w:r>
    </w:p>
  </w:footnote>
  <w:footnote w:id="2">
    <w:p w14:paraId="7322199B" w14:textId="77777777" w:rsidR="00165338" w:rsidRPr="002E768B" w:rsidRDefault="00165338" w:rsidP="00165338">
      <w:pPr>
        <w:pStyle w:val="FootnoteText"/>
        <w:rPr>
          <w:rFonts w:ascii="Arial" w:hAnsi="Arial" w:cs="Arial"/>
          <w:sz w:val="18"/>
          <w:szCs w:val="18"/>
        </w:rPr>
      </w:pPr>
      <w:r w:rsidRPr="002E768B">
        <w:rPr>
          <w:rStyle w:val="FootnoteReference"/>
          <w:rFonts w:ascii="Arial" w:hAnsi="Arial" w:cs="Arial"/>
          <w:sz w:val="18"/>
          <w:szCs w:val="18"/>
        </w:rPr>
        <w:footnoteRef/>
      </w:r>
      <w:r w:rsidRPr="002E768B">
        <w:rPr>
          <w:rFonts w:ascii="Arial" w:hAnsi="Arial" w:cs="Arial"/>
          <w:sz w:val="18"/>
          <w:szCs w:val="18"/>
        </w:rPr>
        <w:t xml:space="preserve"> Observatorio de la Equidad de Género para Latinoamérica y el Caribe (ALC) de la CEPAL.</w:t>
      </w:r>
    </w:p>
  </w:footnote>
  <w:footnote w:id="3">
    <w:p w14:paraId="1253B894" w14:textId="165D40E9" w:rsidR="00165338" w:rsidRPr="00827B2D" w:rsidRDefault="00165338" w:rsidP="00165338">
      <w:pPr>
        <w:pStyle w:val="FootnoteText"/>
        <w:rPr>
          <w:rFonts w:ascii="Arial" w:hAnsi="Arial" w:cs="Arial"/>
          <w:sz w:val="18"/>
          <w:szCs w:val="18"/>
          <w:lang w:val="es-ES_tradnl"/>
        </w:rPr>
      </w:pPr>
      <w:r w:rsidRPr="002E768B">
        <w:rPr>
          <w:rStyle w:val="FootnoteReference"/>
          <w:rFonts w:ascii="Arial" w:hAnsi="Arial" w:cs="Arial"/>
          <w:sz w:val="18"/>
          <w:szCs w:val="18"/>
        </w:rPr>
        <w:footnoteRef/>
      </w:r>
      <w:r w:rsidRPr="002E768B">
        <w:rPr>
          <w:rFonts w:ascii="Arial" w:hAnsi="Arial" w:cs="Arial"/>
          <w:sz w:val="18"/>
          <w:szCs w:val="18"/>
        </w:rPr>
        <w:t xml:space="preserve"> CEPAL. Observatorio de la Equidad de Género para Latinoamérica y el Caribe. </w:t>
      </w:r>
      <w:hyperlink r:id="rId1" w:history="1">
        <w:r w:rsidRPr="00827B2D">
          <w:rPr>
            <w:rStyle w:val="Hipervnculo1"/>
            <w:rFonts w:cs="Arial"/>
            <w:sz w:val="18"/>
            <w:szCs w:val="18"/>
            <w:lang w:val="es-ES_tradnl"/>
          </w:rPr>
          <w:t>http://oig.cepal.org/es</w:t>
        </w:r>
      </w:hyperlink>
    </w:p>
  </w:footnote>
  <w:footnote w:id="4">
    <w:p w14:paraId="30DCB3D9" w14:textId="77777777" w:rsidR="00165338" w:rsidRPr="002E768B" w:rsidRDefault="00165338" w:rsidP="00165338">
      <w:pPr>
        <w:pStyle w:val="FootnoteText"/>
        <w:rPr>
          <w:rFonts w:ascii="Arial" w:hAnsi="Arial" w:cs="Arial"/>
          <w:sz w:val="18"/>
          <w:szCs w:val="18"/>
        </w:rPr>
      </w:pPr>
      <w:r w:rsidRPr="002E768B">
        <w:rPr>
          <w:rStyle w:val="FootnoteReference"/>
          <w:rFonts w:ascii="Arial" w:hAnsi="Arial" w:cs="Arial"/>
          <w:sz w:val="18"/>
          <w:szCs w:val="18"/>
        </w:rPr>
        <w:footnoteRef/>
      </w:r>
      <w:r w:rsidRPr="00827B2D">
        <w:rPr>
          <w:rFonts w:ascii="Arial" w:hAnsi="Arial" w:cs="Arial"/>
          <w:sz w:val="18"/>
          <w:szCs w:val="18"/>
          <w:lang w:val="es-ES_tradnl"/>
        </w:rPr>
        <w:t xml:space="preserve"> Congreso Nacional de Honduras. </w:t>
      </w:r>
      <w:r w:rsidRPr="002E768B">
        <w:rPr>
          <w:rFonts w:ascii="Arial" w:hAnsi="Arial" w:cs="Arial"/>
          <w:sz w:val="18"/>
          <w:szCs w:val="18"/>
        </w:rPr>
        <w:t>Decreto N. 232-98, del 30 de septiembre de 1998.</w:t>
      </w:r>
    </w:p>
  </w:footnote>
  <w:footnote w:id="5">
    <w:p w14:paraId="0F58FC6E" w14:textId="0C03707C" w:rsidR="00165338" w:rsidRPr="00827B2D" w:rsidRDefault="00165338" w:rsidP="00165338">
      <w:pPr>
        <w:pStyle w:val="FootnoteText"/>
        <w:rPr>
          <w:rFonts w:ascii="Arial" w:hAnsi="Arial" w:cs="Arial"/>
          <w:sz w:val="18"/>
          <w:szCs w:val="18"/>
          <w:lang w:val="pt-BR"/>
        </w:rPr>
      </w:pPr>
      <w:r w:rsidRPr="002E768B">
        <w:rPr>
          <w:rStyle w:val="FootnoteReference"/>
          <w:rFonts w:ascii="Arial" w:hAnsi="Arial" w:cs="Arial"/>
          <w:sz w:val="18"/>
          <w:szCs w:val="18"/>
        </w:rPr>
        <w:footnoteRef/>
      </w:r>
      <w:r w:rsidRPr="002E768B">
        <w:rPr>
          <w:rFonts w:ascii="Arial" w:hAnsi="Arial" w:cs="Arial"/>
          <w:sz w:val="18"/>
          <w:szCs w:val="18"/>
        </w:rPr>
        <w:t xml:space="preserve"> Instituto Nacional de la Mujer. Plan Nacional de Mujeres-segundo plan hondureño de igualdad de género y plan de equidad, 2010-2022. </w:t>
      </w:r>
      <w:r w:rsidRPr="00827B2D">
        <w:rPr>
          <w:rFonts w:ascii="Arial" w:hAnsi="Arial" w:cs="Arial"/>
          <w:sz w:val="18"/>
          <w:szCs w:val="18"/>
          <w:lang w:val="pt-BR"/>
        </w:rPr>
        <w:t>Decreto PCM-028-2010.</w:t>
      </w:r>
      <w:r w:rsidRPr="00827B2D">
        <w:rPr>
          <w:rFonts w:ascii="Arial" w:hAnsi="Arial" w:cs="Arial"/>
          <w:kern w:val="36"/>
          <w:sz w:val="18"/>
          <w:szCs w:val="18"/>
          <w:lang w:val="pt-BR"/>
        </w:rPr>
        <w:t xml:space="preserve"> http://portalunico.iaip.gob.hn/Archivos/InstitutoNacionaldelaMujer/Regulaciones(normativa)/Leyes/2011/II%20Plan%20de%20Igualdad%20y%20Equidad%20de%20Genero%20Honduras%20(%20II%20PIEGH).pdf</w:t>
      </w:r>
    </w:p>
  </w:footnote>
  <w:footnote w:id="6">
    <w:p w14:paraId="0C92E9C0" w14:textId="122762BC" w:rsidR="00165338" w:rsidRPr="00E04402" w:rsidRDefault="00165338" w:rsidP="00165338">
      <w:pPr>
        <w:pStyle w:val="FootnoteText"/>
        <w:rPr>
          <w:rFonts w:ascii="Arial" w:hAnsi="Arial" w:cs="Arial"/>
          <w:sz w:val="18"/>
          <w:szCs w:val="18"/>
        </w:rPr>
      </w:pPr>
      <w:r w:rsidRPr="002E768B">
        <w:rPr>
          <w:rStyle w:val="FootnoteReference"/>
          <w:rFonts w:ascii="Arial" w:hAnsi="Arial" w:cs="Arial"/>
          <w:sz w:val="18"/>
          <w:szCs w:val="18"/>
        </w:rPr>
        <w:footnoteRef/>
      </w:r>
      <w:r w:rsidRPr="00E04402">
        <w:rPr>
          <w:rFonts w:ascii="Arial" w:hAnsi="Arial" w:cs="Arial"/>
          <w:sz w:val="18"/>
          <w:szCs w:val="18"/>
          <w:lang w:val="es-ES_tradnl"/>
        </w:rPr>
        <w:t xml:space="preserve"> Congreso Nacional. Acta de oportunidades iguales para mujeres. Honduras. </w:t>
      </w:r>
      <w:hyperlink r:id="rId2" w:history="1">
        <w:r w:rsidRPr="00E04402">
          <w:rPr>
            <w:rStyle w:val="Hipervnculo1"/>
            <w:rFonts w:cs="Arial"/>
            <w:sz w:val="18"/>
            <w:szCs w:val="18"/>
          </w:rPr>
          <w:t>http://www.inam.gob.hn/web/index.php?option=com_phocadownload&amp;view=file&amp;id=11:ley-de-igualdad-de-oportunidades-para-la-mujer&amp;Itemid=110</w:t>
        </w:r>
      </w:hyperlink>
      <w:r w:rsidRPr="00E04402">
        <w:rPr>
          <w:rFonts w:ascii="Arial" w:hAnsi="Arial" w:cs="Arial"/>
          <w:sz w:val="18"/>
          <w:szCs w:val="18"/>
        </w:rPr>
        <w:t xml:space="preserve"> </w:t>
      </w:r>
    </w:p>
  </w:footnote>
  <w:footnote w:id="7">
    <w:p w14:paraId="7B1E2A23" w14:textId="77777777" w:rsidR="00165338" w:rsidRPr="002E768B" w:rsidRDefault="00165338" w:rsidP="00F53774">
      <w:pPr>
        <w:spacing w:after="0"/>
        <w:contextualSpacing/>
        <w:rPr>
          <w:rFonts w:ascii="Arial" w:hAnsi="Arial" w:cs="Arial"/>
          <w:sz w:val="18"/>
          <w:szCs w:val="18"/>
        </w:rPr>
      </w:pPr>
      <w:r w:rsidRPr="002E768B">
        <w:rPr>
          <w:rStyle w:val="FootnoteReference"/>
          <w:rFonts w:ascii="Arial" w:hAnsi="Arial" w:cs="Arial"/>
          <w:sz w:val="18"/>
          <w:szCs w:val="18"/>
        </w:rPr>
        <w:footnoteRef/>
      </w:r>
      <w:r w:rsidRPr="002E768B">
        <w:rPr>
          <w:rFonts w:ascii="Arial" w:hAnsi="Arial" w:cs="Arial"/>
          <w:sz w:val="18"/>
          <w:szCs w:val="18"/>
        </w:rPr>
        <w:t xml:space="preserve"> CEPAL. Observatorio para la Equidad de Género para Latinoamérica y el Caribe. Países que han firmado y ratificado el protocolo de cumplimiento de la Convención sobre la Eliminación de todas las formas de Discriminación contra las mujeres. </w:t>
      </w:r>
      <w:hyperlink r:id="rId3" w:history="1">
        <w:r w:rsidRPr="002E768B">
          <w:rPr>
            <w:rStyle w:val="Hipervnculo1"/>
            <w:rFonts w:eastAsia="Times New Roman" w:cs="Arial"/>
            <w:sz w:val="18"/>
            <w:szCs w:val="18"/>
            <w:shd w:val="clear" w:color="auto" w:fill="FFFFFF"/>
          </w:rPr>
          <w:t>http://oig.cepal.org/es/indicadores/paises-que-han-firmado-ratificado-protocolo-facultativo-la-convencion-la-eliminacion</w:t>
        </w:r>
      </w:hyperlink>
      <w:r w:rsidRPr="002E768B">
        <w:rPr>
          <w:rFonts w:ascii="Arial" w:hAnsi="Arial" w:cs="Arial"/>
          <w:sz w:val="18"/>
          <w:szCs w:val="18"/>
          <w:shd w:val="clear" w:color="auto" w:fill="FFFFFF"/>
        </w:rPr>
        <w:t xml:space="preserve"> </w:t>
      </w:r>
    </w:p>
    <w:p w14:paraId="4F43742E" w14:textId="77777777" w:rsidR="00165338" w:rsidRPr="002E768B" w:rsidRDefault="00165338" w:rsidP="00165338">
      <w:pPr>
        <w:pStyle w:val="FootnoteText"/>
        <w:rPr>
          <w:rFonts w:ascii="Arial" w:hAnsi="Arial" w:cs="Arial"/>
          <w:sz w:val="18"/>
          <w:szCs w:val="18"/>
        </w:rPr>
      </w:pPr>
      <w:r w:rsidRPr="002E768B">
        <w:rPr>
          <w:rFonts w:ascii="Arial" w:hAnsi="Arial" w:cs="Arial"/>
          <w:sz w:val="18"/>
          <w:szCs w:val="18"/>
        </w:rPr>
        <w:t>***</w:t>
      </w:r>
      <w:r>
        <w:rPr>
          <w:rFonts w:ascii="Arial" w:hAnsi="Arial" w:cs="Arial"/>
          <w:sz w:val="18"/>
          <w:szCs w:val="18"/>
        </w:rPr>
        <w:t>Poder</w:t>
      </w:r>
      <w:r w:rsidRPr="002E768B">
        <w:rPr>
          <w:rFonts w:ascii="Arial" w:hAnsi="Arial" w:cs="Arial"/>
          <w:sz w:val="18"/>
          <w:szCs w:val="18"/>
        </w:rPr>
        <w:t xml:space="preserve"> judicial. Honduras: principales tratados internacionales sobre derechos humanos (s/f)</w:t>
      </w:r>
    </w:p>
  </w:footnote>
  <w:footnote w:id="8">
    <w:p w14:paraId="69CCDF1A" w14:textId="77777777" w:rsidR="00165338" w:rsidRPr="006653E3" w:rsidRDefault="00165338" w:rsidP="00165338">
      <w:pPr>
        <w:pStyle w:val="FootnoteText"/>
      </w:pPr>
      <w:r w:rsidRPr="002E768B">
        <w:rPr>
          <w:rStyle w:val="FootnoteReference"/>
          <w:rFonts w:ascii="Arial" w:hAnsi="Arial" w:cs="Arial"/>
          <w:sz w:val="18"/>
          <w:szCs w:val="18"/>
        </w:rPr>
        <w:footnoteRef/>
      </w:r>
      <w:r w:rsidRPr="002E768B">
        <w:rPr>
          <w:rFonts w:ascii="Arial" w:hAnsi="Arial" w:cs="Arial"/>
          <w:sz w:val="18"/>
          <w:szCs w:val="18"/>
        </w:rPr>
        <w:t xml:space="preserve"> Naciones Unidas para la Educación, Organización Cultural y Científica (UNESCO), Instituto para las Estadísticas, Indicadores de Educación, bases de datos, información disponible del 2015 en adelante; Programa de Desarrollo de las Naciones Unidas, Reporte de Desarrollo Humano 2009, el más reciente año disponible entre 1997 y 2007.</w:t>
      </w:r>
    </w:p>
  </w:footnote>
  <w:footnote w:id="9">
    <w:p w14:paraId="7397D2D7" w14:textId="0CDF69C3" w:rsidR="00165338" w:rsidRPr="002E768B" w:rsidRDefault="00165338" w:rsidP="00165338">
      <w:pPr>
        <w:pStyle w:val="FootnoteText"/>
        <w:rPr>
          <w:rFonts w:ascii="Arial" w:hAnsi="Arial" w:cs="Arial"/>
          <w:sz w:val="18"/>
          <w:szCs w:val="18"/>
        </w:rPr>
      </w:pPr>
      <w:r w:rsidRPr="002E768B">
        <w:rPr>
          <w:rStyle w:val="FootnoteReference"/>
          <w:rFonts w:ascii="Arial" w:hAnsi="Arial" w:cs="Arial"/>
          <w:sz w:val="18"/>
          <w:szCs w:val="18"/>
        </w:rPr>
        <w:footnoteRef/>
      </w:r>
      <w:r w:rsidRPr="002E768B">
        <w:rPr>
          <w:rFonts w:ascii="Arial" w:hAnsi="Arial" w:cs="Arial"/>
          <w:sz w:val="18"/>
          <w:szCs w:val="18"/>
        </w:rPr>
        <w:t xml:space="preserve"> Instituto para las estadísticas de </w:t>
      </w:r>
      <w:proofErr w:type="gramStart"/>
      <w:r w:rsidRPr="002E768B">
        <w:rPr>
          <w:rFonts w:ascii="Arial" w:hAnsi="Arial" w:cs="Arial"/>
          <w:sz w:val="18"/>
          <w:szCs w:val="18"/>
        </w:rPr>
        <w:t>UNESCO</w:t>
      </w:r>
      <w:proofErr w:type="gramEnd"/>
      <w:r w:rsidRPr="002E768B">
        <w:rPr>
          <w:rFonts w:ascii="Arial" w:hAnsi="Arial" w:cs="Arial"/>
          <w:sz w:val="18"/>
          <w:szCs w:val="18"/>
        </w:rPr>
        <w:t xml:space="preserve">, base de </w:t>
      </w:r>
      <w:r w:rsidR="00697845" w:rsidRPr="002E768B">
        <w:rPr>
          <w:rFonts w:ascii="Arial" w:hAnsi="Arial" w:cs="Arial"/>
          <w:sz w:val="18"/>
          <w:szCs w:val="18"/>
        </w:rPr>
        <w:t>datos</w:t>
      </w:r>
      <w:r w:rsidRPr="002E768B">
        <w:rPr>
          <w:rFonts w:ascii="Arial" w:hAnsi="Arial" w:cs="Arial"/>
          <w:sz w:val="18"/>
          <w:szCs w:val="18"/>
        </w:rPr>
        <w:t xml:space="preserve"> de indicadores de </w:t>
      </w:r>
      <w:r w:rsidR="00F53774">
        <w:rPr>
          <w:rFonts w:ascii="Arial" w:hAnsi="Arial" w:cs="Arial"/>
          <w:sz w:val="18"/>
          <w:szCs w:val="18"/>
        </w:rPr>
        <w:t>e</w:t>
      </w:r>
      <w:r w:rsidRPr="002E768B">
        <w:rPr>
          <w:rFonts w:ascii="Arial" w:hAnsi="Arial" w:cs="Arial"/>
          <w:sz w:val="18"/>
          <w:szCs w:val="18"/>
        </w:rPr>
        <w:t>ducación, información disponible del 2005 en adelante.</w:t>
      </w:r>
    </w:p>
  </w:footnote>
  <w:footnote w:id="10">
    <w:p w14:paraId="22807F9D" w14:textId="77777777" w:rsidR="00165338" w:rsidRPr="002E768B" w:rsidRDefault="00165338" w:rsidP="00165338">
      <w:pPr>
        <w:pStyle w:val="FootnoteText"/>
        <w:rPr>
          <w:rFonts w:ascii="Arial" w:hAnsi="Arial" w:cs="Arial"/>
          <w:sz w:val="18"/>
          <w:szCs w:val="18"/>
        </w:rPr>
      </w:pPr>
      <w:r w:rsidRPr="002E768B">
        <w:rPr>
          <w:rStyle w:val="FootnoteReference"/>
          <w:rFonts w:ascii="Arial" w:hAnsi="Arial" w:cs="Arial"/>
          <w:sz w:val="18"/>
          <w:szCs w:val="18"/>
        </w:rPr>
        <w:footnoteRef/>
      </w:r>
      <w:r w:rsidRPr="002E768B">
        <w:rPr>
          <w:rFonts w:ascii="Arial" w:hAnsi="Arial" w:cs="Arial"/>
          <w:sz w:val="18"/>
          <w:szCs w:val="18"/>
        </w:rPr>
        <w:t xml:space="preserve"> Estimación de ILO.</w:t>
      </w:r>
    </w:p>
  </w:footnote>
  <w:footnote w:id="11">
    <w:p w14:paraId="36AC671A" w14:textId="77777777" w:rsidR="00165338" w:rsidRPr="009C6511" w:rsidRDefault="00165338" w:rsidP="00165338">
      <w:pPr>
        <w:pStyle w:val="FootnoteText"/>
      </w:pPr>
      <w:r w:rsidRPr="002E768B">
        <w:rPr>
          <w:rStyle w:val="FootnoteReference"/>
          <w:rFonts w:ascii="Arial" w:hAnsi="Arial" w:cs="Arial"/>
          <w:sz w:val="18"/>
          <w:szCs w:val="18"/>
        </w:rPr>
        <w:footnoteRef/>
      </w:r>
      <w:r w:rsidRPr="002E768B">
        <w:rPr>
          <w:rFonts w:ascii="Arial" w:hAnsi="Arial" w:cs="Arial"/>
          <w:sz w:val="18"/>
          <w:szCs w:val="18"/>
        </w:rPr>
        <w:t xml:space="preserve"> Urbano, Anne-Marie (2014) “madres trabajadoras: malabaristas extraordinarias</w:t>
      </w:r>
      <w:r>
        <w:t>”</w:t>
      </w:r>
    </w:p>
  </w:footnote>
  <w:footnote w:id="12">
    <w:p w14:paraId="0EFC2BB6" w14:textId="77777777" w:rsidR="00165338" w:rsidRPr="002E768B" w:rsidRDefault="00165338" w:rsidP="00165338">
      <w:pPr>
        <w:pStyle w:val="FootnoteText"/>
        <w:rPr>
          <w:rFonts w:ascii="Arial" w:hAnsi="Arial" w:cs="Arial"/>
          <w:sz w:val="18"/>
          <w:szCs w:val="18"/>
        </w:rPr>
      </w:pPr>
      <w:r w:rsidRPr="002E768B">
        <w:rPr>
          <w:rStyle w:val="FootnoteReference"/>
          <w:rFonts w:ascii="Arial" w:hAnsi="Arial" w:cs="Arial"/>
          <w:sz w:val="18"/>
          <w:szCs w:val="18"/>
        </w:rPr>
        <w:footnoteRef/>
      </w:r>
      <w:r w:rsidRPr="002E768B">
        <w:rPr>
          <w:rFonts w:ascii="Arial" w:hAnsi="Arial" w:cs="Arial"/>
          <w:sz w:val="18"/>
          <w:szCs w:val="18"/>
        </w:rPr>
        <w:t xml:space="preserve"> Debido al cambio de clasificación, fue utilizado un representante agregando: actividades del albergue y comida, enseñanza, cuidado de la salud humana y actividades de asistencia social, y actividades hogareñas como empleados y actividades no diferenciadas de hogares como productores de bienes y servicios.</w:t>
      </w:r>
    </w:p>
  </w:footnote>
  <w:footnote w:id="13">
    <w:p w14:paraId="7B25A1BB" w14:textId="77777777" w:rsidR="00165338" w:rsidRPr="002E768B" w:rsidRDefault="00165338" w:rsidP="00165338">
      <w:pPr>
        <w:pStyle w:val="FootnoteText"/>
        <w:rPr>
          <w:rFonts w:ascii="Arial" w:hAnsi="Arial" w:cs="Arial"/>
          <w:sz w:val="18"/>
          <w:szCs w:val="18"/>
        </w:rPr>
      </w:pPr>
      <w:r w:rsidRPr="002E768B">
        <w:rPr>
          <w:rStyle w:val="FootnoteReference"/>
          <w:rFonts w:ascii="Arial" w:hAnsi="Arial" w:cs="Arial"/>
          <w:sz w:val="18"/>
          <w:szCs w:val="18"/>
        </w:rPr>
        <w:footnoteRef/>
      </w:r>
      <w:r w:rsidRPr="002E768B">
        <w:rPr>
          <w:rFonts w:ascii="Arial" w:hAnsi="Arial" w:cs="Arial"/>
          <w:sz w:val="18"/>
          <w:szCs w:val="18"/>
        </w:rPr>
        <w:t xml:space="preserve"> Encuesta empresarial del Banco Mundial, 2010</w:t>
      </w:r>
    </w:p>
  </w:footnote>
  <w:footnote w:id="14">
    <w:p w14:paraId="14C62F62" w14:textId="1180B834" w:rsidR="00165338" w:rsidRPr="00697845" w:rsidRDefault="00165338" w:rsidP="00165338">
      <w:pPr>
        <w:pStyle w:val="FootnoteText"/>
        <w:rPr>
          <w:rFonts w:ascii="Arial" w:hAnsi="Arial" w:cs="Arial"/>
          <w:sz w:val="18"/>
          <w:szCs w:val="18"/>
          <w:lang w:val="es-GT"/>
        </w:rPr>
      </w:pPr>
      <w:r w:rsidRPr="002E768B">
        <w:rPr>
          <w:rStyle w:val="FootnoteReference"/>
          <w:rFonts w:ascii="Arial" w:hAnsi="Arial" w:cs="Arial"/>
          <w:sz w:val="18"/>
          <w:szCs w:val="18"/>
        </w:rPr>
        <w:footnoteRef/>
      </w:r>
      <w:r w:rsidRPr="002E768B">
        <w:rPr>
          <w:rFonts w:ascii="Arial" w:hAnsi="Arial" w:cs="Arial"/>
          <w:sz w:val="18"/>
          <w:szCs w:val="18"/>
        </w:rPr>
        <w:t xml:space="preserve"> NNUU. Reporte preliminar sobre la violencia contra la mujer de la visita a Honduras llevada a cabo por un reportero especialista de las Naciones Unidas el 7 de julio de 2014. Disponible en: </w:t>
      </w:r>
      <w:r w:rsidRPr="002E768B">
        <w:rPr>
          <w:rFonts w:ascii="Arial" w:hAnsi="Arial" w:cs="Arial"/>
          <w:sz w:val="18"/>
          <w:szCs w:val="18"/>
          <w:lang w:val="es-GT"/>
        </w:rPr>
        <w:t>http://www.hn.undp.org/content/– honduras/es/home/presscenter/articles/2014/07/07/informe-preliminar-de-la-visita-a-honduras-realizadapor-la-relatora-especial-de-la-onu-sobre-la-violencia-contra-las-mujeres-.html.</w:t>
      </w:r>
    </w:p>
  </w:footnote>
  <w:footnote w:id="15">
    <w:p w14:paraId="398C2633" w14:textId="569C7366" w:rsidR="00165338" w:rsidRPr="00697845" w:rsidRDefault="00165338" w:rsidP="00165338">
      <w:pPr>
        <w:pStyle w:val="FootnoteText"/>
        <w:rPr>
          <w:rFonts w:ascii="Arial" w:hAnsi="Arial" w:cs="Arial"/>
          <w:sz w:val="18"/>
          <w:szCs w:val="18"/>
        </w:rPr>
      </w:pPr>
      <w:r w:rsidRPr="002E768B">
        <w:rPr>
          <w:rStyle w:val="FootnoteReference"/>
          <w:rFonts w:ascii="Arial" w:hAnsi="Arial" w:cs="Arial"/>
          <w:sz w:val="18"/>
          <w:szCs w:val="18"/>
        </w:rPr>
        <w:footnoteRef/>
      </w:r>
      <w:r w:rsidRPr="002E768B">
        <w:rPr>
          <w:rFonts w:ascii="Arial" w:hAnsi="Arial" w:cs="Arial"/>
          <w:sz w:val="18"/>
          <w:szCs w:val="18"/>
        </w:rPr>
        <w:t xml:space="preserve"> Secretaría de Salud, Instituto Nacional de Estadísticas (INE) e ICF internacional. 2013. </w:t>
      </w:r>
      <w:r w:rsidRPr="002E768B">
        <w:rPr>
          <w:rFonts w:ascii="Arial" w:hAnsi="Arial" w:cs="Arial"/>
          <w:sz w:val="18"/>
          <w:szCs w:val="18"/>
          <w:u w:val="single"/>
        </w:rPr>
        <w:t xml:space="preserve">Encuesta Nacional de Demografía y Salud </w:t>
      </w:r>
      <w:r w:rsidRPr="002E768B">
        <w:rPr>
          <w:rStyle w:val="Hipervnculo1"/>
          <w:rFonts w:cs="Arial"/>
          <w:sz w:val="18"/>
          <w:szCs w:val="18"/>
        </w:rPr>
        <w:t>(NDHS 2011-2012) Tegucigalpa, Honduras: SH, INE and ICF International.</w:t>
      </w:r>
    </w:p>
  </w:footnote>
  <w:footnote w:id="16">
    <w:p w14:paraId="50A25223" w14:textId="77777777" w:rsidR="00165338" w:rsidRPr="002E768B" w:rsidRDefault="00165338" w:rsidP="00165338">
      <w:pPr>
        <w:pStyle w:val="FootnoteText"/>
        <w:rPr>
          <w:rFonts w:ascii="Arial" w:hAnsi="Arial" w:cs="Arial"/>
          <w:sz w:val="18"/>
          <w:szCs w:val="18"/>
        </w:rPr>
      </w:pPr>
      <w:r w:rsidRPr="002E768B">
        <w:rPr>
          <w:rStyle w:val="FootnoteReference"/>
          <w:rFonts w:ascii="Arial" w:hAnsi="Arial" w:cs="Arial"/>
          <w:sz w:val="18"/>
          <w:szCs w:val="18"/>
        </w:rPr>
        <w:footnoteRef/>
      </w:r>
      <w:r w:rsidRPr="002E768B">
        <w:rPr>
          <w:rFonts w:ascii="Arial" w:hAnsi="Arial" w:cs="Arial"/>
          <w:sz w:val="18"/>
          <w:szCs w:val="18"/>
        </w:rPr>
        <w:t xml:space="preserve"> Uso de tierra agrícola. </w:t>
      </w:r>
      <w:proofErr w:type="spellStart"/>
      <w:r w:rsidRPr="002E768B">
        <w:rPr>
          <w:rFonts w:ascii="Arial" w:hAnsi="Arial" w:cs="Arial"/>
          <w:sz w:val="18"/>
          <w:szCs w:val="18"/>
        </w:rPr>
        <w:t>Encovi</w:t>
      </w:r>
      <w:proofErr w:type="spellEnd"/>
      <w:r w:rsidRPr="002E768B">
        <w:rPr>
          <w:rFonts w:ascii="Arial" w:hAnsi="Arial" w:cs="Arial"/>
          <w:sz w:val="18"/>
          <w:szCs w:val="18"/>
        </w:rPr>
        <w:t>, 2012</w:t>
      </w:r>
    </w:p>
  </w:footnote>
  <w:footnote w:id="17">
    <w:p w14:paraId="7E35D9DC" w14:textId="77777777" w:rsidR="00165338" w:rsidRPr="002E768B" w:rsidRDefault="00165338" w:rsidP="00165338">
      <w:pPr>
        <w:pStyle w:val="FootnoteText"/>
        <w:rPr>
          <w:rFonts w:ascii="Arial" w:hAnsi="Arial" w:cs="Arial"/>
          <w:sz w:val="18"/>
          <w:szCs w:val="18"/>
        </w:rPr>
      </w:pPr>
      <w:r w:rsidRPr="002E768B">
        <w:rPr>
          <w:rStyle w:val="FootnoteReference"/>
          <w:rFonts w:ascii="Arial" w:hAnsi="Arial" w:cs="Arial"/>
          <w:sz w:val="18"/>
          <w:szCs w:val="18"/>
        </w:rPr>
        <w:footnoteRef/>
      </w:r>
      <w:r w:rsidRPr="002E768B">
        <w:rPr>
          <w:rFonts w:ascii="Arial" w:hAnsi="Arial" w:cs="Arial"/>
          <w:sz w:val="18"/>
          <w:szCs w:val="18"/>
        </w:rPr>
        <w:t xml:space="preserve"> Uso de tierra agrícola. ENCOVI, 2012</w:t>
      </w:r>
    </w:p>
  </w:footnote>
  <w:footnote w:id="18">
    <w:p w14:paraId="72F3C242" w14:textId="77777777" w:rsidR="00165338" w:rsidRPr="002E768B" w:rsidRDefault="00165338" w:rsidP="00165338">
      <w:pPr>
        <w:pStyle w:val="FootnoteText"/>
        <w:rPr>
          <w:rFonts w:ascii="Arial" w:hAnsi="Arial" w:cs="Arial"/>
          <w:sz w:val="18"/>
          <w:szCs w:val="18"/>
        </w:rPr>
      </w:pPr>
      <w:r w:rsidRPr="002E768B">
        <w:rPr>
          <w:rStyle w:val="FootnoteReference"/>
          <w:rFonts w:ascii="Arial" w:hAnsi="Arial" w:cs="Arial"/>
          <w:sz w:val="18"/>
          <w:szCs w:val="18"/>
        </w:rPr>
        <w:footnoteRef/>
      </w:r>
      <w:r w:rsidRPr="002E768B">
        <w:rPr>
          <w:rFonts w:ascii="Arial" w:hAnsi="Arial" w:cs="Arial"/>
          <w:sz w:val="18"/>
          <w:szCs w:val="18"/>
        </w:rPr>
        <w:t xml:space="preserve"> Portal de información de género- Banco Mundial</w:t>
      </w:r>
    </w:p>
  </w:footnote>
  <w:footnote w:id="19">
    <w:p w14:paraId="0C704934" w14:textId="77777777" w:rsidR="00165338" w:rsidRPr="00045DED" w:rsidRDefault="00165338" w:rsidP="00165338">
      <w:pPr>
        <w:pStyle w:val="FootnoteText"/>
      </w:pPr>
      <w:r w:rsidRPr="002E768B">
        <w:rPr>
          <w:rStyle w:val="FootnoteReference"/>
          <w:rFonts w:ascii="Arial" w:hAnsi="Arial" w:cs="Arial"/>
          <w:sz w:val="18"/>
          <w:szCs w:val="18"/>
        </w:rPr>
        <w:footnoteRef/>
      </w:r>
      <w:r w:rsidRPr="002E768B">
        <w:rPr>
          <w:rFonts w:ascii="Arial" w:hAnsi="Arial" w:cs="Arial"/>
          <w:sz w:val="18"/>
          <w:szCs w:val="18"/>
        </w:rPr>
        <w:t xml:space="preserve"> Instituto de Conservación Forestal</w:t>
      </w:r>
    </w:p>
  </w:footnote>
  <w:footnote w:id="20">
    <w:p w14:paraId="4AB500AB" w14:textId="77777777" w:rsidR="00165338" w:rsidRPr="00045DED" w:rsidRDefault="00165338" w:rsidP="00165338">
      <w:pPr>
        <w:pStyle w:val="FootnoteText"/>
      </w:pPr>
      <w:r>
        <w:rPr>
          <w:rStyle w:val="FootnoteReference"/>
        </w:rPr>
        <w:footnoteRef/>
      </w:r>
      <w:r>
        <w:t xml:space="preserve"> Instituto de Conservación Forestal</w:t>
      </w:r>
    </w:p>
  </w:footnote>
  <w:footnote w:id="21">
    <w:p w14:paraId="1CE7837A" w14:textId="77777777" w:rsidR="00165338" w:rsidRPr="00165338" w:rsidRDefault="00165338" w:rsidP="00165338">
      <w:pPr>
        <w:pStyle w:val="FootnoteText"/>
        <w:rPr>
          <w:rFonts w:ascii="Calibri Light" w:hAnsi="Calibri Light" w:cs="Calibri Light"/>
          <w:sz w:val="16"/>
          <w:szCs w:val="16"/>
        </w:rPr>
      </w:pPr>
      <w:r w:rsidRPr="00165338">
        <w:rPr>
          <w:rStyle w:val="FootnoteReference"/>
          <w:rFonts w:cs="Calibri Light"/>
          <w:sz w:val="16"/>
          <w:szCs w:val="16"/>
        </w:rPr>
        <w:footnoteRef/>
      </w:r>
      <w:r w:rsidRPr="00165338">
        <w:rPr>
          <w:rFonts w:ascii="Calibri Light" w:hAnsi="Calibri Light" w:cs="Calibri Light"/>
          <w:sz w:val="16"/>
          <w:szCs w:val="16"/>
        </w:rPr>
        <w:t xml:space="preserve"> Estimado. El objetivo será actualizado cuando la información final sea provista por el ICF acerca de las composiciones de la organización.</w:t>
      </w:r>
    </w:p>
  </w:footnote>
  <w:footnote w:id="22">
    <w:p w14:paraId="78ABB39D" w14:textId="77777777" w:rsidR="00165338" w:rsidRPr="005E50F9" w:rsidRDefault="00165338" w:rsidP="00165338">
      <w:pPr>
        <w:pStyle w:val="FootnoteText"/>
      </w:pPr>
      <w:r>
        <w:rPr>
          <w:rStyle w:val="FootnoteReference"/>
        </w:rPr>
        <w:footnoteRef/>
      </w:r>
      <w:r>
        <w:t xml:space="preserve"> </w:t>
      </w:r>
      <w:r w:rsidRPr="00165338">
        <w:rPr>
          <w:rFonts w:ascii="Calibri Light" w:hAnsi="Calibri Light" w:cs="Calibri Light"/>
          <w:sz w:val="16"/>
          <w:szCs w:val="16"/>
        </w:rPr>
        <w:t>Estimado. El objetivo será actualizado cuando la información final sea provista por el ICF acerca de las composiciones de la organización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63034B"/>
    <w:multiLevelType w:val="hybridMultilevel"/>
    <w:tmpl w:val="1736E518"/>
    <w:lvl w:ilvl="0" w:tplc="480A0001">
      <w:start w:val="1"/>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1" w15:restartNumberingAfterBreak="0">
    <w:nsid w:val="627573D2"/>
    <w:multiLevelType w:val="hybridMultilevel"/>
    <w:tmpl w:val="1CC28758"/>
    <w:lvl w:ilvl="0" w:tplc="480A000F">
      <w:start w:val="1"/>
      <w:numFmt w:val="decimal"/>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338"/>
    <w:rsid w:val="000017B6"/>
    <w:rsid w:val="000B34D8"/>
    <w:rsid w:val="00165338"/>
    <w:rsid w:val="001C6FC6"/>
    <w:rsid w:val="00201B80"/>
    <w:rsid w:val="002F7812"/>
    <w:rsid w:val="0038649C"/>
    <w:rsid w:val="003E3A48"/>
    <w:rsid w:val="004020D3"/>
    <w:rsid w:val="004A18A5"/>
    <w:rsid w:val="004F27E5"/>
    <w:rsid w:val="004F4946"/>
    <w:rsid w:val="004F5E54"/>
    <w:rsid w:val="00556B6E"/>
    <w:rsid w:val="0057692C"/>
    <w:rsid w:val="0058195E"/>
    <w:rsid w:val="00621A5D"/>
    <w:rsid w:val="00623CDE"/>
    <w:rsid w:val="00697845"/>
    <w:rsid w:val="008315AD"/>
    <w:rsid w:val="00965CAA"/>
    <w:rsid w:val="00AE1EF4"/>
    <w:rsid w:val="00B27C93"/>
    <w:rsid w:val="00BE182B"/>
    <w:rsid w:val="00C132A0"/>
    <w:rsid w:val="00C771E0"/>
    <w:rsid w:val="00C83256"/>
    <w:rsid w:val="00CB3617"/>
    <w:rsid w:val="00CD2E25"/>
    <w:rsid w:val="00D623EA"/>
    <w:rsid w:val="00F53774"/>
    <w:rsid w:val="00F8485F"/>
  </w:rsids>
  <m:mathPr>
    <m:mathFont m:val="Cambria Math"/>
    <m:brkBin m:val="before"/>
    <m:brkBinSub m:val="--"/>
    <m:smallFrac m:val="0"/>
    <m:dispDef/>
    <m:lMargin m:val="0"/>
    <m:rMargin m:val="0"/>
    <m:defJc m:val="centerGroup"/>
    <m:wrapIndent m:val="1440"/>
    <m:intLim m:val="subSup"/>
    <m:naryLim m:val="undOvr"/>
  </m:mathPr>
  <w:themeFontLang w:val="es-HN"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21DB4"/>
  <w15:chartTrackingRefBased/>
  <w15:docId w15:val="{2CC70100-AB04-4EAA-B3A2-123F895F9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HN"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ipervnculo1">
    <w:name w:val="Hipervínculo1"/>
    <w:basedOn w:val="DefaultParagraphFont"/>
    <w:uiPriority w:val="99"/>
    <w:unhideWhenUsed/>
    <w:rsid w:val="00165338"/>
    <w:rPr>
      <w:color w:val="0563C1"/>
      <w:u w:val="single"/>
    </w:rPr>
  </w:style>
  <w:style w:type="paragraph" w:styleId="FootnoteText">
    <w:name w:val="footnote text"/>
    <w:aliases w:val="ADB,Footnote Text Char Char Char,Footnote Text Char Char Char Char Char,Footnote Text Char Char Char Char Char Char,Footnote Text Char Char Char Char Char Char Char,Footnote Text Char1 Char,Fußnote,Fußnotentextf,f,fn,footnote,single space"/>
    <w:basedOn w:val="Normal"/>
    <w:link w:val="FootnoteTextChar"/>
    <w:uiPriority w:val="99"/>
    <w:unhideWhenUsed/>
    <w:qFormat/>
    <w:rsid w:val="00165338"/>
    <w:pPr>
      <w:spacing w:after="0" w:line="240" w:lineRule="auto"/>
    </w:pPr>
    <w:rPr>
      <w:sz w:val="20"/>
      <w:szCs w:val="20"/>
    </w:rPr>
  </w:style>
  <w:style w:type="character" w:customStyle="1" w:styleId="FootnoteTextChar">
    <w:name w:val="Footnote Text Char"/>
    <w:aliases w:val="ADB Char,Footnote Text Char Char Char Char,Footnote Text Char Char Char Char Char Char1,Footnote Text Char Char Char Char Char Char Char1,Footnote Text Char Char Char Char Char Char Char Char,Footnote Text Char1 Char Char,Fußnote Char"/>
    <w:basedOn w:val="DefaultParagraphFont"/>
    <w:link w:val="FootnoteText"/>
    <w:uiPriority w:val="99"/>
    <w:rsid w:val="00165338"/>
    <w:rPr>
      <w:sz w:val="20"/>
      <w:szCs w:val="20"/>
    </w:rPr>
  </w:style>
  <w:style w:type="character" w:styleId="FootnoteReference">
    <w:name w:val="footnote reference"/>
    <w:aliases w:val="(NECG) Footnote Reference,16 Point,FC,Footnote,Fußnotenzeichen DISS,Massilia Footnote Reference,Nota al pie info 1,Nota de pie,Ref,Ref. de nota al pie2,Style 24,Superscript 6 Point,de nota al pie,ftref,referencia nota al pie,titulo 2"/>
    <w:basedOn w:val="DefaultParagraphFont"/>
    <w:uiPriority w:val="99"/>
    <w:unhideWhenUsed/>
    <w:qFormat/>
    <w:rsid w:val="00165338"/>
    <w:rPr>
      <w:vertAlign w:val="superscript"/>
    </w:rPr>
  </w:style>
  <w:style w:type="character" w:styleId="Hyperlink">
    <w:name w:val="Hyperlink"/>
    <w:basedOn w:val="DefaultParagraphFont"/>
    <w:uiPriority w:val="99"/>
    <w:semiHidden/>
    <w:unhideWhenUsed/>
    <w:rsid w:val="00165338"/>
    <w:rPr>
      <w:color w:val="0563C1" w:themeColor="hyperlink"/>
      <w:u w:val="single"/>
    </w:rPr>
  </w:style>
  <w:style w:type="paragraph" w:styleId="BalloonText">
    <w:name w:val="Balloon Text"/>
    <w:basedOn w:val="Normal"/>
    <w:link w:val="BalloonTextChar"/>
    <w:uiPriority w:val="99"/>
    <w:semiHidden/>
    <w:unhideWhenUsed/>
    <w:rsid w:val="005819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195E"/>
    <w:rPr>
      <w:rFonts w:ascii="Segoe UI" w:hAnsi="Segoe UI" w:cs="Segoe UI"/>
      <w:sz w:val="18"/>
      <w:szCs w:val="18"/>
    </w:rPr>
  </w:style>
  <w:style w:type="character" w:styleId="CommentReference">
    <w:name w:val="annotation reference"/>
    <w:basedOn w:val="DefaultParagraphFont"/>
    <w:uiPriority w:val="99"/>
    <w:semiHidden/>
    <w:unhideWhenUsed/>
    <w:rsid w:val="00C132A0"/>
    <w:rPr>
      <w:sz w:val="16"/>
      <w:szCs w:val="16"/>
    </w:rPr>
  </w:style>
  <w:style w:type="paragraph" w:styleId="CommentText">
    <w:name w:val="annotation text"/>
    <w:basedOn w:val="Normal"/>
    <w:link w:val="CommentTextChar"/>
    <w:uiPriority w:val="99"/>
    <w:semiHidden/>
    <w:unhideWhenUsed/>
    <w:rsid w:val="00C132A0"/>
    <w:pPr>
      <w:spacing w:line="240" w:lineRule="auto"/>
    </w:pPr>
    <w:rPr>
      <w:sz w:val="20"/>
      <w:szCs w:val="20"/>
    </w:rPr>
  </w:style>
  <w:style w:type="character" w:customStyle="1" w:styleId="CommentTextChar">
    <w:name w:val="Comment Text Char"/>
    <w:basedOn w:val="DefaultParagraphFont"/>
    <w:link w:val="CommentText"/>
    <w:uiPriority w:val="99"/>
    <w:semiHidden/>
    <w:rsid w:val="00C132A0"/>
    <w:rPr>
      <w:sz w:val="20"/>
      <w:szCs w:val="20"/>
    </w:rPr>
  </w:style>
  <w:style w:type="paragraph" w:styleId="CommentSubject">
    <w:name w:val="annotation subject"/>
    <w:basedOn w:val="CommentText"/>
    <w:next w:val="CommentText"/>
    <w:link w:val="CommentSubjectChar"/>
    <w:uiPriority w:val="99"/>
    <w:semiHidden/>
    <w:unhideWhenUsed/>
    <w:rsid w:val="00C132A0"/>
    <w:rPr>
      <w:b/>
      <w:bCs/>
    </w:rPr>
  </w:style>
  <w:style w:type="character" w:customStyle="1" w:styleId="CommentSubjectChar">
    <w:name w:val="Comment Subject Char"/>
    <w:basedOn w:val="CommentTextChar"/>
    <w:link w:val="CommentSubject"/>
    <w:uiPriority w:val="99"/>
    <w:semiHidden/>
    <w:rsid w:val="00C132A0"/>
    <w:rPr>
      <w:b/>
      <w:bCs/>
      <w:sz w:val="20"/>
      <w:szCs w:val="20"/>
    </w:rPr>
  </w:style>
  <w:style w:type="paragraph" w:styleId="ListParagraph">
    <w:name w:val="List Paragraph"/>
    <w:basedOn w:val="Normal"/>
    <w:uiPriority w:val="34"/>
    <w:qFormat/>
    <w:rsid w:val="00C132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5367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customXml" Target="../customXml/item6.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 Id="rId14" Type="http://schemas.openxmlformats.org/officeDocument/2006/relationships/customXml" Target="../customXml/item5.xml"/></Relationships>
</file>

<file path=word/_rels/footnotes.xml.rels><?xml version="1.0" encoding="UTF-8" standalone="yes"?>
<Relationships xmlns="http://schemas.openxmlformats.org/package/2006/relationships"><Relationship Id="rId3" Type="http://schemas.openxmlformats.org/officeDocument/2006/relationships/hyperlink" Target="http://oig.cepal.org/es/indicadores/paises-que-han-firmado-ratificado-protocolo-facultativo-la-convencion-la-eliminacion" TargetMode="External"/><Relationship Id="rId2" Type="http://schemas.openxmlformats.org/officeDocument/2006/relationships/hyperlink" Target="http://www.inam.gob.hn/web/index.php?option=com_phocadownload&amp;view=file&amp;id=11:ley-de-igualdad-de-oportunidades-para-la-mujer&amp;Itemid=110" TargetMode="External"/><Relationship Id="rId1" Type="http://schemas.openxmlformats.org/officeDocument/2006/relationships/hyperlink" Target="http://oig.cepal.org/es"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5" Type="http://schemas.openxmlformats.org/officeDocument/2006/relationships/chartUserShapes" Target="../drawings/drawing1.xml"/><Relationship Id="rId4" Type="http://schemas.openxmlformats.org/officeDocument/2006/relationships/oleObject" Target="file:///C:\Users\dianaor\Documents\BID\GENDER\Gender\CDCs\Honduras\Biblioteca\Cuadros%20de%20mercado%20Laboral%20por%20genero%20INE\Datos%20empleo.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1"/>
          <c:order val="0"/>
          <c:tx>
            <c:v>Hombres</c:v>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rtl="0">
                  <a:defRPr sz="900" b="0" i="0" u="none" strike="noStrike" kern="1200" baseline="0">
                    <a:solidFill>
                      <a:schemeClr val="tx1">
                        <a:lumMod val="75000"/>
                        <a:lumOff val="25000"/>
                      </a:schemeClr>
                    </a:solidFill>
                    <a:latin typeface="+mj-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prstDash val="solid"/>
                      <a:round/>
                    </a:ln>
                    <a:effectLst/>
                  </c:spPr>
                </c15:leaderLines>
              </c:ext>
            </c:extLst>
          </c:dLbls>
          <c:cat>
            <c:numLit>
              <c:formatCode>General</c:formatCode>
              <c:ptCount val="2"/>
              <c:pt idx="0">
                <c:v>2007</c:v>
              </c:pt>
              <c:pt idx="1">
                <c:v>2016</c:v>
              </c:pt>
            </c:numLit>
          </c:cat>
          <c:val>
            <c:numRef>
              <c:f>(ILO!$I$1005,ILO!$R$1005)</c:f>
              <c:numCache>
                <c:formatCode>0.0</c:formatCode>
                <c:ptCount val="2"/>
                <c:pt idx="0">
                  <c:v>82.969029133362866</c:v>
                </c:pt>
                <c:pt idx="1">
                  <c:v>82.439315921621798</c:v>
                </c:pt>
              </c:numCache>
            </c:numRef>
          </c:val>
          <c:extLst>
            <c:ext xmlns:c16="http://schemas.microsoft.com/office/drawing/2014/chart" uri="{C3380CC4-5D6E-409C-BE32-E72D297353CC}">
              <c16:uniqueId val="{00000000-604E-458D-995F-B504854C0C62}"/>
            </c:ext>
          </c:extLst>
        </c:ser>
        <c:ser>
          <c:idx val="2"/>
          <c:order val="1"/>
          <c:spPr>
            <a:solidFill>
              <a:schemeClr val="accent6"/>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rtl="0">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prstDash val="solid"/>
                      <a:round/>
                    </a:ln>
                    <a:effectLst/>
                  </c:spPr>
                </c15:leaderLines>
              </c:ext>
            </c:extLst>
          </c:dLbls>
          <c:cat>
            <c:numLit>
              <c:formatCode>General</c:formatCode>
              <c:ptCount val="2"/>
              <c:pt idx="0">
                <c:v>2007</c:v>
              </c:pt>
              <c:pt idx="1">
                <c:v>2016</c:v>
              </c:pt>
            </c:numLit>
          </c:cat>
          <c:val>
            <c:numRef>
              <c:f>(ILO!$I$1006,ILO!$R$1006)</c:f>
            </c:numRef>
          </c:val>
          <c:extLst>
            <c:ext xmlns:c16="http://schemas.microsoft.com/office/drawing/2014/chart" uri="{C3380CC4-5D6E-409C-BE32-E72D297353CC}">
              <c16:uniqueId val="{00000001-604E-458D-995F-B504854C0C62}"/>
            </c:ext>
          </c:extLst>
        </c:ser>
        <c:ser>
          <c:idx val="3"/>
          <c:order val="2"/>
          <c:spPr>
            <a:solidFill>
              <a:schemeClr val="accent2">
                <a:lumMod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rtl="0">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prstDash val="solid"/>
                      <a:round/>
                    </a:ln>
                    <a:effectLst/>
                  </c:spPr>
                </c15:leaderLines>
              </c:ext>
            </c:extLst>
          </c:dLbls>
          <c:cat>
            <c:numLit>
              <c:formatCode>General</c:formatCode>
              <c:ptCount val="2"/>
              <c:pt idx="0">
                <c:v>2007</c:v>
              </c:pt>
              <c:pt idx="1">
                <c:v>2016</c:v>
              </c:pt>
            </c:numLit>
          </c:cat>
          <c:val>
            <c:numRef>
              <c:f>(ILO!$I$1007,ILO!$R$1007)</c:f>
            </c:numRef>
          </c:val>
          <c:extLst>
            <c:ext xmlns:c16="http://schemas.microsoft.com/office/drawing/2014/chart" uri="{C3380CC4-5D6E-409C-BE32-E72D297353CC}">
              <c16:uniqueId val="{00000002-604E-458D-995F-B504854C0C62}"/>
            </c:ext>
          </c:extLst>
        </c:ser>
        <c:ser>
          <c:idx val="4"/>
          <c:order val="3"/>
          <c:spPr>
            <a:solidFill>
              <a:schemeClr val="accent4">
                <a:lumMod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rtl="0">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prstDash val="solid"/>
                      <a:round/>
                    </a:ln>
                    <a:effectLst/>
                  </c:spPr>
                </c15:leaderLines>
              </c:ext>
            </c:extLst>
          </c:dLbls>
          <c:cat>
            <c:numLit>
              <c:formatCode>General</c:formatCode>
              <c:ptCount val="2"/>
              <c:pt idx="0">
                <c:v>2007</c:v>
              </c:pt>
              <c:pt idx="1">
                <c:v>2016</c:v>
              </c:pt>
            </c:numLit>
          </c:cat>
          <c:val>
            <c:numRef>
              <c:f>(ILO!$I$1008,ILO!$R$1008)</c:f>
            </c:numRef>
          </c:val>
          <c:extLst>
            <c:ext xmlns:c16="http://schemas.microsoft.com/office/drawing/2014/chart" uri="{C3380CC4-5D6E-409C-BE32-E72D297353CC}">
              <c16:uniqueId val="{00000003-604E-458D-995F-B504854C0C62}"/>
            </c:ext>
          </c:extLst>
        </c:ser>
        <c:ser>
          <c:idx val="5"/>
          <c:order val="4"/>
          <c:tx>
            <c:v>Mujeres</c:v>
          </c:tx>
          <c:spPr>
            <a:solidFill>
              <a:schemeClr val="accent6">
                <a:lumMod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rtl="0">
                  <a:defRPr sz="900" b="0" i="0" u="none" strike="noStrike" kern="1200" baseline="0">
                    <a:solidFill>
                      <a:schemeClr val="tx1">
                        <a:lumMod val="75000"/>
                        <a:lumOff val="25000"/>
                      </a:schemeClr>
                    </a:solidFill>
                    <a:latin typeface="+mj-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prstDash val="solid"/>
                      <a:round/>
                    </a:ln>
                    <a:effectLst/>
                  </c:spPr>
                </c15:leaderLines>
              </c:ext>
            </c:extLst>
          </c:dLbls>
          <c:cat>
            <c:numLit>
              <c:formatCode>General</c:formatCode>
              <c:ptCount val="2"/>
              <c:pt idx="0">
                <c:v>2007</c:v>
              </c:pt>
              <c:pt idx="1">
                <c:v>2016</c:v>
              </c:pt>
            </c:numLit>
          </c:cat>
          <c:val>
            <c:numRef>
              <c:f>(ILO!$I$1009,ILO!$R$1009)</c:f>
              <c:numCache>
                <c:formatCode>0.0</c:formatCode>
                <c:ptCount val="2"/>
                <c:pt idx="0">
                  <c:v>39.556728696400938</c:v>
                </c:pt>
                <c:pt idx="1">
                  <c:v>47.840306744829611</c:v>
                </c:pt>
              </c:numCache>
            </c:numRef>
          </c:val>
          <c:extLst>
            <c:ext xmlns:c16="http://schemas.microsoft.com/office/drawing/2014/chart" uri="{C3380CC4-5D6E-409C-BE32-E72D297353CC}">
              <c16:uniqueId val="{00000004-604E-458D-995F-B504854C0C62}"/>
            </c:ext>
          </c:extLst>
        </c:ser>
        <c:dLbls>
          <c:dLblPos val="outEnd"/>
          <c:showLegendKey val="0"/>
          <c:showVal val="1"/>
          <c:showCatName val="0"/>
          <c:showSerName val="0"/>
          <c:showPercent val="0"/>
          <c:showBubbleSize val="0"/>
        </c:dLbls>
        <c:gapWidth val="150"/>
        <c:axId val="1839059696"/>
        <c:axId val="1839055888"/>
      </c:barChart>
      <c:lineChart>
        <c:grouping val="standard"/>
        <c:varyColors val="0"/>
        <c:ser>
          <c:idx val="0"/>
          <c:order val="5"/>
          <c:tx>
            <c:v>Promedio Nacional</c:v>
          </c:tx>
          <c:spPr>
            <a:ln w="19050" cap="rnd" cmpd="sng" algn="ctr">
              <a:solidFill>
                <a:schemeClr val="accent2"/>
              </a:solidFill>
              <a:prstDash val="solid"/>
              <a:round/>
            </a:ln>
            <a:effectLst/>
          </c:spPr>
          <c:marker>
            <c:symbol val="none"/>
          </c:marker>
          <c:dPt>
            <c:idx val="1"/>
            <c:bubble3D val="0"/>
            <c:extLst>
              <c:ext xmlns:c16="http://schemas.microsoft.com/office/drawing/2014/chart" uri="{C3380CC4-5D6E-409C-BE32-E72D297353CC}">
                <c16:uniqueId val="{00000005-604E-458D-995F-B504854C0C62}"/>
              </c:ext>
            </c:extLst>
          </c:dPt>
          <c:dLbls>
            <c:dLbl>
              <c:idx val="0"/>
              <c:layout>
                <c:manualLayout>
                  <c:x val="-2.2222222222222199E-2"/>
                  <c:y val="-4.629629629629630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604E-458D-995F-B504854C0C62}"/>
                </c:ext>
              </c:extLst>
            </c:dLbl>
            <c:dLbl>
              <c:idx val="1"/>
              <c:layout>
                <c:manualLayout>
                  <c:x val="-2.2222222222222299E-2"/>
                  <c:y val="-4.629629629629630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604E-458D-995F-B504854C0C62}"/>
                </c:ext>
              </c:extLst>
            </c:dLbl>
            <c:spPr>
              <a:noFill/>
              <a:ln>
                <a:noFill/>
              </a:ln>
              <a:effectLst/>
            </c:spPr>
            <c:txPr>
              <a:bodyPr rot="0" spcFirstLastPara="1" vertOverflow="ellipsis" vert="horz" wrap="square" lIns="38100" tIns="19050" rIns="38100" bIns="19050" anchor="ctr" anchorCtr="1">
                <a:spAutoFit/>
              </a:bodyPr>
              <a:lstStyle/>
              <a:p>
                <a:pPr rtl="0">
                  <a:defRPr sz="900" b="0" i="0" u="none" strike="noStrike" kern="1200" baseline="0">
                    <a:solidFill>
                      <a:schemeClr val="tx1">
                        <a:lumMod val="75000"/>
                        <a:lumOff val="25000"/>
                      </a:schemeClr>
                    </a:solidFill>
                    <a:latin typeface="+mj-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prstDash val="solid"/>
                      <a:round/>
                    </a:ln>
                    <a:effectLst/>
                  </c:spPr>
                </c15:leaderLines>
              </c:ext>
            </c:extLst>
          </c:dLbls>
          <c:val>
            <c:numRef>
              <c:f>(ILO!$K$1001,ILO!$R$1001)</c:f>
              <c:numCache>
                <c:formatCode>0.0</c:formatCode>
                <c:ptCount val="2"/>
                <c:pt idx="0" formatCode="General">
                  <c:v>61.3</c:v>
                </c:pt>
                <c:pt idx="1">
                  <c:v>63.798920899586513</c:v>
                </c:pt>
              </c:numCache>
            </c:numRef>
          </c:val>
          <c:smooth val="0"/>
          <c:extLst>
            <c:ext xmlns:c16="http://schemas.microsoft.com/office/drawing/2014/chart" uri="{C3380CC4-5D6E-409C-BE32-E72D297353CC}">
              <c16:uniqueId val="{00000007-604E-458D-995F-B504854C0C62}"/>
            </c:ext>
          </c:extLst>
        </c:ser>
        <c:dLbls>
          <c:showLegendKey val="0"/>
          <c:showVal val="1"/>
          <c:showCatName val="0"/>
          <c:showSerName val="0"/>
          <c:showPercent val="0"/>
          <c:showBubbleSize val="0"/>
        </c:dLbls>
        <c:marker val="1"/>
        <c:smooth val="0"/>
        <c:axId val="1839059696"/>
        <c:axId val="1839055888"/>
      </c:lineChart>
      <c:catAx>
        <c:axId val="18390596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rtl="0">
              <a:defRPr sz="900" b="0" i="0" u="none" strike="noStrike" kern="1200" baseline="0">
                <a:solidFill>
                  <a:schemeClr val="tx1">
                    <a:lumMod val="65000"/>
                    <a:lumOff val="35000"/>
                  </a:schemeClr>
                </a:solidFill>
                <a:latin typeface="+mj-lt"/>
                <a:ea typeface="+mn-ea"/>
                <a:cs typeface="+mn-cs"/>
              </a:defRPr>
            </a:pPr>
            <a:endParaRPr lang="en-US"/>
          </a:p>
        </c:txPr>
        <c:crossAx val="1839055888"/>
        <c:crosses val="autoZero"/>
        <c:auto val="1"/>
        <c:lblAlgn val="ctr"/>
        <c:lblOffset val="100"/>
        <c:noMultiLvlLbl val="0"/>
      </c:catAx>
      <c:valAx>
        <c:axId val="1839055888"/>
        <c:scaling>
          <c:orientation val="minMax"/>
          <c:max val="100"/>
          <c:min val="0"/>
        </c:scaling>
        <c:delete val="0"/>
        <c:axPos val="l"/>
        <c:majorGridlines>
          <c:spPr>
            <a:ln w="9525" cap="flat" cmpd="sng" algn="ctr">
              <a:solidFill>
                <a:schemeClr val="tx1">
                  <a:lumMod val="15000"/>
                  <a:lumOff val="85000"/>
                </a:schemeClr>
              </a:solidFill>
              <a:prstDash val="sysDot"/>
              <a:round/>
            </a:ln>
            <a:effectLst/>
          </c:spPr>
        </c:majorGridlines>
        <c:numFmt formatCode="0" sourceLinked="0"/>
        <c:majorTickMark val="none"/>
        <c:minorTickMark val="none"/>
        <c:tickLblPos val="nextTo"/>
        <c:spPr>
          <a:noFill/>
          <a:ln w="9525" cap="flat" cmpd="sng" algn="ctr">
            <a:noFill/>
            <a:prstDash val="solid"/>
            <a:round/>
          </a:ln>
          <a:effectLst/>
        </c:spPr>
        <c:txPr>
          <a:bodyPr rot="-60000000" spcFirstLastPara="1" vertOverflow="ellipsis" vert="horz" wrap="square" anchor="ctr" anchorCtr="1"/>
          <a:lstStyle/>
          <a:p>
            <a:pPr rtl="0">
              <a:defRPr sz="900" b="0" i="0" u="none" strike="noStrike" kern="1200" baseline="0">
                <a:solidFill>
                  <a:schemeClr val="tx1">
                    <a:lumMod val="65000"/>
                    <a:lumOff val="35000"/>
                  </a:schemeClr>
                </a:solidFill>
                <a:latin typeface="+mj-lt"/>
                <a:ea typeface="+mn-ea"/>
                <a:cs typeface="+mn-cs"/>
              </a:defRPr>
            </a:pPr>
            <a:endParaRPr lang="en-US"/>
          </a:p>
        </c:txPr>
        <c:crossAx val="1839059696"/>
        <c:crosses val="autoZero"/>
        <c:crossBetween val="between"/>
        <c:majorUnit val="20"/>
      </c:valAx>
      <c:spPr>
        <a:noFill/>
        <a:ln>
          <a:noFill/>
        </a:ln>
        <a:effectLst/>
      </c:spPr>
    </c:plotArea>
    <c:legend>
      <c:legendPos val="b"/>
      <c:overlay val="0"/>
      <c:spPr>
        <a:noFill/>
        <a:ln>
          <a:noFill/>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j-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a:pPr>
      <a:endParaRPr lang="en-US"/>
    </a:p>
  </c:txPr>
  <c:externalData r:id="rId4">
    <c:autoUpdate val="0"/>
  </c:externalData>
  <c:userShapes r:id="rId5"/>
</c:chartSpace>
</file>

<file path=word/charts/colors1.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drawings/drawing1.xml><?xml version="1.0" encoding="utf-8"?>
<c:userShapes xmlns:c="http://schemas.openxmlformats.org/drawingml/2006/chart">
  <cdr:relSizeAnchor xmlns:cdr="http://schemas.openxmlformats.org/drawingml/2006/chartDrawing">
    <cdr:from>
      <cdr:x>0.24556</cdr:x>
      <cdr:y>0.82996</cdr:y>
    </cdr:from>
    <cdr:to>
      <cdr:x>0.35053</cdr:x>
      <cdr:y>0.92327</cdr:y>
    </cdr:to>
    <cdr:sp macro="" textlink="">
      <cdr:nvSpPr>
        <cdr:cNvPr id="2" name="Text Box 1"/>
        <cdr:cNvSpPr txBox="1"/>
      </cdr:nvSpPr>
      <cdr:spPr>
        <a:xfrm xmlns:a="http://schemas.openxmlformats.org/drawingml/2006/main">
          <a:off x="1109133" y="1430867"/>
          <a:ext cx="474134" cy="16086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en-US" sz="800">
            <a:latin typeface="+mj-lt"/>
          </a:endParaRPr>
        </a:p>
      </cdr:txBody>
    </cdr:sp>
  </cdr:relSizeAnchor>
  <cdr:relSizeAnchor xmlns:cdr="http://schemas.openxmlformats.org/drawingml/2006/chartDrawing">
    <cdr:from>
      <cdr:x>0.43114</cdr:x>
      <cdr:y>0.82996</cdr:y>
    </cdr:from>
    <cdr:to>
      <cdr:x>0.56048</cdr:x>
      <cdr:y>0.93309</cdr:y>
    </cdr:to>
    <cdr:sp macro="" textlink="">
      <cdr:nvSpPr>
        <cdr:cNvPr id="7" name="Text Box 1"/>
        <cdr:cNvSpPr txBox="1"/>
      </cdr:nvSpPr>
      <cdr:spPr>
        <a:xfrm xmlns:a="http://schemas.openxmlformats.org/drawingml/2006/main">
          <a:off x="1947332" y="1430867"/>
          <a:ext cx="584201" cy="177800"/>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endParaRPr lang="en-US" sz="800">
            <a:latin typeface="+mj-lt"/>
          </a:endParaRPr>
        </a:p>
      </cdr:txBody>
    </cdr:sp>
  </cdr:relSizeAnchor>
  <cdr:relSizeAnchor xmlns:cdr="http://schemas.openxmlformats.org/drawingml/2006/chartDrawing">
    <cdr:from>
      <cdr:x>0.61671</cdr:x>
      <cdr:y>0.82996</cdr:y>
    </cdr:from>
    <cdr:to>
      <cdr:x>0.84915</cdr:x>
      <cdr:y>0.93309</cdr:y>
    </cdr:to>
    <cdr:sp macro="" textlink="">
      <cdr:nvSpPr>
        <cdr:cNvPr id="8" name="Text Box 1"/>
        <cdr:cNvSpPr txBox="1"/>
      </cdr:nvSpPr>
      <cdr:spPr>
        <a:xfrm xmlns:a="http://schemas.openxmlformats.org/drawingml/2006/main">
          <a:off x="2785532" y="1430866"/>
          <a:ext cx="1049867" cy="17780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endParaRPr lang="en-US" sz="800">
            <a:latin typeface="+mj-lt"/>
          </a:endParaRPr>
        </a:p>
      </cdr:txBody>
    </cdr:sp>
  </cdr:relSizeAnchor>
</c:userShape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51F45882C107D0418BA25527F491EE3F" ma:contentTypeVersion="4318" ma:contentTypeDescription="A content type to manage public (operations) IDB documents" ma:contentTypeScope="" ma:versionID="25af092122f526b3fb0e004df5df9d6e">
  <xsd:schema xmlns:xsd="http://www.w3.org/2001/XMLSchema" xmlns:xs="http://www.w3.org/2001/XMLSchema" xmlns:p="http://schemas.microsoft.com/office/2006/metadata/properties" xmlns:ns2="cdc7663a-08f0-4737-9e8c-148ce897a09c" targetNamespace="http://schemas.microsoft.com/office/2006/metadata/properties" ma:root="true" ma:fieldsID="9d6c7bf6aa4c0f55b5fc02b7f099a77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CSD/RND</Division_x0020_or_x0020_Unit>
    <_dlc_DocId xmlns="cdc7663a-08f0-4737-9e8c-148ce897a09c">EZSHARE-1227142564-64</_dlc_DocId>
    <Document_x0020_Author xmlns="cdc7663a-08f0-4737-9e8c-148ce897a09c">Valle Porrua, Yolanda</Document_x0020_Author>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HO</TermName>
          <TermId xmlns="http://schemas.microsoft.com/office/infopath/2007/PartnerControls">0dd9f989-602d-4742-8212-5c1b8b0b74d5</TermId>
        </TermInfo>
      </Terms>
    </ic46d7e087fd4a108fb86518ca413cc6>
    <b26cdb1da78c4bb4b1c1bac2f6ac5911 xmlns="cdc7663a-08f0-4737-9e8c-148ce897a09c">
      <Terms xmlns="http://schemas.microsoft.com/office/infopath/2007/PartnerControls"/>
    </b26cdb1da78c4bb4b1c1bac2f6ac5911>
    <Project_x0020_Number xmlns="cdc7663a-08f0-4737-9e8c-148ce897a09c">HO-L1200</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SISCOR_x0020_Number xmlns="cdc7663a-08f0-4737-9e8c-148ce897a09c" xsi:nil="true"/>
    <Access_x0020_to_x0020_Information_x00a0_Policy xmlns="cdc7663a-08f0-4737-9e8c-148ce897a09c">Public - Simultaneous Disclosure</Access_x0020_to_x0020_Information_x00a0_Policy>
    <Identifier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PA-FOR</TermName>
          <TermId xmlns="http://schemas.microsoft.com/office/infopath/2007/PartnerControls">cbc326e6-da2e-4ccd-aed3-11af3d212869</TermId>
        </TermInfo>
      </Terms>
    </b2ec7cfb18674cb8803df6b262e8b107>
    <Document_x0020_Language_x0020_IDB xmlns="cdc7663a-08f0-4737-9e8c-148ce897a09c">Spanish</Document_x0020_Language_x0020_IDB>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GRN</TermName>
          <TermId xmlns="http://schemas.microsoft.com/office/infopath/2007/PartnerControls">d0f1dc7f-e162-4a9c-9421-b7d8c382a710</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PA</TermName>
          <TermId xmlns="http://schemas.microsoft.com/office/infopath/2007/PartnerControls">261e2b33-090b-4ab0-8e06-3aa3e7f32d57</TermId>
        </TermInfo>
      </Terms>
    </nddeef1749674d76abdbe4b239a70bc6>
    <_dlc_DocIdUrl xmlns="cdc7663a-08f0-4737-9e8c-148ce897a09c">
      <Url>https://idbg.sharepoint.com/teams/EZ-HO-LON/HO-L1200/_layouts/15/DocIdRedir.aspx?ID=EZSHARE-1227142564-64</Url>
      <Description>EZSHARE-1227142564-64</Description>
    </_dlc_DocIdUrl>
    <Phase xmlns="cdc7663a-08f0-4737-9e8c-148ce897a09c" xsi:nil="true"/>
    <Other_x0020_Author xmlns="cdc7663a-08f0-4737-9e8c-148ce897a09c" xsi:nil="true"/>
    <IDBDocs_x0020_Number xmlns="cdc7663a-08f0-4737-9e8c-148ce897a09c" xsi:nil="true"/>
    <TaxCatchAll xmlns="cdc7663a-08f0-4737-9e8c-148ce897a09c">
      <Value>60</Value>
      <Value>326</Value>
      <Value>26</Value>
      <Value>65</Value>
      <Value>1</Value>
    </TaxCatchAll>
    <Fiscal_x0020_Year_x0020_IDB xmlns="cdc7663a-08f0-4737-9e8c-148ce897a09c">2019</Fiscal_x0020_Year_x0020_IDB>
    <Operation_x0020_Type xmlns="cdc7663a-08f0-4737-9e8c-148ce897a09c">LON</Operation_x0020_Typ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915CAFC1-C3A9-4A5D-831E-A5EC98F2BBFF}"/>
</file>

<file path=customXml/itemProps2.xml><?xml version="1.0" encoding="utf-8"?>
<ds:datastoreItem xmlns:ds="http://schemas.openxmlformats.org/officeDocument/2006/customXml" ds:itemID="{8C5E4AD9-6DF3-4178-A87C-7FF4F0E1EE96}"/>
</file>

<file path=customXml/itemProps3.xml><?xml version="1.0" encoding="utf-8"?>
<ds:datastoreItem xmlns:ds="http://schemas.openxmlformats.org/officeDocument/2006/customXml" ds:itemID="{B7571B32-C500-4BFE-99A4-EED308460265}"/>
</file>

<file path=customXml/itemProps4.xml><?xml version="1.0" encoding="utf-8"?>
<ds:datastoreItem xmlns:ds="http://schemas.openxmlformats.org/officeDocument/2006/customXml" ds:itemID="{6742D4B3-4F37-4424-B59E-2AD345FAEB60}"/>
</file>

<file path=customXml/itemProps5.xml><?xml version="1.0" encoding="utf-8"?>
<ds:datastoreItem xmlns:ds="http://schemas.openxmlformats.org/officeDocument/2006/customXml" ds:itemID="{8E0B3640-F90A-4B1F-B359-4A8A1AD9BBB4}"/>
</file>

<file path=customXml/itemProps6.xml><?xml version="1.0" encoding="utf-8"?>
<ds:datastoreItem xmlns:ds="http://schemas.openxmlformats.org/officeDocument/2006/customXml" ds:itemID="{E634C04F-1DCC-418B-8AC0-606B9B6AE190}"/>
</file>

<file path=docProps/app.xml><?xml version="1.0" encoding="utf-8"?>
<Properties xmlns="http://schemas.openxmlformats.org/officeDocument/2006/extended-properties" xmlns:vt="http://schemas.openxmlformats.org/officeDocument/2006/docPropsVTypes">
  <Template>Normal.dotm</Template>
  <TotalTime>10</TotalTime>
  <Pages>12</Pages>
  <Words>3304</Words>
  <Characters>18833</Characters>
  <Application>Microsoft Office Word</Application>
  <DocSecurity>0</DocSecurity>
  <Lines>156</Lines>
  <Paragraphs>44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HP Inc.</Company>
  <LinksUpToDate>false</LinksUpToDate>
  <CharactersWithSpaces>22093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icf</dc:creator>
  <cp:keywords/>
  <dc:description/>
  <cp:lastModifiedBy>Rios Galvez, Ana R.</cp:lastModifiedBy>
  <cp:revision>39</cp:revision>
  <dcterms:created xsi:type="dcterms:W3CDTF">2019-10-09T13:46:00Z</dcterms:created>
  <dcterms:modified xsi:type="dcterms:W3CDTF">2019-10-09T13:55:00Z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Name 2_1">
    <vt:lpwstr>American Psychological Association 6th edition - Ana Rios</vt:lpwstr>
  </property>
  <property fmtid="{D5CDD505-2E9C-101B-9397-08002B2CF9AE}" pid="3" name="TaxKeyword">
    <vt:lpwstr/>
  </property>
  <property fmtid="{D5CDD505-2E9C-101B-9397-08002B2CF9AE}" pid="4" name="Mendeley Recent Style Name 5_1">
    <vt:lpwstr>Cite Them Right 10th edition - Harvard</vt:lpwstr>
  </property>
  <property fmtid="{D5CDD505-2E9C-101B-9397-08002B2CF9AE}" pid="5" name="Mendeley Recent Style Name 8_1">
    <vt:lpwstr>Modern Language Association 8th edition</vt:lpwstr>
  </property>
  <property fmtid="{D5CDD505-2E9C-101B-9397-08002B2CF9AE}" pid="7" name="Mendeley Recent Style Id 2_1">
    <vt:lpwstr>http://csl.mendeley.com/styles/513142031/apa</vt:lpwstr>
  </property>
  <property fmtid="{D5CDD505-2E9C-101B-9397-08002B2CF9AE}" pid="8" name="Mendeley Recent Style Id 5_1">
    <vt:lpwstr>http://www.zotero.org/styles/harvard-cite-them-right</vt:lpwstr>
  </property>
  <property fmtid="{D5CDD505-2E9C-101B-9397-08002B2CF9AE}" pid="9" name="TaxKeywordTaxHTField">
    <vt:lpwstr/>
  </property>
  <property fmtid="{D5CDD505-2E9C-101B-9397-08002B2CF9AE}" pid="10" name="Mendeley Recent Style Name 0_1">
    <vt:lpwstr>American Political Science Association</vt:lpwstr>
  </property>
  <property fmtid="{D5CDD505-2E9C-101B-9397-08002B2CF9AE}" pid="11" name="Mendeley Recent Style Id 8_1">
    <vt:lpwstr>http://www.zotero.org/styles/modern-language-association</vt:lpwstr>
  </property>
  <property fmtid="{D5CDD505-2E9C-101B-9397-08002B2CF9AE}" pid="12" name="Series Operations IDB">
    <vt:lpwstr/>
  </property>
  <property fmtid="{D5CDD505-2E9C-101B-9397-08002B2CF9AE}" pid="13" name="Sub-Sector">
    <vt:lpwstr>65;#PA-FOR|cbc326e6-da2e-4ccd-aed3-11af3d212869</vt:lpwstr>
  </property>
  <property fmtid="{D5CDD505-2E9C-101B-9397-08002B2CF9AE}" pid="14" name="Country">
    <vt:lpwstr>26;#HO|0dd9f989-602d-4742-8212-5c1b8b0b74d5</vt:lpwstr>
  </property>
  <property fmtid="{D5CDD505-2E9C-101B-9397-08002B2CF9AE}" pid="15" name="_dlc_DocIdItemGuid">
    <vt:lpwstr>2ada22f9-35c9-4482-9453-ee45a613090b</vt:lpwstr>
  </property>
  <property fmtid="{D5CDD505-2E9C-101B-9397-08002B2CF9AE}" pid="16" name="Fund IDB">
    <vt:lpwstr>326;#GRN|d0f1dc7f-e162-4a9c-9421-b7d8c382a710</vt:lpwstr>
  </property>
  <property fmtid="{D5CDD505-2E9C-101B-9397-08002B2CF9AE}" pid="17" name="Mendeley Recent Style Name 3_1">
    <vt:lpwstr>American Sociological Association</vt:lpwstr>
  </property>
  <property fmtid="{D5CDD505-2E9C-101B-9397-08002B2CF9AE}" pid="18" name="Mendeley Recent Style Id 1_1">
    <vt:lpwstr>http://www.zotero.org/styles/apa</vt:lpwstr>
  </property>
  <property fmtid="{D5CDD505-2E9C-101B-9397-08002B2CF9AE}" pid="19" name="Mendeley Recent Style Name 6_1">
    <vt:lpwstr>IEEE</vt:lpwstr>
  </property>
  <property fmtid="{D5CDD505-2E9C-101B-9397-08002B2CF9AE}" pid="20" name="Mendeley Recent Style Name 9_1">
    <vt:lpwstr>Nature</vt:lpwstr>
  </property>
  <property fmtid="{D5CDD505-2E9C-101B-9397-08002B2CF9AE}" pid="21" name="Mendeley Recent Style Id 4_1">
    <vt:lpwstr>http://www.zotero.org/styles/chicago-author-date</vt:lpwstr>
  </property>
  <property fmtid="{D5CDD505-2E9C-101B-9397-08002B2CF9AE}" pid="22" name="Mendeley Recent Style Id 7_1">
    <vt:lpwstr>http://www.zotero.org/styles/modern-humanities-research-association</vt:lpwstr>
  </property>
  <property fmtid="{D5CDD505-2E9C-101B-9397-08002B2CF9AE}" pid="23" name="Disclosed">
    <vt:bool>false</vt:bool>
  </property>
  <property fmtid="{D5CDD505-2E9C-101B-9397-08002B2CF9AE}" pid="24" name="Sector IDB">
    <vt:lpwstr>60;#PA|261e2b33-090b-4ab0-8e06-3aa3e7f32d57</vt:lpwstr>
  </property>
  <property fmtid="{D5CDD505-2E9C-101B-9397-08002B2CF9AE}" pid="25" name="Mendeley Recent Style Id 0_1">
    <vt:lpwstr>http://www.zotero.org/styles/american-political-science-association</vt:lpwstr>
  </property>
  <property fmtid="{D5CDD505-2E9C-101B-9397-08002B2CF9AE}" pid="26" name="Function Operations IDB">
    <vt:lpwstr>1;#Project Preparation, Planning and Design|29ca0c72-1fc4-435f-a09c-28585cb5eac9</vt:lpwstr>
  </property>
  <property fmtid="{D5CDD505-2E9C-101B-9397-08002B2CF9AE}" pid="27" name="Mendeley Recent Style Id 3_1">
    <vt:lpwstr>http://www.zotero.org/styles/american-sociological-association</vt:lpwstr>
  </property>
  <property fmtid="{D5CDD505-2E9C-101B-9397-08002B2CF9AE}" pid="28" name="Mendeley Recent Style Id 6_1">
    <vt:lpwstr>http://www.zotero.org/styles/ieee</vt:lpwstr>
  </property>
  <property fmtid="{D5CDD505-2E9C-101B-9397-08002B2CF9AE}" pid="29" name="Mendeley Recent Style Name 1_1">
    <vt:lpwstr>American Psychological Association 6th edition</vt:lpwstr>
  </property>
  <property fmtid="{D5CDD505-2E9C-101B-9397-08002B2CF9AE}" pid="30" name="Mendeley Recent Style Id 9_1">
    <vt:lpwstr>http://www.zotero.org/styles/nature</vt:lpwstr>
  </property>
  <property fmtid="{D5CDD505-2E9C-101B-9397-08002B2CF9AE}" pid="31" name="Mendeley Recent Style Name 4_1">
    <vt:lpwstr>Chicago Manual of Style 17th edition (author-date)</vt:lpwstr>
  </property>
  <property fmtid="{D5CDD505-2E9C-101B-9397-08002B2CF9AE}" pid="32" name="Mendeley Recent Style Name 7_1">
    <vt:lpwstr>Modern Humanities Research Association 3rd edition (note with bibliography)</vt:lpwstr>
  </property>
  <property fmtid="{D5CDD505-2E9C-101B-9397-08002B2CF9AE}" pid="33" name="ContentTypeId">
    <vt:lpwstr>0x0101001A458A224826124E8B45B1D613300CFC0051F45882C107D0418BA25527F491EE3F</vt:lpwstr>
  </property>
</Properties>
</file>