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35B" w:rsidRDefault="00E97A8F">
      <w:pPr>
        <w:spacing w:before="200" w:after="200"/>
        <w:jc w:val="center"/>
      </w:pPr>
      <w:r>
        <w:rPr>
          <w:rFonts w:ascii="Arial" w:hAnsi="Arial" w:cs="Arial"/>
          <w:b/>
        </w:rPr>
        <w:t>TC ABSTRACT</w:t>
      </w:r>
    </w:p>
    <w:p w:rsidR="00E6335B" w:rsidRDefault="00E97A8F">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3"/>
        <w:gridCol w:w="4967"/>
      </w:tblGrid>
      <w:tr w:rsidR="00E6335B">
        <w:trPr>
          <w:jc w:val="center"/>
        </w:trPr>
        <w:tc>
          <w:tcPr>
            <w:tcW w:w="5250" w:type="dxa"/>
          </w:tcPr>
          <w:p w:rsidR="00E6335B" w:rsidRDefault="00E97A8F">
            <w:pPr>
              <w:spacing w:before="40" w:after="40"/>
              <w:ind w:left="115" w:hanging="115"/>
            </w:pPr>
            <w:r>
              <w:rPr>
                <w:rFonts w:ascii="Arial" w:hAnsi="Arial" w:cs="Arial"/>
                <w:sz w:val="18"/>
                <w:szCs w:val="18"/>
              </w:rPr>
              <w:t>▪ Country/Region:</w:t>
            </w:r>
          </w:p>
        </w:tc>
        <w:tc>
          <w:tcPr>
            <w:tcW w:w="6750" w:type="dxa"/>
          </w:tcPr>
          <w:p w:rsidR="00E6335B" w:rsidRDefault="00E97A8F">
            <w:pPr>
              <w:spacing w:before="40" w:after="40"/>
            </w:pPr>
            <w:r>
              <w:rPr>
                <w:rFonts w:ascii="Arial" w:hAnsi="Arial" w:cs="Arial"/>
                <w:sz w:val="18"/>
                <w:szCs w:val="18"/>
              </w:rPr>
              <w:t>BAHAMAS/CCB - Caribbean Group</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TC Name:</w:t>
            </w:r>
          </w:p>
        </w:tc>
        <w:tc>
          <w:tcPr>
            <w:tcW w:w="6750" w:type="dxa"/>
          </w:tcPr>
          <w:p w:rsidR="00E6335B" w:rsidRDefault="00E97A8F">
            <w:pPr>
              <w:spacing w:before="40" w:after="40"/>
            </w:pPr>
            <w:r>
              <w:rPr>
                <w:rFonts w:ascii="Arial" w:hAnsi="Arial" w:cs="Arial"/>
                <w:sz w:val="18"/>
                <w:szCs w:val="18"/>
              </w:rPr>
              <w:t>Support for the Implementation of Impact Evaluation of Apprenticeship Program and Blockchain Pilot in Bahamas</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TC Number:</w:t>
            </w:r>
          </w:p>
        </w:tc>
        <w:tc>
          <w:tcPr>
            <w:tcW w:w="6750" w:type="dxa"/>
          </w:tcPr>
          <w:p w:rsidR="00E6335B" w:rsidRDefault="00E97A8F">
            <w:pPr>
              <w:spacing w:before="40" w:after="40"/>
            </w:pPr>
            <w:r>
              <w:rPr>
                <w:rFonts w:ascii="Arial" w:hAnsi="Arial" w:cs="Arial"/>
                <w:sz w:val="18"/>
                <w:szCs w:val="18"/>
              </w:rPr>
              <w:t>BH-T1063</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Team Leader/Members:</w:t>
            </w:r>
          </w:p>
        </w:tc>
        <w:tc>
          <w:tcPr>
            <w:tcW w:w="6750" w:type="dxa"/>
          </w:tcPr>
          <w:p w:rsidR="00E6335B" w:rsidRDefault="008E69AD">
            <w:pPr>
              <w:spacing w:before="40" w:after="40"/>
            </w:pPr>
            <w:r>
              <w:rPr>
                <w:rFonts w:ascii="Arial" w:hAnsi="Arial" w:cs="Arial"/>
                <w:sz w:val="18"/>
                <w:szCs w:val="18"/>
              </w:rPr>
              <w:t xml:space="preserve">Pavon, Fernando Yitzack </w:t>
            </w:r>
            <w:r w:rsidR="00E97A8F">
              <w:rPr>
                <w:rFonts w:ascii="Arial" w:hAnsi="Arial" w:cs="Arial"/>
                <w:sz w:val="18"/>
                <w:szCs w:val="18"/>
              </w:rPr>
              <w:t xml:space="preserve">(SCL/LMK) Team Leader; </w:t>
            </w:r>
            <w:r>
              <w:rPr>
                <w:rFonts w:ascii="Arial" w:hAnsi="Arial" w:cs="Arial"/>
                <w:sz w:val="18"/>
                <w:szCs w:val="18"/>
              </w:rPr>
              <w:t xml:space="preserve">Muhlstein, Ethel Rosa </w:t>
            </w:r>
            <w:r w:rsidR="00E97A8F">
              <w:rPr>
                <w:rFonts w:ascii="Arial" w:hAnsi="Arial" w:cs="Arial"/>
                <w:sz w:val="18"/>
                <w:szCs w:val="18"/>
              </w:rPr>
              <w:t xml:space="preserve">(SCL/LMK); </w:t>
            </w:r>
            <w:r>
              <w:rPr>
                <w:rFonts w:ascii="Arial" w:hAnsi="Arial" w:cs="Arial"/>
                <w:sz w:val="18"/>
                <w:szCs w:val="18"/>
              </w:rPr>
              <w:t xml:space="preserve">Gaona, Tania Lucia </w:t>
            </w:r>
            <w:r w:rsidR="00E97A8F">
              <w:rPr>
                <w:rFonts w:ascii="Arial" w:hAnsi="Arial" w:cs="Arial"/>
                <w:sz w:val="18"/>
                <w:szCs w:val="18"/>
              </w:rPr>
              <w:t xml:space="preserve">(SCL/LMK); </w:t>
            </w:r>
            <w:r w:rsidR="00F5154B">
              <w:rPr>
                <w:rFonts w:ascii="Arial" w:hAnsi="Arial" w:cs="Arial"/>
                <w:sz w:val="18"/>
                <w:szCs w:val="18"/>
              </w:rPr>
              <w:t>Natalie Bethel</w:t>
            </w:r>
            <w:r w:rsidR="00E97A8F">
              <w:rPr>
                <w:rFonts w:ascii="Arial" w:hAnsi="Arial" w:cs="Arial"/>
                <w:sz w:val="18"/>
                <w:szCs w:val="18"/>
              </w:rPr>
              <w:t xml:space="preserve"> (CCB/CBH); </w:t>
            </w:r>
            <w:r>
              <w:rPr>
                <w:rFonts w:ascii="Arial" w:hAnsi="Arial" w:cs="Arial"/>
                <w:sz w:val="18"/>
                <w:szCs w:val="18"/>
              </w:rPr>
              <w:t xml:space="preserve">Marray, V. Amanda </w:t>
            </w:r>
            <w:r w:rsidR="00E97A8F">
              <w:rPr>
                <w:rFonts w:ascii="Arial" w:hAnsi="Arial" w:cs="Arial"/>
                <w:sz w:val="18"/>
                <w:szCs w:val="18"/>
              </w:rPr>
              <w:t xml:space="preserve">(CCB/CBH); </w:t>
            </w:r>
            <w:r>
              <w:rPr>
                <w:rFonts w:ascii="Arial" w:hAnsi="Arial" w:cs="Arial"/>
                <w:sz w:val="18"/>
                <w:szCs w:val="18"/>
              </w:rPr>
              <w:t xml:space="preserve">and Hennig, Betina Tirelli </w:t>
            </w:r>
            <w:r w:rsidR="00E97A8F">
              <w:rPr>
                <w:rFonts w:ascii="Arial" w:hAnsi="Arial" w:cs="Arial"/>
                <w:sz w:val="18"/>
                <w:szCs w:val="18"/>
              </w:rPr>
              <w:t>(LEG/</w:t>
            </w:r>
            <w:r>
              <w:rPr>
                <w:rFonts w:ascii="Arial" w:hAnsi="Arial" w:cs="Arial"/>
                <w:sz w:val="18"/>
                <w:szCs w:val="18"/>
              </w:rPr>
              <w:t>SGO).</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Taxonomy:</w:t>
            </w:r>
          </w:p>
        </w:tc>
        <w:tc>
          <w:tcPr>
            <w:tcW w:w="6750" w:type="dxa"/>
          </w:tcPr>
          <w:p w:rsidR="00E6335B" w:rsidRDefault="00E97A8F">
            <w:pPr>
              <w:spacing w:before="40" w:after="40"/>
            </w:pPr>
            <w:r>
              <w:rPr>
                <w:rFonts w:ascii="Arial" w:hAnsi="Arial" w:cs="Arial"/>
                <w:sz w:val="18"/>
                <w:szCs w:val="18"/>
              </w:rPr>
              <w:t>Operational Support</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Number and name of operation supported by the TC:</w:t>
            </w:r>
          </w:p>
        </w:tc>
        <w:tc>
          <w:tcPr>
            <w:tcW w:w="6750" w:type="dxa"/>
          </w:tcPr>
          <w:p w:rsidR="00E6335B" w:rsidRDefault="00E97A8F">
            <w:pPr>
              <w:spacing w:before="40" w:after="40"/>
            </w:pPr>
            <w:r>
              <w:rPr>
                <w:rFonts w:ascii="Arial" w:hAnsi="Arial" w:cs="Arial"/>
                <w:sz w:val="18"/>
                <w:szCs w:val="18"/>
              </w:rPr>
              <w:t>Skills for Current and Future Jobs in the Bahamas-BH-L1037 - Execution</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Date of TC Abstract:</w:t>
            </w:r>
          </w:p>
        </w:tc>
        <w:tc>
          <w:tcPr>
            <w:tcW w:w="6750" w:type="dxa"/>
          </w:tcPr>
          <w:p w:rsidR="00E6335B" w:rsidRDefault="00E97A8F">
            <w:pPr>
              <w:spacing w:before="40" w:after="40"/>
            </w:pPr>
            <w:r>
              <w:rPr>
                <w:rFonts w:ascii="Arial" w:hAnsi="Arial" w:cs="Arial"/>
                <w:sz w:val="18"/>
                <w:szCs w:val="18"/>
              </w:rPr>
              <w:t>11 Jan</w:t>
            </w:r>
            <w:r w:rsidR="008E69AD">
              <w:rPr>
                <w:rFonts w:ascii="Arial" w:hAnsi="Arial" w:cs="Arial"/>
                <w:sz w:val="18"/>
                <w:szCs w:val="18"/>
              </w:rPr>
              <w:t>uary</w:t>
            </w:r>
            <w:r>
              <w:rPr>
                <w:rFonts w:ascii="Arial" w:hAnsi="Arial" w:cs="Arial"/>
                <w:sz w:val="18"/>
                <w:szCs w:val="18"/>
              </w:rPr>
              <w:t xml:space="preserve"> 2018</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Beneficiary:</w:t>
            </w:r>
          </w:p>
        </w:tc>
        <w:tc>
          <w:tcPr>
            <w:tcW w:w="6750" w:type="dxa"/>
          </w:tcPr>
          <w:p w:rsidR="00E6335B" w:rsidRDefault="00E97A8F">
            <w:pPr>
              <w:spacing w:before="40" w:after="40"/>
            </w:pPr>
            <w:r>
              <w:rPr>
                <w:rFonts w:ascii="Arial" w:hAnsi="Arial" w:cs="Arial"/>
                <w:sz w:val="18"/>
                <w:szCs w:val="18"/>
              </w:rPr>
              <w:t xml:space="preserve">Government of The Bahamas (GOBH) </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Executing Agency:</w:t>
            </w:r>
          </w:p>
        </w:tc>
        <w:tc>
          <w:tcPr>
            <w:tcW w:w="6750" w:type="dxa"/>
          </w:tcPr>
          <w:p w:rsidR="00E6335B" w:rsidRDefault="008E69AD">
            <w:pPr>
              <w:spacing w:before="40" w:after="40"/>
            </w:pPr>
            <w:r>
              <w:rPr>
                <w:rFonts w:ascii="Arial" w:hAnsi="Arial" w:cs="Arial"/>
                <w:sz w:val="18"/>
                <w:szCs w:val="18"/>
              </w:rPr>
              <w:t>Inter-American Development Bank</w:t>
            </w:r>
            <w:r w:rsidR="0037111D">
              <w:rPr>
                <w:rFonts w:ascii="Arial" w:hAnsi="Arial" w:cs="Arial"/>
                <w:sz w:val="18"/>
                <w:szCs w:val="18"/>
              </w:rPr>
              <w:t xml:space="preserve"> (IDB)</w:t>
            </w:r>
            <w:r>
              <w:rPr>
                <w:rFonts w:ascii="Arial" w:hAnsi="Arial" w:cs="Arial"/>
                <w:sz w:val="18"/>
                <w:szCs w:val="18"/>
              </w:rPr>
              <w:t>, Social Sector, Labor Markets Division (SCL/LMK)</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IDB funding requested:</w:t>
            </w:r>
          </w:p>
        </w:tc>
        <w:tc>
          <w:tcPr>
            <w:tcW w:w="6750" w:type="dxa"/>
          </w:tcPr>
          <w:p w:rsidR="00E6335B" w:rsidRDefault="008E69AD" w:rsidP="008E69AD">
            <w:pPr>
              <w:bidi/>
              <w:spacing w:before="40" w:after="40"/>
            </w:pPr>
            <w:r>
              <w:rPr>
                <w:rFonts w:ascii="Arial" w:hAnsi="Arial" w:cs="Arial"/>
                <w:sz w:val="18"/>
                <w:szCs w:val="18"/>
              </w:rPr>
              <w:t>US</w:t>
            </w:r>
            <w:r w:rsidR="00E97A8F">
              <w:rPr>
                <w:rFonts w:ascii="Arial" w:hAnsi="Arial" w:cs="Arial"/>
                <w:sz w:val="18"/>
                <w:szCs w:val="18"/>
              </w:rPr>
              <w:t>$ 200,000.00</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Local counterpart funding:</w:t>
            </w:r>
          </w:p>
        </w:tc>
        <w:tc>
          <w:tcPr>
            <w:tcW w:w="6750" w:type="dxa"/>
          </w:tcPr>
          <w:p w:rsidR="00E6335B" w:rsidRDefault="008E69AD" w:rsidP="008E69AD">
            <w:pPr>
              <w:bidi/>
              <w:spacing w:before="40" w:after="40"/>
            </w:pPr>
            <w:r>
              <w:rPr>
                <w:rFonts w:ascii="Arial" w:hAnsi="Arial" w:cs="Arial"/>
                <w:sz w:val="18"/>
                <w:szCs w:val="18"/>
              </w:rPr>
              <w:t>US</w:t>
            </w:r>
            <w:r w:rsidR="00E97A8F">
              <w:rPr>
                <w:rFonts w:ascii="Arial" w:hAnsi="Arial" w:cs="Arial"/>
                <w:sz w:val="18"/>
                <w:szCs w:val="18"/>
              </w:rPr>
              <w:t>$ 0.00</w:t>
            </w:r>
            <w:bookmarkStart w:id="0" w:name="_GoBack"/>
            <w:bookmarkEnd w:id="0"/>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xml:space="preserve">▪ Disbursement </w:t>
            </w:r>
            <w:r w:rsidR="008E69AD">
              <w:rPr>
                <w:rFonts w:ascii="Arial" w:hAnsi="Arial" w:cs="Arial"/>
                <w:sz w:val="18"/>
                <w:szCs w:val="18"/>
              </w:rPr>
              <w:t xml:space="preserve">and execution </w:t>
            </w:r>
            <w:r>
              <w:rPr>
                <w:rFonts w:ascii="Arial" w:hAnsi="Arial" w:cs="Arial"/>
                <w:sz w:val="18"/>
                <w:szCs w:val="18"/>
              </w:rPr>
              <w:t>period:</w:t>
            </w:r>
          </w:p>
        </w:tc>
        <w:tc>
          <w:tcPr>
            <w:tcW w:w="6750" w:type="dxa"/>
          </w:tcPr>
          <w:p w:rsidR="00E6335B" w:rsidRDefault="00E97A8F" w:rsidP="008E69AD">
            <w:pPr>
              <w:bidi/>
              <w:spacing w:before="40" w:after="40"/>
            </w:pPr>
            <w:r>
              <w:rPr>
                <w:rFonts w:ascii="Arial" w:hAnsi="Arial" w:cs="Arial"/>
                <w:sz w:val="18"/>
                <w:szCs w:val="18"/>
              </w:rPr>
              <w:t>48 months</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Types of consultants:</w:t>
            </w:r>
          </w:p>
        </w:tc>
        <w:tc>
          <w:tcPr>
            <w:tcW w:w="6750" w:type="dxa"/>
          </w:tcPr>
          <w:p w:rsidR="00E6335B" w:rsidRDefault="00E97A8F">
            <w:pPr>
              <w:spacing w:before="40" w:after="40"/>
            </w:pPr>
            <w:r>
              <w:rPr>
                <w:rFonts w:ascii="Arial" w:hAnsi="Arial" w:cs="Arial"/>
                <w:sz w:val="18"/>
                <w:szCs w:val="18"/>
              </w:rPr>
              <w:t>Individuals</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Prepared by Unit:</w:t>
            </w:r>
          </w:p>
        </w:tc>
        <w:tc>
          <w:tcPr>
            <w:tcW w:w="6750" w:type="dxa"/>
          </w:tcPr>
          <w:p w:rsidR="00E6335B" w:rsidRDefault="00E97A8F">
            <w:pPr>
              <w:spacing w:before="40" w:after="40"/>
            </w:pPr>
            <w:r>
              <w:rPr>
                <w:rFonts w:ascii="Arial" w:hAnsi="Arial" w:cs="Arial"/>
                <w:sz w:val="18"/>
                <w:szCs w:val="18"/>
              </w:rPr>
              <w:t>Labor Markets</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Unit of Disbursement Responsibility:</w:t>
            </w:r>
          </w:p>
        </w:tc>
        <w:tc>
          <w:tcPr>
            <w:tcW w:w="6750" w:type="dxa"/>
          </w:tcPr>
          <w:p w:rsidR="00E6335B" w:rsidRDefault="00E97A8F">
            <w:pPr>
              <w:spacing w:before="40" w:after="40"/>
            </w:pPr>
            <w:r>
              <w:rPr>
                <w:rFonts w:ascii="Arial" w:hAnsi="Arial" w:cs="Arial"/>
                <w:sz w:val="18"/>
                <w:szCs w:val="18"/>
              </w:rPr>
              <w:t>Social Sector</w:t>
            </w:r>
            <w:r w:rsidR="008E69AD">
              <w:rPr>
                <w:rFonts w:ascii="Arial" w:hAnsi="Arial" w:cs="Arial"/>
                <w:sz w:val="18"/>
                <w:szCs w:val="18"/>
              </w:rPr>
              <w:t>, Labor Markets Division (SCL/LMK)</w:t>
            </w:r>
          </w:p>
        </w:tc>
      </w:tr>
      <w:tr w:rsidR="00E6335B">
        <w:trPr>
          <w:jc w:val="center"/>
        </w:trPr>
        <w:tc>
          <w:tcPr>
            <w:tcW w:w="5250" w:type="dxa"/>
          </w:tcPr>
          <w:p w:rsidR="00E6335B" w:rsidRDefault="00E97A8F">
            <w:pPr>
              <w:spacing w:before="40" w:after="40"/>
            </w:pPr>
            <w:r>
              <w:rPr>
                <w:rFonts w:ascii="Arial" w:hAnsi="Arial" w:cs="Arial"/>
                <w:sz w:val="18"/>
                <w:szCs w:val="18"/>
              </w:rPr>
              <w:t>▪ TC included in Country Strategy (y/n):</w:t>
            </w:r>
            <w:r>
              <w:rPr>
                <w:rFonts w:ascii="Arial" w:hAnsi="Arial" w:cs="Arial"/>
                <w:sz w:val="18"/>
                <w:szCs w:val="18"/>
              </w:rPr>
              <w:br/>
              <w:t>▪ TC included in CPD (y/n):</w:t>
            </w:r>
          </w:p>
        </w:tc>
        <w:tc>
          <w:tcPr>
            <w:tcW w:w="6750" w:type="dxa"/>
          </w:tcPr>
          <w:p w:rsidR="00E6335B" w:rsidRDefault="00E97A8F">
            <w:pPr>
              <w:spacing w:before="40" w:after="40"/>
            </w:pPr>
            <w:r>
              <w:rPr>
                <w:rFonts w:ascii="Arial" w:hAnsi="Arial" w:cs="Arial"/>
                <w:sz w:val="18"/>
                <w:szCs w:val="18"/>
              </w:rPr>
              <w:t>Yes</w:t>
            </w:r>
            <w:r>
              <w:rPr>
                <w:rFonts w:ascii="Arial" w:hAnsi="Arial" w:cs="Arial"/>
                <w:sz w:val="18"/>
                <w:szCs w:val="18"/>
              </w:rPr>
              <w:br/>
              <w:t>Yes</w:t>
            </w:r>
          </w:p>
        </w:tc>
      </w:tr>
      <w:tr w:rsidR="00E6335B">
        <w:trPr>
          <w:jc w:val="center"/>
        </w:trPr>
        <w:tc>
          <w:tcPr>
            <w:tcW w:w="5250" w:type="dxa"/>
          </w:tcPr>
          <w:p w:rsidR="00E6335B" w:rsidRDefault="00E97A8F">
            <w:pPr>
              <w:spacing w:before="40" w:after="40"/>
              <w:ind w:left="115" w:hanging="115"/>
            </w:pPr>
            <w:r>
              <w:rPr>
                <w:rFonts w:ascii="Arial" w:hAnsi="Arial" w:cs="Arial"/>
                <w:sz w:val="18"/>
                <w:szCs w:val="18"/>
              </w:rPr>
              <w:t>▪ Alignment to the Update to the Institutional Strategy 2010-2020:</w:t>
            </w:r>
          </w:p>
        </w:tc>
        <w:tc>
          <w:tcPr>
            <w:tcW w:w="6750" w:type="dxa"/>
          </w:tcPr>
          <w:p w:rsidR="00E6335B" w:rsidRDefault="00E97A8F">
            <w:pPr>
              <w:spacing w:before="40" w:after="40"/>
            </w:pPr>
            <w:r>
              <w:rPr>
                <w:rFonts w:ascii="Arial" w:hAnsi="Arial" w:cs="Arial"/>
                <w:sz w:val="18"/>
                <w:szCs w:val="18"/>
              </w:rPr>
              <w:t>Social inclusion and equality; Productivity and innovation</w:t>
            </w:r>
          </w:p>
        </w:tc>
      </w:tr>
    </w:tbl>
    <w:p w:rsidR="00E6335B" w:rsidRDefault="00E97A8F">
      <w:pPr>
        <w:spacing w:before="120" w:after="120"/>
        <w:ind w:left="579" w:hanging="579"/>
      </w:pPr>
      <w:r>
        <w:rPr>
          <w:rFonts w:ascii="Arial" w:hAnsi="Arial" w:cs="Arial"/>
          <w:b/>
        </w:rPr>
        <w:t>II.</w:t>
      </w:r>
      <w:r>
        <w:rPr>
          <w:rFonts w:ascii="Arial" w:hAnsi="Arial" w:cs="Arial"/>
          <w:b/>
        </w:rPr>
        <w:tab/>
        <w:t>Objective and Justification</w:t>
      </w:r>
    </w:p>
    <w:p w:rsidR="00E6335B" w:rsidRDefault="00E97A8F">
      <w:pPr>
        <w:spacing w:before="120" w:after="120"/>
        <w:ind w:left="579" w:hanging="579"/>
        <w:jc w:val="both"/>
      </w:pPr>
      <w:r>
        <w:rPr>
          <w:rFonts w:ascii="Arial" w:hAnsi="Arial" w:cs="Arial"/>
        </w:rPr>
        <w:t>2.1</w:t>
      </w:r>
      <w:r>
        <w:rPr>
          <w:rFonts w:ascii="Arial" w:hAnsi="Arial" w:cs="Arial"/>
        </w:rPr>
        <w:tab/>
        <w:t xml:space="preserve">The main objective of this </w:t>
      </w:r>
      <w:r w:rsidR="0037111D">
        <w:rPr>
          <w:rFonts w:ascii="Arial" w:hAnsi="Arial" w:cs="Arial"/>
        </w:rPr>
        <w:t>technical cooperation (</w:t>
      </w:r>
      <w:r>
        <w:rPr>
          <w:rFonts w:ascii="Arial" w:hAnsi="Arial" w:cs="Arial"/>
        </w:rPr>
        <w:t>TC</w:t>
      </w:r>
      <w:r w:rsidR="0037111D">
        <w:rPr>
          <w:rFonts w:ascii="Arial" w:hAnsi="Arial" w:cs="Arial"/>
        </w:rPr>
        <w:t>)</w:t>
      </w:r>
      <w:r>
        <w:rPr>
          <w:rFonts w:ascii="Arial" w:hAnsi="Arial" w:cs="Arial"/>
        </w:rPr>
        <w:t xml:space="preserve"> is to support the Implementation of the Impact Evaluation of the Apprenticeship Program and a Blockchain Pilot for the issuance of industry-recognized e-Certificates for apprenticeship program in The</w:t>
      </w:r>
      <w:r w:rsidR="0037111D">
        <w:rPr>
          <w:rFonts w:ascii="Arial" w:hAnsi="Arial" w:cs="Arial"/>
        </w:rPr>
        <w:t> </w:t>
      </w:r>
      <w:r>
        <w:rPr>
          <w:rFonts w:ascii="Arial" w:hAnsi="Arial" w:cs="Arial"/>
        </w:rPr>
        <w:t xml:space="preserve">Bahamas. </w:t>
      </w:r>
      <w:r w:rsidR="0037111D">
        <w:rPr>
          <w:rFonts w:ascii="Arial" w:hAnsi="Arial" w:cs="Arial"/>
        </w:rPr>
        <w:t>This TC s</w:t>
      </w:r>
      <w:r>
        <w:rPr>
          <w:rFonts w:ascii="Arial" w:hAnsi="Arial" w:cs="Arial"/>
        </w:rPr>
        <w:t xml:space="preserve">upports </w:t>
      </w:r>
      <w:r w:rsidR="0037111D">
        <w:rPr>
          <w:rFonts w:ascii="Arial" w:hAnsi="Arial" w:cs="Arial"/>
        </w:rPr>
        <w:t xml:space="preserve">the </w:t>
      </w:r>
      <w:r>
        <w:rPr>
          <w:rFonts w:ascii="Arial" w:hAnsi="Arial" w:cs="Arial"/>
        </w:rPr>
        <w:t xml:space="preserve">execution of </w:t>
      </w:r>
      <w:r w:rsidR="0037111D">
        <w:rPr>
          <w:rFonts w:ascii="Arial" w:hAnsi="Arial" w:cs="Arial"/>
        </w:rPr>
        <w:t xml:space="preserve">program </w:t>
      </w:r>
      <w:r>
        <w:rPr>
          <w:rFonts w:ascii="Arial" w:hAnsi="Arial" w:cs="Arial"/>
        </w:rPr>
        <w:t>BH-L1037.</w:t>
      </w:r>
    </w:p>
    <w:p w:rsidR="00E6335B" w:rsidRDefault="00E97A8F">
      <w:pPr>
        <w:spacing w:before="120" w:after="120"/>
        <w:ind w:left="579" w:hanging="579"/>
        <w:jc w:val="both"/>
      </w:pPr>
      <w:r>
        <w:rPr>
          <w:rFonts w:ascii="Arial" w:hAnsi="Arial" w:cs="Arial"/>
        </w:rPr>
        <w:t>2.2</w:t>
      </w:r>
      <w:r>
        <w:rPr>
          <w:rFonts w:ascii="Arial" w:hAnsi="Arial" w:cs="Arial"/>
        </w:rPr>
        <w:tab/>
        <w:t>Productivity growth in Latin America and the Caribbean (LAC) has been stagnant for the last years. Stronger productivity promoted by education, innovation, a better skilled workforce and formal employment, is expected to lead to a more inclusive growth and to reductions in inequality and poverty. However, the existing skills gap, which mainly affects youth, puts limits to productivity.</w:t>
      </w:r>
    </w:p>
    <w:p w:rsidR="00E6335B" w:rsidRDefault="00E97A8F">
      <w:pPr>
        <w:spacing w:before="120" w:after="120"/>
        <w:ind w:left="579" w:hanging="579"/>
        <w:jc w:val="both"/>
      </w:pPr>
      <w:r>
        <w:rPr>
          <w:rFonts w:ascii="Arial" w:hAnsi="Arial" w:cs="Arial"/>
        </w:rPr>
        <w:t>2.3</w:t>
      </w:r>
      <w:r>
        <w:rPr>
          <w:rFonts w:ascii="Arial" w:hAnsi="Arial" w:cs="Arial"/>
        </w:rPr>
        <w:tab/>
        <w:t xml:space="preserve">Apprenticeships programs (APs) can be an effective tool to promote higher youth employment and build links between the productive sector and the workforce. Australia, Canada, Korea, the UK, and the US have implemented APs; and even when rigorous evaluations are scarce, available results show that APs have positive effects on employment, earnings, socio-emotional skills, innovation, and reduce unemployment duration. </w:t>
      </w:r>
    </w:p>
    <w:p w:rsidR="00E6335B" w:rsidRDefault="00E97A8F">
      <w:pPr>
        <w:spacing w:before="120" w:after="120"/>
        <w:ind w:left="579" w:hanging="579"/>
        <w:jc w:val="both"/>
      </w:pPr>
      <w:r>
        <w:rPr>
          <w:rFonts w:ascii="Arial" w:hAnsi="Arial" w:cs="Arial"/>
        </w:rPr>
        <w:t>2.4</w:t>
      </w:r>
      <w:r>
        <w:rPr>
          <w:rFonts w:ascii="Arial" w:hAnsi="Arial" w:cs="Arial"/>
        </w:rPr>
        <w:tab/>
        <w:t xml:space="preserve">However, more knowledge about apprenticeships’ impact is needed. The only available impact evaluation in LAC is for the Brazilian Apprentice Act, which shows benefits for finding a non-temporary formal job and earning higher wages. However, the limited experimental evidence and the lack of specific information for other regions can act as an investment barrier highlighting the importance of further rigorous analysis about AP’s impact in the labor markets. </w:t>
      </w:r>
    </w:p>
    <w:p w:rsidR="00E6335B" w:rsidRDefault="00E97A8F">
      <w:pPr>
        <w:spacing w:before="120" w:after="120"/>
        <w:ind w:left="579" w:hanging="579"/>
        <w:jc w:val="both"/>
      </w:pPr>
      <w:r>
        <w:rPr>
          <w:rFonts w:ascii="Arial" w:hAnsi="Arial" w:cs="Arial"/>
        </w:rPr>
        <w:lastRenderedPageBreak/>
        <w:t>2.5</w:t>
      </w:r>
      <w:r>
        <w:rPr>
          <w:rFonts w:ascii="Arial" w:hAnsi="Arial" w:cs="Arial"/>
        </w:rPr>
        <w:tab/>
        <w:t xml:space="preserve">The main objective of this TC is to support the </w:t>
      </w:r>
      <w:r w:rsidR="00F5154B">
        <w:rPr>
          <w:rFonts w:ascii="Arial" w:hAnsi="Arial" w:cs="Arial"/>
        </w:rPr>
        <w:t xml:space="preserve">design </w:t>
      </w:r>
      <w:r>
        <w:rPr>
          <w:rFonts w:ascii="Arial" w:hAnsi="Arial" w:cs="Arial"/>
        </w:rPr>
        <w:t xml:space="preserve">of the Impact Evaluation of the Apprenticeship Program and a </w:t>
      </w:r>
      <w:r w:rsidR="00F5154B">
        <w:rPr>
          <w:rFonts w:ascii="Arial" w:hAnsi="Arial" w:cs="Arial"/>
        </w:rPr>
        <w:t>design for a b</w:t>
      </w:r>
      <w:r>
        <w:rPr>
          <w:rFonts w:ascii="Arial" w:hAnsi="Arial" w:cs="Arial"/>
        </w:rPr>
        <w:t xml:space="preserve">lockchain Pilot for the issuance of industry-recognized e-Certificates for apprenticeship program in The Bahamas. This TC will focus on designing an Impact Evaluation methodology based on successful and rigorous practical and methodological experiences that can be generally applicable to The Bahamas and </w:t>
      </w:r>
      <w:r w:rsidRPr="0037111D">
        <w:rPr>
          <w:rFonts w:ascii="Arial" w:hAnsi="Arial" w:cs="Arial"/>
        </w:rPr>
        <w:t>LAC</w:t>
      </w:r>
      <w:r>
        <w:rPr>
          <w:rFonts w:ascii="Arial" w:hAnsi="Arial" w:cs="Arial"/>
        </w:rPr>
        <w:t>. This TC will also complement the implementation of an experimental evaluation of the apprenticeship program financed by the BH-L1037</w:t>
      </w:r>
      <w:r w:rsidR="008E69AD">
        <w:rPr>
          <w:rFonts w:ascii="Arial" w:hAnsi="Arial" w:cs="Arial"/>
        </w:rPr>
        <w:t xml:space="preserve"> program</w:t>
      </w:r>
      <w:r>
        <w:rPr>
          <w:rFonts w:ascii="Arial" w:hAnsi="Arial" w:cs="Arial"/>
        </w:rPr>
        <w:t xml:space="preserve"> while promoting the adoption of innovative technological tools that support APs implementation in the Bahamas.</w:t>
      </w:r>
    </w:p>
    <w:p w:rsidR="00E6335B" w:rsidRDefault="00E97A8F">
      <w:pPr>
        <w:spacing w:before="120" w:after="120"/>
        <w:ind w:left="579" w:hanging="579"/>
      </w:pPr>
      <w:r>
        <w:rPr>
          <w:rFonts w:ascii="Arial" w:hAnsi="Arial" w:cs="Arial"/>
          <w:b/>
        </w:rPr>
        <w:t>III.</w:t>
      </w:r>
      <w:r>
        <w:rPr>
          <w:rFonts w:ascii="Arial" w:hAnsi="Arial" w:cs="Arial"/>
          <w:b/>
        </w:rPr>
        <w:tab/>
        <w:t>Description of Activities and Outputs</w:t>
      </w:r>
    </w:p>
    <w:p w:rsidR="00E6335B" w:rsidRDefault="00E97A8F">
      <w:pPr>
        <w:spacing w:before="120" w:after="120"/>
        <w:ind w:left="579" w:hanging="579"/>
        <w:jc w:val="both"/>
      </w:pPr>
      <w:r>
        <w:rPr>
          <w:rFonts w:ascii="Arial" w:hAnsi="Arial" w:cs="Arial"/>
        </w:rPr>
        <w:t>3.1</w:t>
      </w:r>
      <w:r>
        <w:rPr>
          <w:rFonts w:ascii="Arial" w:hAnsi="Arial" w:cs="Arial"/>
        </w:rPr>
        <w:tab/>
      </w:r>
      <w:r w:rsidRPr="00F5154B">
        <w:rPr>
          <w:rFonts w:ascii="Arial" w:hAnsi="Arial" w:cs="Arial"/>
          <w:b/>
        </w:rPr>
        <w:t>Component 1: Capacity Building for Better Apprenticeship Programs in LAC</w:t>
      </w:r>
      <w:r>
        <w:rPr>
          <w:rFonts w:ascii="Arial" w:hAnsi="Arial" w:cs="Arial"/>
        </w:rPr>
        <w:t>. This component’s objective is to design an evaluation toolkit that can be generally applied to AP in The Bahamas. Activities will include: (i) learning lessons, through a workshop, from the APs implementation and evaluation in LAC and elsewhere; (ii) development of a general evaluation design; (iii) development of general standardized tests in order to measure the program quality and to assess the technical, cognitive and socio-emotional skills level of the participants; (iv)</w:t>
      </w:r>
      <w:r w:rsidR="008E69AD">
        <w:rPr>
          <w:rFonts w:ascii="Arial" w:hAnsi="Arial" w:cs="Arial"/>
        </w:rPr>
        <w:t> </w:t>
      </w:r>
      <w:r>
        <w:rPr>
          <w:rFonts w:ascii="Arial" w:hAnsi="Arial" w:cs="Arial"/>
        </w:rPr>
        <w:t xml:space="preserve">development of a general communication strategy to incentivize participants’ (trainees and firms) entrance into the program. </w:t>
      </w:r>
    </w:p>
    <w:p w:rsidR="00E6335B" w:rsidRDefault="00E97A8F">
      <w:pPr>
        <w:spacing w:before="120" w:after="120"/>
        <w:ind w:left="579" w:hanging="579"/>
        <w:jc w:val="both"/>
      </w:pPr>
      <w:r>
        <w:rPr>
          <w:rFonts w:ascii="Arial" w:hAnsi="Arial" w:cs="Arial"/>
        </w:rPr>
        <w:t>3.2</w:t>
      </w:r>
      <w:r>
        <w:rPr>
          <w:rFonts w:ascii="Arial" w:hAnsi="Arial" w:cs="Arial"/>
        </w:rPr>
        <w:tab/>
      </w:r>
      <w:r w:rsidRPr="00F5154B">
        <w:rPr>
          <w:rFonts w:ascii="Arial" w:hAnsi="Arial" w:cs="Arial"/>
          <w:b/>
        </w:rPr>
        <w:t xml:space="preserve">Component 2: </w:t>
      </w:r>
      <w:r w:rsidR="00F5154B">
        <w:rPr>
          <w:rFonts w:ascii="Arial" w:hAnsi="Arial" w:cs="Arial"/>
          <w:b/>
        </w:rPr>
        <w:t>Design</w:t>
      </w:r>
      <w:r w:rsidR="00F5154B" w:rsidRPr="00F5154B">
        <w:rPr>
          <w:rFonts w:ascii="Arial" w:hAnsi="Arial" w:cs="Arial"/>
          <w:b/>
        </w:rPr>
        <w:t xml:space="preserve"> </w:t>
      </w:r>
      <w:r w:rsidRPr="00F5154B">
        <w:rPr>
          <w:rFonts w:ascii="Arial" w:hAnsi="Arial" w:cs="Arial"/>
          <w:b/>
        </w:rPr>
        <w:t xml:space="preserve">of </w:t>
      </w:r>
      <w:r w:rsidR="00F5154B">
        <w:rPr>
          <w:rFonts w:ascii="Arial" w:hAnsi="Arial" w:cs="Arial"/>
          <w:b/>
        </w:rPr>
        <w:t xml:space="preserve">pilot with </w:t>
      </w:r>
      <w:r w:rsidRPr="00F5154B">
        <w:rPr>
          <w:rFonts w:ascii="Arial" w:hAnsi="Arial" w:cs="Arial"/>
          <w:b/>
        </w:rPr>
        <w:t>Blockchain technology for Apprenticeship Programs in The Bahamas</w:t>
      </w:r>
      <w:r>
        <w:rPr>
          <w:rFonts w:ascii="Arial" w:hAnsi="Arial" w:cs="Arial"/>
        </w:rPr>
        <w:t xml:space="preserve">. This component will finance the introduction of Blockchain technology as a tool for boosting technological innovation in the AP implementation in the Bahamas. It will also offer an accessible and safe tool to apprentices for keeping their training records, and to employers for accessing this information. Activities will include: (i) support in the </w:t>
      </w:r>
      <w:r w:rsidR="00F5154B">
        <w:rPr>
          <w:rFonts w:ascii="Arial" w:hAnsi="Arial" w:cs="Arial"/>
        </w:rPr>
        <w:t xml:space="preserve">design and </w:t>
      </w:r>
      <w:r>
        <w:rPr>
          <w:rFonts w:ascii="Arial" w:hAnsi="Arial" w:cs="Arial"/>
        </w:rPr>
        <w:t xml:space="preserve">implementation of a pilot for issuing e-Certificates through </w:t>
      </w:r>
      <w:r w:rsidR="00E12CBB">
        <w:rPr>
          <w:rFonts w:ascii="Arial" w:hAnsi="Arial" w:cs="Arial"/>
        </w:rPr>
        <w:t xml:space="preserve">blockchain </w:t>
      </w:r>
      <w:r>
        <w:rPr>
          <w:rFonts w:ascii="Arial" w:hAnsi="Arial" w:cs="Arial"/>
        </w:rPr>
        <w:t>technology to AP graduates; and (ii) a workshop to understand the applicability of this technology in the training certificates context.</w:t>
      </w:r>
    </w:p>
    <w:p w:rsidR="00E6335B" w:rsidRDefault="00E97A8F">
      <w:pPr>
        <w:spacing w:before="120" w:after="120"/>
        <w:ind w:left="579" w:hanging="579"/>
        <w:jc w:val="both"/>
      </w:pPr>
      <w:r>
        <w:rPr>
          <w:rFonts w:ascii="Arial" w:hAnsi="Arial" w:cs="Arial"/>
        </w:rPr>
        <w:t>3.3</w:t>
      </w:r>
      <w:r>
        <w:rPr>
          <w:rFonts w:ascii="Arial" w:hAnsi="Arial" w:cs="Arial"/>
        </w:rPr>
        <w:tab/>
        <w:t xml:space="preserve"> </w:t>
      </w:r>
    </w:p>
    <w:p w:rsidR="00E6335B" w:rsidRDefault="00E97A8F">
      <w:pPr>
        <w:spacing w:before="120" w:after="120"/>
        <w:ind w:left="579" w:hanging="579"/>
      </w:pPr>
      <w:r>
        <w:rPr>
          <w:rFonts w:ascii="Arial" w:hAnsi="Arial" w:cs="Arial"/>
          <w:b/>
        </w:rPr>
        <w:t>IV.</w:t>
      </w:r>
      <w:r>
        <w:rPr>
          <w:rFonts w:ascii="Arial" w:hAnsi="Arial" w:cs="Arial"/>
          <w:b/>
        </w:rPr>
        <w:tab/>
        <w:t>Budget</w:t>
      </w:r>
    </w:p>
    <w:p w:rsidR="00E6335B" w:rsidRDefault="00E97A8F">
      <w:pPr>
        <w:spacing w:before="240" w:after="120"/>
        <w:jc w:val="center"/>
      </w:pPr>
      <w:r>
        <w:rPr>
          <w:rFonts w:ascii="Arial" w:hAnsi="Arial" w:cs="Arial"/>
          <w:b/>
          <w:sz w:val="18"/>
          <w:szCs w:val="18"/>
        </w:rPr>
        <w:t>Indicative Budget</w:t>
      </w:r>
      <w:r w:rsidR="0037111D">
        <w:rPr>
          <w:rFonts w:ascii="Arial" w:hAnsi="Arial" w:cs="Arial"/>
          <w:b/>
          <w:sz w:val="18"/>
          <w:szCs w:val="18"/>
        </w:rPr>
        <w:t xml:space="preserve"> (US$)</w:t>
      </w:r>
    </w:p>
    <w:tbl>
      <w:tblPr>
        <w:tblStyle w:val="TableGrid"/>
        <w:tblW w:w="5000" w:type="auto"/>
        <w:tblLook w:val="04A0" w:firstRow="1" w:lastRow="0" w:firstColumn="1" w:lastColumn="0" w:noHBand="0" w:noVBand="1"/>
      </w:tblPr>
      <w:tblGrid>
        <w:gridCol w:w="2289"/>
        <w:gridCol w:w="2240"/>
        <w:gridCol w:w="2252"/>
        <w:gridCol w:w="2235"/>
      </w:tblGrid>
      <w:tr w:rsidR="00E6335B">
        <w:tc>
          <w:tcPr>
            <w:tcW w:w="2310" w:type="dxa"/>
            <w:vAlign w:val="center"/>
          </w:tcPr>
          <w:p w:rsidR="00E6335B" w:rsidRDefault="00E97A8F">
            <w:pPr>
              <w:spacing w:before="40" w:after="40"/>
              <w:jc w:val="center"/>
            </w:pPr>
            <w:r>
              <w:rPr>
                <w:rFonts w:ascii="Arial" w:hAnsi="Arial" w:cs="Arial"/>
                <w:b/>
                <w:sz w:val="18"/>
                <w:szCs w:val="18"/>
              </w:rPr>
              <w:t>Activity/Component</w:t>
            </w:r>
          </w:p>
        </w:tc>
        <w:tc>
          <w:tcPr>
            <w:tcW w:w="2310" w:type="dxa"/>
          </w:tcPr>
          <w:p w:rsidR="00E6335B" w:rsidRDefault="00E97A8F">
            <w:pPr>
              <w:spacing w:before="40" w:after="40"/>
              <w:jc w:val="center"/>
            </w:pPr>
            <w:r>
              <w:rPr>
                <w:rFonts w:ascii="Arial" w:hAnsi="Arial" w:cs="Arial"/>
                <w:b/>
                <w:sz w:val="18"/>
                <w:szCs w:val="18"/>
              </w:rPr>
              <w:t>IDB/Fund Funding</w:t>
            </w:r>
          </w:p>
        </w:tc>
        <w:tc>
          <w:tcPr>
            <w:tcW w:w="2310" w:type="dxa"/>
          </w:tcPr>
          <w:p w:rsidR="00E6335B" w:rsidRDefault="00E97A8F">
            <w:pPr>
              <w:spacing w:before="40" w:after="40"/>
              <w:jc w:val="center"/>
            </w:pPr>
            <w:r>
              <w:rPr>
                <w:rFonts w:ascii="Arial" w:hAnsi="Arial" w:cs="Arial"/>
                <w:b/>
                <w:sz w:val="18"/>
                <w:szCs w:val="18"/>
              </w:rPr>
              <w:t>Counterpart Funding</w:t>
            </w:r>
          </w:p>
        </w:tc>
        <w:tc>
          <w:tcPr>
            <w:tcW w:w="2310" w:type="dxa"/>
          </w:tcPr>
          <w:p w:rsidR="00E6335B" w:rsidRDefault="00E97A8F">
            <w:pPr>
              <w:spacing w:before="40" w:after="40"/>
              <w:jc w:val="center"/>
            </w:pPr>
            <w:r>
              <w:rPr>
                <w:rFonts w:ascii="Arial" w:hAnsi="Arial" w:cs="Arial"/>
                <w:b/>
                <w:sz w:val="18"/>
                <w:szCs w:val="18"/>
              </w:rPr>
              <w:t>Total Funding</w:t>
            </w:r>
          </w:p>
        </w:tc>
      </w:tr>
      <w:tr w:rsidR="00E6335B">
        <w:tc>
          <w:tcPr>
            <w:tcW w:w="2310" w:type="dxa"/>
            <w:vAlign w:val="center"/>
          </w:tcPr>
          <w:p w:rsidR="00E6335B" w:rsidRDefault="00E97A8F">
            <w:pPr>
              <w:spacing w:before="40" w:after="40"/>
            </w:pPr>
            <w:r>
              <w:rPr>
                <w:rFonts w:ascii="Arial" w:hAnsi="Arial" w:cs="Arial"/>
                <w:sz w:val="18"/>
                <w:szCs w:val="18"/>
              </w:rPr>
              <w:t xml:space="preserve">Component 1: Capacity Building for Better Apprenticeship Programs in LAC </w:t>
            </w:r>
          </w:p>
        </w:tc>
        <w:tc>
          <w:tcPr>
            <w:tcW w:w="2310" w:type="dxa"/>
            <w:vAlign w:val="center"/>
          </w:tcPr>
          <w:p w:rsidR="00E6335B" w:rsidRDefault="00E97A8F">
            <w:pPr>
              <w:spacing w:before="40" w:after="40"/>
              <w:jc w:val="right"/>
            </w:pPr>
            <w:r>
              <w:rPr>
                <w:rFonts w:ascii="Arial" w:hAnsi="Arial" w:cs="Arial"/>
                <w:sz w:val="18"/>
                <w:szCs w:val="18"/>
              </w:rPr>
              <w:t xml:space="preserve"> 120,000</w:t>
            </w:r>
          </w:p>
        </w:tc>
        <w:tc>
          <w:tcPr>
            <w:tcW w:w="2310" w:type="dxa"/>
            <w:vAlign w:val="center"/>
          </w:tcPr>
          <w:p w:rsidR="00E6335B" w:rsidRDefault="00E97A8F">
            <w:pPr>
              <w:spacing w:before="40" w:after="40"/>
              <w:jc w:val="right"/>
            </w:pPr>
            <w:r>
              <w:rPr>
                <w:rFonts w:ascii="Arial" w:hAnsi="Arial" w:cs="Arial"/>
                <w:sz w:val="18"/>
                <w:szCs w:val="18"/>
              </w:rPr>
              <w:t xml:space="preserve"> 0</w:t>
            </w:r>
          </w:p>
        </w:tc>
        <w:tc>
          <w:tcPr>
            <w:tcW w:w="2310" w:type="dxa"/>
            <w:vAlign w:val="center"/>
          </w:tcPr>
          <w:p w:rsidR="00E6335B" w:rsidRDefault="00E97A8F">
            <w:pPr>
              <w:spacing w:before="40" w:after="40"/>
              <w:jc w:val="right"/>
            </w:pPr>
            <w:r>
              <w:rPr>
                <w:rFonts w:ascii="Arial" w:hAnsi="Arial" w:cs="Arial"/>
                <w:sz w:val="18"/>
                <w:szCs w:val="18"/>
              </w:rPr>
              <w:t xml:space="preserve"> 120,000</w:t>
            </w:r>
          </w:p>
        </w:tc>
      </w:tr>
      <w:tr w:rsidR="00E6335B">
        <w:tc>
          <w:tcPr>
            <w:tcW w:w="2310" w:type="dxa"/>
            <w:vAlign w:val="center"/>
          </w:tcPr>
          <w:p w:rsidR="00E6335B" w:rsidRDefault="00E97A8F">
            <w:pPr>
              <w:spacing w:before="40" w:after="40"/>
            </w:pPr>
            <w:r>
              <w:rPr>
                <w:rFonts w:ascii="Arial" w:hAnsi="Arial" w:cs="Arial"/>
                <w:sz w:val="18"/>
                <w:szCs w:val="18"/>
              </w:rPr>
              <w:t>Component 2: Implementation of Blockchain technology for Apprenticeship Programs in The Bahamas.</w:t>
            </w:r>
          </w:p>
        </w:tc>
        <w:tc>
          <w:tcPr>
            <w:tcW w:w="2310" w:type="dxa"/>
            <w:vAlign w:val="center"/>
          </w:tcPr>
          <w:p w:rsidR="00E6335B" w:rsidRDefault="00E97A8F">
            <w:pPr>
              <w:spacing w:before="40" w:after="40"/>
              <w:jc w:val="right"/>
            </w:pPr>
            <w:r>
              <w:rPr>
                <w:rFonts w:ascii="Arial" w:hAnsi="Arial" w:cs="Arial"/>
                <w:sz w:val="18"/>
                <w:szCs w:val="18"/>
              </w:rPr>
              <w:t xml:space="preserve"> 80,000</w:t>
            </w:r>
          </w:p>
        </w:tc>
        <w:tc>
          <w:tcPr>
            <w:tcW w:w="2310" w:type="dxa"/>
            <w:vAlign w:val="center"/>
          </w:tcPr>
          <w:p w:rsidR="00E6335B" w:rsidRDefault="00E97A8F">
            <w:pPr>
              <w:spacing w:before="40" w:after="40"/>
              <w:jc w:val="right"/>
            </w:pPr>
            <w:r>
              <w:rPr>
                <w:rFonts w:ascii="Arial" w:hAnsi="Arial" w:cs="Arial"/>
                <w:sz w:val="18"/>
                <w:szCs w:val="18"/>
              </w:rPr>
              <w:t xml:space="preserve"> 0</w:t>
            </w:r>
          </w:p>
        </w:tc>
        <w:tc>
          <w:tcPr>
            <w:tcW w:w="2310" w:type="dxa"/>
            <w:vAlign w:val="center"/>
          </w:tcPr>
          <w:p w:rsidR="00E6335B" w:rsidRDefault="00E97A8F">
            <w:pPr>
              <w:spacing w:before="40" w:after="40"/>
              <w:jc w:val="right"/>
            </w:pPr>
            <w:r>
              <w:rPr>
                <w:rFonts w:ascii="Arial" w:hAnsi="Arial" w:cs="Arial"/>
                <w:sz w:val="18"/>
                <w:szCs w:val="18"/>
              </w:rPr>
              <w:t xml:space="preserve"> 80,000</w:t>
            </w:r>
          </w:p>
        </w:tc>
      </w:tr>
      <w:tr w:rsidR="0037111D">
        <w:tc>
          <w:tcPr>
            <w:tcW w:w="2310" w:type="dxa"/>
            <w:vAlign w:val="center"/>
          </w:tcPr>
          <w:p w:rsidR="0037111D" w:rsidRPr="00A027E7" w:rsidRDefault="0037111D">
            <w:pPr>
              <w:spacing w:before="40" w:after="40"/>
              <w:rPr>
                <w:rFonts w:ascii="Arial" w:hAnsi="Arial" w:cs="Arial"/>
                <w:sz w:val="18"/>
                <w:szCs w:val="18"/>
                <w:highlight w:val="yellow"/>
              </w:rPr>
            </w:pPr>
            <w:r w:rsidRPr="00A027E7">
              <w:rPr>
                <w:rFonts w:ascii="Arial" w:hAnsi="Arial" w:cs="Arial"/>
                <w:sz w:val="18"/>
                <w:szCs w:val="18"/>
              </w:rPr>
              <w:t>TOTAL</w:t>
            </w:r>
          </w:p>
        </w:tc>
        <w:tc>
          <w:tcPr>
            <w:tcW w:w="2310" w:type="dxa"/>
            <w:vAlign w:val="center"/>
          </w:tcPr>
          <w:p w:rsidR="0037111D" w:rsidRDefault="00F5154B">
            <w:pPr>
              <w:spacing w:before="40" w:after="40"/>
              <w:jc w:val="right"/>
              <w:rPr>
                <w:rFonts w:ascii="Arial" w:hAnsi="Arial" w:cs="Arial"/>
                <w:sz w:val="18"/>
                <w:szCs w:val="18"/>
              </w:rPr>
            </w:pPr>
            <w:r>
              <w:rPr>
                <w:rFonts w:ascii="Arial" w:hAnsi="Arial" w:cs="Arial"/>
                <w:sz w:val="18"/>
                <w:szCs w:val="18"/>
              </w:rPr>
              <w:t>200,000</w:t>
            </w:r>
          </w:p>
        </w:tc>
        <w:tc>
          <w:tcPr>
            <w:tcW w:w="2310" w:type="dxa"/>
            <w:vAlign w:val="center"/>
          </w:tcPr>
          <w:p w:rsidR="0037111D" w:rsidRDefault="00F5154B">
            <w:pPr>
              <w:spacing w:before="40" w:after="40"/>
              <w:jc w:val="right"/>
              <w:rPr>
                <w:rFonts w:ascii="Arial" w:hAnsi="Arial" w:cs="Arial"/>
                <w:sz w:val="18"/>
                <w:szCs w:val="18"/>
              </w:rPr>
            </w:pPr>
            <w:r>
              <w:rPr>
                <w:rFonts w:ascii="Arial" w:hAnsi="Arial" w:cs="Arial"/>
                <w:sz w:val="18"/>
                <w:szCs w:val="18"/>
              </w:rPr>
              <w:t>0</w:t>
            </w:r>
          </w:p>
        </w:tc>
        <w:tc>
          <w:tcPr>
            <w:tcW w:w="2310" w:type="dxa"/>
            <w:vAlign w:val="center"/>
          </w:tcPr>
          <w:p w:rsidR="0037111D" w:rsidRDefault="00F5154B">
            <w:pPr>
              <w:spacing w:before="40" w:after="40"/>
              <w:jc w:val="right"/>
              <w:rPr>
                <w:rFonts w:ascii="Arial" w:hAnsi="Arial" w:cs="Arial"/>
                <w:sz w:val="18"/>
                <w:szCs w:val="18"/>
              </w:rPr>
            </w:pPr>
            <w:r>
              <w:rPr>
                <w:rFonts w:ascii="Arial" w:hAnsi="Arial" w:cs="Arial"/>
                <w:sz w:val="18"/>
                <w:szCs w:val="18"/>
              </w:rPr>
              <w:t>200,000</w:t>
            </w:r>
          </w:p>
        </w:tc>
      </w:tr>
    </w:tbl>
    <w:p w:rsidR="00E6335B" w:rsidRDefault="00E97A8F">
      <w:pPr>
        <w:spacing w:before="120" w:after="120"/>
        <w:ind w:left="579" w:hanging="579"/>
      </w:pPr>
      <w:r>
        <w:rPr>
          <w:rFonts w:ascii="Arial" w:hAnsi="Arial" w:cs="Arial"/>
          <w:b/>
        </w:rPr>
        <w:t>V.</w:t>
      </w:r>
      <w:r>
        <w:rPr>
          <w:rFonts w:ascii="Arial" w:hAnsi="Arial" w:cs="Arial"/>
          <w:b/>
        </w:rPr>
        <w:tab/>
        <w:t>Executing Agency and Execution Structure</w:t>
      </w:r>
    </w:p>
    <w:p w:rsidR="00E6335B" w:rsidRDefault="00E97A8F">
      <w:pPr>
        <w:spacing w:before="200" w:after="200"/>
        <w:ind w:left="579" w:hanging="579"/>
        <w:jc w:val="both"/>
      </w:pPr>
      <w:r>
        <w:rPr>
          <w:rFonts w:ascii="Arial" w:hAnsi="Arial" w:cs="Arial"/>
        </w:rPr>
        <w:t>5.1</w:t>
      </w:r>
      <w:r>
        <w:rPr>
          <w:rFonts w:ascii="Arial" w:hAnsi="Arial" w:cs="Arial"/>
        </w:rPr>
        <w:tab/>
        <w:t xml:space="preserve">The IDB, through SCL/LMK, will be responsible for this TCs’ supervision and coordination according to the </w:t>
      </w:r>
      <w:r w:rsidR="00F5154B">
        <w:rPr>
          <w:rFonts w:ascii="Arial" w:hAnsi="Arial" w:cs="Arial"/>
        </w:rPr>
        <w:t xml:space="preserve">Government of the Bahamas (GoBH) </w:t>
      </w:r>
      <w:r>
        <w:rPr>
          <w:rFonts w:ascii="Arial" w:hAnsi="Arial" w:cs="Arial"/>
        </w:rPr>
        <w:t>official request.</w:t>
      </w:r>
    </w:p>
    <w:p w:rsidR="00E6335B" w:rsidRDefault="00E97A8F">
      <w:pPr>
        <w:spacing w:before="200" w:after="200"/>
        <w:ind w:left="579" w:hanging="579"/>
        <w:jc w:val="both"/>
      </w:pPr>
      <w:r>
        <w:rPr>
          <w:rFonts w:ascii="Arial" w:hAnsi="Arial" w:cs="Arial"/>
        </w:rPr>
        <w:t>5.2</w:t>
      </w:r>
      <w:r>
        <w:rPr>
          <w:rFonts w:ascii="Arial" w:hAnsi="Arial" w:cs="Arial"/>
        </w:rPr>
        <w:tab/>
        <w:t>SCL/LMK has technical expertise based on international best practices and administrative burdens can be reduced on the GOBH. Coordination with benefiting entities will be extensive.</w:t>
      </w:r>
    </w:p>
    <w:p w:rsidR="00E6335B" w:rsidRDefault="00E97A8F">
      <w:pPr>
        <w:spacing w:before="120" w:after="120"/>
        <w:ind w:left="579" w:hanging="579"/>
      </w:pPr>
      <w:r>
        <w:rPr>
          <w:rFonts w:ascii="Arial" w:hAnsi="Arial" w:cs="Arial"/>
          <w:b/>
        </w:rPr>
        <w:t>VI.</w:t>
      </w:r>
      <w:r>
        <w:rPr>
          <w:rFonts w:ascii="Arial" w:hAnsi="Arial" w:cs="Arial"/>
          <w:b/>
        </w:rPr>
        <w:tab/>
        <w:t>Project Risks and Issues</w:t>
      </w:r>
    </w:p>
    <w:p w:rsidR="00E6335B" w:rsidRDefault="00E97A8F">
      <w:pPr>
        <w:spacing w:before="200" w:after="200"/>
        <w:ind w:left="579" w:hanging="579"/>
        <w:jc w:val="both"/>
      </w:pPr>
      <w:r>
        <w:rPr>
          <w:rFonts w:ascii="Arial" w:hAnsi="Arial" w:cs="Arial"/>
        </w:rPr>
        <w:t>6.1</w:t>
      </w:r>
      <w:r>
        <w:rPr>
          <w:rFonts w:ascii="Arial" w:hAnsi="Arial" w:cs="Arial"/>
        </w:rPr>
        <w:tab/>
        <w:t>Limited information provided by stakeholders could delay evaluation design.</w:t>
      </w:r>
    </w:p>
    <w:p w:rsidR="00E6335B" w:rsidRDefault="00E97A8F">
      <w:pPr>
        <w:spacing w:before="120" w:after="120"/>
        <w:ind w:left="579" w:hanging="579"/>
      </w:pPr>
      <w:r>
        <w:rPr>
          <w:rFonts w:ascii="Arial" w:hAnsi="Arial" w:cs="Arial"/>
          <w:b/>
        </w:rPr>
        <w:t>VII.</w:t>
      </w:r>
      <w:r>
        <w:rPr>
          <w:rFonts w:ascii="Arial" w:hAnsi="Arial" w:cs="Arial"/>
          <w:b/>
        </w:rPr>
        <w:tab/>
        <w:t>Environmental and Social Classification</w:t>
      </w:r>
    </w:p>
    <w:p w:rsidR="00E6335B" w:rsidRDefault="00E97A8F">
      <w:pPr>
        <w:spacing w:before="240" w:after="120"/>
        <w:ind w:left="579" w:hanging="579"/>
        <w:jc w:val="both"/>
      </w:pPr>
      <w:r>
        <w:rPr>
          <w:rFonts w:ascii="Arial" w:hAnsi="Arial" w:cs="Arial"/>
        </w:rPr>
        <w:t>7.1</w:t>
      </w:r>
      <w:r>
        <w:rPr>
          <w:rFonts w:ascii="Arial" w:hAnsi="Arial" w:cs="Arial"/>
        </w:rPr>
        <w:tab/>
        <w:t>The ESG classification for this operation is "</w:t>
      </w:r>
      <w:r w:rsidR="0037111D">
        <w:rPr>
          <w:rFonts w:ascii="Arial" w:hAnsi="Arial" w:cs="Arial"/>
        </w:rPr>
        <w:t>C</w:t>
      </w:r>
      <w:r>
        <w:rPr>
          <w:rFonts w:ascii="Arial" w:hAnsi="Arial" w:cs="Arial"/>
        </w:rPr>
        <w:t>".</w:t>
      </w:r>
    </w:p>
    <w:sectPr w:rsidR="00E6335B"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950" w:rsidRDefault="00573950">
      <w:r>
        <w:separator/>
      </w:r>
    </w:p>
  </w:endnote>
  <w:endnote w:type="continuationSeparator" w:id="0">
    <w:p w:rsidR="00573950" w:rsidRDefault="00573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Segoe UI Semilight"/>
    <w:panose1 w:val="020F0502020204030204"/>
    <w:charset w:val="00"/>
    <w:family w:val="swiss"/>
    <w:pitch w:val="variable"/>
    <w:sig w:usb0="00000000"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5739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573950"/>
  <w:p w:rsidR="00E6335B" w:rsidRDefault="00E97A8F">
    <w:pPr>
      <w:jc w:val="center"/>
    </w:pPr>
    <w:r>
      <w:t xml:space="preserve">- </w:t>
    </w:r>
    <w:r>
      <w:fldChar w:fldCharType="begin"/>
    </w:r>
    <w:r>
      <w:instrText xml:space="preserve"> PAGE   \* MERGEFORMAT </w:instrText>
    </w:r>
    <w:r>
      <w:fldChar w:fldCharType="separate"/>
    </w:r>
    <w:r w:rsidR="00573950">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5739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950" w:rsidRDefault="00573950">
      <w:r>
        <w:separator/>
      </w:r>
    </w:p>
  </w:footnote>
  <w:footnote w:type="continuationSeparator" w:id="0">
    <w:p w:rsidR="00573950" w:rsidRDefault="005739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62"/>
    <w:rsid w:val="001915A3"/>
    <w:rsid w:val="00217F62"/>
    <w:rsid w:val="0037111D"/>
    <w:rsid w:val="00573950"/>
    <w:rsid w:val="008E69AD"/>
    <w:rsid w:val="00A027E7"/>
    <w:rsid w:val="00A906D8"/>
    <w:rsid w:val="00AB5A74"/>
    <w:rsid w:val="00E12CBB"/>
    <w:rsid w:val="00E6335B"/>
    <w:rsid w:val="00E97A8F"/>
    <w:rsid w:val="00EA5510"/>
    <w:rsid w:val="00F071AE"/>
    <w:rsid w:val="00F515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BAD555-B55C-42A8-B20B-279261AA3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E69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9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B8FFA28DCD6D64194D0857C09544390" ma:contentTypeVersion="29" ma:contentTypeDescription="A content type to manage public (operations) IDB documents" ma:contentTypeScope="" ma:versionID="5326464a6da84d31383cc464e1e10b8a">
  <xsd:schema xmlns:xsd="http://www.w3.org/2001/XMLSchema" xmlns:xs="http://www.w3.org/2001/XMLSchema" xmlns:p="http://schemas.microsoft.com/office/2006/metadata/properties" xmlns:ns2="cdc7663a-08f0-4737-9e8c-148ce897a09c" targetNamespace="http://schemas.microsoft.com/office/2006/metadata/properties" ma:root="true" ma:fieldsID="2b5f6cd24a5acdbe9608b45edf9531b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H-T106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Pavon, Fernando</Other_x0020_Author>
    <Migration_x0020_Info xmlns="cdc7663a-08f0-4737-9e8c-148ce897a09c" xsi:nil="true"/>
    <Approval_x0020_Number xmlns="cdc7663a-08f0-4737-9e8c-148ce897a09c" xsi:nil="true"/>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118</Value>
      <Value>25</Value>
      <Value>24</Value>
      <Value>1</Value>
      <Value>119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BH-T1063;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R0002056173</Record_x0020_Number>
    <_dlc_DocId xmlns="cdc7663a-08f0-4737-9e8c-148ce897a09c">EZSHARE-1234432612-3</_dlc_DocId>
    <_dlc_DocIdUrl xmlns="cdc7663a-08f0-4737-9e8c-148ce897a09c">
      <Url>https://idbg.sharepoint.com/teams/EZ-BH-TCP/BH-T1063/_layouts/15/DocIdRedir.aspx?ID=EZSHARE-1234432612-3</Url>
      <Description>EZSHARE-1234432612-3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E4E5241-BF7D-4DDB-B214-E52339C15081}"/>
</file>

<file path=customXml/itemProps2.xml><?xml version="1.0" encoding="utf-8"?>
<ds:datastoreItem xmlns:ds="http://schemas.openxmlformats.org/officeDocument/2006/customXml" ds:itemID="{16EF3407-0600-494F-B137-FD5D95426485}"/>
</file>

<file path=customXml/itemProps3.xml><?xml version="1.0" encoding="utf-8"?>
<ds:datastoreItem xmlns:ds="http://schemas.openxmlformats.org/officeDocument/2006/customXml" ds:itemID="{790F337D-A360-470E-B445-5D1DE760C47B}"/>
</file>

<file path=customXml/itemProps4.xml><?xml version="1.0" encoding="utf-8"?>
<ds:datastoreItem xmlns:ds="http://schemas.openxmlformats.org/officeDocument/2006/customXml" ds:itemID="{285FD61B-721A-4586-B8E9-CEBEE84A29A5}"/>
</file>

<file path=customXml/itemProps5.xml><?xml version="1.0" encoding="utf-8"?>
<ds:datastoreItem xmlns:ds="http://schemas.openxmlformats.org/officeDocument/2006/customXml" ds:itemID="{FE4DD740-22D3-44B7-A7F9-E082060F8AB0}"/>
</file>

<file path=customXml/itemProps6.xml><?xml version="1.0" encoding="utf-8"?>
<ds:datastoreItem xmlns:ds="http://schemas.openxmlformats.org/officeDocument/2006/customXml" ds:itemID="{27FE042D-E169-45CB-BEAE-59B9D9A583D7}"/>
</file>

<file path=docProps/app.xml><?xml version="1.0" encoding="utf-8"?>
<Properties xmlns="http://schemas.openxmlformats.org/officeDocument/2006/extended-properties" xmlns:vt="http://schemas.openxmlformats.org/officeDocument/2006/docPropsVTypes">
  <Template>Normal.dotm</Template>
  <TotalTime>2</TotalTime>
  <Pages>3</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Pavon, Fernando Yitzack</dc:creator>
  <cp:keywords/>
  <cp:lastModifiedBy>Muhlstein, Ethel Rosa</cp:lastModifiedBy>
  <cp:revision>2</cp:revision>
  <dcterms:created xsi:type="dcterms:W3CDTF">2018-02-22T16:55:00Z</dcterms:created>
  <dcterms:modified xsi:type="dcterms:W3CDTF">2018-02-22T16:55:00Z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119;#LABOR INTERMEDIATION SYSTEMS|72d0edb0-5336-43b6-bb2f-05b457738b24</vt:lpwstr>
  </property>
  <property fmtid="{D5CDD505-2E9C-101B-9397-08002B2CF9AE}" pid="8" name="Fund IDB">
    <vt:lpwstr>118;#SOC|3086ce3f-38db-462a-ad79-6fb1ca9264c8</vt:lpwstr>
  </property>
  <property fmtid="{D5CDD505-2E9C-101B-9397-08002B2CF9AE}" pid="9" name="Country">
    <vt:lpwstr>24;#Bahamas|7662ea91-358d-4300-9a3d-1bdfe066f698</vt:lpwstr>
  </property>
  <property fmtid="{D5CDD505-2E9C-101B-9397-08002B2CF9AE}" pid="10" name="Sector IDB">
    <vt:lpwstr>25;#SOCIAL INVESTMENT|3f908695-d5b5-49f6-941f-76876b39564f</vt:lpwstr>
  </property>
  <property fmtid="{D5CDD505-2E9C-101B-9397-08002B2CF9AE}" pid="11" name="_dlc_DocIdItemGuid">
    <vt:lpwstr>6f7ac5c5-47d2-455b-9bee-3a67a3359b71</vt:lpwstr>
  </property>
  <property fmtid="{D5CDD505-2E9C-101B-9397-08002B2CF9AE}" pid="12" name="Disclosure Activity">
    <vt:lpwstr>TC Abstract</vt:lpwstr>
  </property>
  <property fmtid="{D5CDD505-2E9C-101B-9397-08002B2CF9AE}" pid="13" name="ContentTypeId">
    <vt:lpwstr>0x0101001A458A224826124E8B45B1D613300CFC00EB8FFA28DCD6D64194D0857C09544390</vt:lpwstr>
  </property>
</Properties>
</file>