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EC48B" w14:textId="77777777" w:rsidR="00194507" w:rsidRDefault="0080219D">
      <w:pPr>
        <w:spacing w:before="200" w:after="200"/>
        <w:jc w:val="center"/>
      </w:pPr>
      <w:r>
        <w:rPr>
          <w:rFonts w:ascii="Arial" w:hAnsi="Arial" w:cs="Arial"/>
          <w:b/>
        </w:rPr>
        <w:t>TC ABSTRACT</w:t>
      </w:r>
    </w:p>
    <w:p w14:paraId="1DC6DDC4" w14:textId="77777777" w:rsidR="00194507" w:rsidRDefault="0080219D">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3373"/>
        <w:gridCol w:w="4204"/>
      </w:tblGrid>
      <w:tr w:rsidR="00194507" w14:paraId="1795BAEA" w14:textId="77777777" w:rsidTr="00CD40B0">
        <w:trPr>
          <w:trHeight w:val="317"/>
          <w:jc w:val="center"/>
        </w:trPr>
        <w:tc>
          <w:tcPr>
            <w:tcW w:w="3373" w:type="dxa"/>
          </w:tcPr>
          <w:p w14:paraId="713676CD"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4204" w:type="dxa"/>
          </w:tcPr>
          <w:p w14:paraId="51788511" w14:textId="77777777" w:rsidR="00194507" w:rsidRDefault="0080219D">
            <w:pPr>
              <w:spacing w:before="40" w:after="40"/>
            </w:pPr>
            <w:r>
              <w:rPr>
                <w:rFonts w:ascii="Arial" w:hAnsi="Arial" w:cs="Arial"/>
                <w:sz w:val="18"/>
                <w:szCs w:val="18"/>
              </w:rPr>
              <w:t>BELIZE/CID - Isthmus &amp; DR</w:t>
            </w:r>
          </w:p>
        </w:tc>
      </w:tr>
      <w:tr w:rsidR="00194507" w14:paraId="76E13938" w14:textId="77777777" w:rsidTr="00CD40B0">
        <w:trPr>
          <w:trHeight w:val="548"/>
          <w:jc w:val="center"/>
        </w:trPr>
        <w:tc>
          <w:tcPr>
            <w:tcW w:w="3373" w:type="dxa"/>
          </w:tcPr>
          <w:p w14:paraId="66305F66"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4204" w:type="dxa"/>
          </w:tcPr>
          <w:p w14:paraId="68C8B554" w14:textId="77777777" w:rsidR="00194507" w:rsidRDefault="0080219D">
            <w:pPr>
              <w:spacing w:before="40" w:after="40"/>
            </w:pPr>
            <w:r>
              <w:rPr>
                <w:rFonts w:ascii="Arial" w:hAnsi="Arial" w:cs="Arial"/>
                <w:sz w:val="18"/>
                <w:szCs w:val="18"/>
              </w:rPr>
              <w:t>Support for preparing the 2020 Population and Housing Census</w:t>
            </w:r>
          </w:p>
        </w:tc>
      </w:tr>
      <w:tr w:rsidR="00194507" w14:paraId="63730F89" w14:textId="77777777" w:rsidTr="00CD40B0">
        <w:trPr>
          <w:trHeight w:val="317"/>
          <w:jc w:val="center"/>
        </w:trPr>
        <w:tc>
          <w:tcPr>
            <w:tcW w:w="3373" w:type="dxa"/>
          </w:tcPr>
          <w:p w14:paraId="395D1427"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4204" w:type="dxa"/>
          </w:tcPr>
          <w:p w14:paraId="42DAEAEB" w14:textId="77777777" w:rsidR="00194507" w:rsidRDefault="0080219D">
            <w:pPr>
              <w:spacing w:before="40" w:after="40"/>
            </w:pPr>
            <w:r>
              <w:rPr>
                <w:rFonts w:ascii="Arial" w:hAnsi="Arial" w:cs="Arial"/>
                <w:sz w:val="18"/>
                <w:szCs w:val="18"/>
              </w:rPr>
              <w:t>BL-T1103</w:t>
            </w:r>
          </w:p>
        </w:tc>
      </w:tr>
      <w:tr w:rsidR="00194507" w14:paraId="6A5571B8" w14:textId="77777777" w:rsidTr="00CD40B0">
        <w:trPr>
          <w:trHeight w:val="1449"/>
          <w:jc w:val="center"/>
        </w:trPr>
        <w:tc>
          <w:tcPr>
            <w:tcW w:w="3373" w:type="dxa"/>
          </w:tcPr>
          <w:p w14:paraId="5027F6A0"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4204" w:type="dxa"/>
          </w:tcPr>
          <w:p w14:paraId="282D3BA2" w14:textId="6EA7A577" w:rsidR="00194507" w:rsidRDefault="00CD40B0" w:rsidP="00CD40B0">
            <w:pPr>
              <w:spacing w:before="40" w:after="40"/>
              <w:jc w:val="both"/>
            </w:pPr>
            <w:r w:rsidRPr="00CD40B0">
              <w:rPr>
                <w:rFonts w:ascii="Arial" w:hAnsi="Arial" w:cs="Arial"/>
                <w:sz w:val="18"/>
                <w:szCs w:val="18"/>
              </w:rPr>
              <w:t xml:space="preserve">Perfit, Janine Tina </w:t>
            </w:r>
            <w:r w:rsidR="0080219D" w:rsidRPr="00CD40B0">
              <w:rPr>
                <w:rFonts w:ascii="Arial" w:hAnsi="Arial" w:cs="Arial"/>
                <w:sz w:val="18"/>
                <w:szCs w:val="18"/>
              </w:rPr>
              <w:t xml:space="preserve">(IFD/ICS) Team Leader; </w:t>
            </w:r>
            <w:r w:rsidRPr="00CD40B0">
              <w:rPr>
                <w:rFonts w:ascii="Arial" w:hAnsi="Arial" w:cs="Arial"/>
                <w:sz w:val="18"/>
                <w:szCs w:val="18"/>
              </w:rPr>
              <w:t xml:space="preserve">King, Dana Michael; Catano Guzman, Mariana </w:t>
            </w:r>
            <w:r w:rsidR="0080219D" w:rsidRPr="00CD40B0">
              <w:rPr>
                <w:rFonts w:ascii="Arial" w:hAnsi="Arial" w:cs="Arial"/>
                <w:sz w:val="18"/>
                <w:szCs w:val="18"/>
              </w:rPr>
              <w:t xml:space="preserve">(IFD/ICS); </w:t>
            </w:r>
            <w:r w:rsidRPr="00CD40B0">
              <w:rPr>
                <w:rFonts w:ascii="Arial" w:hAnsi="Arial" w:cs="Arial"/>
                <w:sz w:val="18"/>
                <w:szCs w:val="18"/>
              </w:rPr>
              <w:t xml:space="preserve">Salazar, Astrid Danielle </w:t>
            </w:r>
            <w:r w:rsidR="0080219D" w:rsidRPr="00CD40B0">
              <w:rPr>
                <w:rFonts w:ascii="Arial" w:hAnsi="Arial" w:cs="Arial"/>
                <w:sz w:val="18"/>
                <w:szCs w:val="18"/>
              </w:rPr>
              <w:t xml:space="preserve">(CID/CBL); </w:t>
            </w:r>
            <w:r w:rsidRPr="00CD40B0">
              <w:rPr>
                <w:rFonts w:ascii="Arial" w:hAnsi="Arial" w:cs="Arial"/>
                <w:sz w:val="18"/>
                <w:szCs w:val="18"/>
              </w:rPr>
              <w:t xml:space="preserve">Abuelafia, Emmanuel </w:t>
            </w:r>
            <w:r w:rsidR="0080219D" w:rsidRPr="00CD40B0">
              <w:rPr>
                <w:rFonts w:ascii="Arial" w:hAnsi="Arial" w:cs="Arial"/>
                <w:sz w:val="18"/>
                <w:szCs w:val="18"/>
              </w:rPr>
              <w:t xml:space="preserve">(CID/CID); </w:t>
            </w:r>
            <w:r w:rsidRPr="00CD40B0">
              <w:rPr>
                <w:rFonts w:ascii="Arial" w:hAnsi="Arial" w:cs="Arial"/>
                <w:sz w:val="18"/>
                <w:szCs w:val="18"/>
              </w:rPr>
              <w:t>Payen, Patricia Yamilee</w:t>
            </w:r>
            <w:r w:rsidR="0080219D" w:rsidRPr="00CD40B0">
              <w:rPr>
                <w:rFonts w:ascii="Arial" w:hAnsi="Arial" w:cs="Arial"/>
                <w:sz w:val="18"/>
                <w:szCs w:val="18"/>
              </w:rPr>
              <w:t xml:space="preserve"> (VPC/FMP);</w:t>
            </w:r>
            <w:r w:rsidR="0080219D" w:rsidRPr="00CD40B0">
              <w:rPr>
                <w:rFonts w:ascii="Arial" w:hAnsi="Arial" w:cs="Arial"/>
                <w:sz w:val="18"/>
                <w:szCs w:val="18"/>
              </w:rPr>
              <w:t xml:space="preserve"> </w:t>
            </w:r>
            <w:r w:rsidRPr="00CD40B0">
              <w:rPr>
                <w:rFonts w:ascii="Arial" w:hAnsi="Arial" w:cs="Arial"/>
                <w:sz w:val="18"/>
                <w:szCs w:val="18"/>
              </w:rPr>
              <w:t>Lugo Moreno, Monica Bibiana</w:t>
            </w:r>
            <w:r w:rsidR="0080219D" w:rsidRPr="00CD40B0">
              <w:rPr>
                <w:rFonts w:ascii="Arial" w:hAnsi="Arial" w:cs="Arial"/>
                <w:sz w:val="18"/>
                <w:szCs w:val="18"/>
              </w:rPr>
              <w:t xml:space="preserve">; </w:t>
            </w:r>
            <w:r w:rsidRPr="00CD40B0">
              <w:rPr>
                <w:rFonts w:ascii="Arial" w:hAnsi="Arial" w:cs="Arial"/>
                <w:sz w:val="18"/>
                <w:szCs w:val="18"/>
              </w:rPr>
              <w:t xml:space="preserve">Parra, Maria Cecilia </w:t>
            </w:r>
            <w:r w:rsidR="0080219D" w:rsidRPr="00CD40B0">
              <w:rPr>
                <w:rFonts w:ascii="Arial" w:hAnsi="Arial" w:cs="Arial"/>
                <w:sz w:val="18"/>
                <w:szCs w:val="18"/>
              </w:rPr>
              <w:t>(LEG/SGO)</w:t>
            </w:r>
          </w:p>
        </w:tc>
      </w:tr>
      <w:tr w:rsidR="00194507" w14:paraId="55C10106" w14:textId="77777777" w:rsidTr="00CD40B0">
        <w:trPr>
          <w:trHeight w:val="317"/>
          <w:jc w:val="center"/>
        </w:trPr>
        <w:tc>
          <w:tcPr>
            <w:tcW w:w="3373" w:type="dxa"/>
          </w:tcPr>
          <w:p w14:paraId="6AF87EB3"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4204" w:type="dxa"/>
          </w:tcPr>
          <w:p w14:paraId="5A219794" w14:textId="77777777" w:rsidR="00194507" w:rsidRDefault="0080219D">
            <w:pPr>
              <w:spacing w:before="40" w:after="40"/>
            </w:pPr>
            <w:r>
              <w:rPr>
                <w:rFonts w:ascii="Arial" w:hAnsi="Arial" w:cs="Arial"/>
                <w:sz w:val="18"/>
                <w:szCs w:val="18"/>
              </w:rPr>
              <w:t>Client Support</w:t>
            </w:r>
          </w:p>
        </w:tc>
      </w:tr>
      <w:tr w:rsidR="00194507" w14:paraId="78C2F2F3" w14:textId="77777777" w:rsidTr="00CD40B0">
        <w:trPr>
          <w:trHeight w:val="548"/>
          <w:jc w:val="center"/>
        </w:trPr>
        <w:tc>
          <w:tcPr>
            <w:tcW w:w="3373" w:type="dxa"/>
          </w:tcPr>
          <w:p w14:paraId="68513179"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4204" w:type="dxa"/>
          </w:tcPr>
          <w:p w14:paraId="0DE3D730" w14:textId="77777777" w:rsidR="00194507" w:rsidRDefault="0080219D">
            <w:pPr>
              <w:spacing w:before="40" w:after="40"/>
            </w:pPr>
            <w:r>
              <w:rPr>
                <w:rFonts w:ascii="Arial" w:hAnsi="Arial" w:cs="Arial"/>
                <w:sz w:val="18"/>
                <w:szCs w:val="18"/>
              </w:rPr>
              <w:t>N/A</w:t>
            </w:r>
          </w:p>
        </w:tc>
      </w:tr>
      <w:tr w:rsidR="00194507" w14:paraId="3539B7F7" w14:textId="77777777" w:rsidTr="00CD40B0">
        <w:trPr>
          <w:trHeight w:val="317"/>
          <w:jc w:val="center"/>
        </w:trPr>
        <w:tc>
          <w:tcPr>
            <w:tcW w:w="3373" w:type="dxa"/>
          </w:tcPr>
          <w:p w14:paraId="69EF3C0D"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4204" w:type="dxa"/>
          </w:tcPr>
          <w:p w14:paraId="19DFAE98" w14:textId="77777777" w:rsidR="00194507" w:rsidRDefault="0080219D">
            <w:pPr>
              <w:spacing w:before="40" w:after="40"/>
            </w:pPr>
            <w:r>
              <w:rPr>
                <w:rFonts w:ascii="Arial" w:hAnsi="Arial" w:cs="Arial"/>
                <w:sz w:val="18"/>
                <w:szCs w:val="18"/>
              </w:rPr>
              <w:t>16 Jul 2018</w:t>
            </w:r>
          </w:p>
        </w:tc>
      </w:tr>
      <w:tr w:rsidR="00194507" w14:paraId="2CF922C0" w14:textId="77777777" w:rsidTr="00CD40B0">
        <w:trPr>
          <w:trHeight w:val="317"/>
          <w:jc w:val="center"/>
        </w:trPr>
        <w:tc>
          <w:tcPr>
            <w:tcW w:w="3373" w:type="dxa"/>
          </w:tcPr>
          <w:p w14:paraId="025341CC"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4204" w:type="dxa"/>
          </w:tcPr>
          <w:p w14:paraId="4F0FD206" w14:textId="77777777" w:rsidR="00194507" w:rsidRDefault="0080219D">
            <w:pPr>
              <w:spacing w:before="40" w:after="40"/>
            </w:pPr>
            <w:r>
              <w:rPr>
                <w:rFonts w:ascii="Arial" w:hAnsi="Arial" w:cs="Arial"/>
                <w:sz w:val="18"/>
                <w:szCs w:val="18"/>
              </w:rPr>
              <w:t>Belize</w:t>
            </w:r>
          </w:p>
        </w:tc>
      </w:tr>
      <w:tr w:rsidR="00194507" w14:paraId="43CDB532" w14:textId="77777777" w:rsidTr="00CD40B0">
        <w:trPr>
          <w:trHeight w:val="317"/>
          <w:jc w:val="center"/>
        </w:trPr>
        <w:tc>
          <w:tcPr>
            <w:tcW w:w="3373" w:type="dxa"/>
          </w:tcPr>
          <w:p w14:paraId="6CB6DFD0"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4204" w:type="dxa"/>
          </w:tcPr>
          <w:p w14:paraId="3EB51404" w14:textId="7E3EE7B8" w:rsidR="00194507" w:rsidRDefault="00CD40B0">
            <w:pPr>
              <w:spacing w:before="40" w:after="40"/>
            </w:pPr>
            <w:r>
              <w:rPr>
                <w:rFonts w:ascii="Arial" w:hAnsi="Arial" w:cs="Arial"/>
                <w:sz w:val="18"/>
                <w:szCs w:val="18"/>
              </w:rPr>
              <w:t>Inter-American Development Bank</w:t>
            </w:r>
          </w:p>
        </w:tc>
      </w:tr>
      <w:tr w:rsidR="00194507" w14:paraId="1ADCA264" w14:textId="77777777" w:rsidTr="00CD40B0">
        <w:trPr>
          <w:trHeight w:val="317"/>
          <w:jc w:val="center"/>
        </w:trPr>
        <w:tc>
          <w:tcPr>
            <w:tcW w:w="3373" w:type="dxa"/>
          </w:tcPr>
          <w:p w14:paraId="45AD0D8A"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4204" w:type="dxa"/>
          </w:tcPr>
          <w:p w14:paraId="1AED40D3" w14:textId="77777777" w:rsidR="00194507" w:rsidRDefault="0080219D">
            <w:pPr>
              <w:bidi/>
              <w:spacing w:before="40" w:after="40"/>
            </w:pPr>
            <w:r>
              <w:rPr>
                <w:rFonts w:ascii="Arial" w:hAnsi="Arial" w:cs="Arial"/>
                <w:sz w:val="18"/>
                <w:szCs w:val="18"/>
              </w:rPr>
              <w:t>$ 250,000.00</w:t>
            </w:r>
          </w:p>
        </w:tc>
      </w:tr>
      <w:tr w:rsidR="00194507" w14:paraId="7788DA3E" w14:textId="77777777" w:rsidTr="00CD40B0">
        <w:trPr>
          <w:trHeight w:val="317"/>
          <w:jc w:val="center"/>
        </w:trPr>
        <w:tc>
          <w:tcPr>
            <w:tcW w:w="3373" w:type="dxa"/>
          </w:tcPr>
          <w:p w14:paraId="1D4E9199"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4204" w:type="dxa"/>
          </w:tcPr>
          <w:p w14:paraId="6A34680E" w14:textId="77777777" w:rsidR="00194507" w:rsidRDefault="0080219D">
            <w:pPr>
              <w:bidi/>
              <w:spacing w:before="40" w:after="40"/>
            </w:pPr>
            <w:r>
              <w:rPr>
                <w:rFonts w:ascii="Arial" w:hAnsi="Arial" w:cs="Arial"/>
                <w:sz w:val="18"/>
                <w:szCs w:val="18"/>
              </w:rPr>
              <w:t>$ 0.00</w:t>
            </w:r>
          </w:p>
        </w:tc>
      </w:tr>
      <w:tr w:rsidR="00194507" w14:paraId="0DD3FEFD" w14:textId="77777777" w:rsidTr="00CD40B0">
        <w:trPr>
          <w:trHeight w:val="317"/>
          <w:jc w:val="center"/>
        </w:trPr>
        <w:tc>
          <w:tcPr>
            <w:tcW w:w="3373" w:type="dxa"/>
          </w:tcPr>
          <w:p w14:paraId="582971B6"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4204" w:type="dxa"/>
          </w:tcPr>
          <w:p w14:paraId="48FC3041" w14:textId="77777777" w:rsidR="00194507" w:rsidRDefault="0080219D">
            <w:pPr>
              <w:bidi/>
              <w:spacing w:before="40" w:after="40"/>
            </w:pPr>
            <w:r>
              <w:rPr>
                <w:rFonts w:ascii="Arial" w:hAnsi="Arial" w:cs="Arial"/>
                <w:sz w:val="18"/>
                <w:szCs w:val="18"/>
              </w:rPr>
              <w:t>24 months</w:t>
            </w:r>
          </w:p>
        </w:tc>
      </w:tr>
      <w:tr w:rsidR="00194507" w14:paraId="611099F4" w14:textId="77777777" w:rsidTr="00CD40B0">
        <w:trPr>
          <w:trHeight w:val="317"/>
          <w:jc w:val="center"/>
        </w:trPr>
        <w:tc>
          <w:tcPr>
            <w:tcW w:w="3373" w:type="dxa"/>
          </w:tcPr>
          <w:p w14:paraId="18E9ED6E"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4204" w:type="dxa"/>
          </w:tcPr>
          <w:p w14:paraId="61464D4E" w14:textId="77777777" w:rsidR="00194507" w:rsidRDefault="0080219D">
            <w:pPr>
              <w:spacing w:before="40" w:after="40"/>
            </w:pPr>
            <w:r>
              <w:rPr>
                <w:rFonts w:ascii="Arial" w:hAnsi="Arial" w:cs="Arial"/>
                <w:sz w:val="18"/>
                <w:szCs w:val="18"/>
              </w:rPr>
              <w:t>Firms; Individuals</w:t>
            </w:r>
          </w:p>
        </w:tc>
      </w:tr>
      <w:tr w:rsidR="00194507" w14:paraId="46B1311F" w14:textId="77777777" w:rsidTr="00CD40B0">
        <w:trPr>
          <w:trHeight w:val="317"/>
          <w:jc w:val="center"/>
        </w:trPr>
        <w:tc>
          <w:tcPr>
            <w:tcW w:w="3373" w:type="dxa"/>
          </w:tcPr>
          <w:p w14:paraId="54EEFFB4"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4204" w:type="dxa"/>
          </w:tcPr>
          <w:p w14:paraId="6FD482F7" w14:textId="77777777" w:rsidR="00194507" w:rsidRDefault="0080219D">
            <w:pPr>
              <w:spacing w:before="40" w:after="40"/>
            </w:pPr>
            <w:r>
              <w:rPr>
                <w:rFonts w:ascii="Arial" w:hAnsi="Arial" w:cs="Arial"/>
                <w:sz w:val="18"/>
                <w:szCs w:val="18"/>
              </w:rPr>
              <w:t>Innovation in Citizen Services Division</w:t>
            </w:r>
          </w:p>
        </w:tc>
      </w:tr>
      <w:tr w:rsidR="00194507" w14:paraId="3C099698" w14:textId="77777777" w:rsidTr="00CD40B0">
        <w:trPr>
          <w:trHeight w:val="317"/>
          <w:jc w:val="center"/>
        </w:trPr>
        <w:tc>
          <w:tcPr>
            <w:tcW w:w="3373" w:type="dxa"/>
          </w:tcPr>
          <w:p w14:paraId="16B6419D"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Unit of Disbursement </w:t>
            </w:r>
            <w:r>
              <w:rPr>
                <w:rFonts w:ascii="Arial" w:hAnsi="Arial" w:cs="Arial"/>
                <w:sz w:val="18"/>
                <w:szCs w:val="18"/>
              </w:rPr>
              <w:t>Responsibility:</w:t>
            </w:r>
          </w:p>
        </w:tc>
        <w:tc>
          <w:tcPr>
            <w:tcW w:w="4204" w:type="dxa"/>
          </w:tcPr>
          <w:p w14:paraId="68FFE538" w14:textId="77777777" w:rsidR="00194507" w:rsidRDefault="0080219D">
            <w:pPr>
              <w:spacing w:before="40" w:after="40"/>
            </w:pPr>
            <w:r>
              <w:rPr>
                <w:rFonts w:ascii="Arial" w:hAnsi="Arial" w:cs="Arial"/>
                <w:sz w:val="18"/>
                <w:szCs w:val="18"/>
              </w:rPr>
              <w:t>Country Office Belize</w:t>
            </w:r>
          </w:p>
        </w:tc>
      </w:tr>
      <w:tr w:rsidR="00194507" w14:paraId="7FC2EA2B" w14:textId="77777777" w:rsidTr="00CD40B0">
        <w:trPr>
          <w:trHeight w:val="777"/>
          <w:jc w:val="center"/>
        </w:trPr>
        <w:tc>
          <w:tcPr>
            <w:tcW w:w="3373" w:type="dxa"/>
          </w:tcPr>
          <w:p w14:paraId="56E32BB8" w14:textId="77777777" w:rsidR="00194507" w:rsidRDefault="0080219D">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4204" w:type="dxa"/>
          </w:tcPr>
          <w:p w14:paraId="64111E43" w14:textId="77777777" w:rsidR="00194507" w:rsidRDefault="0080219D">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t>Yes</w:t>
            </w:r>
          </w:p>
        </w:tc>
      </w:tr>
      <w:tr w:rsidR="00194507" w14:paraId="4F25C506" w14:textId="77777777" w:rsidTr="00CD40B0">
        <w:trPr>
          <w:trHeight w:val="548"/>
          <w:jc w:val="center"/>
        </w:trPr>
        <w:tc>
          <w:tcPr>
            <w:tcW w:w="3373" w:type="dxa"/>
          </w:tcPr>
          <w:p w14:paraId="739E8128" w14:textId="77777777" w:rsidR="00194507" w:rsidRDefault="0080219D">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4204" w:type="dxa"/>
          </w:tcPr>
          <w:p w14:paraId="22CDE062" w14:textId="67E5802B" w:rsidR="00194507" w:rsidRDefault="0080219D">
            <w:pPr>
              <w:spacing w:before="40" w:after="40"/>
            </w:pPr>
            <w:r>
              <w:rPr>
                <w:rFonts w:ascii="Arial" w:hAnsi="Arial" w:cs="Arial"/>
                <w:sz w:val="18"/>
                <w:szCs w:val="18"/>
              </w:rPr>
              <w:t xml:space="preserve">Social inclusion and </w:t>
            </w:r>
            <w:r w:rsidR="00CD40B0">
              <w:rPr>
                <w:rFonts w:ascii="Arial" w:hAnsi="Arial" w:cs="Arial"/>
                <w:sz w:val="18"/>
                <w:szCs w:val="18"/>
              </w:rPr>
              <w:t>equality;</w:t>
            </w:r>
            <w:r>
              <w:rPr>
                <w:rFonts w:ascii="Arial" w:hAnsi="Arial" w:cs="Arial"/>
                <w:sz w:val="18"/>
                <w:szCs w:val="18"/>
              </w:rPr>
              <w:t xml:space="preserve"> Institutional capacity and rule of law</w:t>
            </w:r>
          </w:p>
        </w:tc>
      </w:tr>
    </w:tbl>
    <w:p w14:paraId="77046492" w14:textId="77777777" w:rsidR="00194507" w:rsidRDefault="0080219D">
      <w:pPr>
        <w:spacing w:before="120" w:after="120"/>
        <w:ind w:left="579" w:hanging="579"/>
      </w:pPr>
      <w:r>
        <w:rPr>
          <w:rFonts w:ascii="Arial" w:hAnsi="Arial" w:cs="Arial"/>
          <w:b/>
        </w:rPr>
        <w:t>II.</w:t>
      </w:r>
      <w:r>
        <w:rPr>
          <w:rFonts w:ascii="Arial" w:hAnsi="Arial" w:cs="Arial"/>
          <w:b/>
        </w:rPr>
        <w:tab/>
        <w:t>Objective and Justification</w:t>
      </w:r>
    </w:p>
    <w:p w14:paraId="7C40E204" w14:textId="77777777" w:rsidR="00CD40B0" w:rsidRDefault="0080219D" w:rsidP="00CD40B0">
      <w:pPr>
        <w:spacing w:before="120" w:after="120"/>
        <w:ind w:left="579" w:hanging="579"/>
        <w:jc w:val="both"/>
        <w:rPr>
          <w:rFonts w:ascii="Arial" w:hAnsi="Arial" w:cs="Arial"/>
        </w:rPr>
      </w:pPr>
      <w:r>
        <w:rPr>
          <w:rFonts w:ascii="Arial" w:hAnsi="Arial" w:cs="Arial"/>
        </w:rPr>
        <w:t>2.1</w:t>
      </w:r>
      <w:r>
        <w:rPr>
          <w:rFonts w:ascii="Arial" w:hAnsi="Arial" w:cs="Arial"/>
        </w:rPr>
        <w:tab/>
        <w:t xml:space="preserve">To contribute to the strengthening of Statistical Institute of Belize’s statistical capacity to produce quality socio-economic and demographic data, in terms of reliability, timeliness and relevance.  A population </w:t>
      </w:r>
      <w:r>
        <w:rPr>
          <w:rFonts w:ascii="Arial" w:hAnsi="Arial" w:cs="Arial"/>
        </w:rPr>
        <w:t xml:space="preserve">census is the single most comprehensive data collection exercise a country can undertake, as it allows the opportunity to garner data from every member of the population on a wide variety of topics. Census data provide government and other decision makers </w:t>
      </w:r>
      <w:r>
        <w:rPr>
          <w:rFonts w:ascii="Arial" w:hAnsi="Arial" w:cs="Arial"/>
        </w:rPr>
        <w:t>with the bases on which to formulate policies and make long-term plans for the development of the country, especially as it relates to demographic, social and economic issues. In addition to policy makers, the census provides an excellent source of informa</w:t>
      </w:r>
      <w:r>
        <w:rPr>
          <w:rFonts w:ascii="Arial" w:hAnsi="Arial" w:cs="Arial"/>
        </w:rPr>
        <w:t>tion for public, private, international organizations, researchers, academicians and the general public. The census serves as the reference point for statistics produced during the intercensal period, provides the most complete sample frame for household s</w:t>
      </w:r>
      <w:r>
        <w:rPr>
          <w:rFonts w:ascii="Arial" w:hAnsi="Arial" w:cs="Arial"/>
        </w:rPr>
        <w:t xml:space="preserve">ample surveys, and is the backbone of the national statistical system.  </w:t>
      </w:r>
    </w:p>
    <w:p w14:paraId="7E933CBB" w14:textId="10893EF4" w:rsidR="00194507" w:rsidRPr="00CD40B0" w:rsidRDefault="0080219D" w:rsidP="00CD40B0">
      <w:pPr>
        <w:spacing w:before="120" w:after="120"/>
        <w:ind w:left="579"/>
        <w:jc w:val="both"/>
        <w:rPr>
          <w:rFonts w:ascii="Arial" w:hAnsi="Arial" w:cs="Arial"/>
        </w:rPr>
      </w:pPr>
      <w:r>
        <w:rPr>
          <w:rFonts w:ascii="Arial" w:hAnsi="Arial" w:cs="Arial"/>
        </w:rPr>
        <w:t xml:space="preserve"> Components of the TC with the SIB include: i) improving census maps through satellite imagery; ii) providing training and piloting of electronic collection of census data; iii) traini</w:t>
      </w:r>
      <w:r>
        <w:rPr>
          <w:rFonts w:ascii="Arial" w:hAnsi="Arial" w:cs="Arial"/>
        </w:rPr>
        <w:t>ng in data analysis.</w:t>
      </w:r>
    </w:p>
    <w:p w14:paraId="060B57A1" w14:textId="77777777" w:rsidR="00CD40B0" w:rsidRDefault="0080219D">
      <w:pPr>
        <w:spacing w:before="120" w:after="120"/>
        <w:ind w:left="579" w:hanging="579"/>
        <w:jc w:val="both"/>
        <w:rPr>
          <w:rFonts w:ascii="Arial" w:hAnsi="Arial" w:cs="Arial"/>
        </w:rPr>
      </w:pPr>
      <w:r>
        <w:rPr>
          <w:rFonts w:ascii="Arial" w:hAnsi="Arial" w:cs="Arial"/>
        </w:rPr>
        <w:lastRenderedPageBreak/>
        <w:t>2.2</w:t>
      </w:r>
      <w:r>
        <w:rPr>
          <w:rFonts w:ascii="Arial" w:hAnsi="Arial" w:cs="Arial"/>
        </w:rPr>
        <w:tab/>
        <w:t>The United Nations recommends that countries conduct a population census every 10 years. A population census is the biggest and single most comprehensive data collection exercise a country can undertake, as it allows the opportunit</w:t>
      </w:r>
      <w:r>
        <w:rPr>
          <w:rFonts w:ascii="Arial" w:hAnsi="Arial" w:cs="Arial"/>
        </w:rPr>
        <w:t>y to garner data from every member of the population on a wide array of topics. Census data provide government and other decision makers with the bases on which to formulate policies that will provide quality goods and services to the citizens and make lon</w:t>
      </w:r>
      <w:r>
        <w:rPr>
          <w:rFonts w:ascii="Arial" w:hAnsi="Arial" w:cs="Arial"/>
        </w:rPr>
        <w:t>g-term plans for the development of the country, especially as they relate to demographic, social and economic issues. In addition to policy makers, the census provides an excellent source of information for public, private, international organizations, re</w:t>
      </w:r>
      <w:r>
        <w:rPr>
          <w:rFonts w:ascii="Arial" w:hAnsi="Arial" w:cs="Arial"/>
        </w:rPr>
        <w:t>searchers, academicians and civil society.</w:t>
      </w:r>
    </w:p>
    <w:p w14:paraId="75FE2BCA" w14:textId="77777777" w:rsidR="00CD40B0" w:rsidRDefault="0080219D">
      <w:pPr>
        <w:spacing w:before="120" w:after="120"/>
        <w:ind w:left="579" w:hanging="579"/>
        <w:jc w:val="both"/>
        <w:rPr>
          <w:rFonts w:ascii="Arial" w:hAnsi="Arial" w:cs="Arial"/>
        </w:rPr>
      </w:pPr>
      <w:r>
        <w:rPr>
          <w:rFonts w:ascii="Arial" w:hAnsi="Arial" w:cs="Arial"/>
        </w:rPr>
        <w:t xml:space="preserve"> </w:t>
      </w:r>
      <w:r>
        <w:rPr>
          <w:rFonts w:ascii="Arial" w:hAnsi="Arial" w:cs="Arial"/>
        </w:rPr>
        <w:br/>
        <w:t>According to Belize’s census schedule, the next population and housing census will take place in May 2020.  The objective of this TC is to support the Statistical Institute of Belize (SIB) in the preparatory acti</w:t>
      </w:r>
      <w:r>
        <w:rPr>
          <w:rFonts w:ascii="Arial" w:hAnsi="Arial" w:cs="Arial"/>
        </w:rPr>
        <w:t>vities necessary for the conduct of the 2020 census. Since 2016, the Bank has been supporting several activities (BL-T1092 Support for the Design of a National Statistical System) with the SIB and the National Statistical System to produce quality data, in</w:t>
      </w:r>
      <w:r>
        <w:rPr>
          <w:rFonts w:ascii="Arial" w:hAnsi="Arial" w:cs="Arial"/>
        </w:rPr>
        <w:t xml:space="preserve"> terms of reliability, timeliness and relevance. Bank support to the SIB to prepare for the census will take advantage of the strengthened statistical capacity that has resulted from the technical assistance and training activities provided by BL-T1092.</w:t>
      </w:r>
    </w:p>
    <w:p w14:paraId="41744DC3" w14:textId="77777777" w:rsidR="00CD40B0" w:rsidRDefault="0080219D">
      <w:pPr>
        <w:spacing w:before="120" w:after="120"/>
        <w:ind w:left="579" w:hanging="579"/>
        <w:jc w:val="both"/>
        <w:rPr>
          <w:rFonts w:ascii="Arial" w:hAnsi="Arial" w:cs="Arial"/>
        </w:rPr>
      </w:pPr>
      <w:r>
        <w:rPr>
          <w:rFonts w:ascii="Arial" w:hAnsi="Arial" w:cs="Arial"/>
        </w:rPr>
        <w:br/>
        <w:t>Th</w:t>
      </w:r>
      <w:r>
        <w:rPr>
          <w:rFonts w:ascii="Arial" w:hAnsi="Arial" w:cs="Arial"/>
        </w:rPr>
        <w:t>e Bank (IFD/ICS) has worked closely with Statistics Korea (KOSTAT) on two regional TCs (RG-T2282 and RG-T2443), drawing on Korea´s knowledge and good practices in statistical development. The proposed TC will continue this relationship with KOSTAT as a str</w:t>
      </w:r>
      <w:r>
        <w:rPr>
          <w:rFonts w:ascii="Arial" w:hAnsi="Arial" w:cs="Arial"/>
        </w:rPr>
        <w:t>ategic partner to share knowledge with the Statistical Institute of Belize as it prepares for the 2020 census. Korea’s extensive expertise in the field of statistics will be sought in component III of the TC project (see 3.4).</w:t>
      </w:r>
    </w:p>
    <w:p w14:paraId="718DD056" w14:textId="32E2CA36" w:rsidR="00194507" w:rsidRDefault="0080219D">
      <w:pPr>
        <w:spacing w:before="120" w:after="120"/>
        <w:ind w:left="579" w:hanging="579"/>
        <w:jc w:val="both"/>
      </w:pPr>
      <w:bookmarkStart w:id="0" w:name="_GoBack"/>
      <w:bookmarkEnd w:id="0"/>
      <w:r>
        <w:rPr>
          <w:rFonts w:ascii="Arial" w:hAnsi="Arial" w:cs="Arial"/>
        </w:rPr>
        <w:br/>
        <w:t>This TC is aligned with the B</w:t>
      </w:r>
      <w:r>
        <w:rPr>
          <w:rFonts w:ascii="Arial" w:hAnsi="Arial" w:cs="Arial"/>
        </w:rPr>
        <w:t>ank’s Update to the Institutional Strategy 2010-2020 (AB-3008) as it relates to the cross-cutting issue of strengthening institutional capacity particularly the technical capacity of the SIB to produce timely and relevant official statistical information t</w:t>
      </w:r>
      <w:r>
        <w:rPr>
          <w:rFonts w:ascii="Arial" w:hAnsi="Arial" w:cs="Arial"/>
        </w:rPr>
        <w:t>hat will improve the quality of policy formulation and implementation consistent with the efficient allocation and use of public sector resources. It is also related to the issues of social inclusion and equality as the census provides comprehensive socio-</w:t>
      </w:r>
      <w:r>
        <w:rPr>
          <w:rFonts w:ascii="Arial" w:hAnsi="Arial" w:cs="Arial"/>
        </w:rPr>
        <w:t>demographic information for the country with the highest level of geographical disaggregation that will assist in providing inclusive services.</w:t>
      </w:r>
    </w:p>
    <w:p w14:paraId="687E5D90" w14:textId="77777777" w:rsidR="00194507" w:rsidRDefault="0080219D">
      <w:pPr>
        <w:spacing w:before="120" w:after="120"/>
        <w:ind w:left="579" w:hanging="579"/>
      </w:pPr>
      <w:r>
        <w:rPr>
          <w:rFonts w:ascii="Arial" w:hAnsi="Arial" w:cs="Arial"/>
          <w:b/>
        </w:rPr>
        <w:t>III.</w:t>
      </w:r>
      <w:r>
        <w:rPr>
          <w:rFonts w:ascii="Arial" w:hAnsi="Arial" w:cs="Arial"/>
          <w:b/>
        </w:rPr>
        <w:tab/>
        <w:t>Description of Activities and Outputs</w:t>
      </w:r>
    </w:p>
    <w:p w14:paraId="52D853EC" w14:textId="77777777" w:rsidR="00194507" w:rsidRDefault="0080219D">
      <w:pPr>
        <w:spacing w:before="120" w:after="120"/>
        <w:ind w:left="579" w:hanging="579"/>
        <w:jc w:val="both"/>
      </w:pPr>
      <w:r>
        <w:rPr>
          <w:rFonts w:ascii="Arial" w:hAnsi="Arial" w:cs="Arial"/>
        </w:rPr>
        <w:t>3.1</w:t>
      </w:r>
      <w:r>
        <w:rPr>
          <w:rFonts w:ascii="Arial" w:hAnsi="Arial" w:cs="Arial"/>
        </w:rPr>
        <w:tab/>
      </w:r>
      <w:r w:rsidRPr="00CD40B0">
        <w:rPr>
          <w:rFonts w:ascii="Arial" w:hAnsi="Arial" w:cs="Arial"/>
          <w:b/>
        </w:rPr>
        <w:t>Component I. (US$ 100,000) Improving census maps through satellit</w:t>
      </w:r>
      <w:r w:rsidRPr="00CD40B0">
        <w:rPr>
          <w:rFonts w:ascii="Arial" w:hAnsi="Arial" w:cs="Arial"/>
          <w:b/>
        </w:rPr>
        <w:t>e imagery.</w:t>
      </w:r>
      <w:r>
        <w:rPr>
          <w:rFonts w:ascii="Arial" w:hAnsi="Arial" w:cs="Arial"/>
        </w:rPr>
        <w:t xml:space="preserve"> Since the SIB has recently acquired detailed satellite images of Belize, this component will help the SIB use the maps to plot enumeration districts for census data collection. The satellite images also will be used to update maps from the previ</w:t>
      </w:r>
      <w:r>
        <w:rPr>
          <w:rFonts w:ascii="Arial" w:hAnsi="Arial" w:cs="Arial"/>
        </w:rPr>
        <w:t>ous census. The maps will be loaded on to the tablets owned by the SIB, that will be used to guide the enumerators during the census exercise. The benefits in using these images relate to reducing cost and time during the pre-census in that the mapping doe</w:t>
      </w:r>
      <w:r>
        <w:rPr>
          <w:rFonts w:ascii="Arial" w:hAnsi="Arial" w:cs="Arial"/>
        </w:rPr>
        <w:t xml:space="preserve">s not need to be done in the field. </w:t>
      </w:r>
    </w:p>
    <w:p w14:paraId="5018732E" w14:textId="383B3A41" w:rsidR="00194507" w:rsidRDefault="0080219D">
      <w:pPr>
        <w:spacing w:before="120" w:after="120"/>
        <w:ind w:left="579" w:hanging="579"/>
        <w:jc w:val="both"/>
      </w:pPr>
      <w:r>
        <w:rPr>
          <w:rFonts w:ascii="Arial" w:hAnsi="Arial" w:cs="Arial"/>
        </w:rPr>
        <w:t>3.2</w:t>
      </w:r>
      <w:r>
        <w:rPr>
          <w:rFonts w:ascii="Arial" w:hAnsi="Arial" w:cs="Arial"/>
        </w:rPr>
        <w:tab/>
      </w:r>
      <w:r w:rsidRPr="00CD40B0">
        <w:rPr>
          <w:rFonts w:ascii="Arial" w:hAnsi="Arial" w:cs="Arial"/>
          <w:b/>
        </w:rPr>
        <w:t>Component II.</w:t>
      </w:r>
      <w:r w:rsidR="00CD40B0">
        <w:rPr>
          <w:rFonts w:ascii="Arial" w:hAnsi="Arial" w:cs="Arial"/>
          <w:b/>
        </w:rPr>
        <w:t xml:space="preserve"> </w:t>
      </w:r>
      <w:r w:rsidRPr="00CD40B0">
        <w:rPr>
          <w:rFonts w:ascii="Arial" w:hAnsi="Arial" w:cs="Arial"/>
          <w:b/>
        </w:rPr>
        <w:t>(US$ 75,000) Providing training and piloting of electronic collection of census data.</w:t>
      </w:r>
      <w:r>
        <w:rPr>
          <w:rFonts w:ascii="Arial" w:hAnsi="Arial" w:cs="Arial"/>
        </w:rPr>
        <w:t xml:space="preserve"> </w:t>
      </w:r>
      <w:r>
        <w:rPr>
          <w:rFonts w:ascii="Arial" w:hAnsi="Arial" w:cs="Arial"/>
        </w:rPr>
        <w:t xml:space="preserve">The 2020 Census in Belize will be conducted by using computed assisted personal interviews (CAPI). This refers to </w:t>
      </w:r>
      <w:r>
        <w:rPr>
          <w:rFonts w:ascii="Arial" w:hAnsi="Arial" w:cs="Arial"/>
        </w:rPr>
        <w:t xml:space="preserve">installing the census questionnaire on computer tablets and filling them out on the tablets as well.  This component will train the trainers in the use of the tablets and field test their use in a </w:t>
      </w:r>
      <w:r>
        <w:rPr>
          <w:rFonts w:ascii="Arial" w:hAnsi="Arial" w:cs="Arial"/>
        </w:rPr>
        <w:lastRenderedPageBreak/>
        <w:t>small sample area of the country. These activities will hel</w:t>
      </w:r>
      <w:r>
        <w:rPr>
          <w:rFonts w:ascii="Arial" w:hAnsi="Arial" w:cs="Arial"/>
        </w:rPr>
        <w:t>p to minimize both human and computer error during the census enumeration period.</w:t>
      </w:r>
    </w:p>
    <w:p w14:paraId="55077B82" w14:textId="648C868E" w:rsidR="00194507" w:rsidRDefault="0080219D">
      <w:pPr>
        <w:spacing w:before="120" w:after="120"/>
        <w:ind w:left="579" w:hanging="579"/>
        <w:jc w:val="both"/>
      </w:pPr>
      <w:r>
        <w:rPr>
          <w:rFonts w:ascii="Arial" w:hAnsi="Arial" w:cs="Arial"/>
        </w:rPr>
        <w:t>3.3</w:t>
      </w:r>
      <w:r>
        <w:rPr>
          <w:rFonts w:ascii="Arial" w:hAnsi="Arial" w:cs="Arial"/>
        </w:rPr>
        <w:tab/>
      </w:r>
      <w:r w:rsidRPr="00CD40B0">
        <w:rPr>
          <w:rFonts w:ascii="Arial" w:hAnsi="Arial" w:cs="Arial"/>
          <w:b/>
        </w:rPr>
        <w:t xml:space="preserve">Component </w:t>
      </w:r>
      <w:r w:rsidR="00CD40B0" w:rsidRPr="00CD40B0">
        <w:rPr>
          <w:rFonts w:ascii="Arial" w:hAnsi="Arial" w:cs="Arial"/>
          <w:b/>
        </w:rPr>
        <w:t>III. (</w:t>
      </w:r>
      <w:r w:rsidRPr="00CD40B0">
        <w:rPr>
          <w:rFonts w:ascii="Arial" w:hAnsi="Arial" w:cs="Arial"/>
          <w:b/>
        </w:rPr>
        <w:t>US$ 75,000) Training in data analysis and dissemination</w:t>
      </w:r>
      <w:r>
        <w:rPr>
          <w:rFonts w:ascii="Arial" w:hAnsi="Arial" w:cs="Arial"/>
        </w:rPr>
        <w:t xml:space="preserve">. </w:t>
      </w:r>
      <w:r>
        <w:rPr>
          <w:rFonts w:ascii="Arial" w:hAnsi="Arial" w:cs="Arial"/>
        </w:rPr>
        <w:t>This component will train SIB staff how to analyze the results of the census and share the anal</w:t>
      </w:r>
      <w:r>
        <w:rPr>
          <w:rFonts w:ascii="Arial" w:hAnsi="Arial" w:cs="Arial"/>
        </w:rPr>
        <w:t>yses with interested parties in the government, private sector, academia and civil society.  Training topics will include: Data Validation and Quality Assurance Analysis, Labor Market Indicators, Steps of an Analytical Project, Information Management and G</w:t>
      </w:r>
      <w:r>
        <w:rPr>
          <w:rFonts w:ascii="Arial" w:hAnsi="Arial" w:cs="Arial"/>
        </w:rPr>
        <w:t>ender-based Analysis. Staff also will learn how to create a census summary analytical report and how to target the report to different users. Several dissemination methods will be explained and tested so that the census results can reach the country´s deci</w:t>
      </w:r>
      <w:r>
        <w:rPr>
          <w:rFonts w:ascii="Arial" w:hAnsi="Arial" w:cs="Arial"/>
        </w:rPr>
        <w:t>sion makers in the most efficient way.</w:t>
      </w:r>
    </w:p>
    <w:p w14:paraId="1B1A153A" w14:textId="77777777" w:rsidR="00194507" w:rsidRDefault="0080219D">
      <w:pPr>
        <w:spacing w:before="120" w:after="120"/>
        <w:ind w:left="579" w:hanging="579"/>
      </w:pPr>
      <w:r>
        <w:rPr>
          <w:rFonts w:ascii="Arial" w:hAnsi="Arial" w:cs="Arial"/>
          <w:b/>
        </w:rPr>
        <w:t>IV.</w:t>
      </w:r>
      <w:r>
        <w:rPr>
          <w:rFonts w:ascii="Arial" w:hAnsi="Arial" w:cs="Arial"/>
          <w:b/>
        </w:rPr>
        <w:tab/>
        <w:t>Budget</w:t>
      </w:r>
    </w:p>
    <w:p w14:paraId="52AD143B" w14:textId="77777777" w:rsidR="00194507" w:rsidRDefault="0080219D">
      <w:pPr>
        <w:spacing w:before="240" w:after="120"/>
        <w:jc w:val="center"/>
      </w:pPr>
      <w:r>
        <w:rPr>
          <w:rFonts w:ascii="Arial" w:hAnsi="Arial" w:cs="Arial"/>
          <w:b/>
          <w:sz w:val="18"/>
          <w:szCs w:val="18"/>
        </w:rPr>
        <w:t>Indicative Budget</w:t>
      </w:r>
    </w:p>
    <w:tbl>
      <w:tblPr>
        <w:tblStyle w:val="TableGrid"/>
        <w:tblW w:w="0" w:type="auto"/>
        <w:tblLook w:val="04A0" w:firstRow="1" w:lastRow="0" w:firstColumn="1" w:lastColumn="0" w:noHBand="0" w:noVBand="1"/>
      </w:tblPr>
      <w:tblGrid>
        <w:gridCol w:w="3438"/>
        <w:gridCol w:w="1980"/>
        <w:gridCol w:w="1980"/>
        <w:gridCol w:w="1842"/>
      </w:tblGrid>
      <w:tr w:rsidR="00194507" w14:paraId="37102147" w14:textId="77777777" w:rsidTr="00CD40B0">
        <w:tc>
          <w:tcPr>
            <w:tcW w:w="3438" w:type="dxa"/>
            <w:vAlign w:val="center"/>
          </w:tcPr>
          <w:p w14:paraId="54EE042F" w14:textId="77777777" w:rsidR="00194507" w:rsidRDefault="0080219D">
            <w:pPr>
              <w:spacing w:before="40" w:after="40"/>
              <w:jc w:val="center"/>
            </w:pPr>
            <w:r>
              <w:rPr>
                <w:rFonts w:ascii="Arial" w:hAnsi="Arial" w:cs="Arial"/>
                <w:b/>
                <w:sz w:val="18"/>
                <w:szCs w:val="18"/>
              </w:rPr>
              <w:t>Activity/Component</w:t>
            </w:r>
          </w:p>
        </w:tc>
        <w:tc>
          <w:tcPr>
            <w:tcW w:w="1980" w:type="dxa"/>
          </w:tcPr>
          <w:p w14:paraId="4A23565E" w14:textId="77777777" w:rsidR="00194507" w:rsidRDefault="0080219D">
            <w:pPr>
              <w:spacing w:before="40" w:after="40"/>
              <w:jc w:val="center"/>
            </w:pPr>
            <w:r>
              <w:rPr>
                <w:rFonts w:ascii="Arial" w:hAnsi="Arial" w:cs="Arial"/>
                <w:b/>
                <w:sz w:val="18"/>
                <w:szCs w:val="18"/>
              </w:rPr>
              <w:t>IDB/Fund Funding</w:t>
            </w:r>
          </w:p>
        </w:tc>
        <w:tc>
          <w:tcPr>
            <w:tcW w:w="1980" w:type="dxa"/>
          </w:tcPr>
          <w:p w14:paraId="48B51F14" w14:textId="77777777" w:rsidR="00194507" w:rsidRDefault="0080219D">
            <w:pPr>
              <w:spacing w:before="40" w:after="40"/>
              <w:jc w:val="center"/>
            </w:pPr>
            <w:r>
              <w:rPr>
                <w:rFonts w:ascii="Arial" w:hAnsi="Arial" w:cs="Arial"/>
                <w:b/>
                <w:sz w:val="18"/>
                <w:szCs w:val="18"/>
              </w:rPr>
              <w:t>Counterpart Funding</w:t>
            </w:r>
          </w:p>
        </w:tc>
        <w:tc>
          <w:tcPr>
            <w:tcW w:w="1842" w:type="dxa"/>
          </w:tcPr>
          <w:p w14:paraId="67760E51" w14:textId="77777777" w:rsidR="00194507" w:rsidRDefault="0080219D">
            <w:pPr>
              <w:spacing w:before="40" w:after="40"/>
              <w:jc w:val="center"/>
            </w:pPr>
            <w:r>
              <w:rPr>
                <w:rFonts w:ascii="Arial" w:hAnsi="Arial" w:cs="Arial"/>
                <w:b/>
                <w:sz w:val="18"/>
                <w:szCs w:val="18"/>
              </w:rPr>
              <w:t>Total Funding</w:t>
            </w:r>
          </w:p>
        </w:tc>
      </w:tr>
      <w:tr w:rsidR="00194507" w14:paraId="6607D6A5" w14:textId="77777777" w:rsidTr="00CD40B0">
        <w:tc>
          <w:tcPr>
            <w:tcW w:w="3438" w:type="dxa"/>
            <w:vAlign w:val="center"/>
          </w:tcPr>
          <w:p w14:paraId="00D97132" w14:textId="77777777" w:rsidR="00194507" w:rsidRDefault="0080219D">
            <w:pPr>
              <w:spacing w:before="40" w:after="40"/>
            </w:pPr>
            <w:r>
              <w:rPr>
                <w:rFonts w:ascii="Arial" w:hAnsi="Arial" w:cs="Arial"/>
                <w:sz w:val="18"/>
                <w:szCs w:val="18"/>
              </w:rPr>
              <w:t>Component I. (US$100.000)</w:t>
            </w:r>
            <w:r>
              <w:rPr>
                <w:rFonts w:ascii="Arial" w:hAnsi="Arial" w:cs="Arial"/>
                <w:sz w:val="18"/>
                <w:szCs w:val="18"/>
              </w:rPr>
              <w:t xml:space="preserve"> Improving census maps through satellite imagery</w:t>
            </w:r>
          </w:p>
        </w:tc>
        <w:tc>
          <w:tcPr>
            <w:tcW w:w="1980" w:type="dxa"/>
            <w:vAlign w:val="center"/>
          </w:tcPr>
          <w:p w14:paraId="30D83AD2" w14:textId="77777777" w:rsidR="00194507" w:rsidRDefault="0080219D">
            <w:pPr>
              <w:spacing w:before="40" w:after="40"/>
              <w:jc w:val="right"/>
            </w:pPr>
            <w:r>
              <w:rPr>
                <w:rFonts w:ascii="Arial" w:hAnsi="Arial" w:cs="Arial"/>
                <w:sz w:val="18"/>
                <w:szCs w:val="18"/>
              </w:rPr>
              <w:t>$ 100,000.00</w:t>
            </w:r>
          </w:p>
        </w:tc>
        <w:tc>
          <w:tcPr>
            <w:tcW w:w="1980" w:type="dxa"/>
            <w:vAlign w:val="center"/>
          </w:tcPr>
          <w:p w14:paraId="725551D8" w14:textId="77777777" w:rsidR="00194507" w:rsidRDefault="0080219D">
            <w:pPr>
              <w:spacing w:before="40" w:after="40"/>
              <w:jc w:val="right"/>
            </w:pPr>
            <w:r>
              <w:rPr>
                <w:rFonts w:ascii="Arial" w:hAnsi="Arial" w:cs="Arial"/>
                <w:sz w:val="18"/>
                <w:szCs w:val="18"/>
              </w:rPr>
              <w:t>$ 0.00</w:t>
            </w:r>
          </w:p>
        </w:tc>
        <w:tc>
          <w:tcPr>
            <w:tcW w:w="1842" w:type="dxa"/>
            <w:vAlign w:val="center"/>
          </w:tcPr>
          <w:p w14:paraId="4E31C2B7" w14:textId="77777777" w:rsidR="00194507" w:rsidRDefault="0080219D">
            <w:pPr>
              <w:spacing w:before="40" w:after="40"/>
              <w:jc w:val="right"/>
            </w:pPr>
            <w:r>
              <w:rPr>
                <w:rFonts w:ascii="Arial" w:hAnsi="Arial" w:cs="Arial"/>
                <w:sz w:val="18"/>
                <w:szCs w:val="18"/>
              </w:rPr>
              <w:t>$ 100,000.00</w:t>
            </w:r>
          </w:p>
        </w:tc>
      </w:tr>
      <w:tr w:rsidR="00194507" w14:paraId="548B1B09" w14:textId="77777777" w:rsidTr="00CD40B0">
        <w:tc>
          <w:tcPr>
            <w:tcW w:w="3438" w:type="dxa"/>
            <w:vAlign w:val="center"/>
          </w:tcPr>
          <w:p w14:paraId="55C274EC" w14:textId="77777777" w:rsidR="00194507" w:rsidRDefault="0080219D">
            <w:pPr>
              <w:spacing w:before="40" w:after="40"/>
            </w:pPr>
            <w:r>
              <w:rPr>
                <w:rFonts w:ascii="Arial" w:hAnsi="Arial" w:cs="Arial"/>
                <w:sz w:val="18"/>
                <w:szCs w:val="18"/>
              </w:rPr>
              <w:t>Component II. (US$75.000) Providing training and piloting of electronic collection of census data</w:t>
            </w:r>
          </w:p>
        </w:tc>
        <w:tc>
          <w:tcPr>
            <w:tcW w:w="1980" w:type="dxa"/>
            <w:vAlign w:val="center"/>
          </w:tcPr>
          <w:p w14:paraId="200C5AAD" w14:textId="77777777" w:rsidR="00194507" w:rsidRDefault="0080219D">
            <w:pPr>
              <w:spacing w:before="40" w:after="40"/>
              <w:jc w:val="right"/>
            </w:pPr>
            <w:r>
              <w:rPr>
                <w:rFonts w:ascii="Arial" w:hAnsi="Arial" w:cs="Arial"/>
                <w:sz w:val="18"/>
                <w:szCs w:val="18"/>
              </w:rPr>
              <w:t>$ 75,000.00</w:t>
            </w:r>
          </w:p>
        </w:tc>
        <w:tc>
          <w:tcPr>
            <w:tcW w:w="1980" w:type="dxa"/>
            <w:vAlign w:val="center"/>
          </w:tcPr>
          <w:p w14:paraId="14FF69A1" w14:textId="77777777" w:rsidR="00194507" w:rsidRDefault="0080219D">
            <w:pPr>
              <w:spacing w:before="40" w:after="40"/>
              <w:jc w:val="right"/>
            </w:pPr>
            <w:r>
              <w:rPr>
                <w:rFonts w:ascii="Arial" w:hAnsi="Arial" w:cs="Arial"/>
                <w:sz w:val="18"/>
                <w:szCs w:val="18"/>
              </w:rPr>
              <w:t>$ 0.00</w:t>
            </w:r>
          </w:p>
        </w:tc>
        <w:tc>
          <w:tcPr>
            <w:tcW w:w="1842" w:type="dxa"/>
            <w:vAlign w:val="center"/>
          </w:tcPr>
          <w:p w14:paraId="2584039B" w14:textId="77777777" w:rsidR="00194507" w:rsidRDefault="0080219D">
            <w:pPr>
              <w:spacing w:before="40" w:after="40"/>
              <w:jc w:val="right"/>
            </w:pPr>
            <w:r>
              <w:rPr>
                <w:rFonts w:ascii="Arial" w:hAnsi="Arial" w:cs="Arial"/>
                <w:sz w:val="18"/>
                <w:szCs w:val="18"/>
              </w:rPr>
              <w:t>$ 75,000.00</w:t>
            </w:r>
          </w:p>
        </w:tc>
      </w:tr>
      <w:tr w:rsidR="00194507" w14:paraId="5E617214" w14:textId="77777777" w:rsidTr="00CD40B0">
        <w:tc>
          <w:tcPr>
            <w:tcW w:w="3438" w:type="dxa"/>
            <w:vAlign w:val="center"/>
          </w:tcPr>
          <w:p w14:paraId="77991E47" w14:textId="77777777" w:rsidR="00194507" w:rsidRDefault="0080219D">
            <w:pPr>
              <w:spacing w:before="40" w:after="40"/>
            </w:pPr>
            <w:r>
              <w:rPr>
                <w:rFonts w:ascii="Arial" w:hAnsi="Arial" w:cs="Arial"/>
                <w:sz w:val="18"/>
                <w:szCs w:val="18"/>
              </w:rPr>
              <w:t>Component III. (US$75.000) Training in data</w:t>
            </w:r>
            <w:r>
              <w:rPr>
                <w:rFonts w:ascii="Arial" w:hAnsi="Arial" w:cs="Arial"/>
                <w:sz w:val="18"/>
                <w:szCs w:val="18"/>
              </w:rPr>
              <w:t xml:space="preserve"> analysis and dissemination</w:t>
            </w:r>
          </w:p>
        </w:tc>
        <w:tc>
          <w:tcPr>
            <w:tcW w:w="1980" w:type="dxa"/>
            <w:vAlign w:val="center"/>
          </w:tcPr>
          <w:p w14:paraId="482B8D38" w14:textId="77777777" w:rsidR="00194507" w:rsidRDefault="0080219D">
            <w:pPr>
              <w:spacing w:before="40" w:after="40"/>
              <w:jc w:val="right"/>
            </w:pPr>
            <w:r>
              <w:rPr>
                <w:rFonts w:ascii="Arial" w:hAnsi="Arial" w:cs="Arial"/>
                <w:sz w:val="18"/>
                <w:szCs w:val="18"/>
              </w:rPr>
              <w:t>$ 75,000.00</w:t>
            </w:r>
          </w:p>
        </w:tc>
        <w:tc>
          <w:tcPr>
            <w:tcW w:w="1980" w:type="dxa"/>
            <w:vAlign w:val="center"/>
          </w:tcPr>
          <w:p w14:paraId="49D567E6" w14:textId="77777777" w:rsidR="00194507" w:rsidRDefault="0080219D">
            <w:pPr>
              <w:spacing w:before="40" w:after="40"/>
              <w:jc w:val="right"/>
            </w:pPr>
            <w:r>
              <w:rPr>
                <w:rFonts w:ascii="Arial" w:hAnsi="Arial" w:cs="Arial"/>
                <w:sz w:val="18"/>
                <w:szCs w:val="18"/>
              </w:rPr>
              <w:t>$ 0.00</w:t>
            </w:r>
          </w:p>
        </w:tc>
        <w:tc>
          <w:tcPr>
            <w:tcW w:w="1842" w:type="dxa"/>
            <w:vAlign w:val="center"/>
          </w:tcPr>
          <w:p w14:paraId="1AFFB222" w14:textId="77777777" w:rsidR="00194507" w:rsidRDefault="0080219D">
            <w:pPr>
              <w:spacing w:before="40" w:after="40"/>
              <w:jc w:val="right"/>
            </w:pPr>
            <w:r>
              <w:rPr>
                <w:rFonts w:ascii="Arial" w:hAnsi="Arial" w:cs="Arial"/>
                <w:sz w:val="18"/>
                <w:szCs w:val="18"/>
              </w:rPr>
              <w:t>$ 75,000.00</w:t>
            </w:r>
          </w:p>
        </w:tc>
      </w:tr>
    </w:tbl>
    <w:p w14:paraId="5B625E27" w14:textId="77777777" w:rsidR="00194507" w:rsidRDefault="0080219D">
      <w:pPr>
        <w:spacing w:before="120" w:after="120"/>
        <w:ind w:left="579" w:hanging="579"/>
      </w:pPr>
      <w:r>
        <w:rPr>
          <w:rFonts w:ascii="Arial" w:hAnsi="Arial" w:cs="Arial"/>
          <w:b/>
        </w:rPr>
        <w:t>V.</w:t>
      </w:r>
      <w:r>
        <w:rPr>
          <w:rFonts w:ascii="Arial" w:hAnsi="Arial" w:cs="Arial"/>
          <w:b/>
        </w:rPr>
        <w:tab/>
        <w:t>Executing Agency and Execution Structure</w:t>
      </w:r>
    </w:p>
    <w:p w14:paraId="67C2E5CB" w14:textId="77777777" w:rsidR="00194507" w:rsidRDefault="0080219D">
      <w:pPr>
        <w:spacing w:before="200" w:after="200"/>
        <w:ind w:left="579" w:hanging="579"/>
        <w:jc w:val="both"/>
      </w:pPr>
      <w:r>
        <w:rPr>
          <w:rFonts w:ascii="Arial" w:hAnsi="Arial" w:cs="Arial"/>
        </w:rPr>
        <w:t>5.1</w:t>
      </w:r>
      <w:r>
        <w:rPr>
          <w:rFonts w:ascii="Arial" w:hAnsi="Arial" w:cs="Arial"/>
        </w:rPr>
        <w:tab/>
        <w:t>The IDB through IFD/ICS will be responsible for the execution of this Technical Cooperation.</w:t>
      </w:r>
    </w:p>
    <w:p w14:paraId="3AF67E9A" w14:textId="77777777" w:rsidR="00194507" w:rsidRDefault="0080219D">
      <w:pPr>
        <w:spacing w:before="200" w:after="200"/>
        <w:ind w:left="579" w:hanging="579"/>
        <w:jc w:val="both"/>
      </w:pPr>
      <w:r>
        <w:rPr>
          <w:rFonts w:ascii="Arial" w:hAnsi="Arial" w:cs="Arial"/>
        </w:rPr>
        <w:t>5.2</w:t>
      </w:r>
      <w:r>
        <w:rPr>
          <w:rFonts w:ascii="Arial" w:hAnsi="Arial" w:cs="Arial"/>
        </w:rPr>
        <w:tab/>
        <w:t>The request for the TC to be Bank-executed is docum</w:t>
      </w:r>
      <w:r>
        <w:rPr>
          <w:rFonts w:ascii="Arial" w:hAnsi="Arial" w:cs="Arial"/>
        </w:rPr>
        <w:t>ented in the letter from the Government of Belize. The Bank has a wide experience in the provision and coordination of technical assistance to strengthen National Statistical Offices (NSO). It is uniquely positioned to serve as a clearinghouse for knowledg</w:t>
      </w:r>
      <w:r>
        <w:rPr>
          <w:rFonts w:ascii="Arial" w:hAnsi="Arial" w:cs="Arial"/>
        </w:rPr>
        <w:t>e among NSO in the LAC region. In addition, the Bank can facilitate coordination and cooperation with international development partners and the donor community to maximize synergies to build statistical capacity. The Bank can also foster innovation by att</w:t>
      </w:r>
      <w:r>
        <w:rPr>
          <w:rFonts w:ascii="Arial" w:hAnsi="Arial" w:cs="Arial"/>
        </w:rPr>
        <w:t>racting experts that are in the forefront of knowledge generation in other regions of the world. IFD/ICS will monitor the TC progress and results; maintain up-to-date information and supporting documents related to the TC; periodically prepare reports rega</w:t>
      </w:r>
      <w:r>
        <w:rPr>
          <w:rFonts w:ascii="Arial" w:hAnsi="Arial" w:cs="Arial"/>
        </w:rPr>
        <w:t xml:space="preserve">rding the status of the activities; and coordinate regular meetings with the SIB and team members to monitor issues related to the TC execution. The SIB has received financial and technical assistance from several donors for the development of statistics. </w:t>
      </w:r>
      <w:r>
        <w:rPr>
          <w:rFonts w:ascii="Arial" w:hAnsi="Arial" w:cs="Arial"/>
        </w:rPr>
        <w:t>To avoid duplication of resources the Bank is coordinating with the main providers of support to the SIB.  Statistics Canada’s PRASC is actively providing technical assistance to the SIB in many of the activities proposed by this TC.  The Bank will work cl</w:t>
      </w:r>
      <w:r>
        <w:rPr>
          <w:rFonts w:ascii="Arial" w:hAnsi="Arial" w:cs="Arial"/>
        </w:rPr>
        <w:t>osely with PRASC and plans to use its expertise in the following areas:  Component II: census taking using CAPI and Component III: data analysis and communication strategies.</w:t>
      </w:r>
    </w:p>
    <w:p w14:paraId="1D63BC54" w14:textId="77777777" w:rsidR="00194507" w:rsidRDefault="0080219D">
      <w:pPr>
        <w:spacing w:before="120" w:after="120"/>
        <w:ind w:left="579" w:hanging="579"/>
      </w:pPr>
      <w:r>
        <w:rPr>
          <w:rFonts w:ascii="Arial" w:hAnsi="Arial" w:cs="Arial"/>
          <w:b/>
        </w:rPr>
        <w:t>VI.</w:t>
      </w:r>
      <w:r>
        <w:rPr>
          <w:rFonts w:ascii="Arial" w:hAnsi="Arial" w:cs="Arial"/>
          <w:b/>
        </w:rPr>
        <w:tab/>
        <w:t>Project Risks and Issues</w:t>
      </w:r>
    </w:p>
    <w:p w14:paraId="163CA8F3" w14:textId="77777777" w:rsidR="00194507" w:rsidRDefault="0080219D">
      <w:pPr>
        <w:spacing w:before="200" w:after="200"/>
        <w:ind w:left="579" w:hanging="579"/>
        <w:jc w:val="both"/>
      </w:pPr>
      <w:r>
        <w:rPr>
          <w:rFonts w:ascii="Arial" w:hAnsi="Arial" w:cs="Arial"/>
        </w:rPr>
        <w:t>6.1</w:t>
      </w:r>
      <w:r>
        <w:rPr>
          <w:rFonts w:ascii="Arial" w:hAnsi="Arial" w:cs="Arial"/>
        </w:rPr>
        <w:tab/>
        <w:t xml:space="preserve">The principal risk associated with this project </w:t>
      </w:r>
      <w:r>
        <w:rPr>
          <w:rFonts w:ascii="Arial" w:hAnsi="Arial" w:cs="Arial"/>
        </w:rPr>
        <w:t>relates to sustainability. The TC is designed to enhance the institutional capacities of the SIB through interventions that will create medium- and long-term outcomes which will remain in the institution. Training, technical assistance, and knowledge shari</w:t>
      </w:r>
      <w:r>
        <w:rPr>
          <w:rFonts w:ascii="Arial" w:hAnsi="Arial" w:cs="Arial"/>
        </w:rPr>
        <w:t xml:space="preserve">ng from experts will be fully documented to assure that key skills are available to all SIB staff as needed. In </w:t>
      </w:r>
      <w:r>
        <w:rPr>
          <w:rFonts w:ascii="Arial" w:hAnsi="Arial" w:cs="Arial"/>
        </w:rPr>
        <w:lastRenderedPageBreak/>
        <w:t>addition, the full involvement of the SIB in the planning of the 2020 census will help to instill both administrative and technical capacities i</w:t>
      </w:r>
      <w:r>
        <w:rPr>
          <w:rFonts w:ascii="Arial" w:hAnsi="Arial" w:cs="Arial"/>
        </w:rPr>
        <w:t>n the institution.</w:t>
      </w:r>
    </w:p>
    <w:p w14:paraId="302A423A" w14:textId="77777777" w:rsidR="00194507" w:rsidRDefault="0080219D">
      <w:pPr>
        <w:spacing w:before="120" w:after="120"/>
        <w:ind w:left="579" w:hanging="579"/>
      </w:pPr>
      <w:r>
        <w:rPr>
          <w:rFonts w:ascii="Arial" w:hAnsi="Arial" w:cs="Arial"/>
          <w:b/>
        </w:rPr>
        <w:t>VII.</w:t>
      </w:r>
      <w:r>
        <w:rPr>
          <w:rFonts w:ascii="Arial" w:hAnsi="Arial" w:cs="Arial"/>
          <w:b/>
        </w:rPr>
        <w:tab/>
        <w:t>Environmental and Social Classification</w:t>
      </w:r>
    </w:p>
    <w:p w14:paraId="603B7DA4" w14:textId="77777777" w:rsidR="00194507" w:rsidRDefault="0080219D">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194507"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81E25" w14:textId="77777777" w:rsidR="0080219D" w:rsidRDefault="0080219D">
      <w:r>
        <w:separator/>
      </w:r>
    </w:p>
  </w:endnote>
  <w:endnote w:type="continuationSeparator" w:id="0">
    <w:p w14:paraId="1859989E" w14:textId="77777777" w:rsidR="0080219D" w:rsidRDefault="00802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AF870" w14:textId="77777777" w:rsidR="009D472B" w:rsidRDefault="008021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1A521" w14:textId="77777777" w:rsidR="009D472B" w:rsidRDefault="0080219D"/>
  <w:p w14:paraId="0B78BBDB" w14:textId="77777777" w:rsidR="00194507" w:rsidRDefault="0080219D">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1F2BF" w14:textId="77777777" w:rsidR="009D472B" w:rsidRDefault="008021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4CAD9" w14:textId="77777777" w:rsidR="0080219D" w:rsidRDefault="0080219D">
      <w:r>
        <w:separator/>
      </w:r>
    </w:p>
  </w:footnote>
  <w:footnote w:type="continuationSeparator" w:id="0">
    <w:p w14:paraId="4AFED8AC" w14:textId="77777777" w:rsidR="0080219D" w:rsidRDefault="008021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194507"/>
    <w:rsid w:val="00217F62"/>
    <w:rsid w:val="0080219D"/>
    <w:rsid w:val="00A906D8"/>
    <w:rsid w:val="00AB5A74"/>
    <w:rsid w:val="00CD40B0"/>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FF6F1"/>
  <w15:docId w15:val="{6516B441-A3A8-40AC-A820-4F64130C5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B921C0CD20D8440861AFC40F1C7EA94" ma:contentTypeVersion="478" ma:contentTypeDescription="A content type to manage public (operations) IDB documents" ma:contentTypeScope="" ma:versionID="71d653011326cf2a7878ad27f1c13683">
  <xsd:schema xmlns:xsd="http://www.w3.org/2001/XMLSchema" xmlns:xs="http://www.w3.org/2001/XMLSchema" xmlns:p="http://schemas.microsoft.com/office/2006/metadata/properties" xmlns:ns2="cdc7663a-08f0-4737-9e8c-148ce897a09c" targetNamespace="http://schemas.microsoft.com/office/2006/metadata/properties" ma:root="true" ma:fieldsID="dde13b8a36efc4a5e9db1e46c3687c3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Catano Guzman, Mariana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NATIONAL STATISTICS SYSTEMS AND CENSUSES</TermName>
          <TermId xmlns="http://schemas.microsoft.com/office/infopath/2007/PartnerControls">360cfdd5-25a5-4528-aaed-eba3c6aa70b0</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90</Value>
      <Value>26</Value>
      <Value>28</Value>
      <Value>1</Value>
      <Value>89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BL-T1103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EZSHARE-1236776079-16</_dlc_DocId>
    <_dlc_DocIdUrl xmlns="cdc7663a-08f0-4737-9e8c-148ce897a09c">
      <Url>https://idbg.sharepoint.com/teams/EZ-BL-TCP/BL-T1103/_layouts/15/DocIdRedir.aspx?ID=EZSHARE-1236776079-16</Url>
      <Description>EZSHARE-1236776079-16</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5AD4E04-5E17-46FD-A382-1B41E9263E0A}"/>
</file>

<file path=customXml/itemProps2.xml><?xml version="1.0" encoding="utf-8"?>
<ds:datastoreItem xmlns:ds="http://schemas.openxmlformats.org/officeDocument/2006/customXml" ds:itemID="{DD7D30FD-653C-4DC8-BB4A-C36C4FA7C0B2}"/>
</file>

<file path=customXml/itemProps3.xml><?xml version="1.0" encoding="utf-8"?>
<ds:datastoreItem xmlns:ds="http://schemas.openxmlformats.org/officeDocument/2006/customXml" ds:itemID="{8D34D199-837C-4F51-91FB-A8378695BA81}"/>
</file>

<file path=customXml/itemProps4.xml><?xml version="1.0" encoding="utf-8"?>
<ds:datastoreItem xmlns:ds="http://schemas.openxmlformats.org/officeDocument/2006/customXml" ds:itemID="{1F57BB2F-F750-4C48-9B72-18FC574B4C66}"/>
</file>

<file path=customXml/itemProps5.xml><?xml version="1.0" encoding="utf-8"?>
<ds:datastoreItem xmlns:ds="http://schemas.openxmlformats.org/officeDocument/2006/customXml" ds:itemID="{C80FEF9B-E32E-4B3E-B7D0-2F54ADDFBC1C}"/>
</file>

<file path=customXml/itemProps6.xml><?xml version="1.0" encoding="utf-8"?>
<ds:datastoreItem xmlns:ds="http://schemas.openxmlformats.org/officeDocument/2006/customXml" ds:itemID="{EFD79445-4AB3-491C-A93D-CF8F04B58921}"/>
</file>

<file path=docProps/app.xml><?xml version="1.0" encoding="utf-8"?>
<Properties xmlns="http://schemas.openxmlformats.org/officeDocument/2006/extended-properties" xmlns:vt="http://schemas.openxmlformats.org/officeDocument/2006/docPropsVTypes">
  <Template>Normal</Template>
  <TotalTime>1</TotalTime>
  <Pages>4</Pages>
  <Words>1520</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Catano Guzman, Mariana</dc:creator>
  <cp:keywords/>
  <cp:lastModifiedBy>Catano Guzman, Mariana</cp:lastModifiedBy>
  <cp:revision>2</cp:revision>
  <dcterms:created xsi:type="dcterms:W3CDTF">2018-12-04T20:52:00Z</dcterms:created>
  <dcterms:modified xsi:type="dcterms:W3CDTF">2018-12-04T20:52:00Z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90;#NATIONAL STATISTICS SYSTEMS AND CENSUSES|360cfdd5-25a5-4528-aaed-eba3c6aa70b0</vt:lpwstr>
  </property>
  <property fmtid="{D5CDD505-2E9C-101B-9397-08002B2CF9AE}" pid="7" name="Fund IDB">
    <vt:lpwstr>26;#TBD|d62f6e05-3e80-4abd-9bb4-5f10b4906ff6</vt:lpwstr>
  </property>
  <property fmtid="{D5CDD505-2E9C-101B-9397-08002B2CF9AE}" pid="8" name="Country">
    <vt:lpwstr>28;#Belize|b25f8918-d2fc-4ffa-abe7-d7f0a99f2d4b</vt:lpwstr>
  </property>
  <property fmtid="{D5CDD505-2E9C-101B-9397-08002B2CF9AE}" pid="9" name="Sector IDB">
    <vt:lpwstr>89;#REFORM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a45e83ee-cc52-4125-a3b6-040ad37cc710</vt:lpwstr>
  </property>
  <property fmtid="{D5CDD505-2E9C-101B-9397-08002B2CF9AE}" pid="12" name="ContentTypeId">
    <vt:lpwstr>0x0101001A458A224826124E8B45B1D613300CFC007B921C0CD20D8440861AFC40F1C7EA94</vt:lpwstr>
  </property>
</Properties>
</file>