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B1A" w:rsidRDefault="00680B1A">
      <w:pPr>
        <w:pStyle w:val="Heading6"/>
        <w:widowControl w:val="0"/>
        <w:jc w:val="both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>MARCO LÓGICO</w:t>
      </w:r>
      <w:bookmarkStart w:id="0" w:name="OLE_LINK7"/>
    </w:p>
    <w:p w:rsidR="00680B1A" w:rsidRDefault="00680B1A">
      <w:pPr>
        <w:pStyle w:val="Heading6"/>
        <w:widowControl w:val="0"/>
        <w:jc w:val="both"/>
        <w:rPr>
          <w:b/>
          <w:bCs/>
          <w:i w:val="0"/>
          <w:iCs w:val="0"/>
          <w:sz w:val="20"/>
          <w:szCs w:val="20"/>
          <w:lang w:val="es-ES_tradnl"/>
        </w:rPr>
      </w:pPr>
      <w:bookmarkStart w:id="1" w:name="OLE_LINK10"/>
      <w:r>
        <w:rPr>
          <w:b/>
          <w:bCs/>
        </w:rPr>
        <w:t>MAIZ QUE ALIMENTA MAS A LAS COMUNIDADES DE IXCAN</w:t>
      </w:r>
      <w:bookmarkEnd w:id="1"/>
      <w:r>
        <w:rPr>
          <w:b/>
          <w:bCs/>
          <w:smallCaps/>
          <w:lang w:val="es-ES_tradnl"/>
        </w:rPr>
        <w:t xml:space="preserve">  </w:t>
      </w:r>
      <w:bookmarkEnd w:id="0"/>
      <w:r>
        <w:rPr>
          <w:b/>
          <w:bCs/>
          <w:smallCaps/>
          <w:lang w:val="es-ES_tradnl"/>
        </w:rPr>
        <w:t>(GU-S1016)</w:t>
      </w:r>
    </w:p>
    <w:p w:rsidR="00680B1A" w:rsidRDefault="00680B1A">
      <w:pPr>
        <w:keepNext/>
        <w:widowControl w:val="0"/>
        <w:jc w:val="both"/>
        <w:rPr>
          <w:lang w:val="es-ES_tradnl"/>
        </w:rPr>
      </w:pPr>
    </w:p>
    <w:tbl>
      <w:tblPr>
        <w:tblW w:w="13860" w:type="dxa"/>
        <w:tblInd w:w="-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21"/>
        <w:gridCol w:w="4979"/>
        <w:gridCol w:w="2977"/>
        <w:gridCol w:w="2783"/>
      </w:tblGrid>
      <w:tr w:rsidR="00680B1A" w:rsidTr="00AE3057">
        <w:trPr>
          <w:trHeight w:val="457"/>
          <w:tblHeader/>
        </w:trPr>
        <w:tc>
          <w:tcPr>
            <w:tcW w:w="3121" w:type="dxa"/>
            <w:shd w:val="clear" w:color="auto" w:fill="CCCCCC"/>
            <w:vAlign w:val="center"/>
          </w:tcPr>
          <w:p w:rsidR="00680B1A" w:rsidRDefault="00680B1A">
            <w:pPr>
              <w:pStyle w:val="Heading3"/>
              <w:widowControl w:val="0"/>
              <w:spacing w:before="120" w:after="120"/>
              <w:jc w:val="both"/>
              <w:rPr>
                <w:b/>
                <w:bCs/>
                <w:sz w:val="20"/>
                <w:szCs w:val="20"/>
                <w:lang w:val="es-ES_tradnl"/>
              </w:rPr>
            </w:pPr>
            <w:r>
              <w:rPr>
                <w:b/>
                <w:bCs/>
                <w:sz w:val="20"/>
                <w:szCs w:val="20"/>
                <w:lang w:val="es-ES_tradnl"/>
              </w:rPr>
              <w:t>RESUMEN NARRATIVO</w:t>
            </w:r>
          </w:p>
        </w:tc>
        <w:tc>
          <w:tcPr>
            <w:tcW w:w="4979" w:type="dxa"/>
            <w:shd w:val="clear" w:color="auto" w:fill="CCCCCC"/>
            <w:vAlign w:val="center"/>
          </w:tcPr>
          <w:p w:rsidR="00680B1A" w:rsidRDefault="00680B1A">
            <w:pPr>
              <w:keepNext/>
              <w:widowControl w:val="0"/>
              <w:spacing w:before="120" w:after="120"/>
              <w:jc w:val="both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INDICADORES</w:t>
            </w:r>
          </w:p>
        </w:tc>
        <w:tc>
          <w:tcPr>
            <w:tcW w:w="2977" w:type="dxa"/>
            <w:shd w:val="clear" w:color="auto" w:fill="CCCCCC"/>
            <w:vAlign w:val="center"/>
          </w:tcPr>
          <w:p w:rsidR="00680B1A" w:rsidRDefault="00680B1A">
            <w:pPr>
              <w:pStyle w:val="Heading5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MEDIOS DE VERIFICACIÓN</w:t>
            </w:r>
          </w:p>
        </w:tc>
        <w:tc>
          <w:tcPr>
            <w:tcW w:w="2783" w:type="dxa"/>
            <w:shd w:val="clear" w:color="auto" w:fill="CCCCCC"/>
            <w:vAlign w:val="center"/>
          </w:tcPr>
          <w:p w:rsidR="00680B1A" w:rsidRDefault="00680B1A">
            <w:pPr>
              <w:keepNext/>
              <w:widowControl w:val="0"/>
              <w:spacing w:before="120" w:after="120"/>
              <w:jc w:val="both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SUPUESTOS</w:t>
            </w:r>
          </w:p>
        </w:tc>
      </w:tr>
      <w:tr w:rsidR="00680B1A" w:rsidTr="00AE3057">
        <w:trPr>
          <w:trHeight w:val="126"/>
        </w:trPr>
        <w:tc>
          <w:tcPr>
            <w:tcW w:w="3121" w:type="dxa"/>
            <w:vAlign w:val="center"/>
          </w:tcPr>
          <w:p w:rsidR="00680B1A" w:rsidRDefault="00680B1A">
            <w:pPr>
              <w:keepNext/>
              <w:widowControl w:val="0"/>
              <w:spacing w:before="120" w:after="120"/>
              <w:jc w:val="both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FIN</w:t>
            </w:r>
          </w:p>
        </w:tc>
        <w:tc>
          <w:tcPr>
            <w:tcW w:w="4979" w:type="dxa"/>
            <w:vAlign w:val="center"/>
          </w:tcPr>
          <w:p w:rsidR="00680B1A" w:rsidRDefault="00680B1A">
            <w:pPr>
              <w:keepNext/>
              <w:widowControl w:val="0"/>
              <w:spacing w:before="120" w:after="120"/>
              <w:jc w:val="both"/>
              <w:rPr>
                <w:b/>
                <w:bCs/>
                <w:lang w:val="es-ES_tradnl"/>
              </w:rPr>
            </w:pPr>
          </w:p>
        </w:tc>
        <w:tc>
          <w:tcPr>
            <w:tcW w:w="2977" w:type="dxa"/>
            <w:vAlign w:val="center"/>
          </w:tcPr>
          <w:p w:rsidR="00680B1A" w:rsidRDefault="00680B1A">
            <w:pPr>
              <w:keepNext/>
              <w:widowControl w:val="0"/>
              <w:spacing w:before="120" w:after="120"/>
              <w:jc w:val="both"/>
              <w:rPr>
                <w:b/>
                <w:bCs/>
                <w:lang w:val="es-ES_tradnl"/>
              </w:rPr>
            </w:pPr>
          </w:p>
        </w:tc>
        <w:tc>
          <w:tcPr>
            <w:tcW w:w="2783" w:type="dxa"/>
            <w:vAlign w:val="center"/>
          </w:tcPr>
          <w:p w:rsidR="00680B1A" w:rsidRDefault="00680B1A">
            <w:pPr>
              <w:keepNext/>
              <w:widowControl w:val="0"/>
              <w:spacing w:before="120" w:after="120"/>
              <w:jc w:val="both"/>
              <w:rPr>
                <w:b/>
                <w:bCs/>
                <w:lang w:val="es-ES_tradnl"/>
              </w:rPr>
            </w:pPr>
          </w:p>
        </w:tc>
      </w:tr>
      <w:tr w:rsidR="00680B1A" w:rsidTr="00AE3057">
        <w:trPr>
          <w:trHeight w:val="2683"/>
        </w:trPr>
        <w:tc>
          <w:tcPr>
            <w:tcW w:w="3121" w:type="dxa"/>
          </w:tcPr>
          <w:p w:rsidR="00680B1A" w:rsidRDefault="00680B1A">
            <w:pPr>
              <w:spacing w:before="60"/>
              <w:rPr>
                <w:lang w:val="es-ES_tradnl"/>
              </w:rPr>
            </w:pPr>
            <w:r>
              <w:rPr>
                <w:lang w:val="es-ES_tradnl"/>
              </w:rPr>
              <w:t xml:space="preserve">El proyecto tiene como fin </w:t>
            </w:r>
            <w:r>
              <w:t xml:space="preserve">contribuir al desarrollo socioeconómico del Municipio de Ixcán, garantizando la seguridad alimentaria y la generación de valor en la producción </w:t>
            </w:r>
          </w:p>
        </w:tc>
        <w:tc>
          <w:tcPr>
            <w:tcW w:w="4979" w:type="dxa"/>
          </w:tcPr>
          <w:p w:rsidR="00680B1A" w:rsidRDefault="00680B1A">
            <w:pPr>
              <w:spacing w:before="60"/>
            </w:pPr>
            <w:r>
              <w:t>Al final del tercer año se cuenta con un ordenamiento y especialización de  1200 pequeños productores;</w:t>
            </w:r>
          </w:p>
          <w:p w:rsidR="00680B1A" w:rsidRDefault="00680B1A">
            <w:pPr>
              <w:spacing w:before="60"/>
              <w:rPr>
                <w:lang w:val="es-ES_tradnl"/>
              </w:rPr>
            </w:pPr>
            <w:r>
              <w:t xml:space="preserve">Las familias productoras maiz han mejorado sus ingresos en un 25 % </w:t>
            </w:r>
          </w:p>
        </w:tc>
        <w:tc>
          <w:tcPr>
            <w:tcW w:w="2977" w:type="dxa"/>
          </w:tcPr>
          <w:p w:rsidR="00680B1A" w:rsidRDefault="00680B1A">
            <w:pPr>
              <w:spacing w:before="60"/>
            </w:pPr>
            <w:r>
              <w:t xml:space="preserve">Evaluación Final </w:t>
            </w:r>
          </w:p>
          <w:p w:rsidR="00680B1A" w:rsidRDefault="00680B1A">
            <w:pPr>
              <w:spacing w:before="60"/>
            </w:pPr>
            <w:r>
              <w:t>Comparación con línea de base y registros de información y documentos  sistematizados del desarrollo del proyecto.</w:t>
            </w:r>
          </w:p>
          <w:p w:rsidR="00680B1A" w:rsidRDefault="00680B1A">
            <w:pPr>
              <w:spacing w:before="60"/>
            </w:pPr>
            <w:r>
              <w:t>Informe de Desarrollo Económico del COMUDE, MAGA, ICTA.</w:t>
            </w:r>
          </w:p>
          <w:p w:rsidR="00680B1A" w:rsidRDefault="00680B1A">
            <w:pPr>
              <w:spacing w:before="60"/>
            </w:pPr>
          </w:p>
          <w:p w:rsidR="00680B1A" w:rsidRDefault="00680B1A">
            <w:pPr>
              <w:spacing w:before="60"/>
              <w:rPr>
                <w:lang w:val="es-ES_tradnl"/>
              </w:rPr>
            </w:pPr>
            <w:r>
              <w:t>Informe de pobreza de SEGEPLAN</w:t>
            </w:r>
          </w:p>
        </w:tc>
        <w:tc>
          <w:tcPr>
            <w:tcW w:w="2783" w:type="dxa"/>
          </w:tcPr>
          <w:p w:rsidR="00680B1A" w:rsidRDefault="00680B1A">
            <w:pPr>
              <w:spacing w:before="60"/>
            </w:pPr>
            <w:r>
              <w:t>En el país existe estabilidad económica y social y política que no deteriora los ingresos especialmente de la población de menores recursos.</w:t>
            </w:r>
          </w:p>
          <w:p w:rsidR="00680B1A" w:rsidRDefault="00680B1A">
            <w:pPr>
              <w:spacing w:before="60"/>
            </w:pPr>
          </w:p>
          <w:p w:rsidR="00680B1A" w:rsidRDefault="00680B1A">
            <w:pPr>
              <w:spacing w:before="60"/>
              <w:rPr>
                <w:lang w:val="es-ES_tradnl"/>
              </w:rPr>
            </w:pPr>
          </w:p>
        </w:tc>
      </w:tr>
      <w:tr w:rsidR="00680B1A" w:rsidTr="00AE3057">
        <w:trPr>
          <w:trHeight w:val="288"/>
        </w:trPr>
        <w:tc>
          <w:tcPr>
            <w:tcW w:w="3121" w:type="dxa"/>
            <w:vAlign w:val="center"/>
          </w:tcPr>
          <w:p w:rsidR="00680B1A" w:rsidRDefault="00680B1A">
            <w:pPr>
              <w:spacing w:before="6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PROPÓSITO</w:t>
            </w:r>
          </w:p>
        </w:tc>
        <w:tc>
          <w:tcPr>
            <w:tcW w:w="4979" w:type="dxa"/>
            <w:vAlign w:val="center"/>
          </w:tcPr>
          <w:p w:rsidR="00680B1A" w:rsidRDefault="00680B1A">
            <w:pPr>
              <w:spacing w:before="60"/>
              <w:rPr>
                <w:b/>
                <w:bCs/>
                <w:lang w:val="es-ES_tradnl"/>
              </w:rPr>
            </w:pPr>
          </w:p>
        </w:tc>
        <w:tc>
          <w:tcPr>
            <w:tcW w:w="2977" w:type="dxa"/>
            <w:vAlign w:val="center"/>
          </w:tcPr>
          <w:p w:rsidR="00680B1A" w:rsidRDefault="00680B1A">
            <w:pPr>
              <w:spacing w:before="60"/>
              <w:rPr>
                <w:b/>
                <w:bCs/>
                <w:lang w:val="es-ES_tradnl"/>
              </w:rPr>
            </w:pPr>
          </w:p>
        </w:tc>
        <w:tc>
          <w:tcPr>
            <w:tcW w:w="2783" w:type="dxa"/>
            <w:vAlign w:val="center"/>
          </w:tcPr>
          <w:p w:rsidR="00680B1A" w:rsidRDefault="00680B1A">
            <w:pPr>
              <w:spacing w:before="60"/>
              <w:rPr>
                <w:b/>
                <w:bCs/>
                <w:lang w:val="es-ES_tradnl"/>
              </w:rPr>
            </w:pPr>
          </w:p>
        </w:tc>
      </w:tr>
      <w:tr w:rsidR="00680B1A" w:rsidTr="00AE3057">
        <w:trPr>
          <w:trHeight w:val="4406"/>
        </w:trPr>
        <w:tc>
          <w:tcPr>
            <w:tcW w:w="3121" w:type="dxa"/>
          </w:tcPr>
          <w:p w:rsidR="00680B1A" w:rsidRDefault="00680B1A">
            <w:pPr>
              <w:spacing w:before="60"/>
              <w:rPr>
                <w:lang w:val="es-EC"/>
              </w:rPr>
            </w:pPr>
            <w:r>
              <w:t>El propósito del proyecto es dotar de la infraestructura organizativa y productiva de la cadena agroalimentaria del maíz, con el propósito de abastecer la demanda de alimentos para la ganadería, la industria de cereales y harinas para alimento humano.</w:t>
            </w:r>
          </w:p>
        </w:tc>
        <w:tc>
          <w:tcPr>
            <w:tcW w:w="4979" w:type="dxa"/>
          </w:tcPr>
          <w:p w:rsidR="00680B1A" w:rsidRDefault="00680B1A">
            <w:pPr>
              <w:spacing w:before="60"/>
            </w:pPr>
            <w:r>
              <w:t>En las comunidades seleccionadas, existen procesos de concertación público-privado liderados activamente por la comisión de desarrollo económico del Municipio.</w:t>
            </w:r>
          </w:p>
          <w:p w:rsidR="00680B1A" w:rsidRDefault="00680B1A">
            <w:pPr>
              <w:spacing w:before="60"/>
            </w:pPr>
          </w:p>
          <w:p w:rsidR="00680B1A" w:rsidRDefault="00680B1A">
            <w:pPr>
              <w:spacing w:before="60"/>
            </w:pPr>
            <w:r>
              <w:t>Al final de los tres años se cuenta la organización productiva, fortalecida e institucionalizada;</w:t>
            </w:r>
          </w:p>
          <w:p w:rsidR="00680B1A" w:rsidRDefault="00680B1A">
            <w:pPr>
              <w:spacing w:before="60"/>
            </w:pPr>
          </w:p>
          <w:p w:rsidR="00680B1A" w:rsidRDefault="00680B1A">
            <w:pPr>
              <w:spacing w:before="60"/>
            </w:pPr>
            <w:r>
              <w:t>Existe un capital acumulado de al menos US$2.200.000, resultados de la producción con tecnología de 21 MIL TM. de Maíz considerando una rentabilidad de 18% sobre costos;</w:t>
            </w:r>
          </w:p>
          <w:p w:rsidR="00680B1A" w:rsidRDefault="00680B1A">
            <w:pPr>
              <w:spacing w:before="60"/>
            </w:pPr>
          </w:p>
          <w:p w:rsidR="00680B1A" w:rsidRDefault="00680B1A">
            <w:pPr>
              <w:spacing w:before="60"/>
              <w:rPr>
                <w:lang w:val="es-ES_tradnl"/>
              </w:rPr>
            </w:pPr>
            <w:r>
              <w:t xml:space="preserve">1200 familias beneficiadas por el proyecto a través de los servicios financieros y no financieros para sus negocios rurales. </w:t>
            </w:r>
          </w:p>
        </w:tc>
        <w:tc>
          <w:tcPr>
            <w:tcW w:w="2977" w:type="dxa"/>
          </w:tcPr>
          <w:p w:rsidR="00680B1A" w:rsidRDefault="00680B1A">
            <w:pPr>
              <w:spacing w:before="60"/>
            </w:pPr>
            <w:r>
              <w:t>Existencia de la documentación legal;</w:t>
            </w:r>
          </w:p>
          <w:p w:rsidR="00680B1A" w:rsidRDefault="00680B1A">
            <w:pPr>
              <w:spacing w:before="60"/>
            </w:pPr>
            <w:r>
              <w:t>Documento de Planificación de la comunidades</w:t>
            </w:r>
          </w:p>
          <w:p w:rsidR="00680B1A" w:rsidRDefault="00680B1A">
            <w:pPr>
              <w:spacing w:before="60"/>
            </w:pPr>
            <w:r>
              <w:t>Marca comercial en el mercado local y nacional;</w:t>
            </w:r>
          </w:p>
          <w:p w:rsidR="00680B1A" w:rsidRDefault="00680B1A">
            <w:pPr>
              <w:spacing w:before="60"/>
            </w:pPr>
            <w:r>
              <w:t>Informe de producción y facturación (estados financieros)</w:t>
            </w:r>
          </w:p>
          <w:p w:rsidR="00680B1A" w:rsidRDefault="00680B1A">
            <w:pPr>
              <w:spacing w:before="60"/>
            </w:pPr>
            <w:r>
              <w:t>Entrevistas y encuestas de satisfacción del servicio de crédito a micro empresarios</w:t>
            </w:r>
          </w:p>
          <w:p w:rsidR="00680B1A" w:rsidRDefault="00680B1A">
            <w:pPr>
              <w:spacing w:before="60"/>
              <w:rPr>
                <w:lang w:val="es-ES_tradnl"/>
              </w:rPr>
            </w:pPr>
            <w:r>
              <w:t>Registros del sistema de créditos</w:t>
            </w:r>
          </w:p>
        </w:tc>
        <w:tc>
          <w:tcPr>
            <w:tcW w:w="2783" w:type="dxa"/>
          </w:tcPr>
          <w:p w:rsidR="00680B1A" w:rsidRDefault="00680B1A">
            <w:pPr>
              <w:spacing w:before="60"/>
            </w:pPr>
            <w:r>
              <w:t>El marco jurídico para descentralización publica se mantiene</w:t>
            </w:r>
          </w:p>
          <w:p w:rsidR="00680B1A" w:rsidRDefault="00680B1A">
            <w:pPr>
              <w:spacing w:before="60"/>
            </w:pPr>
            <w:r>
              <w:t>Se incide en el programa de desarrollo rural y cohesión social.</w:t>
            </w:r>
          </w:p>
          <w:p w:rsidR="00680B1A" w:rsidRDefault="00680B1A">
            <w:pPr>
              <w:spacing w:before="60"/>
            </w:pPr>
            <w:r>
              <w:t>Los procesos de aperturas de mercados a nivel global no constituyen amenazas graves para la producción agropecuaria del país</w:t>
            </w:r>
          </w:p>
          <w:p w:rsidR="00680B1A" w:rsidRDefault="00680B1A">
            <w:pPr>
              <w:spacing w:before="60"/>
              <w:rPr>
                <w:lang w:val="es-ES_tradnl"/>
              </w:rPr>
            </w:pPr>
            <w:r>
              <w:t xml:space="preserve">El equipo de créditos se involucra activamente en los programas </w:t>
            </w:r>
          </w:p>
        </w:tc>
      </w:tr>
      <w:tr w:rsidR="00680B1A" w:rsidTr="00AE3057">
        <w:trPr>
          <w:trHeight w:val="260"/>
        </w:trPr>
        <w:tc>
          <w:tcPr>
            <w:tcW w:w="13860" w:type="dxa"/>
            <w:gridSpan w:val="4"/>
            <w:shd w:val="clear" w:color="auto" w:fill="CCCCCC"/>
            <w:vAlign w:val="bottom"/>
          </w:tcPr>
          <w:p w:rsidR="00680B1A" w:rsidRDefault="00680B1A">
            <w:pPr>
              <w:pStyle w:val="Heading4"/>
              <w:widowControl w:val="0"/>
              <w:spacing w:after="12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COMPONENTES: </w:t>
            </w:r>
          </w:p>
        </w:tc>
      </w:tr>
      <w:tr w:rsidR="00680B1A" w:rsidTr="00AE3057">
        <w:trPr>
          <w:trHeight w:val="1351"/>
        </w:trPr>
        <w:tc>
          <w:tcPr>
            <w:tcW w:w="3121" w:type="dxa"/>
          </w:tcPr>
          <w:p w:rsidR="00680B1A" w:rsidRDefault="00680B1A">
            <w:pPr>
              <w:rPr>
                <w:i/>
                <w:iCs/>
                <w:u w:val="single"/>
              </w:rPr>
            </w:pPr>
            <w:r>
              <w:rPr>
                <w:i/>
                <w:iCs/>
                <w:u w:val="single"/>
              </w:rPr>
              <w:t>COMPONENTE 1:</w:t>
            </w:r>
          </w:p>
          <w:p w:rsidR="00680B1A" w:rsidRDefault="00680B1A">
            <w:pPr>
              <w:rPr>
                <w:i/>
                <w:iCs/>
                <w:u w:val="single"/>
              </w:rPr>
            </w:pPr>
            <w:r>
              <w:rPr>
                <w:i/>
                <w:iCs/>
                <w:u w:val="single"/>
              </w:rPr>
              <w:t>Financiamiento Reembolsable</w:t>
            </w:r>
          </w:p>
          <w:p w:rsidR="00680B1A" w:rsidRDefault="00680B1A">
            <w:pPr>
              <w:rPr>
                <w:i/>
                <w:iCs/>
                <w:u w:val="single"/>
              </w:rPr>
            </w:pPr>
          </w:p>
          <w:p w:rsidR="00680B1A" w:rsidRDefault="00680B1A">
            <w:r>
              <w:t>Servicios Financieros Rurales</w:t>
            </w:r>
          </w:p>
          <w:p w:rsidR="00680B1A" w:rsidRDefault="00680B1A">
            <w:pPr>
              <w:rPr>
                <w:lang w:val="es-ES_tradnl"/>
              </w:rPr>
            </w:pPr>
            <w:r>
              <w:t>Acceso a servicios financieros para la producción.</w:t>
            </w:r>
          </w:p>
        </w:tc>
        <w:tc>
          <w:tcPr>
            <w:tcW w:w="4979" w:type="dxa"/>
          </w:tcPr>
          <w:p w:rsidR="00680B1A" w:rsidRDefault="00680B1A">
            <w:bookmarkStart w:id="2" w:name="OLE_LINK1"/>
            <w:r>
              <w:t>Al final de los tres años:</w:t>
            </w:r>
          </w:p>
          <w:p w:rsidR="00680B1A" w:rsidRDefault="00680B1A">
            <w:r>
              <w:t>1200 microcréditos financiados</w:t>
            </w:r>
          </w:p>
          <w:p w:rsidR="00680B1A" w:rsidRDefault="00680B1A">
            <w:r>
              <w:t>US$. 2.200.000 En cartera activa</w:t>
            </w:r>
          </w:p>
          <w:p w:rsidR="00680B1A" w:rsidRDefault="00680B1A">
            <w:pPr>
              <w:rPr>
                <w:lang w:val="es-ES_tradnl"/>
              </w:rPr>
            </w:pPr>
            <w:r>
              <w:t>US$. 1, 400,000.00 de capital para financiar la producción de 21 Mil TM. De Maíz.</w:t>
            </w:r>
            <w:bookmarkEnd w:id="2"/>
          </w:p>
        </w:tc>
        <w:tc>
          <w:tcPr>
            <w:tcW w:w="2977" w:type="dxa"/>
          </w:tcPr>
          <w:p w:rsidR="00680B1A" w:rsidRDefault="00680B1A">
            <w:r>
              <w:t>Registro de micro créditos otorgados</w:t>
            </w:r>
          </w:p>
          <w:p w:rsidR="00680B1A" w:rsidRDefault="00680B1A">
            <w:r>
              <w:t>Reporte de cartera</w:t>
            </w:r>
          </w:p>
          <w:p w:rsidR="00680B1A" w:rsidRDefault="00680B1A"/>
          <w:p w:rsidR="00680B1A" w:rsidRDefault="00680B1A">
            <w:pPr>
              <w:rPr>
                <w:lang w:val="es-ES_tradnl"/>
              </w:rPr>
            </w:pPr>
            <w:r>
              <w:t>Informe de resultados individuales por asesor</w:t>
            </w:r>
          </w:p>
        </w:tc>
        <w:tc>
          <w:tcPr>
            <w:tcW w:w="2783" w:type="dxa"/>
          </w:tcPr>
          <w:p w:rsidR="00680B1A" w:rsidRDefault="00680B1A">
            <w:pPr>
              <w:rPr>
                <w:lang w:val="es-ES_tradnl"/>
              </w:rPr>
            </w:pPr>
            <w:r>
              <w:t>Se apalanca recursos para la ampliación de la cartera.</w:t>
            </w:r>
          </w:p>
        </w:tc>
      </w:tr>
      <w:tr w:rsidR="00680B1A" w:rsidTr="00AE3057">
        <w:trPr>
          <w:trHeight w:val="2296"/>
        </w:trPr>
        <w:tc>
          <w:tcPr>
            <w:tcW w:w="3121" w:type="dxa"/>
          </w:tcPr>
          <w:p w:rsidR="00680B1A" w:rsidRDefault="00680B1A">
            <w:pPr>
              <w:rPr>
                <w:i/>
                <w:iCs/>
                <w:u w:val="single"/>
              </w:rPr>
            </w:pPr>
            <w:r>
              <w:rPr>
                <w:i/>
                <w:iCs/>
                <w:u w:val="single"/>
              </w:rPr>
              <w:t>COMPONENTE 2:</w:t>
            </w:r>
          </w:p>
          <w:p w:rsidR="00680B1A" w:rsidRDefault="00680B1A">
            <w:pPr>
              <w:rPr>
                <w:i/>
                <w:iCs/>
                <w:u w:val="single"/>
                <w:lang w:val="es-ES_tradnl"/>
              </w:rPr>
            </w:pPr>
            <w:r>
              <w:rPr>
                <w:i/>
                <w:iCs/>
                <w:u w:val="single"/>
              </w:rPr>
              <w:t>Cooperaci</w:t>
            </w:r>
            <w:r>
              <w:rPr>
                <w:i/>
                <w:iCs/>
                <w:u w:val="single"/>
                <w:lang w:val="es-ES_tradnl"/>
              </w:rPr>
              <w:t>ón Técnica</w:t>
            </w:r>
          </w:p>
          <w:p w:rsidR="00680B1A" w:rsidRDefault="00680B1A">
            <w:r>
              <w:t>2.1. Asistencia Técnica Agroindustrial.</w:t>
            </w:r>
          </w:p>
          <w:p w:rsidR="00680B1A" w:rsidRDefault="00680B1A"/>
          <w:p w:rsidR="00680B1A" w:rsidRDefault="00680B1A">
            <w:pPr>
              <w:rPr>
                <w:lang w:val="es-ES_tradnl"/>
              </w:rPr>
            </w:pPr>
          </w:p>
        </w:tc>
        <w:tc>
          <w:tcPr>
            <w:tcW w:w="4979" w:type="dxa"/>
          </w:tcPr>
          <w:p w:rsidR="00680B1A" w:rsidRDefault="00680B1A">
            <w:r>
              <w:t>Al final de los tres años de proyecto:</w:t>
            </w:r>
          </w:p>
          <w:p w:rsidR="00680B1A" w:rsidRDefault="00680B1A">
            <w:r>
              <w:t>Se habrán asistido técnicamente 6 mil Ha. Anuales.(3000*2 c/h)</w:t>
            </w:r>
          </w:p>
          <w:p w:rsidR="00680B1A" w:rsidRDefault="00680B1A"/>
          <w:p w:rsidR="00680B1A" w:rsidRDefault="00680B1A">
            <w:r>
              <w:t>40 instancias comunales, organizadas y funcionando</w:t>
            </w:r>
          </w:p>
          <w:p w:rsidR="00680B1A" w:rsidRDefault="00680B1A"/>
          <w:p w:rsidR="00680B1A" w:rsidRDefault="00680B1A">
            <w:r>
              <w:t>1 comité central de la cadena agroalimentaria, constituido y funcionando.</w:t>
            </w:r>
          </w:p>
          <w:p w:rsidR="00680B1A" w:rsidRDefault="00680B1A">
            <w:pPr>
              <w:rPr>
                <w:lang w:val="es-ES_tradnl"/>
              </w:rPr>
            </w:pPr>
            <w:r>
              <w:t>40 asambleas de productores participan en instancias de concertación para el proyecto</w:t>
            </w:r>
          </w:p>
        </w:tc>
        <w:tc>
          <w:tcPr>
            <w:tcW w:w="2977" w:type="dxa"/>
          </w:tcPr>
          <w:p w:rsidR="00680B1A" w:rsidRDefault="00680B1A">
            <w:r>
              <w:t>Informes de Desarrollo Económico</w:t>
            </w:r>
          </w:p>
          <w:p w:rsidR="00680B1A" w:rsidRDefault="00680B1A">
            <w:r>
              <w:t>Registro de visitas y reuniones de planificación</w:t>
            </w:r>
          </w:p>
          <w:p w:rsidR="00680B1A" w:rsidRDefault="00680B1A">
            <w:r>
              <w:t>Registro de actas de las COCODES de cada comunidad.</w:t>
            </w:r>
          </w:p>
          <w:p w:rsidR="00680B1A" w:rsidRDefault="00680B1A">
            <w:pPr>
              <w:rPr>
                <w:lang w:val="pt-BR"/>
              </w:rPr>
            </w:pPr>
            <w:r>
              <w:rPr>
                <w:lang w:val="pt-BR"/>
              </w:rPr>
              <w:t>Registro e informes de asistencia técnica</w:t>
            </w:r>
          </w:p>
        </w:tc>
        <w:tc>
          <w:tcPr>
            <w:tcW w:w="2783" w:type="dxa"/>
          </w:tcPr>
          <w:p w:rsidR="00680B1A" w:rsidRDefault="00680B1A">
            <w:pPr>
              <w:rPr>
                <w:lang w:val="es-ES_tradnl"/>
              </w:rPr>
            </w:pPr>
            <w:r>
              <w:t>Se involucra a las autoridades comunitarias para la coordinación de las actividades</w:t>
            </w:r>
          </w:p>
        </w:tc>
      </w:tr>
      <w:tr w:rsidR="00680B1A" w:rsidTr="00AE3057">
        <w:trPr>
          <w:trHeight w:val="2053"/>
        </w:trPr>
        <w:tc>
          <w:tcPr>
            <w:tcW w:w="3121" w:type="dxa"/>
          </w:tcPr>
          <w:p w:rsidR="00680B1A" w:rsidRDefault="00680B1A">
            <w:r>
              <w:t>2.2 Capacitación agroindustrial y gerencial.</w:t>
            </w:r>
          </w:p>
          <w:p w:rsidR="00680B1A" w:rsidRDefault="00680B1A"/>
          <w:p w:rsidR="00680B1A" w:rsidRDefault="00680B1A">
            <w:pPr>
              <w:rPr>
                <w:lang w:val="es-ES_tradnl"/>
              </w:rPr>
            </w:pPr>
          </w:p>
        </w:tc>
        <w:tc>
          <w:tcPr>
            <w:tcW w:w="4979" w:type="dxa"/>
          </w:tcPr>
          <w:p w:rsidR="00680B1A" w:rsidRDefault="00680B1A">
            <w:r>
              <w:t>Al final de los tres años de proyecto:</w:t>
            </w:r>
          </w:p>
          <w:p w:rsidR="00680B1A" w:rsidRDefault="00680B1A">
            <w:r>
              <w:t>1200 productores de maíz capacitados en buenas prácticas agrícolas.</w:t>
            </w:r>
          </w:p>
          <w:p w:rsidR="00680B1A" w:rsidRDefault="00680B1A"/>
          <w:p w:rsidR="00680B1A" w:rsidRDefault="00680B1A">
            <w:r>
              <w:t>80 líderes de los productores capacitados en manejo industrial para la transformación del maíz en sub productos y derivados</w:t>
            </w:r>
          </w:p>
          <w:p w:rsidR="00680B1A" w:rsidRDefault="00680B1A"/>
          <w:p w:rsidR="00680B1A" w:rsidRDefault="00680B1A">
            <w:r>
              <w:t>10 empleados capacitados en las áreas gerenciales a fines al proyecto.</w:t>
            </w:r>
          </w:p>
          <w:p w:rsidR="00680B1A" w:rsidRDefault="00680B1A">
            <w:pPr>
              <w:rPr>
                <w:lang w:val="es-ES_tradnl"/>
              </w:rPr>
            </w:pPr>
          </w:p>
        </w:tc>
        <w:tc>
          <w:tcPr>
            <w:tcW w:w="2977" w:type="dxa"/>
          </w:tcPr>
          <w:p w:rsidR="00680B1A" w:rsidRDefault="00680B1A">
            <w:r>
              <w:t>Registro de productores capacitados</w:t>
            </w:r>
          </w:p>
          <w:p w:rsidR="00680B1A" w:rsidRDefault="00680B1A"/>
          <w:p w:rsidR="00680B1A" w:rsidRDefault="00680B1A">
            <w:pPr>
              <w:rPr>
                <w:lang w:val="es-ES_tradnl"/>
              </w:rPr>
            </w:pPr>
            <w:r>
              <w:t>Registro de empleados capacitados</w:t>
            </w:r>
          </w:p>
        </w:tc>
        <w:tc>
          <w:tcPr>
            <w:tcW w:w="2783" w:type="dxa"/>
          </w:tcPr>
          <w:p w:rsidR="00680B1A" w:rsidRDefault="00680B1A">
            <w:pPr>
              <w:rPr>
                <w:lang w:val="es-ES_tradnl"/>
              </w:rPr>
            </w:pPr>
            <w:r>
              <w:t>Se integran a los eslabones que integran la cadena.</w:t>
            </w:r>
          </w:p>
        </w:tc>
      </w:tr>
      <w:tr w:rsidR="00680B1A" w:rsidTr="00AE3057">
        <w:tblPrEx>
          <w:tblCellMar>
            <w:left w:w="108" w:type="dxa"/>
            <w:right w:w="108" w:type="dxa"/>
          </w:tblCellMar>
        </w:tblPrEx>
        <w:trPr>
          <w:trHeight w:val="64"/>
        </w:trPr>
        <w:tc>
          <w:tcPr>
            <w:tcW w:w="3121" w:type="dxa"/>
          </w:tcPr>
          <w:p w:rsidR="00680B1A" w:rsidRDefault="00680B1A">
            <w:r>
              <w:t>2.3 Organización y Agrupamiento empresarial.</w:t>
            </w:r>
          </w:p>
          <w:p w:rsidR="00680B1A" w:rsidRDefault="00680B1A"/>
          <w:p w:rsidR="00680B1A" w:rsidRDefault="00680B1A"/>
        </w:tc>
        <w:tc>
          <w:tcPr>
            <w:tcW w:w="4979" w:type="dxa"/>
          </w:tcPr>
          <w:p w:rsidR="00680B1A" w:rsidRDefault="00680B1A">
            <w:r>
              <w:t>Al final de los tres años de proyecto:</w:t>
            </w:r>
          </w:p>
          <w:p w:rsidR="00680B1A" w:rsidRDefault="00680B1A">
            <w:r>
              <w:t>1 Comité central de la cadena del maíz</w:t>
            </w:r>
          </w:p>
          <w:p w:rsidR="00680B1A" w:rsidRDefault="00680B1A">
            <w:r>
              <w:t>40 comités de productores agrícolas</w:t>
            </w:r>
          </w:p>
          <w:p w:rsidR="00680B1A" w:rsidRDefault="00680B1A">
            <w:r>
              <w:t>40 micro empresas comercializadoras de insumos agrícolas de la comunidad.</w:t>
            </w:r>
          </w:p>
          <w:p w:rsidR="00680B1A" w:rsidRDefault="00680B1A">
            <w:r>
              <w:t>1 Empresa comercializadora central, productora de semillas certificadas y mecanización agrícola.</w:t>
            </w:r>
          </w:p>
        </w:tc>
        <w:tc>
          <w:tcPr>
            <w:tcW w:w="2977" w:type="dxa"/>
          </w:tcPr>
          <w:p w:rsidR="00680B1A" w:rsidRDefault="00680B1A">
            <w:r>
              <w:t>Existe la documentación legal</w:t>
            </w:r>
          </w:p>
          <w:p w:rsidR="00680B1A" w:rsidRDefault="00680B1A">
            <w:r>
              <w:t>Marca comercial en el mercado local y nacional</w:t>
            </w:r>
          </w:p>
          <w:p w:rsidR="00680B1A" w:rsidRDefault="00680B1A">
            <w:r>
              <w:t>Informes de producción y facturación</w:t>
            </w:r>
          </w:p>
          <w:p w:rsidR="00680B1A" w:rsidRDefault="00680B1A">
            <w:r>
              <w:t>Estados financieros</w:t>
            </w:r>
          </w:p>
        </w:tc>
        <w:tc>
          <w:tcPr>
            <w:tcW w:w="2783" w:type="dxa"/>
          </w:tcPr>
          <w:p w:rsidR="00680B1A" w:rsidRDefault="00680B1A">
            <w:r>
              <w:t>Se mantiene la política de desarrollo rural y se lleva a la práctica los incentivos para la organización</w:t>
            </w:r>
          </w:p>
        </w:tc>
      </w:tr>
      <w:tr w:rsidR="00680B1A" w:rsidTr="00AE3057">
        <w:tblPrEx>
          <w:tblCellMar>
            <w:left w:w="108" w:type="dxa"/>
            <w:right w:w="108" w:type="dxa"/>
          </w:tblCellMar>
        </w:tblPrEx>
        <w:trPr>
          <w:trHeight w:val="64"/>
        </w:trPr>
        <w:tc>
          <w:tcPr>
            <w:tcW w:w="3121" w:type="dxa"/>
          </w:tcPr>
          <w:p w:rsidR="00680B1A" w:rsidRDefault="00680B1A">
            <w:pPr>
              <w:rPr>
                <w:i/>
                <w:iCs/>
                <w:u w:val="single"/>
              </w:rPr>
            </w:pPr>
            <w:r>
              <w:rPr>
                <w:i/>
                <w:iCs/>
                <w:u w:val="single"/>
              </w:rPr>
              <w:t>COMPONENTE 3:</w:t>
            </w:r>
          </w:p>
          <w:p w:rsidR="00680B1A" w:rsidRDefault="00680B1A">
            <w:pPr>
              <w:rPr>
                <w:i/>
                <w:iCs/>
                <w:u w:val="single"/>
              </w:rPr>
            </w:pPr>
            <w:r>
              <w:rPr>
                <w:i/>
                <w:iCs/>
                <w:u w:val="single"/>
              </w:rPr>
              <w:t>Financiamiento No Reembolsable</w:t>
            </w:r>
          </w:p>
        </w:tc>
        <w:tc>
          <w:tcPr>
            <w:tcW w:w="4979" w:type="dxa"/>
          </w:tcPr>
          <w:p w:rsidR="00680B1A" w:rsidRDefault="00680B1A">
            <w:r>
              <w:t>Al final de los tres años de proyecto:</w:t>
            </w:r>
          </w:p>
          <w:p w:rsidR="00680B1A" w:rsidRDefault="00680B1A">
            <w:r>
              <w:t>1 Sociedad Anónima constituida</w:t>
            </w:r>
          </w:p>
          <w:p w:rsidR="00680B1A" w:rsidRDefault="00680B1A">
            <w:r>
              <w:t>Primera fase de la planta construida</w:t>
            </w:r>
          </w:p>
        </w:tc>
        <w:tc>
          <w:tcPr>
            <w:tcW w:w="2977" w:type="dxa"/>
          </w:tcPr>
          <w:p w:rsidR="00680B1A" w:rsidRDefault="00680B1A">
            <w:r>
              <w:t>Existe  documentación legal</w:t>
            </w:r>
          </w:p>
          <w:p w:rsidR="00680B1A" w:rsidRDefault="00680B1A">
            <w:r>
              <w:t>Planta construida</w:t>
            </w:r>
          </w:p>
          <w:p w:rsidR="00680B1A" w:rsidRDefault="00680B1A">
            <w:r>
              <w:t>Estados financieros</w:t>
            </w:r>
          </w:p>
        </w:tc>
        <w:tc>
          <w:tcPr>
            <w:tcW w:w="2783" w:type="dxa"/>
          </w:tcPr>
          <w:p w:rsidR="00680B1A" w:rsidRDefault="00680B1A"/>
          <w:p w:rsidR="00680B1A" w:rsidRDefault="00680B1A">
            <w:r>
              <w:t>Se hace una buena promoción para la integración de socios accionistas</w:t>
            </w:r>
          </w:p>
          <w:p w:rsidR="00680B1A" w:rsidRDefault="00680B1A"/>
        </w:tc>
      </w:tr>
      <w:tr w:rsidR="00680B1A" w:rsidTr="00AE3057">
        <w:trPr>
          <w:trHeight w:val="518"/>
        </w:trPr>
        <w:tc>
          <w:tcPr>
            <w:tcW w:w="13860" w:type="dxa"/>
            <w:gridSpan w:val="4"/>
            <w:shd w:val="clear" w:color="auto" w:fill="B3B3B3"/>
          </w:tcPr>
          <w:p w:rsidR="00680B1A" w:rsidRDefault="00680B1A">
            <w:pPr>
              <w:keepNext/>
              <w:widowControl w:val="0"/>
              <w:spacing w:before="120" w:after="120"/>
              <w:jc w:val="both"/>
              <w:rPr>
                <w:b/>
                <w:bCs/>
                <w:snapToGrid w:val="0"/>
                <w:color w:val="000000"/>
                <w:lang w:val="es-ES_tradnl" w:eastAsia="de-DE"/>
              </w:rPr>
            </w:pPr>
            <w:r>
              <w:rPr>
                <w:b/>
                <w:bCs/>
                <w:snapToGrid w:val="0"/>
                <w:color w:val="000000"/>
                <w:lang w:val="es-ES_tradnl" w:eastAsia="de-DE"/>
              </w:rPr>
              <w:t xml:space="preserve">Componente I: </w:t>
            </w:r>
          </w:p>
        </w:tc>
      </w:tr>
      <w:tr w:rsidR="00680B1A" w:rsidTr="00AE3057">
        <w:trPr>
          <w:trHeight w:val="235"/>
        </w:trPr>
        <w:tc>
          <w:tcPr>
            <w:tcW w:w="3121" w:type="dxa"/>
          </w:tcPr>
          <w:p w:rsidR="00680B1A" w:rsidRDefault="00680B1A">
            <w:pPr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ACTIVIDADES</w:t>
            </w:r>
          </w:p>
          <w:p w:rsidR="00680B1A" w:rsidRDefault="00680B1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COMPONENTE 1:</w:t>
            </w:r>
          </w:p>
          <w:p w:rsidR="00680B1A" w:rsidRDefault="00680B1A">
            <w:pPr>
              <w:rPr>
                <w:b/>
                <w:bCs/>
              </w:rPr>
            </w:pPr>
            <w:r>
              <w:rPr>
                <w:b/>
                <w:bCs/>
              </w:rPr>
              <w:t>Servicios Financieros Rurales</w:t>
            </w:r>
          </w:p>
          <w:p w:rsidR="00680B1A" w:rsidRDefault="00680B1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Programa de microcréditos</w:t>
            </w:r>
          </w:p>
          <w:p w:rsidR="00680B1A" w:rsidRDefault="00680B1A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BID:     US$450,000.00</w:t>
            </w:r>
          </w:p>
          <w:p w:rsidR="00680B1A" w:rsidRDefault="00680B1A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 xml:space="preserve">ADEL: US$323,000.00 </w:t>
            </w:r>
          </w:p>
          <w:p w:rsidR="00680B1A" w:rsidRDefault="00680B1A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  <w:lang w:val="en-GB"/>
              </w:rPr>
            </w:pPr>
          </w:p>
          <w:p w:rsidR="00680B1A" w:rsidRDefault="00680B1A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  <w:p w:rsidR="00680B1A" w:rsidRDefault="00680B1A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  <w:p w:rsidR="00680B1A" w:rsidRDefault="00680B1A">
            <w:pPr>
              <w:keepNext/>
              <w:widowControl w:val="0"/>
              <w:jc w:val="both"/>
              <w:rPr>
                <w:snapToGrid w:val="0"/>
                <w:color w:val="000000"/>
                <w:lang w:val="es-ES_tradnl"/>
              </w:rPr>
            </w:pPr>
          </w:p>
        </w:tc>
        <w:tc>
          <w:tcPr>
            <w:tcW w:w="4979" w:type="dxa"/>
          </w:tcPr>
          <w:p w:rsidR="00680B1A" w:rsidRPr="00C846DB" w:rsidRDefault="00680B1A">
            <w:r w:rsidRPr="00C846DB">
              <w:t>Año 1</w:t>
            </w:r>
          </w:p>
          <w:p w:rsidR="00680B1A" w:rsidRPr="00C846DB" w:rsidRDefault="00680B1A">
            <w:r w:rsidRPr="00C846DB">
              <w:t>1,100 clientes, identificados y seleccionados, analizados y aprobados permanecen en la cartera activa</w:t>
            </w:r>
          </w:p>
          <w:p w:rsidR="00680B1A" w:rsidRPr="00C846DB" w:rsidRDefault="00680B1A">
            <w:r w:rsidRPr="00C846DB">
              <w:t>Año 2</w:t>
            </w:r>
          </w:p>
          <w:p w:rsidR="00680B1A" w:rsidRPr="00C846DB" w:rsidRDefault="00680B1A" w:rsidP="00C846DB">
            <w:r w:rsidRPr="00C846DB">
              <w:t>1,200 clientes, identificados y seleccionados, analizados y aprobados permanecen en la cartera activa</w:t>
            </w:r>
          </w:p>
          <w:p w:rsidR="00680B1A" w:rsidRPr="00C846DB" w:rsidRDefault="00680B1A">
            <w:r w:rsidRPr="00C846DB">
              <w:t>Año 3</w:t>
            </w:r>
          </w:p>
          <w:p w:rsidR="00680B1A" w:rsidRPr="00C846DB" w:rsidRDefault="00680B1A" w:rsidP="00C846DB">
            <w:r w:rsidRPr="00C846DB">
              <w:t>1,245 clientes, identificados y seleccionados, analizados y aprobados permanecen en la cartera activa</w:t>
            </w:r>
          </w:p>
          <w:p w:rsidR="00680B1A" w:rsidRPr="00C846DB" w:rsidRDefault="00680B1A">
            <w:pPr>
              <w:keepNext/>
              <w:widowControl w:val="0"/>
              <w:tabs>
                <w:tab w:val="left" w:pos="3450"/>
              </w:tabs>
              <w:spacing w:before="60"/>
              <w:jc w:val="both"/>
            </w:pPr>
          </w:p>
        </w:tc>
        <w:tc>
          <w:tcPr>
            <w:tcW w:w="2977" w:type="dxa"/>
          </w:tcPr>
          <w:p w:rsidR="00680B1A" w:rsidRDefault="00680B1A">
            <w:r>
              <w:t>Registro de créditos otorgados</w:t>
            </w:r>
          </w:p>
          <w:p w:rsidR="00680B1A" w:rsidRDefault="00680B1A">
            <w:r>
              <w:t>Reportes mensuales y anuales de cartera</w:t>
            </w:r>
          </w:p>
          <w:p w:rsidR="00680B1A" w:rsidRDefault="00680B1A">
            <w:r>
              <w:t>Reportes de nuevos créditos otorgados</w:t>
            </w:r>
          </w:p>
          <w:p w:rsidR="00680B1A" w:rsidRDefault="00680B1A">
            <w:r>
              <w:t>Informes de resultados individuales por asesor</w:t>
            </w:r>
          </w:p>
          <w:p w:rsidR="00680B1A" w:rsidRDefault="00680B1A">
            <w:r>
              <w:t>Documentación legal, y póliza de seguros</w:t>
            </w:r>
          </w:p>
          <w:p w:rsidR="00680B1A" w:rsidRDefault="00680B1A">
            <w:pPr>
              <w:keepNext/>
              <w:widowControl w:val="0"/>
              <w:jc w:val="both"/>
              <w:rPr>
                <w:lang w:val="es-ES_tradnl"/>
              </w:rPr>
            </w:pPr>
            <w:r>
              <w:t>Registros de cartera</w:t>
            </w:r>
          </w:p>
        </w:tc>
        <w:tc>
          <w:tcPr>
            <w:tcW w:w="2783" w:type="dxa"/>
          </w:tcPr>
          <w:p w:rsidR="00680B1A" w:rsidRDefault="00680B1A">
            <w:r>
              <w:t>Se cuenta con los recursos para la ampliación de la cartera en forma oportuna</w:t>
            </w:r>
          </w:p>
          <w:p w:rsidR="00680B1A" w:rsidRDefault="00680B1A"/>
          <w:p w:rsidR="00680B1A" w:rsidRDefault="00680B1A"/>
          <w:p w:rsidR="00680B1A" w:rsidRDefault="00680B1A">
            <w:pPr>
              <w:keepNext/>
              <w:widowControl w:val="0"/>
              <w:jc w:val="both"/>
              <w:rPr>
                <w:snapToGrid w:val="0"/>
                <w:color w:val="000000"/>
                <w:lang w:val="es-ES_tradnl" w:eastAsia="de-DE"/>
              </w:rPr>
            </w:pPr>
            <w:r>
              <w:t>Se firma el convenio con Guateinvierte y se paga la contrapartida de 30% del costo de la prima por parte de los agricultores</w:t>
            </w:r>
          </w:p>
        </w:tc>
      </w:tr>
      <w:tr w:rsidR="00680B1A" w:rsidTr="00AE3057">
        <w:trPr>
          <w:trHeight w:val="261"/>
        </w:trPr>
        <w:tc>
          <w:tcPr>
            <w:tcW w:w="13860" w:type="dxa"/>
            <w:gridSpan w:val="4"/>
            <w:shd w:val="clear" w:color="auto" w:fill="C0C0C0"/>
          </w:tcPr>
          <w:p w:rsidR="00680B1A" w:rsidRDefault="00680B1A">
            <w:pPr>
              <w:keepNext/>
              <w:widowControl w:val="0"/>
              <w:spacing w:before="60"/>
              <w:jc w:val="both"/>
              <w:rPr>
                <w:b/>
                <w:bCs/>
                <w:snapToGrid w:val="0"/>
                <w:color w:val="000000"/>
                <w:lang w:val="es-ES_tradnl" w:eastAsia="de-DE"/>
              </w:rPr>
            </w:pPr>
            <w:r>
              <w:rPr>
                <w:b/>
                <w:bCs/>
                <w:snapToGrid w:val="0"/>
                <w:color w:val="000000"/>
                <w:lang w:val="es-ES_tradnl" w:eastAsia="de-DE"/>
              </w:rPr>
              <w:t>Componente II:</w:t>
            </w:r>
          </w:p>
        </w:tc>
      </w:tr>
      <w:tr w:rsidR="00680B1A" w:rsidTr="00AE3057">
        <w:trPr>
          <w:trHeight w:val="70"/>
        </w:trPr>
        <w:tc>
          <w:tcPr>
            <w:tcW w:w="3121" w:type="dxa"/>
          </w:tcPr>
          <w:p w:rsidR="00680B1A" w:rsidRDefault="00680B1A">
            <w:pPr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ACTIVIDADES</w:t>
            </w:r>
          </w:p>
          <w:p w:rsidR="00680B1A" w:rsidRDefault="00680B1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COMPONENTE 2:</w:t>
            </w:r>
          </w:p>
          <w:p w:rsidR="00680B1A" w:rsidRDefault="00680B1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COOPERACION TÉCNICA</w:t>
            </w:r>
          </w:p>
          <w:p w:rsidR="00680B1A" w:rsidRDefault="00680B1A">
            <w:pPr>
              <w:rPr>
                <w:b/>
                <w:bCs/>
              </w:rPr>
            </w:pPr>
            <w:r>
              <w:rPr>
                <w:b/>
                <w:bCs/>
              </w:rPr>
              <w:t>2.1 Asistencia Técnica Agroindustrial</w:t>
            </w:r>
          </w:p>
          <w:p w:rsidR="00680B1A" w:rsidRDefault="00680B1A">
            <w:pPr>
              <w:rPr>
                <w:b/>
                <w:bCs/>
              </w:rPr>
            </w:pPr>
          </w:p>
          <w:p w:rsidR="00680B1A" w:rsidRDefault="00680B1A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 xml:space="preserve">BID:     US$.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37.640</w:t>
            </w:r>
          </w:p>
          <w:p w:rsidR="00680B1A" w:rsidRDefault="00680B1A">
            <w:r>
              <w:t xml:space="preserve">       ADEL: US$. 62.931</w:t>
            </w:r>
          </w:p>
          <w:p w:rsidR="00680B1A" w:rsidRDefault="00680B1A">
            <w:pPr>
              <w:rPr>
                <w:b/>
                <w:bCs/>
              </w:rPr>
            </w:pPr>
          </w:p>
          <w:p w:rsidR="00680B1A" w:rsidRDefault="00680B1A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Empoderamiento de los actores locales</w:t>
            </w:r>
          </w:p>
          <w:p w:rsidR="00680B1A" w:rsidRDefault="00680B1A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80B1A" w:rsidRDefault="00680B1A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</w:rPr>
            </w:pPr>
          </w:p>
          <w:p w:rsidR="00680B1A" w:rsidRDefault="00680B1A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Desarrollo  Agrícola en producción y comercialización</w:t>
            </w:r>
          </w:p>
          <w:p w:rsidR="00680B1A" w:rsidRDefault="00680B1A">
            <w:pPr>
              <w:rPr>
                <w:b/>
                <w:bCs/>
              </w:rPr>
            </w:pPr>
          </w:p>
          <w:p w:rsidR="00680B1A" w:rsidRDefault="00680B1A">
            <w:pPr>
              <w:rPr>
                <w:b/>
                <w:bCs/>
              </w:rPr>
            </w:pPr>
          </w:p>
          <w:p w:rsidR="00680B1A" w:rsidRDefault="00680B1A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Desarrollo Agroindustrial</w:t>
            </w:r>
          </w:p>
          <w:p w:rsidR="00680B1A" w:rsidRDefault="00680B1A">
            <w:pPr>
              <w:keepNext/>
              <w:widowControl w:val="0"/>
              <w:rPr>
                <w:snapToGrid w:val="0"/>
                <w:color w:val="000000"/>
                <w:lang w:val="es-ES_tradnl" w:eastAsia="de-DE"/>
              </w:rPr>
            </w:pPr>
          </w:p>
        </w:tc>
        <w:tc>
          <w:tcPr>
            <w:tcW w:w="4979" w:type="dxa"/>
          </w:tcPr>
          <w:p w:rsidR="00680B1A" w:rsidRDefault="00680B1A"/>
          <w:p w:rsidR="00680B1A" w:rsidRDefault="00680B1A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Año 1</w:t>
            </w:r>
          </w:p>
          <w:p w:rsidR="00680B1A" w:rsidRDefault="00680B1A">
            <w:pPr>
              <w:pStyle w:val="Prrafodelista"/>
              <w:numPr>
                <w:ilvl w:val="1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Promoción del sistema de la cadena Agroalimentaria del maíz en las 20 comunidades seleccionadas;</w:t>
            </w:r>
          </w:p>
          <w:p w:rsidR="00680B1A" w:rsidRDefault="00680B1A">
            <w:pPr>
              <w:pStyle w:val="Prrafodelista"/>
              <w:numPr>
                <w:ilvl w:val="1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 modelo, organizativo y participativo comunitario;</w:t>
            </w:r>
          </w:p>
          <w:p w:rsidR="00680B1A" w:rsidRDefault="00680B1A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0B1A" w:rsidRDefault="00680B1A">
            <w:pPr>
              <w:pStyle w:val="Prrafodelista"/>
              <w:numPr>
                <w:ilvl w:val="1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Desarrollo de un sistema tecnológico para la producción y comercialización del maíz en 20 comunidades;</w:t>
            </w:r>
          </w:p>
          <w:p w:rsidR="00680B1A" w:rsidRDefault="00680B1A">
            <w:pPr>
              <w:pStyle w:val="Prrafodelista"/>
              <w:numPr>
                <w:ilvl w:val="1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Aplicación de paquete tecnológico a 1 mil hectáreas en 2 cosechas por año;</w:t>
            </w:r>
          </w:p>
          <w:p w:rsidR="00680B1A" w:rsidRDefault="00680B1A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0B1A" w:rsidRDefault="00680B1A">
            <w:pPr>
              <w:numPr>
                <w:ilvl w:val="1"/>
                <w:numId w:val="7"/>
              </w:numPr>
            </w:pPr>
            <w:r>
              <w:t>Generación de un sistema tecnológico para la producción industrial de grits y harinas</w:t>
            </w:r>
          </w:p>
          <w:p w:rsidR="00680B1A" w:rsidRDefault="00680B1A">
            <w:pPr>
              <w:pStyle w:val="Prrafodelist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0B1A" w:rsidRDefault="00680B1A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Año 2</w:t>
            </w:r>
          </w:p>
          <w:p w:rsidR="00680B1A" w:rsidRDefault="00680B1A">
            <w:pPr>
              <w:pStyle w:val="Prrafodelista"/>
              <w:numPr>
                <w:ilvl w:val="1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Promoción del sistema de la cadena Agroalimentaria del maíz en las 30 comunidades seleccionadas;</w:t>
            </w:r>
          </w:p>
          <w:p w:rsidR="00680B1A" w:rsidRDefault="00680B1A">
            <w:pPr>
              <w:pStyle w:val="Prrafodelista"/>
              <w:numPr>
                <w:ilvl w:val="1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Fortalecido y posicionado modelo, organizativo y participativo comunitario;</w:t>
            </w:r>
          </w:p>
          <w:p w:rsidR="00680B1A" w:rsidRDefault="00680B1A">
            <w:pPr>
              <w:pStyle w:val="Prrafodelist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0B1A" w:rsidRDefault="00680B1A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Desarrollo de un sistema tecnológico para la producción y comercialización del maíz en 30 comunidades;</w:t>
            </w:r>
          </w:p>
          <w:p w:rsidR="00680B1A" w:rsidRDefault="00680B1A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Aplicación de paquete tecnológico a 2.000 hectáreas  (cuarta cosecha, en el proyecto);</w:t>
            </w:r>
          </w:p>
          <w:p w:rsidR="00680B1A" w:rsidRDefault="00680B1A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0B1A" w:rsidRDefault="00680B1A">
            <w:pPr>
              <w:pStyle w:val="Prrafodelista"/>
              <w:numPr>
                <w:ilvl w:val="1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Generación y aplicación del sistema tecnológico para la producción industrial de grits y harinas</w:t>
            </w:r>
          </w:p>
          <w:p w:rsidR="00680B1A" w:rsidRDefault="00680B1A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0B1A" w:rsidRDefault="00680B1A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Año 3</w:t>
            </w:r>
          </w:p>
          <w:p w:rsidR="00680B1A" w:rsidRDefault="00680B1A">
            <w:pPr>
              <w:pStyle w:val="Prrafodelista"/>
              <w:numPr>
                <w:ilvl w:val="1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Promoción del sistema de la cadena Agroalimentaria del maíz en las 40 comunidades seleccionadas;</w:t>
            </w:r>
          </w:p>
          <w:p w:rsidR="00680B1A" w:rsidRDefault="00680B1A">
            <w:pPr>
              <w:pStyle w:val="Prrafodelista"/>
              <w:numPr>
                <w:ilvl w:val="1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Funcionando y consolidado el modelo organizativo y participativo comunitario;</w:t>
            </w:r>
          </w:p>
          <w:p w:rsidR="00680B1A" w:rsidRDefault="00680B1A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:rsidR="00680B1A" w:rsidRDefault="00680B1A">
            <w:pPr>
              <w:pStyle w:val="Prrafodelista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Desarrollo de un sistema tecnológico para la producción y comercialización del maíz en 40 comunidades;</w:t>
            </w:r>
          </w:p>
          <w:p w:rsidR="00680B1A" w:rsidRDefault="00680B1A">
            <w:pPr>
              <w:pStyle w:val="Prrafodelista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Aplicación de paquete tecnológico a 3.000 hectáreas (sexta cosecha, en el proyecto);</w:t>
            </w:r>
          </w:p>
          <w:p w:rsidR="00680B1A" w:rsidRDefault="00680B1A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0B1A" w:rsidRDefault="00680B1A">
            <w:pPr>
              <w:keepNext/>
              <w:widowControl w:val="0"/>
              <w:numPr>
                <w:ilvl w:val="1"/>
                <w:numId w:val="14"/>
              </w:numPr>
              <w:spacing w:before="60"/>
              <w:rPr>
                <w:i/>
                <w:iCs/>
                <w:snapToGrid w:val="0"/>
                <w:color w:val="000000"/>
                <w:lang w:val="es-ES_tradnl" w:eastAsia="de-DE"/>
              </w:rPr>
            </w:pPr>
            <w:r>
              <w:t>Consolidación del sistema tecnológico para la producción industrial de grits y harinas</w:t>
            </w:r>
          </w:p>
          <w:p w:rsidR="00680B1A" w:rsidRDefault="00680B1A">
            <w:pPr>
              <w:keepNext/>
              <w:widowControl w:val="0"/>
              <w:spacing w:before="60"/>
              <w:rPr>
                <w:i/>
                <w:iCs/>
                <w:snapToGrid w:val="0"/>
                <w:color w:val="000000"/>
                <w:lang w:val="es-ES_tradnl" w:eastAsia="de-DE"/>
              </w:rPr>
            </w:pPr>
          </w:p>
        </w:tc>
        <w:tc>
          <w:tcPr>
            <w:tcW w:w="2977" w:type="dxa"/>
          </w:tcPr>
          <w:p w:rsidR="00680B1A" w:rsidRDefault="00680B1A"/>
          <w:p w:rsidR="00680B1A" w:rsidRDefault="00680B1A">
            <w:r>
              <w:t>Bitácora de comunidades visitadas, libro de actas de la comunidad</w:t>
            </w:r>
          </w:p>
          <w:p w:rsidR="00680B1A" w:rsidRDefault="00680B1A">
            <w:r>
              <w:t>Documentación legal</w:t>
            </w:r>
          </w:p>
          <w:p w:rsidR="00680B1A" w:rsidRDefault="00680B1A">
            <w:r>
              <w:t>Estudio técnico validado</w:t>
            </w:r>
          </w:p>
          <w:p w:rsidR="00680B1A" w:rsidRDefault="00680B1A"/>
          <w:p w:rsidR="00680B1A" w:rsidRDefault="00680B1A"/>
          <w:p w:rsidR="00680B1A" w:rsidRDefault="00680B1A">
            <w:r>
              <w:t>Estudio técnico para la industrialización.</w:t>
            </w:r>
          </w:p>
          <w:p w:rsidR="00680B1A" w:rsidRDefault="00680B1A"/>
          <w:p w:rsidR="00680B1A" w:rsidRDefault="00680B1A">
            <w:r>
              <w:t>Informe de campo</w:t>
            </w:r>
          </w:p>
          <w:p w:rsidR="00680B1A" w:rsidRDefault="00680B1A">
            <w:pPr>
              <w:pStyle w:val="Header"/>
              <w:keepNext/>
              <w:widowControl w:val="0"/>
              <w:jc w:val="both"/>
              <w:rPr>
                <w:lang w:val="es-ES_tradnl"/>
              </w:rPr>
            </w:pPr>
            <w:r>
              <w:t>Informe técnico</w:t>
            </w:r>
          </w:p>
        </w:tc>
        <w:tc>
          <w:tcPr>
            <w:tcW w:w="2783" w:type="dxa"/>
          </w:tcPr>
          <w:p w:rsidR="00680B1A" w:rsidRDefault="00680B1A"/>
          <w:p w:rsidR="00680B1A" w:rsidRDefault="00680B1A">
            <w:r>
              <w:t>Se realiza una contratación del personal más idóneo</w:t>
            </w:r>
            <w:r>
              <w:rPr>
                <w:color w:val="FF0000"/>
              </w:rPr>
              <w:t xml:space="preserve"> </w:t>
            </w:r>
            <w:r>
              <w:t>y que hable los idiomas locales.</w:t>
            </w:r>
          </w:p>
          <w:p w:rsidR="00680B1A" w:rsidRDefault="00680B1A">
            <w:pPr>
              <w:keepNext/>
              <w:widowControl w:val="0"/>
              <w:jc w:val="both"/>
              <w:rPr>
                <w:snapToGrid w:val="0"/>
                <w:color w:val="000000"/>
                <w:lang w:val="es-ES_tradnl" w:eastAsia="de-DE"/>
              </w:rPr>
            </w:pPr>
            <w:r>
              <w:t>Los Agricultores se organizan en forma comunitaria y sostenible y que participen en los diferentes procesos</w:t>
            </w:r>
          </w:p>
        </w:tc>
      </w:tr>
      <w:tr w:rsidR="00680B1A" w:rsidTr="00AE3057">
        <w:tblPrEx>
          <w:tblCellMar>
            <w:left w:w="108" w:type="dxa"/>
            <w:right w:w="108" w:type="dxa"/>
          </w:tblCellMar>
        </w:tblPrEx>
        <w:trPr>
          <w:trHeight w:val="70"/>
        </w:trPr>
        <w:tc>
          <w:tcPr>
            <w:tcW w:w="3121" w:type="dxa"/>
          </w:tcPr>
          <w:p w:rsidR="00680B1A" w:rsidRDefault="00680B1A">
            <w:pPr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ACTIVIDADES</w:t>
            </w:r>
          </w:p>
          <w:p w:rsidR="00680B1A" w:rsidRDefault="00680B1A">
            <w:pPr>
              <w:rPr>
                <w:b/>
                <w:bCs/>
              </w:rPr>
            </w:pPr>
            <w:r>
              <w:rPr>
                <w:b/>
                <w:bCs/>
              </w:rPr>
              <w:t>2.2 Capacitación Agroindustrial y Gerencial</w:t>
            </w:r>
          </w:p>
          <w:p w:rsidR="00680B1A" w:rsidRDefault="00680B1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:rsidR="00680B1A" w:rsidRPr="00C846DB" w:rsidRDefault="00680B1A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C846DB">
              <w:rPr>
                <w:rFonts w:ascii="Times New Roman" w:hAnsi="Times New Roman" w:cs="Times New Roman"/>
                <w:lang w:val="es-ES_tradnl"/>
              </w:rPr>
              <w:t xml:space="preserve">BID:     US$. </w:t>
            </w:r>
            <w:r w:rsidRPr="00C846DB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3.600</w:t>
            </w:r>
          </w:p>
          <w:p w:rsidR="00680B1A" w:rsidRDefault="00680B1A">
            <w:r>
              <w:t xml:space="preserve">       ADEL: US$. 46.300</w:t>
            </w:r>
          </w:p>
          <w:p w:rsidR="00680B1A" w:rsidRDefault="00680B1A"/>
          <w:p w:rsidR="00680B1A" w:rsidRDefault="00680B1A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Formación en el uso de Tecnología en el manejo post cosecha</w:t>
            </w:r>
          </w:p>
          <w:p w:rsidR="00680B1A" w:rsidRDefault="00680B1A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0B1A" w:rsidRDefault="00680B1A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Formación en uso de Tecnología en la desgerminación del maíz</w:t>
            </w:r>
          </w:p>
          <w:p w:rsidR="00680B1A" w:rsidRDefault="00680B1A"/>
          <w:p w:rsidR="00680B1A" w:rsidRDefault="00680B1A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Conocimiento en gestión y administración para la formación de Mipymes</w:t>
            </w:r>
          </w:p>
          <w:p w:rsidR="00680B1A" w:rsidRDefault="00680B1A">
            <w:pPr>
              <w:rPr>
                <w:lang w:val="es-GT"/>
              </w:rPr>
            </w:pPr>
          </w:p>
          <w:p w:rsidR="00680B1A" w:rsidRDefault="00680B1A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Formación en la Tecnología de la comercialización</w:t>
            </w:r>
          </w:p>
          <w:p w:rsidR="00680B1A" w:rsidRDefault="00680B1A">
            <w:pPr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4979" w:type="dxa"/>
          </w:tcPr>
          <w:p w:rsidR="00680B1A" w:rsidRDefault="00680B1A">
            <w:pPr>
              <w:rPr>
                <w:b/>
                <w:bCs/>
                <w:u w:val="single"/>
              </w:rPr>
            </w:pPr>
          </w:p>
          <w:p w:rsidR="00680B1A" w:rsidRDefault="00680B1A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Año 1</w:t>
            </w:r>
          </w:p>
          <w:p w:rsidR="00680B1A" w:rsidRDefault="00680B1A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Desarrollo del  Plan de Capacitación, en mejores prácticas del manejo de la cosecha en 20 comunidades.</w:t>
            </w:r>
          </w:p>
          <w:p w:rsidR="00680B1A" w:rsidRDefault="00680B1A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0B1A" w:rsidRDefault="00680B1A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Desarrollo del Plan de capacitación en la utilización de la tecnología de molienda y desgerminación a 40 líderes y 5 empleados.</w:t>
            </w:r>
          </w:p>
          <w:p w:rsidR="00680B1A" w:rsidRDefault="00680B1A">
            <w:pPr>
              <w:rPr>
                <w:lang w:val="es-GT"/>
              </w:rPr>
            </w:pPr>
          </w:p>
          <w:p w:rsidR="00680B1A" w:rsidRDefault="00680B1A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Implementación del Plan de capacitación en la gestión de Organizaciones empresariales, administración y gerencia a los directivos de COCODES de las 20 comunidades seleccionadas.</w:t>
            </w:r>
          </w:p>
          <w:p w:rsidR="00680B1A" w:rsidRDefault="00680B1A">
            <w:pPr>
              <w:rPr>
                <w:lang w:val="es-GT"/>
              </w:rPr>
            </w:pPr>
          </w:p>
          <w:p w:rsidR="00680B1A" w:rsidRDefault="00680B1A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Ejecución del Plan de capacitación en los procesos de comercialización a 20 comités de producción agrícola y 2 gerentes de la cadena del maíz.</w:t>
            </w:r>
          </w:p>
          <w:p w:rsidR="00680B1A" w:rsidRDefault="00680B1A">
            <w:pPr>
              <w:pStyle w:val="Prrafodelista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680B1A" w:rsidRDefault="00680B1A">
            <w:pPr>
              <w:pStyle w:val="Prrafodelista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680B1A" w:rsidRDefault="00680B1A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Año 2</w:t>
            </w:r>
          </w:p>
          <w:p w:rsidR="00680B1A" w:rsidRDefault="00680B1A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Desarrollo del  Plan de Capacitación, en mejores prácticas del manejo de la cosecha en 30 comunidades.</w:t>
            </w:r>
          </w:p>
          <w:p w:rsidR="00680B1A" w:rsidRDefault="00680B1A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0B1A" w:rsidRDefault="00680B1A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Desarrollo del Plan de capacitación en la utilización de la tecnología de molienda y desgerminación a 60 líderes y 8 empleados.</w:t>
            </w:r>
          </w:p>
          <w:p w:rsidR="00680B1A" w:rsidRDefault="00680B1A">
            <w:pPr>
              <w:rPr>
                <w:lang w:val="es-GT"/>
              </w:rPr>
            </w:pPr>
          </w:p>
          <w:p w:rsidR="00680B1A" w:rsidRDefault="00680B1A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Implementación del Plan de capacitación en la gestión de Organizaciones empresariales, administración y gerencia a los directivos de COCODES de las 30 comunidades seleccionadas.</w:t>
            </w:r>
          </w:p>
          <w:p w:rsidR="00680B1A" w:rsidRDefault="00680B1A">
            <w:pPr>
              <w:rPr>
                <w:lang w:val="es-GT"/>
              </w:rPr>
            </w:pPr>
          </w:p>
          <w:p w:rsidR="00680B1A" w:rsidRDefault="00680B1A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Ejecución del Plan de capacitación en los procesos de comercialización a 30 comités de producción agrícola y 3 gerentes de la cadena del maíz.</w:t>
            </w:r>
          </w:p>
          <w:p w:rsidR="00680B1A" w:rsidRDefault="00680B1A">
            <w:pPr>
              <w:pStyle w:val="Prrafodelist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0B1A" w:rsidRDefault="00680B1A">
            <w:pPr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Año 3</w:t>
            </w:r>
          </w:p>
          <w:p w:rsidR="00680B1A" w:rsidRDefault="00680B1A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Desarrollo del  Plan de Capacitación, en mejores prácticas del manejo de la cosecha en 40 comunidades.</w:t>
            </w:r>
          </w:p>
          <w:p w:rsidR="00680B1A" w:rsidRDefault="00680B1A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0B1A" w:rsidRDefault="00680B1A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Desarrollo del Plan de capacitación en la utilización de la tecnología de molienda y desgerminación a 80 líderes y 10 empleados.</w:t>
            </w:r>
          </w:p>
          <w:p w:rsidR="00680B1A" w:rsidRDefault="00680B1A">
            <w:pPr>
              <w:rPr>
                <w:lang w:val="es-GT"/>
              </w:rPr>
            </w:pPr>
          </w:p>
          <w:p w:rsidR="00680B1A" w:rsidRDefault="00680B1A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Implementación del Plan de capacitación en la gestión de Organizaciones empresariales, administración y gerencia a los directivos de COCODES de las 40 comunidades seleccionadas.</w:t>
            </w:r>
          </w:p>
          <w:p w:rsidR="00680B1A" w:rsidRDefault="00680B1A">
            <w:pPr>
              <w:rPr>
                <w:lang w:val="es-GT"/>
              </w:rPr>
            </w:pPr>
          </w:p>
          <w:p w:rsidR="00680B1A" w:rsidRDefault="00680B1A">
            <w:pPr>
              <w:numPr>
                <w:ilvl w:val="0"/>
                <w:numId w:val="10"/>
              </w:numPr>
              <w:rPr>
                <w:b/>
                <w:bCs/>
                <w:u w:val="single"/>
              </w:rPr>
            </w:pPr>
            <w:r>
              <w:t>Ejecución del Plan de capacitación en los procesos de comercialización a 40 comités de producción agrícola y a 4 gerentes de la cadena del maíz.</w:t>
            </w:r>
          </w:p>
          <w:p w:rsidR="00680B1A" w:rsidRDefault="00680B1A">
            <w:pPr>
              <w:rPr>
                <w:b/>
                <w:bCs/>
                <w:u w:val="single"/>
              </w:rPr>
            </w:pPr>
          </w:p>
        </w:tc>
        <w:tc>
          <w:tcPr>
            <w:tcW w:w="2977" w:type="dxa"/>
          </w:tcPr>
          <w:p w:rsidR="00680B1A" w:rsidRDefault="00680B1A"/>
          <w:p w:rsidR="00680B1A" w:rsidRDefault="00680B1A">
            <w:r>
              <w:t>Registro de participantes en los talleres</w:t>
            </w:r>
          </w:p>
          <w:p w:rsidR="00680B1A" w:rsidRDefault="00680B1A">
            <w:r>
              <w:t>Documentos pedagógicos y registros de asistencia</w:t>
            </w:r>
          </w:p>
          <w:p w:rsidR="00680B1A" w:rsidRDefault="00680B1A"/>
          <w:p w:rsidR="00680B1A" w:rsidRDefault="00680B1A">
            <w:r>
              <w:t>Listado de asistencia y libros de actas de los COCODES</w:t>
            </w:r>
          </w:p>
          <w:p w:rsidR="00680B1A" w:rsidRDefault="00680B1A"/>
          <w:p w:rsidR="00680B1A" w:rsidRDefault="00680B1A">
            <w:r>
              <w:t>Listado de asistencia y libro de actas</w:t>
            </w:r>
          </w:p>
          <w:p w:rsidR="00680B1A" w:rsidRDefault="00680B1A"/>
          <w:p w:rsidR="00680B1A" w:rsidRDefault="00680B1A">
            <w:r>
              <w:t>Listado de asistencia  informes de ejercicios prácticos de comercialización</w:t>
            </w:r>
          </w:p>
          <w:p w:rsidR="00680B1A" w:rsidRDefault="00680B1A"/>
        </w:tc>
        <w:tc>
          <w:tcPr>
            <w:tcW w:w="2783" w:type="dxa"/>
          </w:tcPr>
          <w:p w:rsidR="00680B1A" w:rsidRDefault="00680B1A"/>
          <w:p w:rsidR="00680B1A" w:rsidRDefault="00680B1A">
            <w:r>
              <w:t>Se realiza una contratación del personal más idóneo y que hable los idiomas locales.</w:t>
            </w:r>
          </w:p>
          <w:p w:rsidR="00680B1A" w:rsidRDefault="00680B1A">
            <w:r>
              <w:t>Los Agricultores se organizan en forma comunitaria y sostenible y que participen en los diferentes procesos</w:t>
            </w:r>
          </w:p>
        </w:tc>
      </w:tr>
      <w:tr w:rsidR="00680B1A" w:rsidTr="00AE3057">
        <w:tblPrEx>
          <w:tblCellMar>
            <w:left w:w="108" w:type="dxa"/>
            <w:right w:w="108" w:type="dxa"/>
          </w:tblCellMar>
        </w:tblPrEx>
        <w:trPr>
          <w:trHeight w:val="70"/>
        </w:trPr>
        <w:tc>
          <w:tcPr>
            <w:tcW w:w="3121" w:type="dxa"/>
          </w:tcPr>
          <w:p w:rsidR="00680B1A" w:rsidRDefault="00680B1A">
            <w:pPr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ACTIVIDADES</w:t>
            </w:r>
          </w:p>
          <w:p w:rsidR="00680B1A" w:rsidRDefault="00680B1A">
            <w:pPr>
              <w:rPr>
                <w:b/>
                <w:bCs/>
              </w:rPr>
            </w:pPr>
            <w:r>
              <w:rPr>
                <w:b/>
                <w:bCs/>
              </w:rPr>
              <w:t>2.3 Organización y agrupamiento empresarial</w:t>
            </w:r>
          </w:p>
          <w:p w:rsidR="00680B1A" w:rsidRDefault="00680B1A">
            <w:pPr>
              <w:rPr>
                <w:b/>
                <w:bCs/>
              </w:rPr>
            </w:pPr>
          </w:p>
          <w:p w:rsidR="00680B1A" w:rsidRPr="00C846DB" w:rsidRDefault="00680B1A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C846DB">
              <w:rPr>
                <w:rFonts w:ascii="Times New Roman" w:hAnsi="Times New Roman" w:cs="Times New Roman"/>
                <w:lang w:val="es-ES_tradnl"/>
              </w:rPr>
              <w:t xml:space="preserve">BID:     US$. </w:t>
            </w:r>
            <w:r w:rsidRPr="00C846DB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48.600</w:t>
            </w:r>
          </w:p>
          <w:p w:rsidR="00680B1A" w:rsidRDefault="00680B1A">
            <w:r>
              <w:t xml:space="preserve">       ADEL: US$. 47.700</w:t>
            </w:r>
          </w:p>
          <w:p w:rsidR="00680B1A" w:rsidRDefault="00680B1A"/>
          <w:p w:rsidR="00680B1A" w:rsidRDefault="00680B1A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Organización de la cadena del maíz;</w:t>
            </w:r>
          </w:p>
          <w:p w:rsidR="00680B1A" w:rsidRDefault="00680B1A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  <w:p w:rsidR="00680B1A" w:rsidRDefault="00680B1A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  <w:p w:rsidR="00680B1A" w:rsidRDefault="00680B1A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  <w:p w:rsidR="00680B1A" w:rsidRDefault="00680B1A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Promoción de la cadena y su mecanismo de integración;</w:t>
            </w:r>
          </w:p>
          <w:p w:rsidR="00680B1A" w:rsidRDefault="00680B1A"/>
          <w:p w:rsidR="00680B1A" w:rsidRDefault="00680B1A"/>
          <w:p w:rsidR="00680B1A" w:rsidRDefault="00680B1A"/>
          <w:p w:rsidR="00680B1A" w:rsidRDefault="00680B1A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Organización empresarial</w:t>
            </w:r>
          </w:p>
          <w:p w:rsidR="00680B1A" w:rsidRDefault="00680B1A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0B1A" w:rsidRDefault="00680B1A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0B1A" w:rsidRDefault="00680B1A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0B1A" w:rsidRDefault="00680B1A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0B1A" w:rsidRDefault="00680B1A">
            <w:pPr>
              <w:rPr>
                <w:b/>
                <w:bCs/>
                <w:i/>
                <w:iCs/>
                <w:u w:val="single"/>
              </w:rPr>
            </w:pPr>
            <w:r>
              <w:t>4- Integración y legitimización</w:t>
            </w:r>
          </w:p>
        </w:tc>
        <w:tc>
          <w:tcPr>
            <w:tcW w:w="4979" w:type="dxa"/>
          </w:tcPr>
          <w:p w:rsidR="00680B1A" w:rsidRDefault="00680B1A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Año 1</w:t>
            </w:r>
          </w:p>
          <w:p w:rsidR="00680B1A" w:rsidRDefault="00680B1A" w:rsidP="009E055B">
            <w:pPr>
              <w:pStyle w:val="Prrafodelista"/>
              <w:numPr>
                <w:ilvl w:val="1"/>
                <w:numId w:val="20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Validación y socialización del plan de acción empresarial  de la cadena del maíz;</w:t>
            </w:r>
          </w:p>
          <w:p w:rsidR="00680B1A" w:rsidRDefault="00680B1A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0B1A" w:rsidRDefault="00680B1A">
            <w:pPr>
              <w:pStyle w:val="Prrafodelista"/>
              <w:numPr>
                <w:ilvl w:val="1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 realizan 3 asambleas comunitarias en cada una de las 20 comunidades</w:t>
            </w:r>
          </w:p>
          <w:p w:rsidR="00680B1A" w:rsidRDefault="00680B1A">
            <w:pPr>
              <w:pStyle w:val="Prrafodelista"/>
              <w:numPr>
                <w:ilvl w:val="1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 realizan 5 presentaciones a nivel del consejo municipal e instituciones, locales, nacionales e internacionales</w:t>
            </w:r>
          </w:p>
          <w:p w:rsidR="00680B1A" w:rsidRDefault="00680B1A">
            <w:pPr>
              <w:pStyle w:val="Prrafodelista"/>
              <w:numPr>
                <w:ilvl w:val="1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 diseña y ejecuta una campaña radial de información del proyecto </w:t>
            </w:r>
          </w:p>
          <w:p w:rsidR="00680B1A" w:rsidRDefault="00680B1A">
            <w:pPr>
              <w:pStyle w:val="Prrafodelista"/>
              <w:numPr>
                <w:ilvl w:val="1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 diseña 1 cartilla popular  y se reproducen 1100 para la promoción de la cadena del maíz</w:t>
            </w:r>
          </w:p>
          <w:p w:rsidR="00680B1A" w:rsidRDefault="00680B1A">
            <w:pPr>
              <w:pStyle w:val="Prrafodelist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0B1A" w:rsidRDefault="00680B1A">
            <w:pPr>
              <w:ind w:left="378" w:hanging="378"/>
            </w:pPr>
            <w:r>
              <w:rPr>
                <w:lang w:val="es-GT"/>
              </w:rPr>
              <w:t xml:space="preserve">3.1 </w:t>
            </w:r>
            <w:r>
              <w:t>Se constituye una empresa de servicios (comercializadora, productora de semilla certificada, etc.) con la participación comunitaria y empresarial</w:t>
            </w:r>
          </w:p>
          <w:p w:rsidR="00680B1A" w:rsidRDefault="00680B1A"/>
          <w:p w:rsidR="00680B1A" w:rsidRDefault="00680B1A">
            <w:pPr>
              <w:numPr>
                <w:ilvl w:val="1"/>
                <w:numId w:val="6"/>
              </w:numPr>
            </w:pPr>
            <w:r>
              <w:t>Asambleas para legitimizar las   representaciones y legalización de los instrumentos.</w:t>
            </w:r>
          </w:p>
          <w:p w:rsidR="00680B1A" w:rsidRDefault="00680B1A">
            <w:pPr>
              <w:rPr>
                <w:b/>
                <w:bCs/>
                <w:i/>
                <w:iCs/>
                <w:u w:val="single"/>
              </w:rPr>
            </w:pPr>
          </w:p>
          <w:p w:rsidR="00680B1A" w:rsidRDefault="00680B1A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Año 2</w:t>
            </w:r>
          </w:p>
          <w:p w:rsidR="00680B1A" w:rsidRDefault="00680B1A">
            <w:pPr>
              <w:pStyle w:val="Prrafodelista"/>
              <w:numPr>
                <w:ilvl w:val="1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Implementación y afianzamiento del plan de acción empresarial  de la cadena del maíz;</w:t>
            </w:r>
          </w:p>
          <w:p w:rsidR="00680B1A" w:rsidRDefault="00680B1A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0B1A" w:rsidRDefault="00680B1A">
            <w:pPr>
              <w:pStyle w:val="Prrafodelista"/>
              <w:spacing w:after="0" w:line="240" w:lineRule="auto"/>
              <w:ind w:left="382" w:hanging="42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2.1  Se realizan 3 asambleas comunitarias en cada una de las 30 comunidades</w:t>
            </w:r>
          </w:p>
          <w:p w:rsidR="00680B1A" w:rsidRDefault="00680B1A">
            <w:pPr>
              <w:pStyle w:val="Prrafodelista"/>
              <w:numPr>
                <w:ilvl w:val="1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 realizan 10 presentaciones a nivel del consejo municipal e instituciones, locales, nacionales e internacionales</w:t>
            </w:r>
          </w:p>
          <w:p w:rsidR="00680B1A" w:rsidRDefault="00680B1A">
            <w:pPr>
              <w:pStyle w:val="Prrafodelista"/>
              <w:numPr>
                <w:ilvl w:val="1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 implementan dos campañas radiales de información del proyecto</w:t>
            </w:r>
          </w:p>
          <w:p w:rsidR="00680B1A" w:rsidRDefault="00680B1A">
            <w:pPr>
              <w:pStyle w:val="Prrafodelista"/>
              <w:numPr>
                <w:ilvl w:val="1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 reproducen 1200 cartillas para la promoción de la cadena del maíz </w:t>
            </w:r>
          </w:p>
          <w:p w:rsidR="00680B1A" w:rsidRDefault="00680B1A">
            <w:pPr>
              <w:pStyle w:val="Prrafodelist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0B1A" w:rsidRDefault="00680B1A">
            <w:pPr>
              <w:pStyle w:val="Prrafodelista"/>
              <w:numPr>
                <w:ilvl w:val="1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 fortalece la empresa de servicios (comercializadora, productora de semilla certificada, etc.) con la participación comunitaria y empresarial</w:t>
            </w:r>
          </w:p>
          <w:p w:rsidR="00680B1A" w:rsidRDefault="00680B1A">
            <w:pPr>
              <w:pStyle w:val="Prrafodelista"/>
              <w:spacing w:after="0" w:line="240" w:lineRule="auto"/>
              <w:ind w:left="-360"/>
              <w:rPr>
                <w:rFonts w:ascii="Times New Roman" w:hAnsi="Times New Roman" w:cs="Times New Roman"/>
              </w:rPr>
            </w:pPr>
          </w:p>
          <w:p w:rsidR="00680B1A" w:rsidRDefault="00680B1A">
            <w:pPr>
              <w:rPr>
                <w:u w:val="single"/>
              </w:rPr>
            </w:pPr>
            <w:r>
              <w:rPr>
                <w:b/>
                <w:bCs/>
                <w:u w:val="single"/>
              </w:rPr>
              <w:t>Año 3</w:t>
            </w:r>
          </w:p>
          <w:p w:rsidR="00680B1A" w:rsidRDefault="00680B1A">
            <w:pPr>
              <w:pStyle w:val="Prrafodelista"/>
              <w:numPr>
                <w:ilvl w:val="1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Consolidación del plan de acción empresarial  de la cadena del maíz;</w:t>
            </w:r>
          </w:p>
          <w:p w:rsidR="00680B1A" w:rsidRDefault="00680B1A">
            <w:pPr>
              <w:pStyle w:val="Prrafodelista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 realizan 3 asambleas comunitarias en cada una de las 40 comunidades</w:t>
            </w:r>
          </w:p>
          <w:p w:rsidR="00680B1A" w:rsidRDefault="00680B1A">
            <w:pPr>
              <w:pStyle w:val="Prrafodelista"/>
              <w:numPr>
                <w:ilvl w:val="1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 realizan 14 presentaciones a nivel del consejo municipal e instituciones, locales, nacionales e internacionales</w:t>
            </w:r>
          </w:p>
          <w:p w:rsidR="00680B1A" w:rsidRDefault="00680B1A">
            <w:pPr>
              <w:pStyle w:val="Prrafodelista"/>
              <w:numPr>
                <w:ilvl w:val="1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 ejecutan tres campañas radiales de información del proyecto </w:t>
            </w:r>
          </w:p>
          <w:p w:rsidR="00680B1A" w:rsidRDefault="00680B1A">
            <w:pPr>
              <w:pStyle w:val="Prrafodelista"/>
              <w:numPr>
                <w:ilvl w:val="1"/>
                <w:numId w:val="2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 reproducen 1300 cartillas para la promoción de la cadena del maíz</w:t>
            </w:r>
          </w:p>
          <w:p w:rsidR="00680B1A" w:rsidRDefault="00680B1A">
            <w:pPr>
              <w:pStyle w:val="Prrafodelista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680B1A" w:rsidRDefault="00680B1A">
            <w:pPr>
              <w:pStyle w:val="Prrafodelista"/>
              <w:numPr>
                <w:ilvl w:val="1"/>
                <w:numId w:val="2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 consolida la empresa de servicios (comercializadora, productora de semilla certificada, etc.) con la participación comunitaria y empresarial</w:t>
            </w:r>
          </w:p>
        </w:tc>
        <w:tc>
          <w:tcPr>
            <w:tcW w:w="2977" w:type="dxa"/>
          </w:tcPr>
          <w:p w:rsidR="00680B1A" w:rsidRDefault="00680B1A"/>
          <w:p w:rsidR="00680B1A" w:rsidRDefault="00680B1A"/>
          <w:p w:rsidR="00680B1A" w:rsidRDefault="00680B1A">
            <w:r>
              <w:t>Documentos y actas de participación de los involucrados</w:t>
            </w:r>
          </w:p>
          <w:p w:rsidR="00680B1A" w:rsidRDefault="00680B1A"/>
          <w:p w:rsidR="00680B1A" w:rsidRDefault="00680B1A"/>
          <w:p w:rsidR="00680B1A" w:rsidRDefault="00680B1A"/>
          <w:p w:rsidR="00680B1A" w:rsidRDefault="00680B1A">
            <w:r>
              <w:t>Lista de asistencia y actas</w:t>
            </w:r>
          </w:p>
          <w:p w:rsidR="00680B1A" w:rsidRDefault="00680B1A"/>
          <w:p w:rsidR="00680B1A" w:rsidRDefault="00680B1A"/>
          <w:p w:rsidR="00680B1A" w:rsidRDefault="00680B1A">
            <w:r>
              <w:t>Documentos de presentación y actas de sesiones</w:t>
            </w:r>
          </w:p>
          <w:p w:rsidR="00680B1A" w:rsidRDefault="00680B1A"/>
          <w:p w:rsidR="00680B1A" w:rsidRDefault="00680B1A"/>
          <w:p w:rsidR="00680B1A" w:rsidRDefault="00680B1A">
            <w:r>
              <w:t>Spot grabado y certificados de trasmisión</w:t>
            </w:r>
          </w:p>
          <w:p w:rsidR="00680B1A" w:rsidRDefault="00680B1A"/>
          <w:p w:rsidR="00680B1A" w:rsidRDefault="00680B1A">
            <w:r>
              <w:t>Cartilla y contrato de producción</w:t>
            </w:r>
          </w:p>
          <w:p w:rsidR="00680B1A" w:rsidRDefault="00680B1A"/>
          <w:p w:rsidR="00680B1A" w:rsidRDefault="00680B1A">
            <w:r>
              <w:t>Estatutos y documentación legal, registro mercantil</w:t>
            </w:r>
          </w:p>
          <w:p w:rsidR="00680B1A" w:rsidRDefault="00680B1A"/>
          <w:p w:rsidR="00680B1A" w:rsidRDefault="00680B1A"/>
          <w:p w:rsidR="00680B1A" w:rsidRDefault="00680B1A">
            <w:r>
              <w:t>Dictamen notarial</w:t>
            </w:r>
          </w:p>
          <w:p w:rsidR="00680B1A" w:rsidRDefault="00680B1A"/>
          <w:p w:rsidR="00680B1A" w:rsidRDefault="00680B1A"/>
          <w:p w:rsidR="00680B1A" w:rsidRDefault="00680B1A">
            <w:r>
              <w:t>IDEM</w:t>
            </w:r>
          </w:p>
        </w:tc>
        <w:tc>
          <w:tcPr>
            <w:tcW w:w="2783" w:type="dxa"/>
          </w:tcPr>
          <w:p w:rsidR="00680B1A" w:rsidRDefault="00680B1A"/>
          <w:p w:rsidR="00680B1A" w:rsidRDefault="00680B1A"/>
          <w:p w:rsidR="00680B1A" w:rsidRDefault="00680B1A">
            <w:r>
              <w:t>Se realiza una contratación del equipo más idóneo y que hable los idiomas locales</w:t>
            </w:r>
          </w:p>
          <w:p w:rsidR="00680B1A" w:rsidRDefault="00680B1A">
            <w:r>
              <w:t>Los Agricultores se organizan en forma comunitaria y sostenible y que participen en los diferentes procesos</w:t>
            </w:r>
          </w:p>
        </w:tc>
      </w:tr>
      <w:tr w:rsidR="00680B1A" w:rsidTr="00AE3057">
        <w:trPr>
          <w:trHeight w:val="261"/>
        </w:trPr>
        <w:tc>
          <w:tcPr>
            <w:tcW w:w="13860" w:type="dxa"/>
            <w:gridSpan w:val="4"/>
            <w:shd w:val="clear" w:color="auto" w:fill="C0C0C0"/>
          </w:tcPr>
          <w:p w:rsidR="00680B1A" w:rsidRDefault="00680B1A">
            <w:pPr>
              <w:keepNext/>
              <w:widowControl w:val="0"/>
              <w:spacing w:before="60"/>
              <w:jc w:val="both"/>
              <w:rPr>
                <w:b/>
                <w:bCs/>
                <w:snapToGrid w:val="0"/>
                <w:color w:val="000000"/>
                <w:lang w:val="es-ES_tradnl" w:eastAsia="de-DE"/>
              </w:rPr>
            </w:pPr>
            <w:r>
              <w:rPr>
                <w:b/>
                <w:bCs/>
                <w:snapToGrid w:val="0"/>
                <w:color w:val="000000"/>
                <w:lang w:val="es-ES_tradnl" w:eastAsia="de-DE"/>
              </w:rPr>
              <w:t xml:space="preserve">Componente III: </w:t>
            </w:r>
          </w:p>
        </w:tc>
      </w:tr>
      <w:tr w:rsidR="00680B1A" w:rsidTr="00AE3057">
        <w:trPr>
          <w:trHeight w:val="449"/>
        </w:trPr>
        <w:tc>
          <w:tcPr>
            <w:tcW w:w="3121" w:type="dxa"/>
          </w:tcPr>
          <w:p w:rsidR="00680B1A" w:rsidRDefault="00680B1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COMPONENTE 3:</w:t>
            </w:r>
          </w:p>
          <w:p w:rsidR="00680B1A" w:rsidRDefault="00680B1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Financiamiento No Reembolsable</w:t>
            </w:r>
          </w:p>
          <w:p w:rsidR="00680B1A" w:rsidRDefault="00680B1A">
            <w:pPr>
              <w:rPr>
                <w:b/>
                <w:bCs/>
                <w:i/>
                <w:iCs/>
              </w:rPr>
            </w:pPr>
          </w:p>
          <w:p w:rsidR="00680B1A" w:rsidRDefault="00680B1A">
            <w:r>
              <w:t>BID: USD $150.0000</w:t>
            </w:r>
          </w:p>
          <w:p w:rsidR="00680B1A" w:rsidRDefault="00680B1A">
            <w:r>
              <w:t>SOCIOS: USD $150.000</w:t>
            </w:r>
          </w:p>
          <w:p w:rsidR="00680B1A" w:rsidRDefault="00680B1A">
            <w:pPr>
              <w:keepNext/>
              <w:widowControl w:val="0"/>
              <w:jc w:val="both"/>
            </w:pPr>
            <w:r>
              <w:t>ADEL: USD $300.000</w:t>
            </w:r>
          </w:p>
          <w:p w:rsidR="00680B1A" w:rsidRDefault="00680B1A">
            <w:pPr>
              <w:keepNext/>
              <w:widowControl w:val="0"/>
              <w:jc w:val="both"/>
            </w:pPr>
          </w:p>
          <w:p w:rsidR="00680B1A" w:rsidRDefault="00680B1A"/>
          <w:p w:rsidR="00680B1A" w:rsidRDefault="00680B1A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Organización legal de la Sociedad Anónima;</w:t>
            </w:r>
          </w:p>
          <w:p w:rsidR="00680B1A" w:rsidRDefault="00680B1A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  <w:p w:rsidR="00680B1A" w:rsidRDefault="00680B1A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  <w:p w:rsidR="00680B1A" w:rsidRDefault="00680B1A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  <w:p w:rsidR="00680B1A" w:rsidRDefault="00680B1A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Promoción de la Sociedad Anónima;</w:t>
            </w:r>
          </w:p>
          <w:p w:rsidR="00680B1A" w:rsidRDefault="00680B1A">
            <w:pPr>
              <w:rPr>
                <w:lang w:val="es-GT"/>
              </w:rPr>
            </w:pPr>
          </w:p>
          <w:p w:rsidR="00680B1A" w:rsidRDefault="00680B1A"/>
          <w:p w:rsidR="00680B1A" w:rsidRDefault="00680B1A"/>
          <w:p w:rsidR="00680B1A" w:rsidRDefault="00680B1A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Primera fase de la planta de procesamiento de los productos derivados del maíz, construida</w:t>
            </w:r>
          </w:p>
          <w:p w:rsidR="00680B1A" w:rsidRDefault="00680B1A">
            <w:pPr>
              <w:keepNext/>
              <w:widowControl w:val="0"/>
              <w:jc w:val="both"/>
              <w:rPr>
                <w:snapToGrid w:val="0"/>
                <w:color w:val="000000"/>
                <w:lang w:val="es-PE"/>
              </w:rPr>
            </w:pPr>
          </w:p>
        </w:tc>
        <w:tc>
          <w:tcPr>
            <w:tcW w:w="4979" w:type="dxa"/>
          </w:tcPr>
          <w:p w:rsidR="00680B1A" w:rsidRDefault="00680B1A">
            <w:pPr>
              <w:rPr>
                <w:b/>
                <w:bCs/>
                <w:i/>
                <w:iCs/>
                <w:u w:val="single"/>
              </w:rPr>
            </w:pPr>
          </w:p>
          <w:p w:rsidR="00680B1A" w:rsidRDefault="00680B1A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Año 1</w:t>
            </w:r>
          </w:p>
          <w:p w:rsidR="00680B1A" w:rsidRDefault="00680B1A">
            <w:pPr>
              <w:pStyle w:val="Prrafodelista"/>
              <w:spacing w:after="0" w:line="240" w:lineRule="auto"/>
              <w:ind w:left="378" w:hanging="37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de-DE"/>
              </w:rPr>
              <w:t>1.1 Asamblea general autoriza crear Sociedad Anonima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680B1A" w:rsidRDefault="00680B1A">
            <w:pPr>
              <w:pStyle w:val="Prrafodelista"/>
              <w:spacing w:after="0" w:line="240" w:lineRule="auto"/>
              <w:ind w:left="378" w:hanging="37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  Sociedad Anónima establecida legalmente</w:t>
            </w:r>
          </w:p>
          <w:p w:rsidR="00680B1A" w:rsidRDefault="00680B1A">
            <w:pPr>
              <w:pStyle w:val="Prrafodelista"/>
              <w:spacing w:after="0" w:line="240" w:lineRule="auto"/>
              <w:ind w:left="378" w:hanging="37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0B1A" w:rsidRDefault="00680B1A">
            <w:pPr>
              <w:pStyle w:val="Prrafodelista"/>
              <w:spacing w:after="0" w:line="240" w:lineRule="auto"/>
              <w:ind w:left="378" w:hanging="37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1.3 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Emision de 6.000 acciones con un valor nominal de USD $100, cada accion.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80B1A" w:rsidRDefault="00680B1A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0B1A" w:rsidRDefault="00680B1A">
            <w:pPr>
              <w:pStyle w:val="Prrafodelista"/>
              <w:numPr>
                <w:ilvl w:val="1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 diseña y activa una campaña radial de información de la Sociedad Anónima.</w:t>
            </w:r>
          </w:p>
          <w:p w:rsidR="00680B1A" w:rsidRDefault="00680B1A">
            <w:pPr>
              <w:rPr>
                <w:lang w:val="es-GT"/>
              </w:rPr>
            </w:pPr>
          </w:p>
          <w:p w:rsidR="00680B1A" w:rsidRDefault="00680B1A">
            <w:pPr>
              <w:ind w:left="378" w:hanging="378"/>
              <w:rPr>
                <w:b/>
                <w:bCs/>
                <w:i/>
                <w:iCs/>
                <w:u w:val="single"/>
              </w:rPr>
            </w:pPr>
            <w:r>
              <w:rPr>
                <w:lang w:val="es-GT"/>
              </w:rPr>
              <w:t>3.1 Diseño de la  planta de procesamiento de los productos derivados del maíz.</w:t>
            </w:r>
          </w:p>
          <w:p w:rsidR="00680B1A" w:rsidRDefault="00680B1A">
            <w:pPr>
              <w:rPr>
                <w:b/>
                <w:bCs/>
                <w:u w:val="single"/>
              </w:rPr>
            </w:pPr>
          </w:p>
          <w:p w:rsidR="00680B1A" w:rsidRDefault="00680B1A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Año 2</w:t>
            </w:r>
          </w:p>
          <w:p w:rsidR="00680B1A" w:rsidRDefault="00680B1A">
            <w:pPr>
              <w:pStyle w:val="Prrafodelista"/>
              <w:numPr>
                <w:ilvl w:val="1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 50% del paquete accionario vendido;</w:t>
            </w:r>
          </w:p>
          <w:p w:rsidR="00680B1A" w:rsidRDefault="00680B1A">
            <w:pPr>
              <w:pStyle w:val="Prrafodelista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0B1A" w:rsidRDefault="00680B1A">
            <w:pPr>
              <w:pStyle w:val="Prrafodelista"/>
              <w:numPr>
                <w:ilvl w:val="1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Diseño de nueva campaña de difusión radial de la Sociedad Anónima.</w:t>
            </w:r>
          </w:p>
          <w:p w:rsidR="00680B1A" w:rsidRDefault="00680B1A">
            <w:pPr>
              <w:pStyle w:val="Prrafodelist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0B1A" w:rsidRDefault="00680B1A">
            <w:pPr>
              <w:pStyle w:val="Prrafodelista"/>
              <w:spacing w:after="0" w:line="240" w:lineRule="auto"/>
              <w:ind w:left="378" w:hanging="37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 Inicio de la construcción de la primera fase de la planta de procesamiento y comercialización de los productos derivados del maíz</w:t>
            </w:r>
          </w:p>
          <w:p w:rsidR="00680B1A" w:rsidRDefault="00680B1A">
            <w:pPr>
              <w:pStyle w:val="Prrafodelista"/>
              <w:spacing w:after="0" w:line="240" w:lineRule="auto"/>
              <w:ind w:left="-360"/>
              <w:rPr>
                <w:rFonts w:ascii="Times New Roman" w:hAnsi="Times New Roman" w:cs="Times New Roman"/>
              </w:rPr>
            </w:pPr>
          </w:p>
          <w:p w:rsidR="00680B1A" w:rsidRDefault="00680B1A">
            <w:pPr>
              <w:rPr>
                <w:u w:val="single"/>
              </w:rPr>
            </w:pPr>
            <w:r>
              <w:rPr>
                <w:b/>
                <w:bCs/>
                <w:u w:val="single"/>
              </w:rPr>
              <w:t>Año 3</w:t>
            </w:r>
          </w:p>
          <w:p w:rsidR="00680B1A" w:rsidRDefault="00680B1A">
            <w:pPr>
              <w:pStyle w:val="Prrafodelista"/>
              <w:numPr>
                <w:ilvl w:val="1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Las 6.000 acciones vendidas en su totalidad;</w:t>
            </w:r>
          </w:p>
          <w:p w:rsidR="00680B1A" w:rsidRDefault="00680B1A">
            <w:pPr>
              <w:pStyle w:val="Prrafodelista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0B1A" w:rsidRDefault="00680B1A">
            <w:pPr>
              <w:pStyle w:val="Prrafodelista"/>
              <w:spacing w:after="0" w:line="240" w:lineRule="auto"/>
              <w:ind w:left="378" w:hanging="37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 Se promociona por medios radiales a la Sociedad Anónima</w:t>
            </w:r>
          </w:p>
          <w:p w:rsidR="00680B1A" w:rsidRDefault="00680B1A">
            <w:pPr>
              <w:pStyle w:val="Prrafodelista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680B1A" w:rsidRDefault="00680B1A">
            <w:pPr>
              <w:pStyle w:val="Prrafodelista"/>
              <w:numPr>
                <w:ilvl w:val="1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lang w:eastAsia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Terminada primera fase de la planta de procesamiento de los productos derivados del maíz.</w:t>
            </w:r>
          </w:p>
        </w:tc>
        <w:tc>
          <w:tcPr>
            <w:tcW w:w="2977" w:type="dxa"/>
          </w:tcPr>
          <w:p w:rsidR="00680B1A" w:rsidRDefault="00680B1A"/>
          <w:p w:rsidR="00680B1A" w:rsidRDefault="00680B1A"/>
          <w:p w:rsidR="00680B1A" w:rsidRDefault="00680B1A">
            <w:r>
              <w:t xml:space="preserve">Acta de asamblea general </w:t>
            </w:r>
          </w:p>
          <w:p w:rsidR="00680B1A" w:rsidRDefault="00680B1A"/>
          <w:p w:rsidR="00680B1A" w:rsidRDefault="00680B1A">
            <w:r>
              <w:t>Resolucion ministerial sobre la creacion de la Sociedad Anonima</w:t>
            </w:r>
          </w:p>
          <w:p w:rsidR="00680B1A" w:rsidRDefault="00680B1A"/>
          <w:p w:rsidR="00680B1A" w:rsidRDefault="00680B1A">
            <w:r>
              <w:t>Acciones emitidas</w:t>
            </w:r>
          </w:p>
          <w:p w:rsidR="00680B1A" w:rsidRDefault="00680B1A"/>
          <w:p w:rsidR="00680B1A" w:rsidRDefault="00680B1A">
            <w:r>
              <w:t>Libro de accionistas</w:t>
            </w:r>
          </w:p>
          <w:p w:rsidR="00680B1A" w:rsidRDefault="00680B1A"/>
          <w:p w:rsidR="00680B1A" w:rsidRDefault="00680B1A">
            <w:r>
              <w:t>Actas de asambleas generales de accionistas</w:t>
            </w:r>
          </w:p>
          <w:p w:rsidR="00680B1A" w:rsidRDefault="00680B1A">
            <w:pPr>
              <w:keepNext/>
              <w:widowControl w:val="0"/>
              <w:jc w:val="both"/>
            </w:pPr>
          </w:p>
          <w:p w:rsidR="00680B1A" w:rsidRDefault="00680B1A">
            <w:pPr>
              <w:keepNext/>
              <w:widowControl w:val="0"/>
              <w:jc w:val="both"/>
            </w:pPr>
            <w:r>
              <w:t xml:space="preserve">Spot grabados y certificados de transmision </w:t>
            </w:r>
          </w:p>
          <w:p w:rsidR="00680B1A" w:rsidRDefault="00680B1A">
            <w:pPr>
              <w:keepNext/>
              <w:widowControl w:val="0"/>
              <w:jc w:val="both"/>
            </w:pPr>
          </w:p>
          <w:p w:rsidR="00680B1A" w:rsidRDefault="00680B1A">
            <w:pPr>
              <w:keepNext/>
              <w:widowControl w:val="0"/>
              <w:jc w:val="both"/>
            </w:pPr>
            <w:r>
              <w:t>Fotos y videos fechados de la infraestructura de la planta de comercializacion construida</w:t>
            </w:r>
          </w:p>
          <w:p w:rsidR="00680B1A" w:rsidRDefault="00680B1A">
            <w:pPr>
              <w:keepNext/>
              <w:widowControl w:val="0"/>
              <w:jc w:val="both"/>
            </w:pPr>
          </w:p>
          <w:p w:rsidR="00680B1A" w:rsidRDefault="00680B1A">
            <w:pPr>
              <w:keepNext/>
              <w:widowControl w:val="0"/>
              <w:jc w:val="both"/>
            </w:pPr>
          </w:p>
          <w:p w:rsidR="00680B1A" w:rsidRDefault="00680B1A">
            <w:pPr>
              <w:keepNext/>
              <w:widowControl w:val="0"/>
              <w:jc w:val="both"/>
              <w:rPr>
                <w:b/>
                <w:bCs/>
                <w:lang w:val="es-ES_tradnl"/>
              </w:rPr>
            </w:pPr>
            <w:r>
              <w:t>Estados financieros</w:t>
            </w:r>
          </w:p>
        </w:tc>
        <w:tc>
          <w:tcPr>
            <w:tcW w:w="2783" w:type="dxa"/>
          </w:tcPr>
          <w:p w:rsidR="00680B1A" w:rsidRDefault="00680B1A"/>
          <w:p w:rsidR="00680B1A" w:rsidRDefault="00680B1A">
            <w:pPr>
              <w:pStyle w:val="Paragraph"/>
              <w:keepNext/>
              <w:widowControl w:val="0"/>
              <w:tabs>
                <w:tab w:val="clear" w:pos="720"/>
              </w:tabs>
              <w:spacing w:before="0"/>
              <w:ind w:left="0" w:firstLine="0"/>
              <w:rPr>
                <w:sz w:val="20"/>
                <w:szCs w:val="20"/>
              </w:rPr>
            </w:pPr>
          </w:p>
          <w:p w:rsidR="00680B1A" w:rsidRDefault="00680B1A">
            <w:pPr>
              <w:pStyle w:val="Paragraph"/>
              <w:keepNext/>
              <w:widowControl w:val="0"/>
              <w:tabs>
                <w:tab w:val="clear" w:pos="720"/>
              </w:tabs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Todos los socios aprueban la nueva Sociedad Anónima</w:t>
            </w:r>
          </w:p>
          <w:p w:rsidR="00680B1A" w:rsidRDefault="00680B1A">
            <w:pPr>
              <w:pStyle w:val="Paragraph"/>
              <w:keepNext/>
              <w:widowControl w:val="0"/>
              <w:tabs>
                <w:tab w:val="clear" w:pos="720"/>
              </w:tabs>
              <w:spacing w:before="0"/>
              <w:ind w:left="0" w:firstLine="0"/>
              <w:rPr>
                <w:sz w:val="20"/>
                <w:szCs w:val="20"/>
              </w:rPr>
            </w:pPr>
          </w:p>
          <w:p w:rsidR="00680B1A" w:rsidRDefault="00680B1A">
            <w:pPr>
              <w:pStyle w:val="Paragraph"/>
              <w:keepNext/>
              <w:widowControl w:val="0"/>
              <w:tabs>
                <w:tab w:val="clear" w:pos="720"/>
              </w:tabs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Los aportantes establecidos según acta de constitución de la Sociedad Anónima compran las acciones emitidas</w:t>
            </w:r>
          </w:p>
          <w:p w:rsidR="00680B1A" w:rsidRDefault="00680B1A">
            <w:pPr>
              <w:pStyle w:val="Paragraph"/>
              <w:keepNext/>
              <w:widowControl w:val="0"/>
              <w:tabs>
                <w:tab w:val="clear" w:pos="720"/>
              </w:tabs>
              <w:spacing w:before="0"/>
              <w:ind w:left="0" w:firstLine="0"/>
              <w:rPr>
                <w:sz w:val="20"/>
                <w:szCs w:val="20"/>
              </w:rPr>
            </w:pPr>
          </w:p>
          <w:p w:rsidR="00680B1A" w:rsidRDefault="00680B1A">
            <w:pPr>
              <w:pStyle w:val="Paragraph"/>
              <w:keepNext/>
              <w:widowControl w:val="0"/>
              <w:tabs>
                <w:tab w:val="clear" w:pos="720"/>
              </w:tabs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Promoción para la integración de socios accionistas tiene resultados exitosos.</w:t>
            </w:r>
          </w:p>
          <w:p w:rsidR="00680B1A" w:rsidRDefault="00680B1A">
            <w:pPr>
              <w:pStyle w:val="Paragraph"/>
              <w:keepNext/>
              <w:widowControl w:val="0"/>
              <w:tabs>
                <w:tab w:val="clear" w:pos="720"/>
              </w:tabs>
              <w:spacing w:before="0"/>
              <w:ind w:left="0" w:firstLine="0"/>
              <w:rPr>
                <w:sz w:val="20"/>
                <w:szCs w:val="20"/>
              </w:rPr>
            </w:pPr>
          </w:p>
          <w:p w:rsidR="00680B1A" w:rsidRDefault="00680B1A">
            <w:pPr>
              <w:pStyle w:val="Paragraph"/>
              <w:keepNext/>
              <w:widowControl w:val="0"/>
              <w:tabs>
                <w:tab w:val="clear" w:pos="720"/>
              </w:tabs>
              <w:spacing w:before="0"/>
              <w:ind w:left="0" w:firstLine="0"/>
              <w:rPr>
                <w:b/>
                <w:bCs/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</w:rPr>
              <w:t>Todas las acciones sean vendidas</w:t>
            </w:r>
          </w:p>
        </w:tc>
      </w:tr>
    </w:tbl>
    <w:p w:rsidR="00680B1A" w:rsidRDefault="00680B1A">
      <w:pPr>
        <w:pStyle w:val="FootnoteText"/>
        <w:keepNext/>
        <w:widowControl w:val="0"/>
        <w:jc w:val="both"/>
        <w:rPr>
          <w:lang w:val="es-ES_tradnl"/>
        </w:rPr>
      </w:pPr>
    </w:p>
    <w:sectPr w:rsidR="00680B1A" w:rsidSect="00680B1A">
      <w:headerReference w:type="default" r:id="rId7"/>
      <w:type w:val="nextColumn"/>
      <w:pgSz w:w="15842" w:h="12242" w:orient="landscape" w:code="1"/>
      <w:pgMar w:top="907" w:right="1368" w:bottom="547" w:left="136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B1A" w:rsidRDefault="00680B1A">
      <w:r>
        <w:separator/>
      </w:r>
    </w:p>
  </w:endnote>
  <w:endnote w:type="continuationSeparator" w:id="0">
    <w:p w:rsidR="00680B1A" w:rsidRDefault="00680B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B1A" w:rsidRDefault="00680B1A">
      <w:r>
        <w:separator/>
      </w:r>
    </w:p>
  </w:footnote>
  <w:footnote w:type="continuationSeparator" w:id="0">
    <w:p w:rsidR="00680B1A" w:rsidRDefault="00680B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B1A" w:rsidRDefault="00680B1A">
    <w:pPr>
      <w:pStyle w:val="Header"/>
      <w:ind w:right="360"/>
      <w:jc w:val="right"/>
      <w:rPr>
        <w:sz w:val="24"/>
        <w:szCs w:val="24"/>
      </w:rPr>
    </w:pPr>
    <w:r>
      <w:rPr>
        <w:sz w:val="24"/>
        <w:szCs w:val="24"/>
        <w:u w:val="single"/>
      </w:rPr>
      <w:t>Anexo II</w:t>
    </w:r>
  </w:p>
  <w:p w:rsidR="00680B1A" w:rsidRDefault="00680B1A">
    <w:pPr>
      <w:pStyle w:val="Header"/>
      <w:ind w:right="360"/>
      <w:jc w:val="right"/>
      <w:rPr>
        <w:rStyle w:val="PageNumber"/>
        <w:sz w:val="24"/>
        <w:szCs w:val="24"/>
      </w:rPr>
    </w:pPr>
    <w:r>
      <w:rPr>
        <w:sz w:val="24"/>
        <w:szCs w:val="24"/>
      </w:rPr>
      <w:t xml:space="preserve">Página </w:t>
    </w:r>
    <w:r>
      <w:rPr>
        <w:rStyle w:val="PageNumber"/>
        <w:sz w:val="24"/>
        <w:szCs w:val="24"/>
      </w:rPr>
      <w:fldChar w:fldCharType="begin"/>
    </w:r>
    <w:r>
      <w:rPr>
        <w:rStyle w:val="PageNumber"/>
        <w:sz w:val="24"/>
        <w:szCs w:val="24"/>
      </w:rPr>
      <w:instrText xml:space="preserve"> PAGE </w:instrText>
    </w:r>
    <w:r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7</w:t>
    </w:r>
    <w:r>
      <w:rPr>
        <w:rStyle w:val="PageNumber"/>
        <w:sz w:val="24"/>
        <w:szCs w:val="24"/>
      </w:rPr>
      <w:fldChar w:fldCharType="end"/>
    </w:r>
    <w:r>
      <w:rPr>
        <w:rStyle w:val="PageNumber"/>
        <w:sz w:val="24"/>
        <w:szCs w:val="24"/>
      </w:rPr>
      <w:t xml:space="preserve"> de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680B1A" w:rsidRDefault="00680B1A">
    <w:pPr>
      <w:pStyle w:val="Header"/>
      <w:ind w:right="360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E0236"/>
    <w:multiLevelType w:val="multilevel"/>
    <w:tmpl w:val="E416C98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ascii="Times New Roman" w:hAnsi="Times New Roman" w:cs="Times New Roman" w:hint="default"/>
      </w:rPr>
    </w:lvl>
  </w:abstractNum>
  <w:abstractNum w:abstractNumId="1">
    <w:nsid w:val="01317152"/>
    <w:multiLevelType w:val="multilevel"/>
    <w:tmpl w:val="30F803C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2">
    <w:nsid w:val="02407AB1"/>
    <w:multiLevelType w:val="multilevel"/>
    <w:tmpl w:val="B4D0153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">
    <w:nsid w:val="04740EEE"/>
    <w:multiLevelType w:val="multilevel"/>
    <w:tmpl w:val="37C60D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iCs w:val="0"/>
        <w:color w:val="auto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iCs w:val="0"/>
        <w:color w:val="auto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i w:val="0"/>
        <w:iCs w:val="0"/>
        <w:color w:val="auto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i w:val="0"/>
        <w:iCs w:val="0"/>
        <w:color w:val="auto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i w:val="0"/>
        <w:iCs w:val="0"/>
        <w:color w:val="auto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i w:val="0"/>
        <w:iCs w:val="0"/>
        <w:color w:val="auto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i w:val="0"/>
        <w:iCs w:val="0"/>
        <w:color w:val="auto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i w:val="0"/>
        <w:iCs w:val="0"/>
        <w:color w:val="auto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i w:val="0"/>
        <w:iCs w:val="0"/>
        <w:color w:val="auto"/>
      </w:rPr>
    </w:lvl>
  </w:abstractNum>
  <w:abstractNum w:abstractNumId="4">
    <w:nsid w:val="0DAB7FC9"/>
    <w:multiLevelType w:val="multilevel"/>
    <w:tmpl w:val="4CD28050"/>
    <w:lvl w:ilvl="0">
      <w:start w:val="1"/>
      <w:numFmt w:val="upperRoman"/>
      <w:lvlText w:val="%1."/>
      <w:lvlJc w:val="center"/>
      <w:pPr>
        <w:tabs>
          <w:tab w:val="num" w:pos="648"/>
        </w:tabs>
        <w:ind w:firstLine="288"/>
      </w:pPr>
      <w:rPr>
        <w:rFonts w:ascii="Times New Roman" w:hAnsi="Times New Roman" w:cs="Times New Roman"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1152"/>
        </w:tabs>
        <w:ind w:left="1152" w:hanging="432"/>
      </w:pPr>
      <w:rPr>
        <w:rFonts w:ascii="Times New Roman" w:hAnsi="Times New Roman" w:cs="Times New Roman" w:hint="default"/>
      </w:rPr>
    </w:lvl>
    <w:lvl w:ilvl="3">
      <w:start w:val="1"/>
      <w:numFmt w:val="lowerRoman"/>
      <w:lvlText w:val="%4."/>
      <w:lvlJc w:val="right"/>
      <w:pPr>
        <w:tabs>
          <w:tab w:val="num" w:pos="1584"/>
        </w:tabs>
        <w:ind w:left="1584" w:hanging="288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/>
      </w:pPr>
      <w:rPr>
        <w:rFonts w:ascii="Times New Roman" w:hAnsi="Times New Roman" w:cs="Times New Roman"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/>
      </w:pPr>
      <w:rPr>
        <w:rFonts w:ascii="Times New Roman" w:hAnsi="Times New Roman" w:cs="Times New Roman"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/>
      </w:pPr>
      <w:rPr>
        <w:rFonts w:ascii="Times New Roman" w:hAnsi="Times New Roman" w:cs="Times New Roman"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/>
      </w:pPr>
      <w:rPr>
        <w:rFonts w:ascii="Times New Roman" w:hAnsi="Times New Roman" w:cs="Times New Roman" w:hint="default"/>
      </w:rPr>
    </w:lvl>
  </w:abstractNum>
  <w:abstractNum w:abstractNumId="5">
    <w:nsid w:val="14664A20"/>
    <w:multiLevelType w:val="hybridMultilevel"/>
    <w:tmpl w:val="01764D4C"/>
    <w:lvl w:ilvl="0" w:tplc="E3A6DBFE">
      <w:start w:val="1"/>
      <w:numFmt w:val="decimal"/>
      <w:lvlText w:val="%1-1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16FB5E1A"/>
    <w:multiLevelType w:val="hybridMultilevel"/>
    <w:tmpl w:val="16CC17D6"/>
    <w:lvl w:ilvl="0" w:tplc="C3146606">
      <w:start w:val="1"/>
      <w:numFmt w:val="decimal"/>
      <w:lvlText w:val="%1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BBD681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100A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100A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100A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100A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100A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100A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100A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7">
    <w:nsid w:val="19BA185B"/>
    <w:multiLevelType w:val="hybridMultilevel"/>
    <w:tmpl w:val="BAFA9C14"/>
    <w:lvl w:ilvl="0" w:tplc="D0A26CE2">
      <w:start w:val="1"/>
      <w:numFmt w:val="decimal"/>
      <w:lvlText w:val="%1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100A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100A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100A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100A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100A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100A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100A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100A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8">
    <w:nsid w:val="1A321974"/>
    <w:multiLevelType w:val="hybridMultilevel"/>
    <w:tmpl w:val="6E564E58"/>
    <w:lvl w:ilvl="0" w:tplc="B24E00C8">
      <w:start w:val="1"/>
      <w:numFmt w:val="decimal"/>
      <w:lvlText w:val="%1-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1D79533A"/>
    <w:multiLevelType w:val="multilevel"/>
    <w:tmpl w:val="B54C966C"/>
    <w:lvl w:ilvl="0">
      <w:start w:val="1"/>
      <w:numFmt w:val="none"/>
      <w:pStyle w:val="FirstHeading"/>
      <w:suff w:val="nothing"/>
      <w:lvlText w:val=""/>
      <w:lvlJc w:val="left"/>
      <w:pPr>
        <w:ind w:left="720" w:hanging="720"/>
      </w:pPr>
      <w:rPr>
        <w:rFonts w:ascii="Times New Roman" w:hAnsi="Times New Roman" w:cs="Times New Roman"/>
      </w:rPr>
    </w:lvl>
    <w:lvl w:ilvl="1">
      <w:start w:val="1"/>
      <w:numFmt w:val="decimal"/>
      <w:pStyle w:val="SecHeading"/>
      <w:lvlText w:val="%2."/>
      <w:lvlJc w:val="left"/>
      <w:pPr>
        <w:tabs>
          <w:tab w:val="num" w:pos="1296"/>
        </w:tabs>
        <w:ind w:left="1296" w:hanging="576"/>
      </w:pPr>
      <w:rPr>
        <w:rFonts w:ascii="Times New Roman" w:hAnsi="Times New Roman" w:cs="Times New Roman"/>
      </w:rPr>
    </w:lvl>
    <w:lvl w:ilvl="2">
      <w:start w:val="1"/>
      <w:numFmt w:val="lowerLetter"/>
      <w:pStyle w:val="SubHeading1"/>
      <w:lvlText w:val="%3)"/>
      <w:lvlJc w:val="left"/>
      <w:pPr>
        <w:tabs>
          <w:tab w:val="num" w:pos="1872"/>
        </w:tabs>
        <w:ind w:left="1872" w:hanging="576"/>
      </w:pPr>
      <w:rPr>
        <w:rFonts w:ascii="Times New Roman" w:hAnsi="Times New Roman" w:cs="Times New Roman"/>
      </w:rPr>
    </w:lvl>
    <w:lvl w:ilvl="3">
      <w:start w:val="1"/>
      <w:numFmt w:val="lowerRoman"/>
      <w:pStyle w:val="Subheading2"/>
      <w:lvlText w:val="(%4)"/>
      <w:lvlJc w:val="right"/>
      <w:pPr>
        <w:tabs>
          <w:tab w:val="num" w:pos="2376"/>
        </w:tabs>
        <w:ind w:left="2376" w:hanging="288"/>
      </w:pPr>
      <w:rPr>
        <w:rFonts w:ascii="Times New Roman" w:hAnsi="Times New Roman"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0">
    <w:nsid w:val="1E167B72"/>
    <w:multiLevelType w:val="multilevel"/>
    <w:tmpl w:val="E416C98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ascii="Times New Roman" w:hAnsi="Times New Roman" w:cs="Times New Roman" w:hint="default"/>
      </w:rPr>
    </w:lvl>
  </w:abstractNum>
  <w:abstractNum w:abstractNumId="11">
    <w:nsid w:val="26B34A30"/>
    <w:multiLevelType w:val="multilevel"/>
    <w:tmpl w:val="37C60DD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ascii="Times New Roman" w:hAnsi="Times New Roman" w:cs="Times New Roman" w:hint="default"/>
      </w:rPr>
    </w:lvl>
  </w:abstractNum>
  <w:abstractNum w:abstractNumId="12">
    <w:nsid w:val="270F3603"/>
    <w:multiLevelType w:val="multilevel"/>
    <w:tmpl w:val="2A78BE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3">
    <w:nsid w:val="28A152BC"/>
    <w:multiLevelType w:val="multilevel"/>
    <w:tmpl w:val="37C60D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4">
    <w:nsid w:val="29670BD3"/>
    <w:multiLevelType w:val="multilevel"/>
    <w:tmpl w:val="CCAA246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5">
    <w:nsid w:val="2B3D092A"/>
    <w:multiLevelType w:val="multilevel"/>
    <w:tmpl w:val="37EE165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6">
    <w:nsid w:val="33295854"/>
    <w:multiLevelType w:val="hybridMultilevel"/>
    <w:tmpl w:val="62A00906"/>
    <w:lvl w:ilvl="0" w:tplc="A254214C">
      <w:start w:val="1"/>
      <w:numFmt w:val="decimal"/>
      <w:lvlText w:val="%1-1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>
    <w:nsid w:val="42BF5864"/>
    <w:multiLevelType w:val="hybridMultilevel"/>
    <w:tmpl w:val="611C09B8"/>
    <w:lvl w:ilvl="0" w:tplc="E3A6DBFE">
      <w:start w:val="1"/>
      <w:numFmt w:val="decimal"/>
      <w:lvlText w:val="%1-1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8">
    <w:nsid w:val="436F351E"/>
    <w:multiLevelType w:val="multilevel"/>
    <w:tmpl w:val="3AF67C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9">
    <w:nsid w:val="49FB5C17"/>
    <w:multiLevelType w:val="multilevel"/>
    <w:tmpl w:val="2A78BE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0">
    <w:nsid w:val="4C9C3686"/>
    <w:multiLevelType w:val="multilevel"/>
    <w:tmpl w:val="B4D015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1">
    <w:nsid w:val="4F385435"/>
    <w:multiLevelType w:val="multilevel"/>
    <w:tmpl w:val="558402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2">
    <w:nsid w:val="4FF417DF"/>
    <w:multiLevelType w:val="multilevel"/>
    <w:tmpl w:val="2A78BEB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3">
    <w:nsid w:val="5CEB6BFB"/>
    <w:multiLevelType w:val="multilevel"/>
    <w:tmpl w:val="B4D0153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4">
    <w:nsid w:val="5EAA648C"/>
    <w:multiLevelType w:val="multilevel"/>
    <w:tmpl w:val="E416C98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ascii="Times New Roman" w:hAnsi="Times New Roman" w:cs="Times New Roman" w:hint="default"/>
      </w:rPr>
    </w:lvl>
  </w:abstractNum>
  <w:abstractNum w:abstractNumId="25">
    <w:nsid w:val="61037EBA"/>
    <w:multiLevelType w:val="multilevel"/>
    <w:tmpl w:val="37C60DD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ascii="Times New Roman" w:hAnsi="Times New Roman" w:cs="Times New Roman" w:hint="default"/>
      </w:rPr>
    </w:lvl>
  </w:abstractNum>
  <w:abstractNum w:abstractNumId="26">
    <w:nsid w:val="64AA0D02"/>
    <w:multiLevelType w:val="multilevel"/>
    <w:tmpl w:val="794A9CEC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7">
    <w:nsid w:val="66F16A66"/>
    <w:multiLevelType w:val="multilevel"/>
    <w:tmpl w:val="37C60D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8">
    <w:nsid w:val="6A87020B"/>
    <w:multiLevelType w:val="multilevel"/>
    <w:tmpl w:val="4B7E9214"/>
    <w:lvl w:ilvl="0">
      <w:start w:val="2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9">
    <w:nsid w:val="7177392A"/>
    <w:multiLevelType w:val="multilevel"/>
    <w:tmpl w:val="30F803C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30">
    <w:nsid w:val="72AF7BAA"/>
    <w:multiLevelType w:val="multilevel"/>
    <w:tmpl w:val="3AF67C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1">
    <w:nsid w:val="77BE13D3"/>
    <w:multiLevelType w:val="hybridMultilevel"/>
    <w:tmpl w:val="7896A6DE"/>
    <w:lvl w:ilvl="0" w:tplc="D0A26CE2">
      <w:start w:val="1"/>
      <w:numFmt w:val="decimal"/>
      <w:lvlText w:val="%1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2">
    <w:nsid w:val="7DE51ED2"/>
    <w:multiLevelType w:val="multilevel"/>
    <w:tmpl w:val="37C60DD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4"/>
  </w:num>
  <w:num w:numId="3">
    <w:abstractNumId w:val="15"/>
  </w:num>
  <w:num w:numId="4">
    <w:abstractNumId w:val="6"/>
  </w:num>
  <w:num w:numId="5">
    <w:abstractNumId w:val="7"/>
  </w:num>
  <w:num w:numId="6">
    <w:abstractNumId w:val="21"/>
  </w:num>
  <w:num w:numId="7">
    <w:abstractNumId w:val="13"/>
  </w:num>
  <w:num w:numId="8">
    <w:abstractNumId w:val="25"/>
  </w:num>
  <w:num w:numId="9">
    <w:abstractNumId w:val="8"/>
  </w:num>
  <w:num w:numId="10">
    <w:abstractNumId w:val="16"/>
  </w:num>
  <w:num w:numId="11">
    <w:abstractNumId w:val="24"/>
  </w:num>
  <w:num w:numId="12">
    <w:abstractNumId w:val="11"/>
  </w:num>
  <w:num w:numId="13">
    <w:abstractNumId w:val="27"/>
  </w:num>
  <w:num w:numId="14">
    <w:abstractNumId w:val="3"/>
  </w:num>
  <w:num w:numId="15">
    <w:abstractNumId w:val="0"/>
  </w:num>
  <w:num w:numId="16">
    <w:abstractNumId w:val="32"/>
  </w:num>
  <w:num w:numId="17">
    <w:abstractNumId w:val="10"/>
  </w:num>
  <w:num w:numId="18">
    <w:abstractNumId w:val="17"/>
  </w:num>
  <w:num w:numId="19">
    <w:abstractNumId w:val="5"/>
  </w:num>
  <w:num w:numId="20">
    <w:abstractNumId w:val="26"/>
  </w:num>
  <w:num w:numId="21">
    <w:abstractNumId w:val="12"/>
  </w:num>
  <w:num w:numId="22">
    <w:abstractNumId w:val="22"/>
  </w:num>
  <w:num w:numId="23">
    <w:abstractNumId w:val="2"/>
  </w:num>
  <w:num w:numId="24">
    <w:abstractNumId w:val="14"/>
  </w:num>
  <w:num w:numId="25">
    <w:abstractNumId w:val="30"/>
  </w:num>
  <w:num w:numId="26">
    <w:abstractNumId w:val="28"/>
  </w:num>
  <w:num w:numId="27">
    <w:abstractNumId w:val="1"/>
  </w:num>
  <w:num w:numId="28">
    <w:abstractNumId w:val="31"/>
  </w:num>
  <w:num w:numId="29">
    <w:abstractNumId w:val="19"/>
  </w:num>
  <w:num w:numId="30">
    <w:abstractNumId w:val="23"/>
  </w:num>
  <w:num w:numId="31">
    <w:abstractNumId w:val="20"/>
  </w:num>
  <w:num w:numId="32">
    <w:abstractNumId w:val="18"/>
  </w:num>
  <w:num w:numId="33">
    <w:abstractNumId w:val="29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oNotTrackMoves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055B"/>
    <w:rsid w:val="001A4B55"/>
    <w:rsid w:val="004427A1"/>
    <w:rsid w:val="005D2ED6"/>
    <w:rsid w:val="00680B1A"/>
    <w:rsid w:val="007858CB"/>
    <w:rsid w:val="009E055B"/>
    <w:rsid w:val="00AE3057"/>
    <w:rsid w:val="00C84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widowControl w:val="0"/>
      <w:outlineLvl w:val="0"/>
    </w:pPr>
    <w:rPr>
      <w:b/>
      <w:bCs/>
      <w:color w:val="000000"/>
      <w:lang w:val="es-ES" w:eastAsia="de-DE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jc w:val="center"/>
      <w:outlineLvl w:val="1"/>
    </w:pPr>
    <w:rPr>
      <w:b/>
      <w:bCs/>
      <w:sz w:val="28"/>
      <w:szCs w:val="28"/>
      <w:lang w:val="es-ES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jc w:val="center"/>
      <w:outlineLvl w:val="2"/>
    </w:pPr>
    <w:rPr>
      <w:sz w:val="24"/>
      <w:szCs w:val="24"/>
      <w:lang w:val="es-ES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outlineLvl w:val="3"/>
    </w:pPr>
    <w:rPr>
      <w:b/>
      <w:bCs/>
      <w:lang w:val="es-ES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widowControl w:val="0"/>
      <w:spacing w:before="120" w:after="120"/>
      <w:ind w:left="-250" w:firstLine="250"/>
      <w:jc w:val="center"/>
      <w:outlineLvl w:val="4"/>
    </w:pPr>
    <w:rPr>
      <w:b/>
      <w:bCs/>
      <w:lang w:val="es-ES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jc w:val="center"/>
      <w:outlineLvl w:val="5"/>
    </w:pPr>
    <w:rPr>
      <w:i/>
      <w:iCs/>
      <w:sz w:val="22"/>
      <w:szCs w:val="22"/>
      <w:lang w:val="es-ES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jc w:val="center"/>
      <w:outlineLvl w:val="6"/>
    </w:pPr>
    <w:rPr>
      <w:b/>
      <w:bCs/>
      <w:sz w:val="24"/>
      <w:szCs w:val="24"/>
      <w:lang w:val="es-ES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outlineLvl w:val="7"/>
    </w:pPr>
    <w:rPr>
      <w:b/>
      <w:bCs/>
      <w:sz w:val="24"/>
      <w:szCs w:val="24"/>
      <w:lang w:val="es-ES"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widowControl w:val="0"/>
      <w:jc w:val="center"/>
      <w:outlineLvl w:val="8"/>
    </w:pPr>
    <w:rPr>
      <w:b/>
      <w:bCs/>
      <w:lang w:val="es-MX"/>
    </w:rPr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Cambria" w:hAnsi="Cambria" w:cs="Cambria"/>
      <w:b/>
      <w:bCs/>
      <w:kern w:val="32"/>
      <w:sz w:val="32"/>
      <w:szCs w:val="32"/>
      <w:lang w:val="de-D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Cambria" w:hAnsi="Cambria" w:cs="Cambria"/>
      <w:b/>
      <w:bCs/>
      <w:i/>
      <w:iCs/>
      <w:sz w:val="28"/>
      <w:szCs w:val="28"/>
      <w:lang w:val="de-DE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Cambria" w:hAnsi="Cambria" w:cs="Cambria"/>
      <w:b/>
      <w:bCs/>
      <w:sz w:val="26"/>
      <w:szCs w:val="26"/>
      <w:lang w:val="de-DE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Calibri" w:hAnsi="Calibri" w:cs="Calibri"/>
      <w:b/>
      <w:bCs/>
      <w:sz w:val="28"/>
      <w:szCs w:val="28"/>
      <w:lang w:val="de-DE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Calibri" w:hAnsi="Calibri" w:cs="Calibri"/>
      <w:b/>
      <w:bCs/>
      <w:i/>
      <w:iCs/>
      <w:sz w:val="26"/>
      <w:szCs w:val="26"/>
      <w:lang w:val="de-DE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="Calibri" w:hAnsi="Calibri" w:cs="Calibri"/>
      <w:b/>
      <w:bCs/>
      <w:sz w:val="22"/>
      <w:szCs w:val="22"/>
      <w:lang w:val="de-DE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="Calibri" w:hAnsi="Calibri" w:cs="Calibri"/>
      <w:sz w:val="24"/>
      <w:szCs w:val="24"/>
      <w:lang w:val="de-DE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="Calibri" w:hAnsi="Calibri" w:cs="Calibri"/>
      <w:i/>
      <w:iCs/>
      <w:sz w:val="24"/>
      <w:szCs w:val="24"/>
      <w:lang w:val="de-DE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="Cambria" w:hAnsi="Cambria" w:cs="Cambria"/>
      <w:sz w:val="22"/>
      <w:szCs w:val="22"/>
      <w:lang w:val="de-DE"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imes New Roman" w:hAnsi="Times New Roman" w:cs="Times New Roman"/>
      <w:sz w:val="2"/>
      <w:szCs w:val="2"/>
      <w:lang w:val="de-DE"/>
    </w:rPr>
  </w:style>
  <w:style w:type="paragraph" w:customStyle="1" w:styleId="Paragraph">
    <w:name w:val="Paragraph"/>
    <w:basedOn w:val="BodyTextIndent"/>
    <w:pPr>
      <w:tabs>
        <w:tab w:val="num" w:pos="720"/>
      </w:tabs>
      <w:spacing w:before="120"/>
      <w:ind w:left="720" w:hanging="720"/>
      <w:jc w:val="both"/>
      <w:outlineLvl w:val="1"/>
    </w:pPr>
    <w:rPr>
      <w:sz w:val="24"/>
      <w:szCs w:val="24"/>
      <w:lang w:val="es-ES"/>
    </w:rPr>
  </w:style>
  <w:style w:type="paragraph" w:customStyle="1" w:styleId="ABBR">
    <w:name w:val="ABBR"/>
    <w:basedOn w:val="Normal"/>
    <w:rPr>
      <w:caps/>
      <w:sz w:val="24"/>
      <w:szCs w:val="24"/>
      <w:lang w:val="es-ES_tradnl"/>
    </w:rPr>
  </w:style>
  <w:style w:type="paragraph" w:styleId="FootnoteText">
    <w:name w:val="footnote text"/>
    <w:basedOn w:val="Normal"/>
    <w:link w:val="FootnoteTextChar"/>
    <w:uiPriority w:val="99"/>
    <w:rPr>
      <w:lang w:val="es-ES"/>
    </w:rPr>
  </w:style>
  <w:style w:type="character" w:customStyle="1" w:styleId="FootnoteTextChar">
    <w:name w:val="Footnote Text Char"/>
    <w:basedOn w:val="DefaultParagraphFont"/>
    <w:link w:val="FootnoteText"/>
    <w:uiPriority w:val="99"/>
    <w:rPr>
      <w:rFonts w:ascii="Times New Roman" w:hAnsi="Times New Roman" w:cs="Times New Roman"/>
      <w:lang w:val="de-DE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s-ES"/>
    </w:rPr>
  </w:style>
  <w:style w:type="character" w:customStyle="1" w:styleId="BodyTextChar">
    <w:name w:val="Body Text Char"/>
    <w:basedOn w:val="DefaultParagraphFont"/>
    <w:link w:val="BodyText"/>
    <w:uiPriority w:val="99"/>
    <w:rPr>
      <w:rFonts w:ascii="Times New Roman" w:hAnsi="Times New Roman" w:cs="Times New Roman"/>
      <w:lang w:val="de-DE"/>
    </w:rPr>
  </w:style>
  <w:style w:type="paragraph" w:styleId="Header">
    <w:name w:val="header"/>
    <w:basedOn w:val="Normal"/>
    <w:link w:val="HeaderChar"/>
    <w:uiPriority w:val="99"/>
    <w:pPr>
      <w:tabs>
        <w:tab w:val="center" w:pos="4252"/>
        <w:tab w:val="right" w:pos="8504"/>
      </w:tabs>
    </w:pPr>
    <w:rPr>
      <w:lang w:val="es-ES"/>
    </w:r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hAnsi="Times New Roman" w:cs="Times New Roman"/>
      <w:lang w:val="es-ES" w:eastAsia="en-US"/>
    </w:rPr>
  </w:style>
  <w:style w:type="character" w:styleId="PageNumber">
    <w:name w:val="page number"/>
    <w:basedOn w:val="DefaultParagraphFont"/>
    <w:uiPriority w:val="99"/>
    <w:rPr>
      <w:rFonts w:ascii="Times New Roman" w:hAnsi="Times New Roman" w:cs="Times New Roman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color w:val="000000"/>
      <w:lang w:val="es-ES"/>
    </w:rPr>
  </w:style>
  <w:style w:type="character" w:customStyle="1" w:styleId="BodyText2Char">
    <w:name w:val="Body Text 2 Char"/>
    <w:basedOn w:val="DefaultParagraphFont"/>
    <w:link w:val="BodyText2"/>
    <w:uiPriority w:val="99"/>
    <w:rPr>
      <w:rFonts w:ascii="Times New Roman" w:hAnsi="Times New Roman" w:cs="Times New Roman"/>
      <w:lang w:val="de-DE"/>
    </w:rPr>
  </w:style>
  <w:style w:type="paragraph" w:styleId="BodyText3">
    <w:name w:val="Body Text 3"/>
    <w:basedOn w:val="Normal"/>
    <w:link w:val="BodyText3Char"/>
    <w:uiPriority w:val="99"/>
    <w:pPr>
      <w:jc w:val="both"/>
    </w:pPr>
    <w:rPr>
      <w:sz w:val="24"/>
      <w:szCs w:val="24"/>
      <w:lang w:val="es-ES"/>
    </w:rPr>
  </w:style>
  <w:style w:type="character" w:customStyle="1" w:styleId="BodyText3Char">
    <w:name w:val="Body Text 3 Char"/>
    <w:basedOn w:val="DefaultParagraphFont"/>
    <w:link w:val="BodyText3"/>
    <w:uiPriority w:val="99"/>
    <w:rPr>
      <w:rFonts w:ascii="Times New Roman" w:hAnsi="Times New Roman" w:cs="Times New Roman"/>
      <w:sz w:val="16"/>
      <w:szCs w:val="16"/>
      <w:lang w:val="de-DE"/>
    </w:rPr>
  </w:style>
  <w:style w:type="paragraph" w:styleId="BodyTextIndent">
    <w:name w:val="Body Text Indent"/>
    <w:basedOn w:val="Normal"/>
    <w:link w:val="BodyTextIndentChar"/>
    <w:uiPriority w:val="9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Pr>
      <w:rFonts w:ascii="Times New Roman" w:hAnsi="Times New Roman" w:cs="Times New Roman"/>
      <w:lang w:val="de-DE"/>
    </w:rPr>
  </w:style>
  <w:style w:type="paragraph" w:customStyle="1" w:styleId="FirstHeading">
    <w:name w:val="FirstHeading"/>
    <w:basedOn w:val="Normal"/>
    <w:pPr>
      <w:keepNext/>
      <w:numPr>
        <w:numId w:val="1"/>
      </w:numPr>
      <w:tabs>
        <w:tab w:val="left" w:pos="0"/>
        <w:tab w:val="left" w:pos="90"/>
      </w:tabs>
      <w:spacing w:before="120" w:after="120"/>
    </w:pPr>
    <w:rPr>
      <w:b/>
      <w:bCs/>
      <w:sz w:val="24"/>
      <w:szCs w:val="24"/>
      <w:lang w:val="es-ES"/>
    </w:rPr>
  </w:style>
  <w:style w:type="paragraph" w:customStyle="1" w:styleId="SecHeading">
    <w:name w:val="SecHeading"/>
    <w:basedOn w:val="Normal"/>
    <w:next w:val="Paragraph"/>
    <w:pPr>
      <w:keepNext/>
      <w:numPr>
        <w:ilvl w:val="1"/>
        <w:numId w:val="1"/>
      </w:numPr>
      <w:spacing w:before="120" w:after="120"/>
    </w:pPr>
    <w:rPr>
      <w:b/>
      <w:bCs/>
      <w:sz w:val="24"/>
      <w:szCs w:val="24"/>
      <w:lang w:val="es-ES_tradnl"/>
    </w:rPr>
  </w:style>
  <w:style w:type="paragraph" w:customStyle="1" w:styleId="SubHeading1">
    <w:name w:val="SubHeading1"/>
    <w:basedOn w:val="SecHeading"/>
    <w:pPr>
      <w:numPr>
        <w:ilvl w:val="2"/>
      </w:numPr>
      <w:tabs>
        <w:tab w:val="clear" w:pos="1872"/>
        <w:tab w:val="num" w:pos="360"/>
      </w:tabs>
      <w:ind w:left="360" w:hanging="360"/>
    </w:pPr>
  </w:style>
  <w:style w:type="paragraph" w:customStyle="1" w:styleId="Subheading2">
    <w:name w:val="Subheading2"/>
    <w:basedOn w:val="SecHeading"/>
    <w:pPr>
      <w:numPr>
        <w:ilvl w:val="3"/>
      </w:numPr>
      <w:tabs>
        <w:tab w:val="clear" w:pos="2376"/>
        <w:tab w:val="num" w:pos="360"/>
      </w:tabs>
      <w:ind w:left="360" w:hanging="36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hAnsi="Times New Roman" w:cs="Times New Roman"/>
      <w:lang w:val="de-DE"/>
    </w:rPr>
  </w:style>
  <w:style w:type="paragraph" w:customStyle="1" w:styleId="Annex">
    <w:name w:val="Annex"/>
    <w:basedOn w:val="Normal"/>
    <w:rPr>
      <w:caps/>
      <w:sz w:val="24"/>
      <w:szCs w:val="24"/>
      <w:lang w:val="es-ES_tradnl"/>
    </w:rPr>
  </w:style>
  <w:style w:type="paragraph" w:customStyle="1" w:styleId="AbbrDesc">
    <w:name w:val="AbbrDesc"/>
    <w:basedOn w:val="Normal"/>
    <w:pPr>
      <w:tabs>
        <w:tab w:val="left" w:pos="3060"/>
      </w:tabs>
      <w:jc w:val="both"/>
    </w:pPr>
    <w:rPr>
      <w:sz w:val="24"/>
      <w:szCs w:val="24"/>
      <w:lang w:val="es-ES_tradnl"/>
    </w:rPr>
  </w:style>
  <w:style w:type="paragraph" w:customStyle="1" w:styleId="Newpage">
    <w:name w:val="Newpage"/>
    <w:basedOn w:val="Normal"/>
    <w:pPr>
      <w:tabs>
        <w:tab w:val="left" w:pos="3060"/>
      </w:tabs>
      <w:spacing w:before="240"/>
      <w:jc w:val="center"/>
    </w:pPr>
    <w:rPr>
      <w:b/>
      <w:bCs/>
      <w:smallCaps/>
      <w:sz w:val="24"/>
      <w:szCs w:val="24"/>
      <w:lang w:val="es-ES"/>
    </w:rPr>
  </w:style>
  <w:style w:type="paragraph" w:styleId="TOC1">
    <w:name w:val="toc 1"/>
    <w:basedOn w:val="Normal"/>
    <w:next w:val="Normal"/>
    <w:autoRedefine/>
    <w:uiPriority w:val="39"/>
    <w:pPr>
      <w:tabs>
        <w:tab w:val="left" w:pos="540"/>
        <w:tab w:val="right" w:leader="dot" w:pos="8741"/>
      </w:tabs>
      <w:spacing w:before="240" w:after="240"/>
      <w:ind w:left="547" w:hanging="547"/>
    </w:pPr>
    <w:rPr>
      <w:smallCaps/>
      <w:noProof/>
      <w:sz w:val="24"/>
      <w:szCs w:val="24"/>
      <w:lang w:val="es-ES_tradnl"/>
    </w:rPr>
  </w:style>
  <w:style w:type="paragraph" w:styleId="TOC3">
    <w:name w:val="toc 3"/>
    <w:basedOn w:val="Normal"/>
    <w:next w:val="Normal"/>
    <w:autoRedefine/>
    <w:uiPriority w:val="39"/>
    <w:pPr>
      <w:tabs>
        <w:tab w:val="left" w:pos="1728"/>
      </w:tabs>
      <w:ind w:left="1714" w:hanging="562"/>
    </w:pPr>
    <w:rPr>
      <w:sz w:val="24"/>
      <w:szCs w:val="24"/>
      <w:lang w:val="es-ES"/>
    </w:rPr>
  </w:style>
  <w:style w:type="paragraph" w:styleId="BodyTextIndent2">
    <w:name w:val="Body Text Indent 2"/>
    <w:basedOn w:val="Normal"/>
    <w:link w:val="BodyTextIndent2Char"/>
    <w:uiPriority w:val="99"/>
    <w:pPr>
      <w:ind w:left="830"/>
    </w:pPr>
    <w:rPr>
      <w:color w:val="000000"/>
      <w:lang w:val="es-ES"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Pr>
      <w:rFonts w:ascii="Times New Roman" w:hAnsi="Times New Roman" w:cs="Times New Roman"/>
      <w:lang w:val="de-DE"/>
    </w:rPr>
  </w:style>
  <w:style w:type="paragraph" w:styleId="BodyTextIndent3">
    <w:name w:val="Body Text Indent 3"/>
    <w:basedOn w:val="Normal"/>
    <w:link w:val="BodyTextIndent3Char"/>
    <w:uiPriority w:val="99"/>
    <w:pPr>
      <w:autoSpaceDE w:val="0"/>
      <w:autoSpaceDN w:val="0"/>
      <w:adjustRightInd w:val="0"/>
      <w:ind w:left="357"/>
    </w:pPr>
    <w:rPr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Pr>
      <w:rFonts w:ascii="Times New Roman" w:hAnsi="Times New Roman" w:cs="Times New Roman"/>
      <w:sz w:val="16"/>
      <w:szCs w:val="16"/>
      <w:lang w:val="de-DE"/>
    </w:rPr>
  </w:style>
  <w:style w:type="paragraph" w:customStyle="1" w:styleId="Chapter">
    <w:name w:val="Chapter"/>
    <w:basedOn w:val="Normal"/>
    <w:next w:val="Normal"/>
    <w:pPr>
      <w:numPr>
        <w:numId w:val="2"/>
      </w:numPr>
      <w:tabs>
        <w:tab w:val="left" w:pos="1440"/>
      </w:tabs>
      <w:spacing w:before="240" w:after="240"/>
      <w:jc w:val="center"/>
    </w:pPr>
    <w:rPr>
      <w:b/>
      <w:bCs/>
      <w:smallCaps/>
      <w:sz w:val="24"/>
      <w:szCs w:val="24"/>
      <w:lang w:val="es-ES"/>
    </w:rPr>
  </w:style>
  <w:style w:type="paragraph" w:customStyle="1" w:styleId="subpar">
    <w:name w:val="subpar"/>
    <w:basedOn w:val="BodyTextIndent3"/>
    <w:pPr>
      <w:autoSpaceDE/>
      <w:autoSpaceDN/>
      <w:adjustRightInd/>
      <w:spacing w:before="120" w:after="120"/>
      <w:ind w:left="0"/>
      <w:jc w:val="both"/>
      <w:outlineLvl w:val="2"/>
    </w:pPr>
    <w:rPr>
      <w:sz w:val="24"/>
      <w:szCs w:val="24"/>
      <w:lang w:val="es-ES_tradnl"/>
    </w:rPr>
  </w:style>
  <w:style w:type="paragraph" w:customStyle="1" w:styleId="SubSubPar">
    <w:name w:val="SubSubPar"/>
    <w:basedOn w:val="subpar"/>
    <w:pPr>
      <w:tabs>
        <w:tab w:val="left" w:pos="0"/>
      </w:tabs>
    </w:pPr>
  </w:style>
  <w:style w:type="character" w:styleId="FootnoteReference">
    <w:name w:val="footnote reference"/>
    <w:basedOn w:val="DefaultParagraphFont"/>
    <w:uiPriority w:val="99"/>
    <w:rPr>
      <w:rFonts w:ascii="Times New Roman" w:hAnsi="Times New Roman"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hAnsi="Times New Roman" w:cs="Times New Roman"/>
      <w:lang w:val="de-DE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  <w:szCs w:val="16"/>
    </w:rPr>
  </w:style>
  <w:style w:type="paragraph" w:customStyle="1" w:styleId="Asuntodelcomentario1">
    <w:name w:val="Asunto del comentario1"/>
    <w:basedOn w:val="CommentText"/>
    <w:next w:val="CommentText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</w:rPr>
  </w:style>
  <w:style w:type="paragraph" w:customStyle="1" w:styleId="Prrafodelista">
    <w:name w:val="Párrafo de lista"/>
    <w:basedOn w:val="Normal"/>
    <w:pPr>
      <w:spacing w:after="200" w:line="276" w:lineRule="auto"/>
      <w:ind w:left="720"/>
    </w:pPr>
    <w:rPr>
      <w:rFonts w:ascii="Calibri" w:hAnsi="Calibri" w:cs="Calibri"/>
      <w:sz w:val="22"/>
      <w:szCs w:val="22"/>
      <w:lang w:val="es-G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0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11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DD2CD756D48F20409EDF73A5A6A97E8C" ma:contentTypeVersion="1320" ma:contentTypeDescription="The base project type from which other project content types inherit their information." ma:contentTypeScope="" ma:versionID="9cf0801b2e07ca771e4d9e386d18a7a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f2a31bd3a03c7eb8d5936744de99e9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R0002755045</Record_x0020_Number>
    <Key_x0020_Document xmlns="cdc7663a-08f0-4737-9e8c-148ce897a09c">false</Key_x0020_Document>
    <Division_x0020_or_x0020_Unit xmlns="cdc7663a-08f0-4737-9e8c-148ce897a09c">MIF</Division_x0020_or_x0020_Unit>
    <Other_x0020_Author xmlns="cdc7663a-08f0-4737-9e8c-148ce897a09c" xsi:nil="true"/>
    <IDBDocs_x0020_Number xmlns="cdc7663a-08f0-4737-9e8c-148ce897a09c">35149974</IDBDocs_x0020_Number>
    <Document_x0020_Author xmlns="cdc7663a-08f0-4737-9e8c-148ce897a09c">Tercero Gomez, Maria Gabriela</Document_x0020_Author>
    <Operation_x0020_Type xmlns="cdc7663a-08f0-4737-9e8c-148ce897a09c" xsi:nil="true"/>
    <TaxCatchAll xmlns="cdc7663a-08f0-4737-9e8c-148ce897a09c"/>
    <Fiscal_x0020_Year_x0020_IDB xmlns="cdc7663a-08f0-4737-9e8c-148ce897a09c">2010</Fiscal_x0020_Year_x0020_IDB>
    <Project_x0020_Number xmlns="cdc7663a-08f0-4737-9e8c-148ce897a09c">GU-S1016</Project_x0020_Number>
    <Package_x0020_Code xmlns="cdc7663a-08f0-4737-9e8c-148ce897a09c" xsi:nil="true"/>
    <Migration_x0020_Info xmlns="cdc7663a-08f0-4737-9e8c-148ce897a09c">MS WORDSEPSEP - Social Entrepreneurship Program0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 FULL DOC</Identifier>
    <Document_x0020_Language_x0020_IDB xmlns="cdc7663a-08f0-4737-9e8c-148ce897a09c">English</Document_x0020_Language_x0020_IDB>
    <Pha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EZSHARE-1248757561-132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https://idbg.sharepoint.com/teams/EZ-GU-TCP/GU-S1016/_layouts/15/DocIdRedir.aspx?ID=EZSHARE-1248757561-132</Url>
      <Description>EZSHARE-1248757561-132</Description>
    </_dlc_DocIdUrl>
  </documentManagement>
</p:properti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9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662B6167-4610-4EB1-8674-9001471FC106}"/>
</file>

<file path=customXml/itemProps10.xml><?xml version="1.0" encoding="utf-8"?>
<ds:datastoreItem xmlns:ds="http://schemas.openxmlformats.org/officeDocument/2006/customXml" ds:itemID="{A1C80667-694A-44C5-BDA2-A331105DA916}"/>
</file>

<file path=customXml/itemProps11.xml><?xml version="1.0" encoding="utf-8"?>
<ds:datastoreItem xmlns:ds="http://schemas.openxmlformats.org/officeDocument/2006/customXml" ds:itemID="{7DDDAAE3-EBE4-45F7-9985-DF3057BF84C0}"/>
</file>

<file path=customXml/itemProps2.xml><?xml version="1.0" encoding="utf-8"?>
<ds:datastoreItem xmlns:ds="http://schemas.openxmlformats.org/officeDocument/2006/customXml" ds:itemID="{7EBB4013-5C89-469F-9998-80EEB5BBF29A}"/>
</file>

<file path=customXml/itemProps3.xml><?xml version="1.0" encoding="utf-8"?>
<ds:datastoreItem xmlns:ds="http://schemas.openxmlformats.org/officeDocument/2006/customXml" ds:itemID="{1D519D8E-C1B7-48D9-A81F-C665CD7813E2}"/>
</file>

<file path=customXml/itemProps4.xml><?xml version="1.0" encoding="utf-8"?>
<ds:datastoreItem xmlns:ds="http://schemas.openxmlformats.org/officeDocument/2006/customXml" ds:itemID="{2254D517-91ED-46FA-A9EC-FB8742269C52}"/>
</file>

<file path=customXml/itemProps5.xml><?xml version="1.0" encoding="utf-8"?>
<ds:datastoreItem xmlns:ds="http://schemas.openxmlformats.org/officeDocument/2006/customXml" ds:itemID="{8E7D6014-C14C-4B52-BB7C-4174D46B9687}"/>
</file>

<file path=customXml/itemProps6.xml><?xml version="1.0" encoding="utf-8"?>
<ds:datastoreItem xmlns:ds="http://schemas.openxmlformats.org/officeDocument/2006/customXml" ds:itemID="{CD27B56B-505B-49A1-A4A2-E5E441226CA6}"/>
</file>

<file path=customXml/itemProps7.xml><?xml version="1.0" encoding="utf-8"?>
<ds:datastoreItem xmlns:ds="http://schemas.openxmlformats.org/officeDocument/2006/customXml" ds:itemID="{8360B5D2-AB16-455F-B2EA-D46E643B8BB0}"/>
</file>

<file path=customXml/itemProps8.xml><?xml version="1.0" encoding="utf-8"?>
<ds:datastoreItem xmlns:ds="http://schemas.openxmlformats.org/officeDocument/2006/customXml" ds:itemID="{392549DA-7B17-4DE4-9BD1-4F491E063879}"/>
</file>

<file path=customXml/itemProps9.xml><?xml version="1.0" encoding="utf-8"?>
<ds:datastoreItem xmlns:ds="http://schemas.openxmlformats.org/officeDocument/2006/customXml" ds:itemID="{1371EF33-BC1D-4942-9DBF-53B5E4310EA7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7</Pages>
  <Words>2150</Words>
  <Characters>12260</Characters>
  <Application>Microsoft Office Outlook</Application>
  <DocSecurity>0</DocSecurity>
  <Lines>0</Lines>
  <Paragraphs>0</Paragraphs>
  <ScaleCrop>false</ScaleCrop>
  <Company>IDB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Marco Lógico</dc:title>
  <dc:subject/>
  <dc:creator>FerminV</dc:creator>
  <cp:keywords/>
  <dc:description/>
  <cp:lastModifiedBy>Fermin Vivanco</cp:lastModifiedBy>
  <cp:revision>6</cp:revision>
  <cp:lastPrinted>2008-09-29T18:57:00Z</cp:lastPrinted>
  <dcterms:created xsi:type="dcterms:W3CDTF">2008-08-29T14:48:00Z</dcterms:created>
  <dcterms:modified xsi:type="dcterms:W3CDTF">2008-09-29T18:58:00Z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0x010100ACF722E9F6B0B149B0CD8BE2560A667200DD2CD756D48F20409EDF73A5A6A97E8C</vt:lpwstr>
  </property>
  <property fmtid="{D5CDD505-2E9C-101B-9397-08002B2CF9AE}" pid="5" name="TaxKeywordTaxHTField">
    <vt:lpwstr/>
  </property>
  <property fmtid="{D5CDD505-2E9C-101B-9397-08002B2CF9AE}" pid="6" name="Series Operations IDB">
    <vt:lpwstr/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To:">
    <vt:lpwstr/>
  </property>
  <property fmtid="{D5CDD505-2E9C-101B-9397-08002B2CF9AE}" pid="11" name="From:">
    <vt:lpwstr/>
  </property>
  <property fmtid="{D5CDD505-2E9C-101B-9397-08002B2CF9AE}" pid="12" name="Sector IDB">
    <vt:lpwstr/>
  </property>
  <property fmtid="{D5CDD505-2E9C-101B-9397-08002B2CF9AE}" pid="13" name="Function Operations IDB">
    <vt:lpwstr/>
  </property>
  <property fmtid="{D5CDD505-2E9C-101B-9397-08002B2CF9AE}" pid="15" name="Disclosure Activity">
    <vt:lpwstr>SEP - Social Entrepreneurship Program</vt:lpwstr>
  </property>
  <property fmtid="{D5CDD505-2E9C-101B-9397-08002B2CF9AE}" pid="19" name="Webtopic">
    <vt:lpwstr>Generic</vt:lpwstr>
  </property>
  <property fmtid="{D5CDD505-2E9C-101B-9397-08002B2CF9AE}" pid="21" name="Disclosed">
    <vt:bool>true</vt:bool>
  </property>
  <property fmtid="{D5CDD505-2E9C-101B-9397-08002B2CF9AE}" pid="23" name="URL">
    <vt:lpwstr/>
  </property>
  <property fmtid="{D5CDD505-2E9C-101B-9397-08002B2CF9AE}" pid="27" name="_dlc_DocIdItemGuid">
    <vt:lpwstr>d3875026-4fe5-40e3-be2f-e11872a0b83b</vt:lpwstr>
  </property>
</Properties>
</file>