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3D3" w:rsidRPr="00217338" w:rsidRDefault="003B63D3" w:rsidP="003B63D3">
      <w:pPr>
        <w:jc w:val="center"/>
        <w:rPr>
          <w:smallCaps/>
          <w:sz w:val="24"/>
          <w:szCs w:val="24"/>
        </w:rPr>
      </w:pPr>
      <w:r w:rsidRPr="00217338">
        <w:rPr>
          <w:smallCaps/>
          <w:sz w:val="24"/>
          <w:szCs w:val="24"/>
        </w:rPr>
        <w:t>Documento del Banco Interamericano de Desarrollo</w:t>
      </w: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Default="003B63D3" w:rsidP="003B63D3">
      <w:pPr>
        <w:pStyle w:val="NoSpacing"/>
        <w:jc w:val="center"/>
        <w:rPr>
          <w:rFonts w:asciiTheme="majorHAnsi" w:eastAsiaTheme="majorEastAsia" w:hAnsiTheme="majorHAnsi" w:cstheme="majorBidi"/>
          <w:caps/>
          <w:sz w:val="22"/>
          <w:szCs w:val="22"/>
        </w:rPr>
      </w:pPr>
    </w:p>
    <w:p w:rsidR="003B63D3" w:rsidRPr="00217338" w:rsidRDefault="003B63D3" w:rsidP="003B63D3">
      <w:pPr>
        <w:jc w:val="center"/>
        <w:rPr>
          <w:b/>
          <w:smallCaps/>
          <w:sz w:val="32"/>
          <w:szCs w:val="32"/>
        </w:rPr>
      </w:pPr>
      <w:r>
        <w:rPr>
          <w:b/>
          <w:smallCaps/>
          <w:sz w:val="32"/>
          <w:szCs w:val="32"/>
        </w:rPr>
        <w:t>Brasil</w:t>
      </w:r>
    </w:p>
    <w:p w:rsidR="003B63D3" w:rsidRPr="00217338" w:rsidRDefault="003B63D3" w:rsidP="003B63D3">
      <w:pPr>
        <w:jc w:val="center"/>
        <w:rPr>
          <w:b/>
          <w:smallCaps/>
          <w:sz w:val="24"/>
          <w:szCs w:val="24"/>
        </w:rPr>
      </w:pPr>
    </w:p>
    <w:p w:rsidR="003B63D3" w:rsidRPr="00217338" w:rsidRDefault="003B63D3" w:rsidP="003B63D3">
      <w:pPr>
        <w:jc w:val="center"/>
        <w:rPr>
          <w:b/>
          <w:smallCaps/>
          <w:sz w:val="24"/>
          <w:szCs w:val="24"/>
        </w:rPr>
      </w:pPr>
    </w:p>
    <w:p w:rsidR="003B63D3" w:rsidRPr="00217338" w:rsidRDefault="003B63D3" w:rsidP="003B63D3">
      <w:pPr>
        <w:jc w:val="center"/>
        <w:rPr>
          <w:b/>
          <w:smallCaps/>
          <w:sz w:val="24"/>
          <w:szCs w:val="24"/>
        </w:rPr>
      </w:pPr>
    </w:p>
    <w:p w:rsidR="003B63D3" w:rsidRPr="00217338" w:rsidRDefault="003B63D3" w:rsidP="003B63D3">
      <w:pPr>
        <w:jc w:val="center"/>
        <w:rPr>
          <w:b/>
          <w:smallCaps/>
          <w:sz w:val="24"/>
          <w:szCs w:val="24"/>
        </w:rPr>
      </w:pPr>
    </w:p>
    <w:p w:rsidR="003B63D3" w:rsidRDefault="003B63D3" w:rsidP="003B63D3">
      <w:pPr>
        <w:pStyle w:val="Newpage"/>
        <w:rPr>
          <w:sz w:val="32"/>
          <w:szCs w:val="32"/>
          <w:lang w:val="es-ES_tradnl"/>
        </w:rPr>
      </w:pPr>
      <w:r w:rsidRPr="00217338">
        <w:rPr>
          <w:sz w:val="32"/>
          <w:szCs w:val="32"/>
          <w:lang w:val="es-ES_tradnl"/>
        </w:rPr>
        <w:t xml:space="preserve">Programa </w:t>
      </w:r>
      <w:r>
        <w:rPr>
          <w:sz w:val="32"/>
          <w:szCs w:val="32"/>
          <w:lang w:val="es-ES_tradnl"/>
        </w:rPr>
        <w:t>de Apoyo a la</w:t>
      </w:r>
      <w:r w:rsidR="000812E1">
        <w:rPr>
          <w:sz w:val="32"/>
          <w:szCs w:val="32"/>
          <w:lang w:val="es-ES_tradnl"/>
        </w:rPr>
        <w:t xml:space="preserve"> Modernización de la</w:t>
      </w:r>
      <w:r>
        <w:rPr>
          <w:sz w:val="32"/>
          <w:szCs w:val="32"/>
          <w:lang w:val="es-ES_tradnl"/>
        </w:rPr>
        <w:t xml:space="preserve"> Abogacía General de la Unión </w:t>
      </w:r>
    </w:p>
    <w:p w:rsidR="003B63D3" w:rsidRPr="000812E1" w:rsidRDefault="003B63D3" w:rsidP="003B63D3">
      <w:pPr>
        <w:pStyle w:val="Newpage"/>
        <w:rPr>
          <w:sz w:val="32"/>
          <w:szCs w:val="32"/>
          <w:lang w:val="pt-BR"/>
        </w:rPr>
      </w:pPr>
      <w:r w:rsidRPr="000812E1">
        <w:rPr>
          <w:sz w:val="32"/>
          <w:szCs w:val="32"/>
          <w:lang w:val="pt-BR"/>
        </w:rPr>
        <w:t>(</w:t>
      </w:r>
      <w:proofErr w:type="gramStart"/>
      <w:r w:rsidRPr="000812E1">
        <w:rPr>
          <w:sz w:val="32"/>
          <w:szCs w:val="32"/>
          <w:lang w:val="pt-BR"/>
        </w:rPr>
        <w:t>pro-</w:t>
      </w:r>
      <w:proofErr w:type="spellStart"/>
      <w:r w:rsidRPr="000812E1">
        <w:rPr>
          <w:sz w:val="32"/>
          <w:szCs w:val="32"/>
          <w:lang w:val="pt-BR"/>
        </w:rPr>
        <w:t>agu</w:t>
      </w:r>
      <w:proofErr w:type="spellEnd"/>
      <w:proofErr w:type="gramEnd"/>
      <w:r w:rsidRPr="000812E1">
        <w:rPr>
          <w:sz w:val="32"/>
          <w:szCs w:val="32"/>
          <w:lang w:val="pt-BR"/>
        </w:rPr>
        <w:t>)</w:t>
      </w:r>
    </w:p>
    <w:p w:rsidR="003B63D3" w:rsidRPr="000812E1" w:rsidRDefault="003B63D3" w:rsidP="003B63D3">
      <w:pPr>
        <w:jc w:val="center"/>
        <w:rPr>
          <w:b/>
          <w:smallCaps/>
          <w:sz w:val="24"/>
          <w:szCs w:val="24"/>
          <w:lang w:val="pt-BR"/>
        </w:rPr>
      </w:pPr>
    </w:p>
    <w:p w:rsidR="003B63D3" w:rsidRPr="000812E1" w:rsidRDefault="003B63D3" w:rsidP="003B63D3">
      <w:pPr>
        <w:jc w:val="center"/>
        <w:rPr>
          <w:b/>
          <w:smallCaps/>
          <w:sz w:val="24"/>
          <w:szCs w:val="24"/>
          <w:lang w:val="pt-BR"/>
        </w:rPr>
      </w:pPr>
    </w:p>
    <w:p w:rsidR="003B63D3" w:rsidRPr="000812E1" w:rsidRDefault="003B63D3" w:rsidP="003B63D3">
      <w:pPr>
        <w:jc w:val="center"/>
        <w:rPr>
          <w:b/>
          <w:smallCaps/>
          <w:sz w:val="24"/>
          <w:szCs w:val="24"/>
          <w:lang w:val="pt-BR"/>
        </w:rPr>
      </w:pPr>
    </w:p>
    <w:p w:rsidR="003B63D3" w:rsidRPr="000812E1" w:rsidRDefault="003B63D3" w:rsidP="003B63D3">
      <w:pPr>
        <w:jc w:val="center"/>
        <w:rPr>
          <w:b/>
          <w:smallCaps/>
          <w:sz w:val="24"/>
          <w:szCs w:val="24"/>
          <w:lang w:val="pt-BR"/>
        </w:rPr>
      </w:pPr>
      <w:r w:rsidRPr="000812E1">
        <w:rPr>
          <w:b/>
          <w:smallCaps/>
          <w:sz w:val="24"/>
          <w:szCs w:val="24"/>
          <w:lang w:val="pt-BR"/>
        </w:rPr>
        <w:t>(BR-L1277)</w:t>
      </w:r>
    </w:p>
    <w:p w:rsidR="003B63D3" w:rsidRPr="000812E1" w:rsidRDefault="003B63D3" w:rsidP="003B63D3">
      <w:pPr>
        <w:jc w:val="center"/>
        <w:rPr>
          <w:b/>
          <w:smallCaps/>
          <w:sz w:val="24"/>
          <w:szCs w:val="24"/>
          <w:lang w:val="pt-BR"/>
        </w:rPr>
      </w:pPr>
    </w:p>
    <w:p w:rsidR="003B63D3" w:rsidRPr="000812E1" w:rsidRDefault="003B63D3" w:rsidP="003B63D3">
      <w:pPr>
        <w:jc w:val="center"/>
        <w:rPr>
          <w:b/>
          <w:smallCaps/>
          <w:sz w:val="24"/>
          <w:szCs w:val="24"/>
          <w:lang w:val="pt-BR"/>
        </w:rPr>
      </w:pPr>
    </w:p>
    <w:p w:rsidR="003B63D3" w:rsidRPr="000812E1" w:rsidRDefault="003B63D3" w:rsidP="003B63D3">
      <w:pPr>
        <w:jc w:val="center"/>
        <w:rPr>
          <w:b/>
          <w:smallCaps/>
          <w:sz w:val="24"/>
          <w:szCs w:val="24"/>
          <w:lang w:val="pt-BR"/>
        </w:rPr>
      </w:pPr>
    </w:p>
    <w:p w:rsidR="003B63D3" w:rsidRPr="000812E1" w:rsidRDefault="003B63D3" w:rsidP="003B63D3">
      <w:pPr>
        <w:jc w:val="center"/>
        <w:rPr>
          <w:b/>
          <w:smallCaps/>
          <w:sz w:val="24"/>
          <w:szCs w:val="24"/>
          <w:lang w:val="pt-BR"/>
        </w:rPr>
      </w:pPr>
    </w:p>
    <w:p w:rsidR="003B63D3" w:rsidRPr="000812E1" w:rsidRDefault="00363331" w:rsidP="003B63D3">
      <w:pPr>
        <w:jc w:val="center"/>
        <w:rPr>
          <w:b/>
          <w:smallCaps/>
          <w:sz w:val="24"/>
          <w:szCs w:val="24"/>
          <w:lang w:val="pt-BR"/>
        </w:rPr>
      </w:pPr>
      <w:r>
        <w:rPr>
          <w:b/>
          <w:smallCaps/>
          <w:sz w:val="24"/>
          <w:szCs w:val="24"/>
          <w:lang w:val="pt-BR"/>
        </w:rPr>
        <w:t>A</w:t>
      </w:r>
      <w:r w:rsidR="003B63D3" w:rsidRPr="000812E1">
        <w:rPr>
          <w:b/>
          <w:smallCaps/>
          <w:sz w:val="24"/>
          <w:szCs w:val="24"/>
          <w:lang w:val="pt-BR"/>
        </w:rPr>
        <w:t xml:space="preserve">nexo de </w:t>
      </w:r>
      <w:proofErr w:type="spellStart"/>
      <w:r w:rsidR="003B63D3" w:rsidRPr="000812E1">
        <w:rPr>
          <w:b/>
          <w:smallCaps/>
          <w:sz w:val="24"/>
          <w:szCs w:val="24"/>
          <w:lang w:val="pt-BR"/>
        </w:rPr>
        <w:t>Análisis</w:t>
      </w:r>
      <w:proofErr w:type="spellEnd"/>
      <w:r w:rsidR="003B63D3" w:rsidRPr="000812E1">
        <w:rPr>
          <w:b/>
          <w:smallCaps/>
          <w:sz w:val="24"/>
          <w:szCs w:val="24"/>
          <w:lang w:val="pt-BR"/>
        </w:rPr>
        <w:t xml:space="preserve"> Económico</w:t>
      </w: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p w:rsidR="003B63D3" w:rsidRPr="000812E1" w:rsidRDefault="003B63D3" w:rsidP="003B63D3">
      <w:pPr>
        <w:pStyle w:val="NoSpacing"/>
        <w:jc w:val="center"/>
        <w:rPr>
          <w:rFonts w:asciiTheme="majorHAnsi" w:eastAsiaTheme="majorEastAsia" w:hAnsiTheme="majorHAnsi" w:cstheme="majorBidi"/>
          <w:caps/>
          <w:sz w:val="22"/>
          <w:szCs w:val="22"/>
          <w:lang w:val="pt-BR"/>
        </w:rPr>
      </w:pPr>
    </w:p>
    <w:tbl>
      <w:tblPr>
        <w:tblStyle w:val="TableGrid"/>
        <w:tblW w:w="0" w:type="auto"/>
        <w:tblLayout w:type="fixed"/>
        <w:tblLook w:val="04A0" w:firstRow="1" w:lastRow="0" w:firstColumn="1" w:lastColumn="0" w:noHBand="0" w:noVBand="1"/>
      </w:tblPr>
      <w:tblGrid>
        <w:gridCol w:w="8985"/>
      </w:tblGrid>
      <w:tr w:rsidR="003B63D3" w:rsidTr="00F46113">
        <w:tc>
          <w:tcPr>
            <w:tcW w:w="8985" w:type="dxa"/>
          </w:tcPr>
          <w:p w:rsidR="003B63D3" w:rsidRDefault="003B63D3" w:rsidP="00F46113">
            <w:pPr>
              <w:pStyle w:val="NoSpacing"/>
              <w:rPr>
                <w:rFonts w:asciiTheme="majorHAnsi" w:eastAsiaTheme="majorEastAsia" w:hAnsiTheme="majorHAnsi" w:cstheme="majorBidi"/>
                <w:caps/>
                <w:sz w:val="22"/>
                <w:szCs w:val="22"/>
              </w:rPr>
            </w:pPr>
            <w:r>
              <w:t xml:space="preserve">Este </w:t>
            </w:r>
            <w:r w:rsidRPr="00DB52C1">
              <w:t xml:space="preserve">documento fue preparado por </w:t>
            </w:r>
            <w:bookmarkStart w:id="0" w:name="_GoBack"/>
            <w:r>
              <w:t xml:space="preserve">Fernando </w:t>
            </w:r>
            <w:proofErr w:type="spellStart"/>
            <w:r>
              <w:t>Grafe</w:t>
            </w:r>
            <w:bookmarkEnd w:id="0"/>
            <w:proofErr w:type="spellEnd"/>
            <w:r w:rsidRPr="00DB52C1">
              <w:t xml:space="preserve">, bajo la supervisión de </w:t>
            </w:r>
            <w:r>
              <w:t xml:space="preserve">Carlos </w:t>
            </w:r>
            <w:proofErr w:type="spellStart"/>
            <w:r>
              <w:t>Cordovez</w:t>
            </w:r>
            <w:proofErr w:type="spellEnd"/>
            <w:r>
              <w:t xml:space="preserve"> </w:t>
            </w:r>
            <w:r w:rsidRPr="00DB52C1">
              <w:rPr>
                <w:lang w:val="es-ES_tradnl"/>
              </w:rPr>
              <w:t>(ICS</w:t>
            </w:r>
            <w:r>
              <w:rPr>
                <w:lang w:val="es-ES_tradnl"/>
              </w:rPr>
              <w:t>/CCH</w:t>
            </w:r>
            <w:r w:rsidRPr="00DB52C1">
              <w:rPr>
                <w:lang w:val="es-ES_tradnl"/>
              </w:rPr>
              <w:t>)</w:t>
            </w:r>
            <w:r w:rsidRPr="00DB52C1">
              <w:t>,</w:t>
            </w:r>
            <w:r w:rsidRPr="008B4787">
              <w:t xml:space="preserve"> Jefe de Equipo de Proyecto</w:t>
            </w:r>
            <w:r>
              <w:t>.</w:t>
            </w:r>
          </w:p>
        </w:tc>
      </w:tr>
    </w:tbl>
    <w:p w:rsidR="00661854" w:rsidRDefault="00661854" w:rsidP="00D04EC0"/>
    <w:p w:rsidR="00661854" w:rsidRDefault="00661854" w:rsidP="00D04EC0"/>
    <w:p w:rsidR="00661854" w:rsidRDefault="00661854" w:rsidP="00D04EC0">
      <w:pPr>
        <w:sectPr w:rsidR="00661854" w:rsidSect="0043483C">
          <w:footerReference w:type="default" r:id="rId11"/>
          <w:type w:val="continuous"/>
          <w:pgSz w:w="12240" w:h="15840" w:code="1"/>
          <w:pgMar w:top="1702" w:right="1418" w:bottom="1418" w:left="1418" w:header="709" w:footer="856" w:gutter="0"/>
          <w:pgNumType w:start="0"/>
          <w:cols w:space="708"/>
          <w:titlePg/>
          <w:docGrid w:linePitch="360"/>
        </w:sectPr>
      </w:pPr>
    </w:p>
    <w:p w:rsidR="00661854" w:rsidRDefault="00661854" w:rsidP="00D04EC0"/>
    <w:sdt>
      <w:sdtPr>
        <w:rPr>
          <w:rFonts w:ascii="Times New Roman" w:hAnsi="Times New Roman"/>
          <w:b w:val="0"/>
          <w:bCs w:val="0"/>
          <w:color w:val="auto"/>
          <w:sz w:val="22"/>
          <w:szCs w:val="22"/>
          <w:lang w:eastAsia="es-ES"/>
        </w:rPr>
        <w:id w:val="-166784796"/>
        <w:docPartObj>
          <w:docPartGallery w:val="Table of Contents"/>
          <w:docPartUnique/>
        </w:docPartObj>
      </w:sdtPr>
      <w:sdtEndPr/>
      <w:sdtContent>
        <w:p w:rsidR="00661854" w:rsidRDefault="00661854">
          <w:pPr>
            <w:pStyle w:val="TOCHeading"/>
          </w:pPr>
          <w:r>
            <w:t>Contenido</w:t>
          </w:r>
        </w:p>
        <w:p w:rsidR="0029515A" w:rsidRDefault="00D857C2">
          <w:pPr>
            <w:pStyle w:val="TOC1"/>
            <w:rPr>
              <w:rFonts w:asciiTheme="minorHAnsi" w:eastAsiaTheme="minorEastAsia" w:hAnsiTheme="minorHAnsi" w:cstheme="minorBidi"/>
              <w:b w:val="0"/>
              <w:szCs w:val="22"/>
              <w:lang w:val="es-ES_tradnl" w:eastAsia="es-ES_tradnl"/>
            </w:rPr>
          </w:pPr>
          <w:r>
            <w:fldChar w:fldCharType="begin"/>
          </w:r>
          <w:r w:rsidR="0029515A">
            <w:instrText xml:space="preserve"> TOC \o "1-3" \h \z \u </w:instrText>
          </w:r>
          <w:r>
            <w:fldChar w:fldCharType="separate"/>
          </w:r>
          <w:hyperlink w:anchor="_Toc303885499" w:history="1">
            <w:r w:rsidR="0029515A" w:rsidRPr="00B236D2">
              <w:rPr>
                <w:rStyle w:val="Hyperlink"/>
              </w:rPr>
              <w:t>1</w:t>
            </w:r>
            <w:r w:rsidR="0029515A">
              <w:rPr>
                <w:rFonts w:asciiTheme="minorHAnsi" w:eastAsiaTheme="minorEastAsia" w:hAnsiTheme="minorHAnsi" w:cstheme="minorBidi"/>
                <w:b w:val="0"/>
                <w:szCs w:val="22"/>
                <w:lang w:val="es-ES_tradnl" w:eastAsia="es-ES_tradnl"/>
              </w:rPr>
              <w:tab/>
            </w:r>
            <w:r w:rsidR="0029515A" w:rsidRPr="00B236D2">
              <w:rPr>
                <w:rStyle w:val="Hyperlink"/>
              </w:rPr>
              <w:t>Introducción</w:t>
            </w:r>
            <w:r w:rsidR="0029515A">
              <w:rPr>
                <w:webHidden/>
              </w:rPr>
              <w:tab/>
            </w:r>
            <w:r>
              <w:rPr>
                <w:webHidden/>
              </w:rPr>
              <w:fldChar w:fldCharType="begin"/>
            </w:r>
            <w:r w:rsidR="0029515A">
              <w:rPr>
                <w:webHidden/>
              </w:rPr>
              <w:instrText xml:space="preserve"> PAGEREF _Toc303885499 \h </w:instrText>
            </w:r>
            <w:r>
              <w:rPr>
                <w:webHidden/>
              </w:rPr>
            </w:r>
            <w:r>
              <w:rPr>
                <w:webHidden/>
              </w:rPr>
              <w:fldChar w:fldCharType="separate"/>
            </w:r>
            <w:r w:rsidR="0029515A">
              <w:rPr>
                <w:webHidden/>
              </w:rPr>
              <w:t>1</w:t>
            </w:r>
            <w:r>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00" w:history="1">
            <w:r w:rsidR="0029515A" w:rsidRPr="00B236D2">
              <w:rPr>
                <w:rStyle w:val="Hyperlink"/>
              </w:rPr>
              <w:t>1.1</w:t>
            </w:r>
            <w:r w:rsidR="0029515A">
              <w:rPr>
                <w:rFonts w:asciiTheme="minorHAnsi" w:eastAsiaTheme="minorEastAsia" w:hAnsiTheme="minorHAnsi" w:cstheme="minorBidi"/>
                <w:szCs w:val="22"/>
                <w:lang w:val="es-ES_tradnl" w:eastAsia="es-ES_tradnl"/>
              </w:rPr>
              <w:tab/>
            </w:r>
            <w:r w:rsidR="0029515A" w:rsidRPr="00B236D2">
              <w:rPr>
                <w:rStyle w:val="Hyperlink"/>
              </w:rPr>
              <w:t>Breve descripción del Programa</w:t>
            </w:r>
            <w:r w:rsidR="0029515A">
              <w:rPr>
                <w:webHidden/>
              </w:rPr>
              <w:tab/>
            </w:r>
            <w:r w:rsidR="00D857C2">
              <w:rPr>
                <w:webHidden/>
              </w:rPr>
              <w:fldChar w:fldCharType="begin"/>
            </w:r>
            <w:r w:rsidR="0029515A">
              <w:rPr>
                <w:webHidden/>
              </w:rPr>
              <w:instrText xml:space="preserve"> PAGEREF _Toc303885500 \h </w:instrText>
            </w:r>
            <w:r w:rsidR="00D857C2">
              <w:rPr>
                <w:webHidden/>
              </w:rPr>
            </w:r>
            <w:r w:rsidR="00D857C2">
              <w:rPr>
                <w:webHidden/>
              </w:rPr>
              <w:fldChar w:fldCharType="separate"/>
            </w:r>
            <w:r w:rsidR="0029515A">
              <w:rPr>
                <w:webHidden/>
              </w:rPr>
              <w:t>1</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01" w:history="1">
            <w:r w:rsidR="0029515A" w:rsidRPr="00B236D2">
              <w:rPr>
                <w:rStyle w:val="Hyperlink"/>
              </w:rPr>
              <w:t>1.2</w:t>
            </w:r>
            <w:r w:rsidR="0029515A">
              <w:rPr>
                <w:rFonts w:asciiTheme="minorHAnsi" w:eastAsiaTheme="minorEastAsia" w:hAnsiTheme="minorHAnsi" w:cstheme="minorBidi"/>
                <w:szCs w:val="22"/>
                <w:lang w:val="es-ES_tradnl" w:eastAsia="es-ES_tradnl"/>
              </w:rPr>
              <w:tab/>
            </w:r>
            <w:r w:rsidR="0029515A" w:rsidRPr="00B236D2">
              <w:rPr>
                <w:rStyle w:val="Hyperlink"/>
              </w:rPr>
              <w:t>Principales beneficios esperados</w:t>
            </w:r>
            <w:r w:rsidR="0029515A">
              <w:rPr>
                <w:webHidden/>
              </w:rPr>
              <w:tab/>
            </w:r>
            <w:r w:rsidR="00D857C2">
              <w:rPr>
                <w:webHidden/>
              </w:rPr>
              <w:fldChar w:fldCharType="begin"/>
            </w:r>
            <w:r w:rsidR="0029515A">
              <w:rPr>
                <w:webHidden/>
              </w:rPr>
              <w:instrText xml:space="preserve"> PAGEREF _Toc303885501 \h </w:instrText>
            </w:r>
            <w:r w:rsidR="00D857C2">
              <w:rPr>
                <w:webHidden/>
              </w:rPr>
            </w:r>
            <w:r w:rsidR="00D857C2">
              <w:rPr>
                <w:webHidden/>
              </w:rPr>
              <w:fldChar w:fldCharType="separate"/>
            </w:r>
            <w:r w:rsidR="0029515A">
              <w:rPr>
                <w:webHidden/>
              </w:rPr>
              <w:t>1</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02" w:history="1">
            <w:r w:rsidR="0029515A" w:rsidRPr="00B236D2">
              <w:rPr>
                <w:rStyle w:val="Hyperlink"/>
              </w:rPr>
              <w:t>1.3</w:t>
            </w:r>
            <w:r w:rsidR="0029515A">
              <w:rPr>
                <w:rFonts w:asciiTheme="minorHAnsi" w:eastAsiaTheme="minorEastAsia" w:hAnsiTheme="minorHAnsi" w:cstheme="minorBidi"/>
                <w:szCs w:val="22"/>
                <w:lang w:val="es-ES_tradnl" w:eastAsia="es-ES_tradnl"/>
              </w:rPr>
              <w:tab/>
            </w:r>
            <w:r w:rsidR="0029515A" w:rsidRPr="00B236D2">
              <w:rPr>
                <w:rStyle w:val="Hyperlink"/>
              </w:rPr>
              <w:t>Indicadores seleccionados</w:t>
            </w:r>
            <w:r w:rsidR="0029515A">
              <w:rPr>
                <w:webHidden/>
              </w:rPr>
              <w:tab/>
            </w:r>
            <w:r w:rsidR="00D857C2">
              <w:rPr>
                <w:webHidden/>
              </w:rPr>
              <w:fldChar w:fldCharType="begin"/>
            </w:r>
            <w:r w:rsidR="0029515A">
              <w:rPr>
                <w:webHidden/>
              </w:rPr>
              <w:instrText xml:space="preserve"> PAGEREF _Toc303885502 \h </w:instrText>
            </w:r>
            <w:r w:rsidR="00D857C2">
              <w:rPr>
                <w:webHidden/>
              </w:rPr>
            </w:r>
            <w:r w:rsidR="00D857C2">
              <w:rPr>
                <w:webHidden/>
              </w:rPr>
              <w:fldChar w:fldCharType="separate"/>
            </w:r>
            <w:r w:rsidR="0029515A">
              <w:rPr>
                <w:webHidden/>
              </w:rPr>
              <w:t>2</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03" w:history="1">
            <w:r w:rsidR="0029515A" w:rsidRPr="00B236D2">
              <w:rPr>
                <w:rStyle w:val="Hyperlink"/>
              </w:rPr>
              <w:t>1.4</w:t>
            </w:r>
            <w:r w:rsidR="0029515A">
              <w:rPr>
                <w:rFonts w:asciiTheme="minorHAnsi" w:eastAsiaTheme="minorEastAsia" w:hAnsiTheme="minorHAnsi" w:cstheme="minorBidi"/>
                <w:szCs w:val="22"/>
                <w:lang w:val="es-ES_tradnl" w:eastAsia="es-ES_tradnl"/>
              </w:rPr>
              <w:tab/>
            </w:r>
            <w:r w:rsidR="0029515A" w:rsidRPr="00B236D2">
              <w:rPr>
                <w:rStyle w:val="Hyperlink"/>
              </w:rPr>
              <w:t>Tipo de análisis aplicado para la valoración económica</w:t>
            </w:r>
            <w:r w:rsidR="0029515A">
              <w:rPr>
                <w:webHidden/>
              </w:rPr>
              <w:tab/>
            </w:r>
            <w:r w:rsidR="00D857C2">
              <w:rPr>
                <w:webHidden/>
              </w:rPr>
              <w:fldChar w:fldCharType="begin"/>
            </w:r>
            <w:r w:rsidR="0029515A">
              <w:rPr>
                <w:webHidden/>
              </w:rPr>
              <w:instrText xml:space="preserve"> PAGEREF _Toc303885503 \h </w:instrText>
            </w:r>
            <w:r w:rsidR="00D857C2">
              <w:rPr>
                <w:webHidden/>
              </w:rPr>
            </w:r>
            <w:r w:rsidR="00D857C2">
              <w:rPr>
                <w:webHidden/>
              </w:rPr>
              <w:fldChar w:fldCharType="separate"/>
            </w:r>
            <w:r w:rsidR="0029515A">
              <w:rPr>
                <w:webHidden/>
              </w:rPr>
              <w:t>4</w:t>
            </w:r>
            <w:r w:rsidR="00D857C2">
              <w:rPr>
                <w:webHidden/>
              </w:rPr>
              <w:fldChar w:fldCharType="end"/>
            </w:r>
          </w:hyperlink>
        </w:p>
        <w:p w:rsidR="0029515A" w:rsidRDefault="004951ED">
          <w:pPr>
            <w:pStyle w:val="TOC1"/>
            <w:rPr>
              <w:rFonts w:asciiTheme="minorHAnsi" w:eastAsiaTheme="minorEastAsia" w:hAnsiTheme="minorHAnsi" w:cstheme="minorBidi"/>
              <w:b w:val="0"/>
              <w:szCs w:val="22"/>
              <w:lang w:val="es-ES_tradnl" w:eastAsia="es-ES_tradnl"/>
            </w:rPr>
          </w:pPr>
          <w:hyperlink w:anchor="_Toc303885504" w:history="1">
            <w:r w:rsidR="0029515A" w:rsidRPr="00B236D2">
              <w:rPr>
                <w:rStyle w:val="Hyperlink"/>
              </w:rPr>
              <w:t>2</w:t>
            </w:r>
            <w:r w:rsidR="0029515A">
              <w:rPr>
                <w:rFonts w:asciiTheme="minorHAnsi" w:eastAsiaTheme="minorEastAsia" w:hAnsiTheme="minorHAnsi" w:cstheme="minorBidi"/>
                <w:b w:val="0"/>
                <w:szCs w:val="22"/>
                <w:lang w:val="es-ES_tradnl" w:eastAsia="es-ES_tradnl"/>
              </w:rPr>
              <w:tab/>
            </w:r>
            <w:r w:rsidR="0029515A" w:rsidRPr="00B236D2">
              <w:rPr>
                <w:rStyle w:val="Hyperlink"/>
              </w:rPr>
              <w:t>Supuestos y metodología</w:t>
            </w:r>
            <w:r w:rsidR="0029515A">
              <w:rPr>
                <w:webHidden/>
              </w:rPr>
              <w:tab/>
            </w:r>
            <w:r w:rsidR="00D857C2">
              <w:rPr>
                <w:webHidden/>
              </w:rPr>
              <w:fldChar w:fldCharType="begin"/>
            </w:r>
            <w:r w:rsidR="0029515A">
              <w:rPr>
                <w:webHidden/>
              </w:rPr>
              <w:instrText xml:space="preserve"> PAGEREF _Toc303885504 \h </w:instrText>
            </w:r>
            <w:r w:rsidR="00D857C2">
              <w:rPr>
                <w:webHidden/>
              </w:rPr>
            </w:r>
            <w:r w:rsidR="00D857C2">
              <w:rPr>
                <w:webHidden/>
              </w:rPr>
              <w:fldChar w:fldCharType="separate"/>
            </w:r>
            <w:r w:rsidR="0029515A">
              <w:rPr>
                <w:webHidden/>
              </w:rPr>
              <w:t>4</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05" w:history="1">
            <w:r w:rsidR="0029515A" w:rsidRPr="00B236D2">
              <w:rPr>
                <w:rStyle w:val="Hyperlink"/>
              </w:rPr>
              <w:t>2.1</w:t>
            </w:r>
            <w:r w:rsidR="0029515A">
              <w:rPr>
                <w:rFonts w:asciiTheme="minorHAnsi" w:eastAsiaTheme="minorEastAsia" w:hAnsiTheme="minorHAnsi" w:cstheme="minorBidi"/>
                <w:szCs w:val="22"/>
                <w:lang w:val="es-ES_tradnl" w:eastAsia="es-ES_tradnl"/>
              </w:rPr>
              <w:tab/>
            </w:r>
            <w:r w:rsidR="0029515A" w:rsidRPr="00B236D2">
              <w:rPr>
                <w:rStyle w:val="Hyperlink"/>
              </w:rPr>
              <w:t>Alternativas consideradas</w:t>
            </w:r>
            <w:r w:rsidR="0029515A">
              <w:rPr>
                <w:webHidden/>
              </w:rPr>
              <w:tab/>
            </w:r>
            <w:r w:rsidR="00D857C2">
              <w:rPr>
                <w:webHidden/>
              </w:rPr>
              <w:fldChar w:fldCharType="begin"/>
            </w:r>
            <w:r w:rsidR="0029515A">
              <w:rPr>
                <w:webHidden/>
              </w:rPr>
              <w:instrText xml:space="preserve"> PAGEREF _Toc303885505 \h </w:instrText>
            </w:r>
            <w:r w:rsidR="00D857C2">
              <w:rPr>
                <w:webHidden/>
              </w:rPr>
            </w:r>
            <w:r w:rsidR="00D857C2">
              <w:rPr>
                <w:webHidden/>
              </w:rPr>
              <w:fldChar w:fldCharType="separate"/>
            </w:r>
            <w:r w:rsidR="0029515A">
              <w:rPr>
                <w:webHidden/>
              </w:rPr>
              <w:t>4</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06" w:history="1">
            <w:r w:rsidR="0029515A" w:rsidRPr="00B236D2">
              <w:rPr>
                <w:rStyle w:val="Hyperlink"/>
              </w:rPr>
              <w:t>2.2</w:t>
            </w:r>
            <w:r w:rsidR="0029515A">
              <w:rPr>
                <w:rFonts w:asciiTheme="minorHAnsi" w:eastAsiaTheme="minorEastAsia" w:hAnsiTheme="minorHAnsi" w:cstheme="minorBidi"/>
                <w:szCs w:val="22"/>
                <w:lang w:val="es-ES_tradnl" w:eastAsia="es-ES_tradnl"/>
              </w:rPr>
              <w:tab/>
            </w:r>
            <w:r w:rsidR="0029515A" w:rsidRPr="00B236D2">
              <w:rPr>
                <w:rStyle w:val="Hyperlink"/>
              </w:rPr>
              <w:t>Supuestos</w:t>
            </w:r>
            <w:r w:rsidR="0029515A">
              <w:rPr>
                <w:webHidden/>
              </w:rPr>
              <w:tab/>
            </w:r>
            <w:r w:rsidR="00D857C2">
              <w:rPr>
                <w:webHidden/>
              </w:rPr>
              <w:fldChar w:fldCharType="begin"/>
            </w:r>
            <w:r w:rsidR="0029515A">
              <w:rPr>
                <w:webHidden/>
              </w:rPr>
              <w:instrText xml:space="preserve"> PAGEREF _Toc303885506 \h </w:instrText>
            </w:r>
            <w:r w:rsidR="00D857C2">
              <w:rPr>
                <w:webHidden/>
              </w:rPr>
            </w:r>
            <w:r w:rsidR="00D857C2">
              <w:rPr>
                <w:webHidden/>
              </w:rPr>
              <w:fldChar w:fldCharType="separate"/>
            </w:r>
            <w:r w:rsidR="0029515A">
              <w:rPr>
                <w:webHidden/>
              </w:rPr>
              <w:t>5</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07" w:history="1">
            <w:r w:rsidR="0029515A" w:rsidRPr="00B236D2">
              <w:rPr>
                <w:rStyle w:val="Hyperlink"/>
              </w:rPr>
              <w:t>2.3</w:t>
            </w:r>
            <w:r w:rsidR="0029515A">
              <w:rPr>
                <w:rFonts w:asciiTheme="minorHAnsi" w:eastAsiaTheme="minorEastAsia" w:hAnsiTheme="minorHAnsi" w:cstheme="minorBidi"/>
                <w:szCs w:val="22"/>
                <w:lang w:val="es-ES_tradnl" w:eastAsia="es-ES_tradnl"/>
              </w:rPr>
              <w:tab/>
            </w:r>
            <w:r w:rsidR="0029515A" w:rsidRPr="00B236D2">
              <w:rPr>
                <w:rStyle w:val="Hyperlink"/>
              </w:rPr>
              <w:t>Cuantificación de los costos y beneficios</w:t>
            </w:r>
            <w:r w:rsidR="0029515A">
              <w:rPr>
                <w:webHidden/>
              </w:rPr>
              <w:tab/>
            </w:r>
            <w:r w:rsidR="00D857C2">
              <w:rPr>
                <w:webHidden/>
              </w:rPr>
              <w:fldChar w:fldCharType="begin"/>
            </w:r>
            <w:r w:rsidR="0029515A">
              <w:rPr>
                <w:webHidden/>
              </w:rPr>
              <w:instrText xml:space="preserve"> PAGEREF _Toc303885507 \h </w:instrText>
            </w:r>
            <w:r w:rsidR="00D857C2">
              <w:rPr>
                <w:webHidden/>
              </w:rPr>
            </w:r>
            <w:r w:rsidR="00D857C2">
              <w:rPr>
                <w:webHidden/>
              </w:rPr>
              <w:fldChar w:fldCharType="separate"/>
            </w:r>
            <w:r w:rsidR="0029515A">
              <w:rPr>
                <w:webHidden/>
              </w:rPr>
              <w:t>5</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08" w:history="1">
            <w:r w:rsidR="0029515A" w:rsidRPr="00B236D2">
              <w:rPr>
                <w:rStyle w:val="Hyperlink"/>
              </w:rPr>
              <w:t>2.4</w:t>
            </w:r>
            <w:r w:rsidR="0029515A">
              <w:rPr>
                <w:rFonts w:asciiTheme="minorHAnsi" w:eastAsiaTheme="minorEastAsia" w:hAnsiTheme="minorHAnsi" w:cstheme="minorBidi"/>
                <w:szCs w:val="22"/>
                <w:lang w:val="es-ES_tradnl" w:eastAsia="es-ES_tradnl"/>
              </w:rPr>
              <w:tab/>
            </w:r>
            <w:r w:rsidR="0029515A" w:rsidRPr="00B236D2">
              <w:rPr>
                <w:rStyle w:val="Hyperlink"/>
              </w:rPr>
              <w:t>Tasa de descuento</w:t>
            </w:r>
            <w:r w:rsidR="0029515A">
              <w:rPr>
                <w:webHidden/>
              </w:rPr>
              <w:tab/>
            </w:r>
            <w:r w:rsidR="00D857C2">
              <w:rPr>
                <w:webHidden/>
              </w:rPr>
              <w:fldChar w:fldCharType="begin"/>
            </w:r>
            <w:r w:rsidR="0029515A">
              <w:rPr>
                <w:webHidden/>
              </w:rPr>
              <w:instrText xml:space="preserve"> PAGEREF _Toc303885508 \h </w:instrText>
            </w:r>
            <w:r w:rsidR="00D857C2">
              <w:rPr>
                <w:webHidden/>
              </w:rPr>
            </w:r>
            <w:r w:rsidR="00D857C2">
              <w:rPr>
                <w:webHidden/>
              </w:rPr>
              <w:fldChar w:fldCharType="separate"/>
            </w:r>
            <w:r w:rsidR="0029515A">
              <w:rPr>
                <w:webHidden/>
              </w:rPr>
              <w:t>6</w:t>
            </w:r>
            <w:r w:rsidR="00D857C2">
              <w:rPr>
                <w:webHidden/>
              </w:rPr>
              <w:fldChar w:fldCharType="end"/>
            </w:r>
          </w:hyperlink>
        </w:p>
        <w:p w:rsidR="0029515A" w:rsidRDefault="004951ED">
          <w:pPr>
            <w:pStyle w:val="TOC1"/>
            <w:rPr>
              <w:rFonts w:asciiTheme="minorHAnsi" w:eastAsiaTheme="minorEastAsia" w:hAnsiTheme="minorHAnsi" w:cstheme="minorBidi"/>
              <w:b w:val="0"/>
              <w:szCs w:val="22"/>
              <w:lang w:val="es-ES_tradnl" w:eastAsia="es-ES_tradnl"/>
            </w:rPr>
          </w:pPr>
          <w:hyperlink w:anchor="_Toc303885509" w:history="1">
            <w:r w:rsidR="0029515A" w:rsidRPr="00B236D2">
              <w:rPr>
                <w:rStyle w:val="Hyperlink"/>
              </w:rPr>
              <w:t>3</w:t>
            </w:r>
            <w:r w:rsidR="0029515A">
              <w:rPr>
                <w:rFonts w:asciiTheme="minorHAnsi" w:eastAsiaTheme="minorEastAsia" w:hAnsiTheme="minorHAnsi" w:cstheme="minorBidi"/>
                <w:b w:val="0"/>
                <w:szCs w:val="22"/>
                <w:lang w:val="es-ES_tradnl" w:eastAsia="es-ES_tradnl"/>
              </w:rPr>
              <w:tab/>
            </w:r>
            <w:r w:rsidR="0029515A" w:rsidRPr="00B236D2">
              <w:rPr>
                <w:rStyle w:val="Hyperlink"/>
              </w:rPr>
              <w:t>Beneficios económicos</w:t>
            </w:r>
            <w:r w:rsidR="0029515A">
              <w:rPr>
                <w:webHidden/>
              </w:rPr>
              <w:tab/>
            </w:r>
            <w:r w:rsidR="00D857C2">
              <w:rPr>
                <w:webHidden/>
              </w:rPr>
              <w:fldChar w:fldCharType="begin"/>
            </w:r>
            <w:r w:rsidR="0029515A">
              <w:rPr>
                <w:webHidden/>
              </w:rPr>
              <w:instrText xml:space="preserve"> PAGEREF _Toc303885509 \h </w:instrText>
            </w:r>
            <w:r w:rsidR="00D857C2">
              <w:rPr>
                <w:webHidden/>
              </w:rPr>
            </w:r>
            <w:r w:rsidR="00D857C2">
              <w:rPr>
                <w:webHidden/>
              </w:rPr>
              <w:fldChar w:fldCharType="separate"/>
            </w:r>
            <w:r w:rsidR="0029515A">
              <w:rPr>
                <w:webHidden/>
              </w:rPr>
              <w:t>6</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10" w:history="1">
            <w:r w:rsidR="0029515A" w:rsidRPr="00B236D2">
              <w:rPr>
                <w:rStyle w:val="Hyperlink"/>
              </w:rPr>
              <w:t>3.1</w:t>
            </w:r>
            <w:r w:rsidR="0029515A">
              <w:rPr>
                <w:rFonts w:asciiTheme="minorHAnsi" w:eastAsiaTheme="minorEastAsia" w:hAnsiTheme="minorHAnsi" w:cstheme="minorBidi"/>
                <w:szCs w:val="22"/>
                <w:lang w:val="es-ES_tradnl" w:eastAsia="es-ES_tradnl"/>
              </w:rPr>
              <w:tab/>
            </w:r>
            <w:r w:rsidR="0029515A" w:rsidRPr="00B236D2">
              <w:rPr>
                <w:rStyle w:val="Hyperlink"/>
              </w:rPr>
              <w:t>Identificación de los beneficios</w:t>
            </w:r>
            <w:r w:rsidR="0029515A">
              <w:rPr>
                <w:webHidden/>
              </w:rPr>
              <w:tab/>
            </w:r>
            <w:r w:rsidR="00D857C2">
              <w:rPr>
                <w:webHidden/>
              </w:rPr>
              <w:fldChar w:fldCharType="begin"/>
            </w:r>
            <w:r w:rsidR="0029515A">
              <w:rPr>
                <w:webHidden/>
              </w:rPr>
              <w:instrText xml:space="preserve"> PAGEREF _Toc303885510 \h </w:instrText>
            </w:r>
            <w:r w:rsidR="00D857C2">
              <w:rPr>
                <w:webHidden/>
              </w:rPr>
            </w:r>
            <w:r w:rsidR="00D857C2">
              <w:rPr>
                <w:webHidden/>
              </w:rPr>
              <w:fldChar w:fldCharType="separate"/>
            </w:r>
            <w:r w:rsidR="0029515A">
              <w:rPr>
                <w:webHidden/>
              </w:rPr>
              <w:t>6</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11" w:history="1">
            <w:r w:rsidR="0029515A" w:rsidRPr="00B236D2">
              <w:rPr>
                <w:rStyle w:val="Hyperlink"/>
              </w:rPr>
              <w:t>3.2</w:t>
            </w:r>
            <w:r w:rsidR="0029515A">
              <w:rPr>
                <w:rFonts w:asciiTheme="minorHAnsi" w:eastAsiaTheme="minorEastAsia" w:hAnsiTheme="minorHAnsi" w:cstheme="minorBidi"/>
                <w:szCs w:val="22"/>
                <w:lang w:val="es-ES_tradnl" w:eastAsia="es-ES_tradnl"/>
              </w:rPr>
              <w:tab/>
            </w:r>
            <w:r w:rsidR="0029515A" w:rsidRPr="00B236D2">
              <w:rPr>
                <w:rStyle w:val="Hyperlink"/>
              </w:rPr>
              <w:t>Beneficios estimados: supuestos de partida</w:t>
            </w:r>
            <w:r w:rsidR="0029515A">
              <w:rPr>
                <w:webHidden/>
              </w:rPr>
              <w:tab/>
            </w:r>
            <w:r w:rsidR="00D857C2">
              <w:rPr>
                <w:webHidden/>
              </w:rPr>
              <w:fldChar w:fldCharType="begin"/>
            </w:r>
            <w:r w:rsidR="0029515A">
              <w:rPr>
                <w:webHidden/>
              </w:rPr>
              <w:instrText xml:space="preserve"> PAGEREF _Toc303885511 \h </w:instrText>
            </w:r>
            <w:r w:rsidR="00D857C2">
              <w:rPr>
                <w:webHidden/>
              </w:rPr>
            </w:r>
            <w:r w:rsidR="00D857C2">
              <w:rPr>
                <w:webHidden/>
              </w:rPr>
              <w:fldChar w:fldCharType="separate"/>
            </w:r>
            <w:r w:rsidR="0029515A">
              <w:rPr>
                <w:webHidden/>
              </w:rPr>
              <w:t>8</w:t>
            </w:r>
            <w:r w:rsidR="00D857C2">
              <w:rPr>
                <w:webHidden/>
              </w:rPr>
              <w:fldChar w:fldCharType="end"/>
            </w:r>
          </w:hyperlink>
        </w:p>
        <w:p w:rsidR="0029515A" w:rsidRDefault="004951ED">
          <w:pPr>
            <w:pStyle w:val="TOC3"/>
            <w:rPr>
              <w:rFonts w:asciiTheme="minorHAnsi" w:eastAsiaTheme="minorEastAsia" w:hAnsiTheme="minorHAnsi" w:cstheme="minorBidi"/>
              <w:noProof/>
              <w:lang w:val="es-ES_tradnl" w:eastAsia="es-ES_tradnl"/>
            </w:rPr>
          </w:pPr>
          <w:hyperlink w:anchor="_Toc303885514" w:history="1">
            <w:r w:rsidR="0029515A" w:rsidRPr="00B236D2">
              <w:rPr>
                <w:rStyle w:val="Hyperlink"/>
                <w:noProof/>
              </w:rPr>
              <w:t>3.2.1</w:t>
            </w:r>
            <w:r w:rsidR="0029515A">
              <w:rPr>
                <w:rFonts w:asciiTheme="minorHAnsi" w:eastAsiaTheme="minorEastAsia" w:hAnsiTheme="minorHAnsi" w:cstheme="minorBidi"/>
                <w:noProof/>
                <w:lang w:val="es-ES_tradnl" w:eastAsia="es-ES_tradnl"/>
              </w:rPr>
              <w:tab/>
            </w:r>
            <w:r w:rsidR="0029515A" w:rsidRPr="00B236D2">
              <w:rPr>
                <w:rStyle w:val="Hyperlink"/>
                <w:noProof/>
              </w:rPr>
              <w:t>Cobranza de deudas: alternativa BID</w:t>
            </w:r>
            <w:r w:rsidR="0029515A">
              <w:rPr>
                <w:noProof/>
                <w:webHidden/>
              </w:rPr>
              <w:tab/>
            </w:r>
            <w:r w:rsidR="00D857C2">
              <w:rPr>
                <w:noProof/>
                <w:webHidden/>
              </w:rPr>
              <w:fldChar w:fldCharType="begin"/>
            </w:r>
            <w:r w:rsidR="0029515A">
              <w:rPr>
                <w:noProof/>
                <w:webHidden/>
              </w:rPr>
              <w:instrText xml:space="preserve"> PAGEREF _Toc303885514 \h </w:instrText>
            </w:r>
            <w:r w:rsidR="00D857C2">
              <w:rPr>
                <w:noProof/>
                <w:webHidden/>
              </w:rPr>
            </w:r>
            <w:r w:rsidR="00D857C2">
              <w:rPr>
                <w:noProof/>
                <w:webHidden/>
              </w:rPr>
              <w:fldChar w:fldCharType="separate"/>
            </w:r>
            <w:r w:rsidR="0029515A">
              <w:rPr>
                <w:noProof/>
                <w:webHidden/>
              </w:rPr>
              <w:t>8</w:t>
            </w:r>
            <w:r w:rsidR="00D857C2">
              <w:rPr>
                <w:noProof/>
                <w:webHidden/>
              </w:rPr>
              <w:fldChar w:fldCharType="end"/>
            </w:r>
          </w:hyperlink>
        </w:p>
        <w:p w:rsidR="0029515A" w:rsidRDefault="004951ED">
          <w:pPr>
            <w:pStyle w:val="TOC3"/>
            <w:rPr>
              <w:rFonts w:asciiTheme="minorHAnsi" w:eastAsiaTheme="minorEastAsia" w:hAnsiTheme="minorHAnsi" w:cstheme="minorBidi"/>
              <w:noProof/>
              <w:lang w:val="es-ES_tradnl" w:eastAsia="es-ES_tradnl"/>
            </w:rPr>
          </w:pPr>
          <w:hyperlink w:anchor="_Toc303885515" w:history="1">
            <w:r w:rsidR="0029515A" w:rsidRPr="00B236D2">
              <w:rPr>
                <w:rStyle w:val="Hyperlink"/>
                <w:noProof/>
              </w:rPr>
              <w:t>3.2.2</w:t>
            </w:r>
            <w:r w:rsidR="0029515A">
              <w:rPr>
                <w:rFonts w:asciiTheme="minorHAnsi" w:eastAsiaTheme="minorEastAsia" w:hAnsiTheme="minorHAnsi" w:cstheme="minorBidi"/>
                <w:noProof/>
                <w:lang w:val="es-ES_tradnl" w:eastAsia="es-ES_tradnl"/>
              </w:rPr>
              <w:tab/>
            </w:r>
            <w:r w:rsidR="0029515A" w:rsidRPr="00B236D2">
              <w:rPr>
                <w:rStyle w:val="Hyperlink"/>
                <w:noProof/>
              </w:rPr>
              <w:t>Cobranza de deudas: alternativa AGU</w:t>
            </w:r>
            <w:r w:rsidR="0029515A">
              <w:rPr>
                <w:noProof/>
                <w:webHidden/>
              </w:rPr>
              <w:tab/>
            </w:r>
            <w:r w:rsidR="00D857C2">
              <w:rPr>
                <w:noProof/>
                <w:webHidden/>
              </w:rPr>
              <w:fldChar w:fldCharType="begin"/>
            </w:r>
            <w:r w:rsidR="0029515A">
              <w:rPr>
                <w:noProof/>
                <w:webHidden/>
              </w:rPr>
              <w:instrText xml:space="preserve"> PAGEREF _Toc303885515 \h </w:instrText>
            </w:r>
            <w:r w:rsidR="00D857C2">
              <w:rPr>
                <w:noProof/>
                <w:webHidden/>
              </w:rPr>
            </w:r>
            <w:r w:rsidR="00D857C2">
              <w:rPr>
                <w:noProof/>
                <w:webHidden/>
              </w:rPr>
              <w:fldChar w:fldCharType="separate"/>
            </w:r>
            <w:r w:rsidR="0029515A">
              <w:rPr>
                <w:noProof/>
                <w:webHidden/>
              </w:rPr>
              <w:t>10</w:t>
            </w:r>
            <w:r w:rsidR="00D857C2">
              <w:rPr>
                <w:noProof/>
                <w:webHidden/>
              </w:rPr>
              <w:fldChar w:fldCharType="end"/>
            </w:r>
          </w:hyperlink>
        </w:p>
        <w:p w:rsidR="0029515A" w:rsidRDefault="004951ED">
          <w:pPr>
            <w:pStyle w:val="TOC3"/>
            <w:rPr>
              <w:rFonts w:asciiTheme="minorHAnsi" w:eastAsiaTheme="minorEastAsia" w:hAnsiTheme="minorHAnsi" w:cstheme="minorBidi"/>
              <w:noProof/>
              <w:lang w:val="es-ES_tradnl" w:eastAsia="es-ES_tradnl"/>
            </w:rPr>
          </w:pPr>
          <w:hyperlink w:anchor="_Toc303885516" w:history="1">
            <w:r w:rsidR="0029515A" w:rsidRPr="00B236D2">
              <w:rPr>
                <w:rStyle w:val="Hyperlink"/>
                <w:noProof/>
              </w:rPr>
              <w:t>3.2.3</w:t>
            </w:r>
            <w:r w:rsidR="0029515A">
              <w:rPr>
                <w:rFonts w:asciiTheme="minorHAnsi" w:eastAsiaTheme="minorEastAsia" w:hAnsiTheme="minorHAnsi" w:cstheme="minorBidi"/>
                <w:noProof/>
                <w:lang w:val="es-ES_tradnl" w:eastAsia="es-ES_tradnl"/>
              </w:rPr>
              <w:tab/>
            </w:r>
            <w:r w:rsidR="0029515A" w:rsidRPr="00B236D2">
              <w:rPr>
                <w:rStyle w:val="Hyperlink"/>
                <w:noProof/>
              </w:rPr>
              <w:t>Recuperación patrimonial (ambas alternativas)</w:t>
            </w:r>
            <w:r w:rsidR="0029515A">
              <w:rPr>
                <w:noProof/>
                <w:webHidden/>
              </w:rPr>
              <w:tab/>
            </w:r>
            <w:r w:rsidR="00D857C2">
              <w:rPr>
                <w:noProof/>
                <w:webHidden/>
              </w:rPr>
              <w:fldChar w:fldCharType="begin"/>
            </w:r>
            <w:r w:rsidR="0029515A">
              <w:rPr>
                <w:noProof/>
                <w:webHidden/>
              </w:rPr>
              <w:instrText xml:space="preserve"> PAGEREF _Toc303885516 \h </w:instrText>
            </w:r>
            <w:r w:rsidR="00D857C2">
              <w:rPr>
                <w:noProof/>
                <w:webHidden/>
              </w:rPr>
            </w:r>
            <w:r w:rsidR="00D857C2">
              <w:rPr>
                <w:noProof/>
                <w:webHidden/>
              </w:rPr>
              <w:fldChar w:fldCharType="separate"/>
            </w:r>
            <w:r w:rsidR="0029515A">
              <w:rPr>
                <w:noProof/>
                <w:webHidden/>
              </w:rPr>
              <w:t>11</w:t>
            </w:r>
            <w:r w:rsidR="00D857C2">
              <w:rPr>
                <w:noProof/>
                <w:webHidden/>
              </w:rPr>
              <w:fldChar w:fldCharType="end"/>
            </w:r>
          </w:hyperlink>
        </w:p>
        <w:p w:rsidR="0029515A" w:rsidRDefault="004951ED">
          <w:pPr>
            <w:pStyle w:val="TOC1"/>
            <w:rPr>
              <w:rFonts w:asciiTheme="minorHAnsi" w:eastAsiaTheme="minorEastAsia" w:hAnsiTheme="minorHAnsi" w:cstheme="minorBidi"/>
              <w:b w:val="0"/>
              <w:szCs w:val="22"/>
              <w:lang w:val="es-ES_tradnl" w:eastAsia="es-ES_tradnl"/>
            </w:rPr>
          </w:pPr>
          <w:hyperlink w:anchor="_Toc303885517" w:history="1">
            <w:r w:rsidR="0029515A" w:rsidRPr="00B236D2">
              <w:rPr>
                <w:rStyle w:val="Hyperlink"/>
              </w:rPr>
              <w:t>4</w:t>
            </w:r>
            <w:r w:rsidR="0029515A">
              <w:rPr>
                <w:rFonts w:asciiTheme="minorHAnsi" w:eastAsiaTheme="minorEastAsia" w:hAnsiTheme="minorHAnsi" w:cstheme="minorBidi"/>
                <w:b w:val="0"/>
                <w:szCs w:val="22"/>
                <w:lang w:val="es-ES_tradnl" w:eastAsia="es-ES_tradnl"/>
              </w:rPr>
              <w:tab/>
            </w:r>
            <w:r w:rsidR="0029515A" w:rsidRPr="00B236D2">
              <w:rPr>
                <w:rStyle w:val="Hyperlink"/>
              </w:rPr>
              <w:t>Costos considerados en el análisis costo-beneficio</w:t>
            </w:r>
            <w:r w:rsidR="0029515A">
              <w:rPr>
                <w:webHidden/>
              </w:rPr>
              <w:tab/>
            </w:r>
            <w:r w:rsidR="00D857C2">
              <w:rPr>
                <w:webHidden/>
              </w:rPr>
              <w:fldChar w:fldCharType="begin"/>
            </w:r>
            <w:r w:rsidR="0029515A">
              <w:rPr>
                <w:webHidden/>
              </w:rPr>
              <w:instrText xml:space="preserve"> PAGEREF _Toc303885517 \h </w:instrText>
            </w:r>
            <w:r w:rsidR="00D857C2">
              <w:rPr>
                <w:webHidden/>
              </w:rPr>
            </w:r>
            <w:r w:rsidR="00D857C2">
              <w:rPr>
                <w:webHidden/>
              </w:rPr>
              <w:fldChar w:fldCharType="separate"/>
            </w:r>
            <w:r w:rsidR="0029515A">
              <w:rPr>
                <w:webHidden/>
              </w:rPr>
              <w:t>12</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18" w:history="1">
            <w:r w:rsidR="0029515A" w:rsidRPr="00B236D2">
              <w:rPr>
                <w:rStyle w:val="Hyperlink"/>
              </w:rPr>
              <w:t>4.1</w:t>
            </w:r>
            <w:r w:rsidR="0029515A">
              <w:rPr>
                <w:rFonts w:asciiTheme="minorHAnsi" w:eastAsiaTheme="minorEastAsia" w:hAnsiTheme="minorHAnsi" w:cstheme="minorBidi"/>
                <w:szCs w:val="22"/>
                <w:lang w:val="es-ES_tradnl" w:eastAsia="es-ES_tradnl"/>
              </w:rPr>
              <w:tab/>
            </w:r>
            <w:r w:rsidR="0029515A" w:rsidRPr="00B236D2">
              <w:rPr>
                <w:rStyle w:val="Hyperlink"/>
              </w:rPr>
              <w:t>Criterios aplicados en el diseño de alternativas de costo</w:t>
            </w:r>
            <w:r w:rsidR="0029515A">
              <w:rPr>
                <w:webHidden/>
              </w:rPr>
              <w:tab/>
            </w:r>
            <w:r w:rsidR="00D857C2">
              <w:rPr>
                <w:webHidden/>
              </w:rPr>
              <w:fldChar w:fldCharType="begin"/>
            </w:r>
            <w:r w:rsidR="0029515A">
              <w:rPr>
                <w:webHidden/>
              </w:rPr>
              <w:instrText xml:space="preserve"> PAGEREF _Toc303885518 \h </w:instrText>
            </w:r>
            <w:r w:rsidR="00D857C2">
              <w:rPr>
                <w:webHidden/>
              </w:rPr>
            </w:r>
            <w:r w:rsidR="00D857C2">
              <w:rPr>
                <w:webHidden/>
              </w:rPr>
              <w:fldChar w:fldCharType="separate"/>
            </w:r>
            <w:r w:rsidR="0029515A">
              <w:rPr>
                <w:webHidden/>
              </w:rPr>
              <w:t>12</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19" w:history="1">
            <w:r w:rsidR="0029515A" w:rsidRPr="00B236D2">
              <w:rPr>
                <w:rStyle w:val="Hyperlink"/>
              </w:rPr>
              <w:t>4.2</w:t>
            </w:r>
            <w:r w:rsidR="0029515A">
              <w:rPr>
                <w:rFonts w:asciiTheme="minorHAnsi" w:eastAsiaTheme="minorEastAsia" w:hAnsiTheme="minorHAnsi" w:cstheme="minorBidi"/>
                <w:szCs w:val="22"/>
                <w:lang w:val="es-ES_tradnl" w:eastAsia="es-ES_tradnl"/>
              </w:rPr>
              <w:tab/>
            </w:r>
            <w:r w:rsidR="0029515A" w:rsidRPr="00B236D2">
              <w:rPr>
                <w:rStyle w:val="Hyperlink"/>
              </w:rPr>
              <w:t>Costos monetizados de la alternativa BID</w:t>
            </w:r>
            <w:r w:rsidR="0029515A">
              <w:rPr>
                <w:webHidden/>
              </w:rPr>
              <w:tab/>
            </w:r>
            <w:r w:rsidR="00D857C2">
              <w:rPr>
                <w:webHidden/>
              </w:rPr>
              <w:fldChar w:fldCharType="begin"/>
            </w:r>
            <w:r w:rsidR="0029515A">
              <w:rPr>
                <w:webHidden/>
              </w:rPr>
              <w:instrText xml:space="preserve"> PAGEREF _Toc303885519 \h </w:instrText>
            </w:r>
            <w:r w:rsidR="00D857C2">
              <w:rPr>
                <w:webHidden/>
              </w:rPr>
            </w:r>
            <w:r w:rsidR="00D857C2">
              <w:rPr>
                <w:webHidden/>
              </w:rPr>
              <w:fldChar w:fldCharType="separate"/>
            </w:r>
            <w:r w:rsidR="0029515A">
              <w:rPr>
                <w:webHidden/>
              </w:rPr>
              <w:t>14</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20" w:history="1">
            <w:r w:rsidR="0029515A" w:rsidRPr="00B236D2">
              <w:rPr>
                <w:rStyle w:val="Hyperlink"/>
              </w:rPr>
              <w:t>4.3</w:t>
            </w:r>
            <w:r w:rsidR="0029515A">
              <w:rPr>
                <w:rFonts w:asciiTheme="minorHAnsi" w:eastAsiaTheme="minorEastAsia" w:hAnsiTheme="minorHAnsi" w:cstheme="minorBidi"/>
                <w:szCs w:val="22"/>
                <w:lang w:val="es-ES_tradnl" w:eastAsia="es-ES_tradnl"/>
              </w:rPr>
              <w:tab/>
            </w:r>
            <w:r w:rsidR="0029515A" w:rsidRPr="00B236D2">
              <w:rPr>
                <w:rStyle w:val="Hyperlink"/>
              </w:rPr>
              <w:t>Costos monetizados de la alternativa AGU</w:t>
            </w:r>
            <w:r w:rsidR="0029515A">
              <w:rPr>
                <w:webHidden/>
              </w:rPr>
              <w:tab/>
            </w:r>
            <w:r w:rsidR="00D857C2">
              <w:rPr>
                <w:webHidden/>
              </w:rPr>
              <w:fldChar w:fldCharType="begin"/>
            </w:r>
            <w:r w:rsidR="0029515A">
              <w:rPr>
                <w:webHidden/>
              </w:rPr>
              <w:instrText xml:space="preserve"> PAGEREF _Toc303885520 \h </w:instrText>
            </w:r>
            <w:r w:rsidR="00D857C2">
              <w:rPr>
                <w:webHidden/>
              </w:rPr>
            </w:r>
            <w:r w:rsidR="00D857C2">
              <w:rPr>
                <w:webHidden/>
              </w:rPr>
              <w:fldChar w:fldCharType="separate"/>
            </w:r>
            <w:r w:rsidR="0029515A">
              <w:rPr>
                <w:webHidden/>
              </w:rPr>
              <w:t>14</w:t>
            </w:r>
            <w:r w:rsidR="00D857C2">
              <w:rPr>
                <w:webHidden/>
              </w:rPr>
              <w:fldChar w:fldCharType="end"/>
            </w:r>
          </w:hyperlink>
        </w:p>
        <w:p w:rsidR="0029515A" w:rsidRDefault="004951ED">
          <w:pPr>
            <w:pStyle w:val="TOC1"/>
            <w:rPr>
              <w:rFonts w:asciiTheme="minorHAnsi" w:eastAsiaTheme="minorEastAsia" w:hAnsiTheme="minorHAnsi" w:cstheme="minorBidi"/>
              <w:b w:val="0"/>
              <w:szCs w:val="22"/>
              <w:lang w:val="es-ES_tradnl" w:eastAsia="es-ES_tradnl"/>
            </w:rPr>
          </w:pPr>
          <w:hyperlink w:anchor="_Toc303885521" w:history="1">
            <w:r w:rsidR="0029515A" w:rsidRPr="00B236D2">
              <w:rPr>
                <w:rStyle w:val="Hyperlink"/>
              </w:rPr>
              <w:t>5</w:t>
            </w:r>
            <w:r w:rsidR="0029515A">
              <w:rPr>
                <w:rFonts w:asciiTheme="minorHAnsi" w:eastAsiaTheme="minorEastAsia" w:hAnsiTheme="minorHAnsi" w:cstheme="minorBidi"/>
                <w:b w:val="0"/>
                <w:szCs w:val="22"/>
                <w:lang w:val="es-ES_tradnl" w:eastAsia="es-ES_tradnl"/>
              </w:rPr>
              <w:tab/>
            </w:r>
            <w:r w:rsidR="0029515A" w:rsidRPr="00B236D2">
              <w:rPr>
                <w:rStyle w:val="Hyperlink"/>
              </w:rPr>
              <w:t>Resultados del análisis económico</w:t>
            </w:r>
            <w:r w:rsidR="0029515A">
              <w:rPr>
                <w:webHidden/>
              </w:rPr>
              <w:tab/>
            </w:r>
            <w:r w:rsidR="00D857C2">
              <w:rPr>
                <w:webHidden/>
              </w:rPr>
              <w:fldChar w:fldCharType="begin"/>
            </w:r>
            <w:r w:rsidR="0029515A">
              <w:rPr>
                <w:webHidden/>
              </w:rPr>
              <w:instrText xml:space="preserve"> PAGEREF _Toc303885521 \h </w:instrText>
            </w:r>
            <w:r w:rsidR="00D857C2">
              <w:rPr>
                <w:webHidden/>
              </w:rPr>
            </w:r>
            <w:r w:rsidR="00D857C2">
              <w:rPr>
                <w:webHidden/>
              </w:rPr>
              <w:fldChar w:fldCharType="separate"/>
            </w:r>
            <w:r w:rsidR="0029515A">
              <w:rPr>
                <w:webHidden/>
              </w:rPr>
              <w:t>15</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22" w:history="1">
            <w:r w:rsidR="0029515A" w:rsidRPr="00B236D2">
              <w:rPr>
                <w:rStyle w:val="Hyperlink"/>
              </w:rPr>
              <w:t>5.1</w:t>
            </w:r>
            <w:r w:rsidR="0029515A">
              <w:rPr>
                <w:rFonts w:asciiTheme="minorHAnsi" w:eastAsiaTheme="minorEastAsia" w:hAnsiTheme="minorHAnsi" w:cstheme="minorBidi"/>
                <w:szCs w:val="22"/>
                <w:lang w:val="es-ES_tradnl" w:eastAsia="es-ES_tradnl"/>
              </w:rPr>
              <w:tab/>
            </w:r>
            <w:r w:rsidR="0029515A" w:rsidRPr="00B236D2">
              <w:rPr>
                <w:rStyle w:val="Hyperlink"/>
              </w:rPr>
              <w:t>Alternativa con programa BID</w:t>
            </w:r>
            <w:r w:rsidR="0029515A">
              <w:rPr>
                <w:webHidden/>
              </w:rPr>
              <w:tab/>
            </w:r>
            <w:r w:rsidR="00D857C2">
              <w:rPr>
                <w:webHidden/>
              </w:rPr>
              <w:fldChar w:fldCharType="begin"/>
            </w:r>
            <w:r w:rsidR="0029515A">
              <w:rPr>
                <w:webHidden/>
              </w:rPr>
              <w:instrText xml:space="preserve"> PAGEREF _Toc303885522 \h </w:instrText>
            </w:r>
            <w:r w:rsidR="00D857C2">
              <w:rPr>
                <w:webHidden/>
              </w:rPr>
            </w:r>
            <w:r w:rsidR="00D857C2">
              <w:rPr>
                <w:webHidden/>
              </w:rPr>
              <w:fldChar w:fldCharType="separate"/>
            </w:r>
            <w:r w:rsidR="0029515A">
              <w:rPr>
                <w:webHidden/>
              </w:rPr>
              <w:t>15</w:t>
            </w:r>
            <w:r w:rsidR="00D857C2">
              <w:rPr>
                <w:webHidden/>
              </w:rPr>
              <w:fldChar w:fldCharType="end"/>
            </w:r>
          </w:hyperlink>
        </w:p>
        <w:p w:rsidR="0029515A" w:rsidRDefault="004951ED">
          <w:pPr>
            <w:pStyle w:val="TOC2"/>
            <w:rPr>
              <w:rFonts w:asciiTheme="minorHAnsi" w:eastAsiaTheme="minorEastAsia" w:hAnsiTheme="minorHAnsi" w:cstheme="minorBidi"/>
              <w:szCs w:val="22"/>
              <w:lang w:val="es-ES_tradnl" w:eastAsia="es-ES_tradnl"/>
            </w:rPr>
          </w:pPr>
          <w:hyperlink w:anchor="_Toc303885523" w:history="1">
            <w:r w:rsidR="0029515A" w:rsidRPr="00B236D2">
              <w:rPr>
                <w:rStyle w:val="Hyperlink"/>
              </w:rPr>
              <w:t>5.2</w:t>
            </w:r>
            <w:r w:rsidR="0029515A">
              <w:rPr>
                <w:rFonts w:asciiTheme="minorHAnsi" w:eastAsiaTheme="minorEastAsia" w:hAnsiTheme="minorHAnsi" w:cstheme="minorBidi"/>
                <w:szCs w:val="22"/>
                <w:lang w:val="es-ES_tradnl" w:eastAsia="es-ES_tradnl"/>
              </w:rPr>
              <w:tab/>
            </w:r>
            <w:r w:rsidR="0029515A" w:rsidRPr="00B236D2">
              <w:rPr>
                <w:rStyle w:val="Hyperlink"/>
              </w:rPr>
              <w:t>Alternativa con recursos AGU</w:t>
            </w:r>
            <w:r w:rsidR="0029515A">
              <w:rPr>
                <w:webHidden/>
              </w:rPr>
              <w:tab/>
            </w:r>
            <w:r w:rsidR="00D857C2">
              <w:rPr>
                <w:webHidden/>
              </w:rPr>
              <w:fldChar w:fldCharType="begin"/>
            </w:r>
            <w:r w:rsidR="0029515A">
              <w:rPr>
                <w:webHidden/>
              </w:rPr>
              <w:instrText xml:space="preserve"> PAGEREF _Toc303885523 \h </w:instrText>
            </w:r>
            <w:r w:rsidR="00D857C2">
              <w:rPr>
                <w:webHidden/>
              </w:rPr>
            </w:r>
            <w:r w:rsidR="00D857C2">
              <w:rPr>
                <w:webHidden/>
              </w:rPr>
              <w:fldChar w:fldCharType="separate"/>
            </w:r>
            <w:r w:rsidR="0029515A">
              <w:rPr>
                <w:webHidden/>
              </w:rPr>
              <w:t>16</w:t>
            </w:r>
            <w:r w:rsidR="00D857C2">
              <w:rPr>
                <w:webHidden/>
              </w:rPr>
              <w:fldChar w:fldCharType="end"/>
            </w:r>
          </w:hyperlink>
        </w:p>
        <w:p w:rsidR="0029515A" w:rsidRDefault="004951ED">
          <w:pPr>
            <w:pStyle w:val="TOC1"/>
            <w:rPr>
              <w:rFonts w:asciiTheme="minorHAnsi" w:eastAsiaTheme="minorEastAsia" w:hAnsiTheme="minorHAnsi" w:cstheme="minorBidi"/>
              <w:b w:val="0"/>
              <w:szCs w:val="22"/>
              <w:lang w:val="es-ES_tradnl" w:eastAsia="es-ES_tradnl"/>
            </w:rPr>
          </w:pPr>
          <w:hyperlink w:anchor="_Toc303885524" w:history="1">
            <w:r w:rsidR="0029515A" w:rsidRPr="00B236D2">
              <w:rPr>
                <w:rStyle w:val="Hyperlink"/>
              </w:rPr>
              <w:t>6</w:t>
            </w:r>
            <w:r w:rsidR="0029515A">
              <w:rPr>
                <w:rFonts w:asciiTheme="minorHAnsi" w:eastAsiaTheme="minorEastAsia" w:hAnsiTheme="minorHAnsi" w:cstheme="minorBidi"/>
                <w:b w:val="0"/>
                <w:szCs w:val="22"/>
                <w:lang w:val="es-ES_tradnl" w:eastAsia="es-ES_tradnl"/>
              </w:rPr>
              <w:tab/>
            </w:r>
            <w:r w:rsidR="0029515A" w:rsidRPr="00B236D2">
              <w:rPr>
                <w:rStyle w:val="Hyperlink"/>
              </w:rPr>
              <w:t>Análisis de sensibilidad</w:t>
            </w:r>
            <w:r w:rsidR="0029515A">
              <w:rPr>
                <w:webHidden/>
              </w:rPr>
              <w:tab/>
            </w:r>
            <w:r w:rsidR="00D857C2">
              <w:rPr>
                <w:webHidden/>
              </w:rPr>
              <w:fldChar w:fldCharType="begin"/>
            </w:r>
            <w:r w:rsidR="0029515A">
              <w:rPr>
                <w:webHidden/>
              </w:rPr>
              <w:instrText xml:space="preserve"> PAGEREF _Toc303885524 \h </w:instrText>
            </w:r>
            <w:r w:rsidR="00D857C2">
              <w:rPr>
                <w:webHidden/>
              </w:rPr>
            </w:r>
            <w:r w:rsidR="00D857C2">
              <w:rPr>
                <w:webHidden/>
              </w:rPr>
              <w:fldChar w:fldCharType="separate"/>
            </w:r>
            <w:r w:rsidR="0029515A">
              <w:rPr>
                <w:webHidden/>
              </w:rPr>
              <w:t>16</w:t>
            </w:r>
            <w:r w:rsidR="00D857C2">
              <w:rPr>
                <w:webHidden/>
              </w:rPr>
              <w:fldChar w:fldCharType="end"/>
            </w:r>
          </w:hyperlink>
        </w:p>
        <w:p w:rsidR="0029515A" w:rsidRDefault="004951ED">
          <w:pPr>
            <w:pStyle w:val="TOC1"/>
            <w:rPr>
              <w:rFonts w:asciiTheme="minorHAnsi" w:eastAsiaTheme="minorEastAsia" w:hAnsiTheme="minorHAnsi" w:cstheme="minorBidi"/>
              <w:b w:val="0"/>
              <w:szCs w:val="22"/>
              <w:lang w:val="es-ES_tradnl" w:eastAsia="es-ES_tradnl"/>
            </w:rPr>
          </w:pPr>
          <w:hyperlink w:anchor="_Toc303885525" w:history="1">
            <w:r w:rsidR="0029515A" w:rsidRPr="00B236D2">
              <w:rPr>
                <w:rStyle w:val="Hyperlink"/>
              </w:rPr>
              <w:t>7</w:t>
            </w:r>
            <w:r w:rsidR="0029515A">
              <w:rPr>
                <w:rFonts w:asciiTheme="minorHAnsi" w:eastAsiaTheme="minorEastAsia" w:hAnsiTheme="minorHAnsi" w:cstheme="minorBidi"/>
                <w:b w:val="0"/>
                <w:szCs w:val="22"/>
                <w:lang w:val="es-ES_tradnl" w:eastAsia="es-ES_tradnl"/>
              </w:rPr>
              <w:tab/>
            </w:r>
            <w:r w:rsidR="0029515A" w:rsidRPr="00B236D2">
              <w:rPr>
                <w:rStyle w:val="Hyperlink"/>
              </w:rPr>
              <w:t>Conclusiones</w:t>
            </w:r>
            <w:r w:rsidR="0029515A">
              <w:rPr>
                <w:webHidden/>
              </w:rPr>
              <w:tab/>
            </w:r>
            <w:r w:rsidR="00D857C2">
              <w:rPr>
                <w:webHidden/>
              </w:rPr>
              <w:fldChar w:fldCharType="begin"/>
            </w:r>
            <w:r w:rsidR="0029515A">
              <w:rPr>
                <w:webHidden/>
              </w:rPr>
              <w:instrText xml:space="preserve"> PAGEREF _Toc303885525 \h </w:instrText>
            </w:r>
            <w:r w:rsidR="00D857C2">
              <w:rPr>
                <w:webHidden/>
              </w:rPr>
            </w:r>
            <w:r w:rsidR="00D857C2">
              <w:rPr>
                <w:webHidden/>
              </w:rPr>
              <w:fldChar w:fldCharType="separate"/>
            </w:r>
            <w:r w:rsidR="0029515A">
              <w:rPr>
                <w:webHidden/>
              </w:rPr>
              <w:t>18</w:t>
            </w:r>
            <w:r w:rsidR="00D857C2">
              <w:rPr>
                <w:webHidden/>
              </w:rPr>
              <w:fldChar w:fldCharType="end"/>
            </w:r>
          </w:hyperlink>
        </w:p>
        <w:p w:rsidR="0029515A" w:rsidRDefault="004951ED">
          <w:pPr>
            <w:pStyle w:val="TOC1"/>
            <w:tabs>
              <w:tab w:val="left" w:pos="1200"/>
            </w:tabs>
            <w:rPr>
              <w:rFonts w:asciiTheme="minorHAnsi" w:eastAsiaTheme="minorEastAsia" w:hAnsiTheme="minorHAnsi" w:cstheme="minorBidi"/>
              <w:b w:val="0"/>
              <w:szCs w:val="22"/>
              <w:lang w:val="es-ES_tradnl" w:eastAsia="es-ES_tradnl"/>
            </w:rPr>
          </w:pPr>
          <w:hyperlink w:anchor="_Toc303885526" w:history="1">
            <w:r w:rsidR="0029515A" w:rsidRPr="00B236D2">
              <w:rPr>
                <w:rStyle w:val="Hyperlink"/>
                <w:lang w:val="en-US"/>
              </w:rPr>
              <w:t xml:space="preserve">Anexo A. </w:t>
            </w:r>
            <w:r w:rsidR="0029515A">
              <w:rPr>
                <w:rFonts w:asciiTheme="minorHAnsi" w:eastAsiaTheme="minorEastAsia" w:hAnsiTheme="minorHAnsi" w:cstheme="minorBidi"/>
                <w:b w:val="0"/>
                <w:szCs w:val="22"/>
                <w:lang w:val="es-ES_tradnl" w:eastAsia="es-ES_tradnl"/>
              </w:rPr>
              <w:tab/>
            </w:r>
            <w:r w:rsidR="0029515A" w:rsidRPr="00B236D2">
              <w:rPr>
                <w:rStyle w:val="Hyperlink"/>
                <w:lang w:val="en-US"/>
              </w:rPr>
              <w:t>Referencias</w:t>
            </w:r>
            <w:r w:rsidR="0029515A">
              <w:rPr>
                <w:webHidden/>
              </w:rPr>
              <w:tab/>
            </w:r>
            <w:r w:rsidR="00D857C2">
              <w:rPr>
                <w:webHidden/>
              </w:rPr>
              <w:fldChar w:fldCharType="begin"/>
            </w:r>
            <w:r w:rsidR="0029515A">
              <w:rPr>
                <w:webHidden/>
              </w:rPr>
              <w:instrText xml:space="preserve"> PAGEREF _Toc303885526 \h </w:instrText>
            </w:r>
            <w:r w:rsidR="00D857C2">
              <w:rPr>
                <w:webHidden/>
              </w:rPr>
            </w:r>
            <w:r w:rsidR="00D857C2">
              <w:rPr>
                <w:webHidden/>
              </w:rPr>
              <w:fldChar w:fldCharType="separate"/>
            </w:r>
            <w:r w:rsidR="0029515A">
              <w:rPr>
                <w:webHidden/>
              </w:rPr>
              <w:t>22</w:t>
            </w:r>
            <w:r w:rsidR="00D857C2">
              <w:rPr>
                <w:webHidden/>
              </w:rPr>
              <w:fldChar w:fldCharType="end"/>
            </w:r>
          </w:hyperlink>
        </w:p>
        <w:p w:rsidR="0029515A" w:rsidRDefault="004951ED">
          <w:pPr>
            <w:pStyle w:val="TOC1"/>
            <w:tabs>
              <w:tab w:val="left" w:pos="1200"/>
            </w:tabs>
            <w:rPr>
              <w:rFonts w:asciiTheme="minorHAnsi" w:eastAsiaTheme="minorEastAsia" w:hAnsiTheme="minorHAnsi" w:cstheme="minorBidi"/>
              <w:b w:val="0"/>
              <w:szCs w:val="22"/>
              <w:lang w:val="es-ES_tradnl" w:eastAsia="es-ES_tradnl"/>
            </w:rPr>
          </w:pPr>
          <w:hyperlink w:anchor="_Toc303885527" w:history="1">
            <w:r w:rsidR="0029515A" w:rsidRPr="00B236D2">
              <w:rPr>
                <w:rStyle w:val="Hyperlink"/>
                <w:lang w:val="es-ES_tradnl"/>
              </w:rPr>
              <w:t xml:space="preserve">Anexo B. </w:t>
            </w:r>
            <w:r w:rsidR="0029515A">
              <w:rPr>
                <w:rFonts w:asciiTheme="minorHAnsi" w:eastAsiaTheme="minorEastAsia" w:hAnsiTheme="minorHAnsi" w:cstheme="minorBidi"/>
                <w:b w:val="0"/>
                <w:szCs w:val="22"/>
                <w:lang w:val="es-ES_tradnl" w:eastAsia="es-ES_tradnl"/>
              </w:rPr>
              <w:tab/>
            </w:r>
            <w:r w:rsidR="0029515A" w:rsidRPr="00B236D2">
              <w:rPr>
                <w:rStyle w:val="Hyperlink"/>
                <w:lang w:val="es-ES_tradnl"/>
              </w:rPr>
              <w:t>Matriz de resultados</w:t>
            </w:r>
            <w:r w:rsidR="0029515A">
              <w:rPr>
                <w:webHidden/>
              </w:rPr>
              <w:tab/>
            </w:r>
            <w:r w:rsidR="00D857C2">
              <w:rPr>
                <w:webHidden/>
              </w:rPr>
              <w:fldChar w:fldCharType="begin"/>
            </w:r>
            <w:r w:rsidR="0029515A">
              <w:rPr>
                <w:webHidden/>
              </w:rPr>
              <w:instrText xml:space="preserve"> PAGEREF _Toc303885527 \h </w:instrText>
            </w:r>
            <w:r w:rsidR="00D857C2">
              <w:rPr>
                <w:webHidden/>
              </w:rPr>
            </w:r>
            <w:r w:rsidR="00D857C2">
              <w:rPr>
                <w:webHidden/>
              </w:rPr>
              <w:fldChar w:fldCharType="separate"/>
            </w:r>
            <w:r w:rsidR="0029515A">
              <w:rPr>
                <w:webHidden/>
              </w:rPr>
              <w:t>23</w:t>
            </w:r>
            <w:r w:rsidR="00D857C2">
              <w:rPr>
                <w:webHidden/>
              </w:rPr>
              <w:fldChar w:fldCharType="end"/>
            </w:r>
          </w:hyperlink>
        </w:p>
        <w:p w:rsidR="00661854" w:rsidRDefault="00D857C2">
          <w:r>
            <w:rPr>
              <w:noProof/>
              <w:szCs w:val="18"/>
            </w:rPr>
            <w:fldChar w:fldCharType="end"/>
          </w:r>
        </w:p>
      </w:sdtContent>
    </w:sdt>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Pr>
        <w:sectPr w:rsidR="00661854" w:rsidSect="00661854">
          <w:pgSz w:w="12240" w:h="15840" w:code="1"/>
          <w:pgMar w:top="1418" w:right="1418" w:bottom="1418" w:left="1418" w:header="709" w:footer="856" w:gutter="0"/>
          <w:cols w:space="708"/>
          <w:docGrid w:linePitch="360"/>
        </w:sectPr>
      </w:pPr>
    </w:p>
    <w:p w:rsidR="004433C4" w:rsidRDefault="00966F4C" w:rsidP="0017791C">
      <w:pPr>
        <w:pStyle w:val="Heading1"/>
      </w:pPr>
      <w:bookmarkStart w:id="1" w:name="_Ref303769233"/>
      <w:bookmarkStart w:id="2" w:name="_Toc303885499"/>
      <w:bookmarkStart w:id="3" w:name="_Toc298005479"/>
      <w:r>
        <w:lastRenderedPageBreak/>
        <w:t>Introducción</w:t>
      </w:r>
      <w:bookmarkEnd w:id="1"/>
      <w:bookmarkEnd w:id="2"/>
      <w:bookmarkEnd w:id="3"/>
    </w:p>
    <w:p w:rsidR="00966F4C" w:rsidRPr="00966F4C" w:rsidRDefault="00966F4C" w:rsidP="00180945">
      <w:pPr>
        <w:pStyle w:val="Heading2"/>
      </w:pPr>
      <w:bookmarkStart w:id="4" w:name="_Toc303885500"/>
      <w:bookmarkStart w:id="5" w:name="_Toc298005480"/>
      <w:r w:rsidRPr="00966F4C">
        <w:t>Breve descripción del Programa</w:t>
      </w:r>
      <w:bookmarkEnd w:id="4"/>
      <w:bookmarkEnd w:id="5"/>
    </w:p>
    <w:p w:rsidR="00EE2ED7" w:rsidRPr="00EE2ED7" w:rsidRDefault="00A97C5A" w:rsidP="00EE2ED7">
      <w:pPr>
        <w:pStyle w:val="ListParagraph"/>
        <w:numPr>
          <w:ilvl w:val="0"/>
          <w:numId w:val="14"/>
        </w:numPr>
        <w:ind w:left="567" w:hanging="567"/>
        <w:rPr>
          <w:noProof/>
          <w:lang w:val="es-ES_tradnl"/>
        </w:rPr>
      </w:pPr>
      <w:r w:rsidRPr="00EE2ED7">
        <w:rPr>
          <w:bCs/>
          <w:lang w:val="es-ES_tradnl"/>
        </w:rPr>
        <w:t xml:space="preserve">El </w:t>
      </w:r>
      <w:r w:rsidRPr="0002356C">
        <w:t>Programa</w:t>
      </w:r>
      <w:r w:rsidRPr="00EE2ED7">
        <w:rPr>
          <w:bCs/>
          <w:lang w:val="es-ES_tradnl"/>
        </w:rPr>
        <w:t xml:space="preserve"> de </w:t>
      </w:r>
      <w:r w:rsidR="000B1D4C" w:rsidRPr="00EE2ED7">
        <w:rPr>
          <w:bCs/>
          <w:lang w:val="es-ES_tradnl"/>
        </w:rPr>
        <w:t>Apoyo a la Abogacía General de la Unión</w:t>
      </w:r>
      <w:r w:rsidRPr="00EE2ED7">
        <w:rPr>
          <w:bCs/>
          <w:lang w:val="es-ES_tradnl"/>
        </w:rPr>
        <w:t xml:space="preserve"> (</w:t>
      </w:r>
      <w:r w:rsidR="00EE2ED7" w:rsidRPr="00AA3B49">
        <w:rPr>
          <w:bCs/>
          <w:lang w:val="es-ES_tradnl"/>
        </w:rPr>
        <w:t>BR-L1277</w:t>
      </w:r>
      <w:r w:rsidRPr="00EE2ED7">
        <w:rPr>
          <w:bCs/>
          <w:lang w:val="es-ES_tradnl"/>
        </w:rPr>
        <w:t xml:space="preserve">) tiene como objetivo </w:t>
      </w:r>
      <w:r w:rsidR="00EE2ED7" w:rsidRPr="00EE2ED7">
        <w:rPr>
          <w:lang w:val="es-AR"/>
        </w:rPr>
        <w:t xml:space="preserve">lograr una gestión de la defensa legal de los intereses de </w:t>
      </w:r>
      <w:r w:rsidR="00EE2ED7">
        <w:t>la Unión</w:t>
      </w:r>
      <w:r w:rsidR="00EE2ED7" w:rsidRPr="00EE2ED7">
        <w:rPr>
          <w:lang w:val="es-AR"/>
        </w:rPr>
        <w:t xml:space="preserve"> crecientemente efectiva</w:t>
      </w:r>
      <w:r w:rsidR="000B1D4C" w:rsidRPr="00EE2ED7">
        <w:rPr>
          <w:noProof/>
          <w:lang w:val="es-ES_tradnl"/>
        </w:rPr>
        <w:t>.</w:t>
      </w:r>
      <w:r w:rsidR="00EE2ED7" w:rsidRPr="00EE2ED7">
        <w:rPr>
          <w:noProof/>
          <w:lang w:val="es-ES_tradnl"/>
        </w:rPr>
        <w:t xml:space="preserve"> </w:t>
      </w:r>
      <w:r w:rsidR="00EE2ED7" w:rsidRPr="00586E13">
        <w:rPr>
          <w:lang w:val="es-AR"/>
        </w:rPr>
        <w:t xml:space="preserve">Los objetivos específicos - alineados con los resultados que se espera lograr </w:t>
      </w:r>
      <w:r w:rsidR="00EE2ED7">
        <w:rPr>
          <w:lang w:val="es-AR"/>
        </w:rPr>
        <w:t>–</w:t>
      </w:r>
      <w:r w:rsidR="00EE2ED7" w:rsidRPr="00586E13">
        <w:rPr>
          <w:lang w:val="es-AR"/>
        </w:rPr>
        <w:t xml:space="preserve"> son</w:t>
      </w:r>
      <w:r w:rsidR="00EE2ED7">
        <w:rPr>
          <w:lang w:val="es-AR"/>
        </w:rPr>
        <w:t xml:space="preserve"> mejorar</w:t>
      </w:r>
      <w:r w:rsidR="00EE2ED7" w:rsidRPr="00586E13">
        <w:rPr>
          <w:lang w:val="es-AR"/>
        </w:rPr>
        <w:t xml:space="preserve">: </w:t>
      </w:r>
    </w:p>
    <w:p w:rsidR="00EE2ED7" w:rsidRDefault="00EE2ED7" w:rsidP="00EE2ED7">
      <w:pPr>
        <w:pStyle w:val="ListParagraph"/>
        <w:ind w:left="567"/>
        <w:rPr>
          <w:noProof/>
          <w:lang w:val="es-ES_tradnl"/>
        </w:rPr>
      </w:pPr>
    </w:p>
    <w:p w:rsidR="00EE2ED7" w:rsidRPr="00EE2ED7" w:rsidRDefault="00EE2ED7" w:rsidP="007E0EE5">
      <w:pPr>
        <w:pStyle w:val="ListParagraph"/>
        <w:numPr>
          <w:ilvl w:val="0"/>
          <w:numId w:val="16"/>
        </w:numPr>
        <w:rPr>
          <w:noProof/>
          <w:lang w:val="es-ES_tradnl"/>
        </w:rPr>
      </w:pPr>
      <w:r>
        <w:t>L</w:t>
      </w:r>
      <w:r w:rsidRPr="00586E13">
        <w:t>a gestión estratégica y del conocimiento</w:t>
      </w:r>
      <w:r w:rsidRPr="00EE2ED7">
        <w:rPr>
          <w:lang w:val="es-AR"/>
        </w:rPr>
        <w:t xml:space="preserve">; </w:t>
      </w:r>
    </w:p>
    <w:p w:rsidR="00EE2ED7" w:rsidRPr="00EE2ED7" w:rsidRDefault="00EE2ED7" w:rsidP="007E0EE5">
      <w:pPr>
        <w:pStyle w:val="ListParagraph"/>
        <w:numPr>
          <w:ilvl w:val="0"/>
          <w:numId w:val="16"/>
        </w:numPr>
        <w:rPr>
          <w:noProof/>
          <w:lang w:val="es-ES_tradnl"/>
        </w:rPr>
      </w:pPr>
      <w:r>
        <w:rPr>
          <w:lang w:val="es-AR"/>
        </w:rPr>
        <w:t>L</w:t>
      </w:r>
      <w:r w:rsidRPr="00EE2ED7">
        <w:rPr>
          <w:lang w:val="es-AR"/>
        </w:rPr>
        <w:t xml:space="preserve">a </w:t>
      </w:r>
      <w:r w:rsidRPr="00ED6AD2">
        <w:t>efectividad</w:t>
      </w:r>
      <w:r w:rsidRPr="00EE2ED7">
        <w:rPr>
          <w:lang w:val="es-AR"/>
        </w:rPr>
        <w:t xml:space="preserve"> y la eficiencia en la gestión jurídica</w:t>
      </w:r>
      <w:r>
        <w:rPr>
          <w:lang w:val="es-AR"/>
        </w:rPr>
        <w:t xml:space="preserve">; y </w:t>
      </w:r>
    </w:p>
    <w:p w:rsidR="00EE2ED7" w:rsidRPr="00EE2ED7" w:rsidRDefault="00EE2ED7" w:rsidP="007E0EE5">
      <w:pPr>
        <w:pStyle w:val="ListParagraph"/>
        <w:numPr>
          <w:ilvl w:val="0"/>
          <w:numId w:val="16"/>
        </w:numPr>
        <w:rPr>
          <w:noProof/>
          <w:lang w:val="es-ES_tradnl"/>
        </w:rPr>
      </w:pPr>
      <w:r>
        <w:rPr>
          <w:lang w:val="es-AR"/>
        </w:rPr>
        <w:t>L</w:t>
      </w:r>
      <w:r w:rsidRPr="00EE2ED7">
        <w:rPr>
          <w:lang w:val="es-AR"/>
        </w:rPr>
        <w:t xml:space="preserve">a </w:t>
      </w:r>
      <w:r w:rsidRPr="00ED6AD2">
        <w:t>gestión</w:t>
      </w:r>
      <w:r w:rsidRPr="00EE2ED7">
        <w:rPr>
          <w:lang w:val="es-AR"/>
        </w:rPr>
        <w:t xml:space="preserve"> administrativa y gerencial. </w:t>
      </w:r>
    </w:p>
    <w:p w:rsidR="00EE2ED7" w:rsidRDefault="00EE2ED7" w:rsidP="00EE2ED7">
      <w:pPr>
        <w:pStyle w:val="ListParagraph"/>
        <w:ind w:left="1080"/>
        <w:rPr>
          <w:noProof/>
          <w:lang w:val="es-ES_tradnl"/>
        </w:rPr>
      </w:pPr>
    </w:p>
    <w:p w:rsidR="00EE2ED7" w:rsidRDefault="000B1D4C" w:rsidP="0002356C">
      <w:pPr>
        <w:pStyle w:val="ListParagraph"/>
        <w:numPr>
          <w:ilvl w:val="0"/>
          <w:numId w:val="14"/>
        </w:numPr>
        <w:ind w:left="567" w:hanging="567"/>
      </w:pPr>
      <w:r>
        <w:t>El programa</w:t>
      </w:r>
      <w:r w:rsidR="0033646A">
        <w:t xml:space="preserve"> debe permitir resolver los problemas detectados en AGU, actuando sobre las causas de los mismos.</w:t>
      </w:r>
      <w:r>
        <w:t xml:space="preserve"> Para ello, en el diseño del programa se han incorporado todo un conjunto de acciones que inciden en los aspectos estratégicos de la institución, en la gestión de los procesos sustantivos </w:t>
      </w:r>
      <w:r w:rsidR="00EE2ED7">
        <w:t xml:space="preserve">(productos estratégicos) </w:t>
      </w:r>
      <w:r>
        <w:t xml:space="preserve">y en la gestión de los procesos de apoyo administrativo. </w:t>
      </w:r>
    </w:p>
    <w:p w:rsidR="00EE2ED7" w:rsidRDefault="00EE2ED7" w:rsidP="00EE2ED7">
      <w:pPr>
        <w:pStyle w:val="ListParagraph"/>
        <w:ind w:left="567"/>
      </w:pPr>
    </w:p>
    <w:p w:rsidR="0033646A" w:rsidRDefault="00EE2ED7" w:rsidP="0002356C">
      <w:pPr>
        <w:pStyle w:val="ListParagraph"/>
        <w:numPr>
          <w:ilvl w:val="0"/>
          <w:numId w:val="14"/>
        </w:numPr>
        <w:ind w:left="567" w:hanging="567"/>
      </w:pPr>
      <w:r>
        <w:t xml:space="preserve">Dos grandes grupos de </w:t>
      </w:r>
      <w:r w:rsidR="0002356C">
        <w:t xml:space="preserve">acciones, </w:t>
      </w:r>
      <w:r>
        <w:t>articuladas</w:t>
      </w:r>
      <w:r w:rsidR="0002356C">
        <w:t xml:space="preserve"> en </w:t>
      </w:r>
      <w:r>
        <w:t>los</w:t>
      </w:r>
      <w:r w:rsidR="0002356C">
        <w:t xml:space="preserve"> componentes </w:t>
      </w:r>
      <w:r>
        <w:t>1 y 2</w:t>
      </w:r>
      <w:r w:rsidR="00AA3B49">
        <w:t xml:space="preserve"> del Programa</w:t>
      </w:r>
      <w:r>
        <w:t>,</w:t>
      </w:r>
      <w:r w:rsidR="001A0C14">
        <w:t xml:space="preserve"> inciden</w:t>
      </w:r>
      <w:r w:rsidR="0002356C">
        <w:t xml:space="preserve"> de manera directa en la corrección de las disfuncionalidades </w:t>
      </w:r>
      <w:r>
        <w:t xml:space="preserve">observada en la gestión estratégica institucional </w:t>
      </w:r>
      <w:r w:rsidR="0002356C">
        <w:t xml:space="preserve">y en la </w:t>
      </w:r>
      <w:r>
        <w:t>gestión de los productos estratégicos institucionales</w:t>
      </w:r>
      <w:r w:rsidR="000B7263">
        <w:t>, respectivamente</w:t>
      </w:r>
      <w:r w:rsidR="0002356C">
        <w:t>.</w:t>
      </w:r>
      <w:r w:rsidR="001A0C14">
        <w:t xml:space="preserve"> El componente 3, de rediseño de los procesos de apoyo administrativo</w:t>
      </w:r>
      <w:r w:rsidR="001A0694">
        <w:t>, no tiene un impacto directo al no incidir sobre los procesos sustantivos de defensa legal, asesoría y cobranza, pero es relevante en la medida en que garantiza el adecuado funcionamiento de los servicios de apoyo</w:t>
      </w:r>
      <w:r w:rsidR="00966F4C">
        <w:t xml:space="preserve"> y, por tanto, de la provisión de forma eficaz y eficiente de los recursos necesarios para la generación de los productos estratégicos</w:t>
      </w:r>
      <w:r w:rsidR="001A0694">
        <w:t>.</w:t>
      </w:r>
      <w:r w:rsidR="00B54136">
        <w:t xml:space="preserve"> </w:t>
      </w:r>
    </w:p>
    <w:p w:rsidR="00D85F7B" w:rsidRDefault="00D85F7B" w:rsidP="00D85F7B">
      <w:pPr>
        <w:pStyle w:val="ListParagraph"/>
        <w:ind w:left="360"/>
      </w:pPr>
    </w:p>
    <w:p w:rsidR="00B54136" w:rsidRDefault="00B54136" w:rsidP="00D85F7B">
      <w:pPr>
        <w:pStyle w:val="ListParagraph"/>
        <w:ind w:left="360"/>
      </w:pPr>
    </w:p>
    <w:p w:rsidR="00B54136" w:rsidRDefault="00B54136" w:rsidP="00180945">
      <w:pPr>
        <w:pStyle w:val="Heading2"/>
      </w:pPr>
      <w:bookmarkStart w:id="6" w:name="_Toc303885501"/>
      <w:bookmarkStart w:id="7" w:name="_Toc298005481"/>
      <w:r>
        <w:t>Principales beneficios esperados</w:t>
      </w:r>
      <w:bookmarkEnd w:id="6"/>
      <w:bookmarkEnd w:id="7"/>
    </w:p>
    <w:p w:rsidR="0033646A" w:rsidRDefault="0002356C" w:rsidP="002F6BF4">
      <w:pPr>
        <w:pStyle w:val="ListParagraph"/>
        <w:numPr>
          <w:ilvl w:val="0"/>
          <w:numId w:val="14"/>
        </w:numPr>
        <w:ind w:left="567" w:hanging="567"/>
      </w:pPr>
      <w:r>
        <w:t xml:space="preserve">Desde un punto de vista económico y patrimonial, </w:t>
      </w:r>
      <w:r w:rsidR="000B275B">
        <w:t xml:space="preserve">pueden identificarse diversos </w:t>
      </w:r>
      <w:r w:rsidR="00B54136">
        <w:t>beneficios</w:t>
      </w:r>
      <w:r w:rsidR="000B275B">
        <w:t xml:space="preserve"> potenciales</w:t>
      </w:r>
      <w:r w:rsidR="00076E6D">
        <w:t xml:space="preserve"> </w:t>
      </w:r>
      <w:r>
        <w:t xml:space="preserve">directos como consecuencia </w:t>
      </w:r>
      <w:r w:rsidR="001A0C14">
        <w:t>de las acciones del</w:t>
      </w:r>
      <w:r>
        <w:t xml:space="preserve"> programa</w:t>
      </w:r>
      <w:r w:rsidR="001A0C14">
        <w:t xml:space="preserve"> sobre los procesos de trabajo sustantivos</w:t>
      </w:r>
      <w:r w:rsidR="002F6BF4">
        <w:t>:</w:t>
      </w:r>
    </w:p>
    <w:p w:rsidR="002F6BF4" w:rsidRDefault="002F6BF4" w:rsidP="002F6BF4">
      <w:pPr>
        <w:pStyle w:val="ListParagraph"/>
      </w:pPr>
    </w:p>
    <w:p w:rsidR="00924ABC" w:rsidRPr="00924ABC" w:rsidRDefault="00924ABC" w:rsidP="00924ABC">
      <w:pPr>
        <w:pStyle w:val="ListParagraph"/>
        <w:spacing w:after="240"/>
        <w:ind w:left="567"/>
        <w:rPr>
          <w:i/>
          <w:u w:val="single"/>
        </w:rPr>
      </w:pPr>
      <w:r w:rsidRPr="00924ABC">
        <w:rPr>
          <w:i/>
          <w:u w:val="single"/>
        </w:rPr>
        <w:t>Estado como demandado</w:t>
      </w:r>
    </w:p>
    <w:p w:rsidR="00136B76" w:rsidRDefault="002F6BF4" w:rsidP="007E0EE5">
      <w:pPr>
        <w:pStyle w:val="ListParagraph"/>
        <w:numPr>
          <w:ilvl w:val="0"/>
          <w:numId w:val="18"/>
        </w:numPr>
      </w:pPr>
      <w:r>
        <w:t xml:space="preserve">La mejora en la efectividad de los procesos y flujos de trabajo contenciosos en aquellos juicios en los que el Estado es demandado debería permitir aumentar las sentencias favorables para la Administración Pública y, por tanto, reducir los montos económicos que el finalmente se tienen que pagar a los demandantes. </w:t>
      </w:r>
      <w:r w:rsidR="000B275B">
        <w:t>Es decir</w:t>
      </w:r>
      <w:r>
        <w:t xml:space="preserve">, una mejor gestión </w:t>
      </w:r>
      <w:r w:rsidR="00DA30DC">
        <w:t xml:space="preserve">de </w:t>
      </w:r>
      <w:r w:rsidR="00136B76">
        <w:t xml:space="preserve">las acciones preventivas del daño antijurídico y de </w:t>
      </w:r>
      <w:r w:rsidR="00DA30DC">
        <w:t>la defensa en</w:t>
      </w:r>
      <w:r>
        <w:t xml:space="preserve"> los procesos por parte de AGU debería suponer un</w:t>
      </w:r>
      <w:r w:rsidR="00136B76">
        <w:t xml:space="preserve">a reducción en la </w:t>
      </w:r>
      <w:proofErr w:type="spellStart"/>
      <w:r w:rsidR="00136B76">
        <w:t>litigiosidad</w:t>
      </w:r>
      <w:proofErr w:type="spellEnd"/>
      <w:r w:rsidR="00136B76">
        <w:t xml:space="preserve"> contra el Estado y un</w:t>
      </w:r>
      <w:r>
        <w:t xml:space="preserve"> incremento de </w:t>
      </w:r>
      <w:r w:rsidR="00ED6AD2">
        <w:t xml:space="preserve">la tasa de éxito en tribunales. </w:t>
      </w:r>
    </w:p>
    <w:p w:rsidR="00136B76" w:rsidRDefault="00136B76" w:rsidP="00136B76">
      <w:pPr>
        <w:pStyle w:val="ListParagraph"/>
        <w:ind w:left="1287"/>
      </w:pPr>
    </w:p>
    <w:p w:rsidR="002F6BF4" w:rsidRDefault="00925125" w:rsidP="00136B76">
      <w:pPr>
        <w:ind w:left="1287"/>
      </w:pPr>
      <w:r>
        <w:t xml:space="preserve">El éxito o el fracaso de la acción de defensa ante los tribunales se </w:t>
      </w:r>
      <w:r w:rsidR="00B477F9">
        <w:t>miden</w:t>
      </w:r>
      <w:r>
        <w:t xml:space="preserve"> por el sentido de la decisión</w:t>
      </w:r>
      <w:r w:rsidR="00ED6AD2">
        <w:t xml:space="preserve"> judicial </w:t>
      </w:r>
      <w:r>
        <w:t>definitiva.</w:t>
      </w:r>
      <w:r w:rsidR="00FA57B6">
        <w:t xml:space="preserve"> </w:t>
      </w:r>
      <w:r>
        <w:t xml:space="preserve">Esta decisión puede ser condenatoria, total o parcialmente, o absolutoria. En el primer caso, el Fisco debe asumir el pago de las reparaciones establecidas en la sentencia, que pueden ser el 100% de la pretensión establecida en la demanda, o una fracción de la misma. En el segundo caso, el Fisco no debe pagar nada. Por tanto, una buena aproximación en términos fiscales a la acción de defensa jurídica es el monto de los pagos evitados sobre el total de montos pretendidos (o su inverso, los montos pagados sobre </w:t>
      </w:r>
      <w:r>
        <w:lastRenderedPageBreak/>
        <w:t xml:space="preserve">el total). </w:t>
      </w:r>
      <w:r w:rsidR="0002356C">
        <w:t>Las acciones incluidas en el componente 1</w:t>
      </w:r>
      <w:r w:rsidR="00BA7828">
        <w:t>,</w:t>
      </w:r>
      <w:r w:rsidR="0002356C">
        <w:t xml:space="preserve"> y especialmente en el </w:t>
      </w:r>
      <w:r w:rsidR="001A0C14">
        <w:t xml:space="preserve">componente </w:t>
      </w:r>
      <w:r w:rsidR="0002356C">
        <w:t>2</w:t>
      </w:r>
      <w:r w:rsidR="00BA7828">
        <w:t>,</w:t>
      </w:r>
      <w:r w:rsidR="0002356C">
        <w:t xml:space="preserve"> están orientadas directamente a generar </w:t>
      </w:r>
      <w:r w:rsidR="00BA7828">
        <w:t>una mejora en</w:t>
      </w:r>
      <w:r>
        <w:t xml:space="preserve"> la tasa de éxito </w:t>
      </w:r>
      <w:r w:rsidR="00BA7828">
        <w:t>por</w:t>
      </w:r>
      <w:r>
        <w:t xml:space="preserve"> la acción ante los tribunales y a disminuir los costos fiscales asociados en caso de </w:t>
      </w:r>
      <w:r w:rsidR="00236A3B">
        <w:t>condena total o parcial</w:t>
      </w:r>
      <w:r>
        <w:t xml:space="preserve"> </w:t>
      </w:r>
      <w:r w:rsidR="00236A3B">
        <w:t>en los</w:t>
      </w:r>
      <w:r>
        <w:t xml:space="preserve"> juicios</w:t>
      </w:r>
      <w:r w:rsidR="0002356C">
        <w:t>.</w:t>
      </w:r>
    </w:p>
    <w:p w:rsidR="00924ABC" w:rsidRDefault="00924ABC" w:rsidP="00924ABC">
      <w:pPr>
        <w:pStyle w:val="ListParagraph"/>
        <w:ind w:left="1287"/>
      </w:pPr>
    </w:p>
    <w:p w:rsidR="00925125" w:rsidRDefault="00925125" w:rsidP="00924ABC">
      <w:pPr>
        <w:pStyle w:val="ListParagraph"/>
        <w:ind w:left="1287"/>
      </w:pPr>
    </w:p>
    <w:p w:rsidR="00924ABC" w:rsidRPr="00924ABC" w:rsidRDefault="00924ABC" w:rsidP="00924ABC">
      <w:pPr>
        <w:pStyle w:val="ListParagraph"/>
        <w:spacing w:after="240"/>
        <w:ind w:left="567"/>
        <w:rPr>
          <w:i/>
          <w:u w:val="single"/>
        </w:rPr>
      </w:pPr>
      <w:r>
        <w:rPr>
          <w:i/>
          <w:u w:val="single"/>
        </w:rPr>
        <w:t>Estado como demandante</w:t>
      </w:r>
    </w:p>
    <w:p w:rsidR="00B07409" w:rsidRPr="00657757" w:rsidRDefault="00B07409" w:rsidP="007E0EE5">
      <w:pPr>
        <w:pStyle w:val="ListParagraph"/>
        <w:numPr>
          <w:ilvl w:val="0"/>
          <w:numId w:val="18"/>
        </w:numPr>
      </w:pPr>
      <w:r w:rsidRPr="00657757">
        <w:t xml:space="preserve">Si una persona física o jurídica infringe determinadas normas administrativas, por lo que es merecedora de multas o sanciones económicas por parte de la Administración Pública, </w:t>
      </w:r>
      <w:r w:rsidR="006B448D" w:rsidRPr="00657757">
        <w:t>los órganos especializados de la</w:t>
      </w:r>
      <w:r w:rsidRPr="00657757">
        <w:t xml:space="preserve"> AGU </w:t>
      </w:r>
      <w:r w:rsidR="006B448D" w:rsidRPr="00657757">
        <w:t>son</w:t>
      </w:r>
      <w:r w:rsidRPr="00657757">
        <w:t xml:space="preserve"> </w:t>
      </w:r>
      <w:r w:rsidR="006B448D" w:rsidRPr="00657757">
        <w:t xml:space="preserve">los </w:t>
      </w:r>
      <w:r w:rsidRPr="00657757">
        <w:t xml:space="preserve">responsable de </w:t>
      </w:r>
      <w:r w:rsidR="006B448D" w:rsidRPr="00657757">
        <w:t>instar el cobro</w:t>
      </w:r>
      <w:r w:rsidRPr="00657757">
        <w:t xml:space="preserve"> </w:t>
      </w:r>
      <w:r w:rsidR="00E1307E" w:rsidRPr="00657757">
        <w:t>por vía administrativa.</w:t>
      </w:r>
      <w:r w:rsidR="006B448D" w:rsidRPr="00CF2FEC">
        <w:rPr>
          <w:rStyle w:val="FootnoteReference"/>
          <w:rFonts w:ascii="Times New Roman" w:hAnsi="Times New Roman"/>
        </w:rPr>
        <w:footnoteReference w:id="2"/>
      </w:r>
      <w:r w:rsidR="00E1307E" w:rsidRPr="00657757">
        <w:t xml:space="preserve"> En el caso de que esta vía no resulte, será la AGU la que deberá interponer las </w:t>
      </w:r>
      <w:r w:rsidR="001A6501" w:rsidRPr="00657757">
        <w:t>demandas</w:t>
      </w:r>
      <w:r w:rsidR="00E1307E" w:rsidRPr="00657757">
        <w:t xml:space="preserve"> en </w:t>
      </w:r>
      <w:r w:rsidR="001A6501" w:rsidRPr="00657757">
        <w:t>tribunales por impago</w:t>
      </w:r>
      <w:r w:rsidR="006B448D" w:rsidRPr="00657757">
        <w:t xml:space="preserve"> para ejercer la acción de cobranza por la vía ejecutiva</w:t>
      </w:r>
      <w:r w:rsidR="001A6501" w:rsidRPr="00657757">
        <w:t xml:space="preserve">. Por tanto, cabría esperar </w:t>
      </w:r>
      <w:r w:rsidR="000B275B" w:rsidRPr="00657757">
        <w:t xml:space="preserve">como impacto </w:t>
      </w:r>
      <w:r w:rsidR="001A6501" w:rsidRPr="00657757">
        <w:t>que una mejora en el proceso de cobranza por parte de los órganos de AGU (PGF y PGFN, especialmente), debería aumentar lo</w:t>
      </w:r>
      <w:r w:rsidR="000B275B" w:rsidRPr="00657757">
        <w:t>s cobros por vía administrativa</w:t>
      </w:r>
      <w:r w:rsidR="006B448D" w:rsidRPr="00657757">
        <w:t xml:space="preserve"> y judicial</w:t>
      </w:r>
      <w:r w:rsidR="00B6262A" w:rsidRPr="00657757">
        <w:t xml:space="preserve">. </w:t>
      </w:r>
      <w:r w:rsidR="001A0C14" w:rsidRPr="00657757">
        <w:t>El componente 2 actúa directamente sobre este impacto esperado.</w:t>
      </w:r>
    </w:p>
    <w:p w:rsidR="001A0C14" w:rsidRDefault="001A0C14" w:rsidP="001A0C14">
      <w:pPr>
        <w:pStyle w:val="ListParagraph"/>
        <w:ind w:left="1287"/>
      </w:pPr>
    </w:p>
    <w:p w:rsidR="002F6BF4" w:rsidRDefault="00F0450D" w:rsidP="005B7BE9">
      <w:pPr>
        <w:ind w:left="1287"/>
      </w:pPr>
      <w:r>
        <w:t>Una vez que existe resolución definitiva de los tribunales</w:t>
      </w:r>
      <w:r w:rsidR="000C5972">
        <w:t xml:space="preserve"> a favor del Estado, </w:t>
      </w:r>
      <w:r w:rsidR="00B07409">
        <w:t xml:space="preserve">la AGU tiene establecido por ley que deberá ejercer la </w:t>
      </w:r>
      <w:r w:rsidR="00076E6D">
        <w:t>recuperación de la deuda</w:t>
      </w:r>
      <w:r w:rsidR="00B07409">
        <w:t xml:space="preserve">. </w:t>
      </w:r>
      <w:r w:rsidR="000C5972">
        <w:t xml:space="preserve">Esto supone poner en marcha todo un conjunto de medidas con el fin de </w:t>
      </w:r>
      <w:r w:rsidR="000C7499">
        <w:t>cobrar las deudas</w:t>
      </w:r>
      <w:r w:rsidR="000C5972">
        <w:t xml:space="preserve">. </w:t>
      </w:r>
      <w:r w:rsidR="00B6262A">
        <w:t xml:space="preserve">Por tanto, cabría esperar que una mejora en los flujos de trabajo y en los sistemas relacionados con el cobro </w:t>
      </w:r>
      <w:r w:rsidR="000B7263">
        <w:t>permitiera</w:t>
      </w:r>
      <w:r w:rsidR="00B6262A">
        <w:t xml:space="preserve"> un incremento en la recuperac</w:t>
      </w:r>
      <w:r w:rsidR="001A0C14">
        <w:t>ión de las cantidades adeudadas, tanto por razones tributarias (PGFN) como por acciones en las autarquías y fundaciones públicas (PGF). En ambos casos, los impactos esperados serán como consecuencia de las actividades programadas en los componentes 1 y, especialmente, el componente 2.</w:t>
      </w:r>
    </w:p>
    <w:p w:rsidR="001A0C14" w:rsidRDefault="001A0C14" w:rsidP="001A0C14"/>
    <w:p w:rsidR="000B275B" w:rsidRDefault="00B6262A" w:rsidP="007E0EE5">
      <w:pPr>
        <w:pStyle w:val="ListParagraph"/>
        <w:numPr>
          <w:ilvl w:val="0"/>
          <w:numId w:val="18"/>
        </w:numPr>
      </w:pPr>
      <w:r>
        <w:t xml:space="preserve">Finalmente, la AGU también es responsable de la </w:t>
      </w:r>
      <w:r w:rsidR="003D27B9">
        <w:t xml:space="preserve">recuperación del patrimonio del Estado en los casos de improbidad de los funcionarios públicos. Una vez establecida por el Tribunal de Cuentas de la Unión (TCU) la existencia de daños contra el </w:t>
      </w:r>
      <w:r w:rsidR="008528A7">
        <w:t xml:space="preserve">Estado </w:t>
      </w:r>
      <w:r w:rsidR="003D27B9">
        <w:t xml:space="preserve">por </w:t>
      </w:r>
      <w:r w:rsidR="008528A7">
        <w:t xml:space="preserve">actos de corrupción, la AGU debe promover las acciones necesarias para recuperar el patrimonio. Si por la vía del apercibimiento administrativo no lo puede hacer, deberá recurrir a la vía judicial. En el primer caso, se requieren capacidades específicas para lograr la restitución, y en el segundo caso es crucial </w:t>
      </w:r>
      <w:r w:rsidR="001A0694">
        <w:t xml:space="preserve">contar con </w:t>
      </w:r>
      <w:r w:rsidR="008528A7">
        <w:t xml:space="preserve">un buen </w:t>
      </w:r>
      <w:r w:rsidR="000C7499">
        <w:t>modelo</w:t>
      </w:r>
      <w:r w:rsidR="008528A7">
        <w:t xml:space="preserve"> de </w:t>
      </w:r>
      <w:r w:rsidR="000C7499">
        <w:t>acción</w:t>
      </w:r>
      <w:r w:rsidR="008528A7">
        <w:t xml:space="preserve"> en tribunales.</w:t>
      </w:r>
      <w:r w:rsidR="001A0694">
        <w:t xml:space="preserve"> Los impactos esperados provendrán básicamente de las actividades contempladas en los componentes 1 y 2.</w:t>
      </w:r>
    </w:p>
    <w:p w:rsidR="001A0694" w:rsidRDefault="001A0694" w:rsidP="001A0694">
      <w:pPr>
        <w:pStyle w:val="ListParagraph"/>
      </w:pPr>
    </w:p>
    <w:p w:rsidR="00BA7828" w:rsidRDefault="00BA7828" w:rsidP="001A0694">
      <w:pPr>
        <w:pStyle w:val="ListParagraph"/>
      </w:pPr>
    </w:p>
    <w:p w:rsidR="00BA7828" w:rsidRDefault="00BA7828" w:rsidP="00180945">
      <w:pPr>
        <w:pStyle w:val="Heading2"/>
      </w:pPr>
      <w:bookmarkStart w:id="8" w:name="_Ref294199644"/>
      <w:bookmarkStart w:id="9" w:name="_Toc303885502"/>
      <w:bookmarkStart w:id="10" w:name="_Toc298005482"/>
      <w:r>
        <w:t>Indicadores seleccionados</w:t>
      </w:r>
      <w:bookmarkEnd w:id="8"/>
      <w:bookmarkEnd w:id="9"/>
      <w:bookmarkEnd w:id="10"/>
    </w:p>
    <w:p w:rsidR="000E7D60" w:rsidRPr="000E7D60" w:rsidRDefault="00D45041" w:rsidP="003F2555">
      <w:pPr>
        <w:pStyle w:val="ListParagraph"/>
        <w:numPr>
          <w:ilvl w:val="0"/>
          <w:numId w:val="14"/>
        </w:numPr>
        <w:ind w:left="567" w:hanging="567"/>
      </w:pPr>
      <w:r>
        <w:t xml:space="preserve">Para la elaboración del análisis costo-beneficio se han seleccionado de </w:t>
      </w:r>
      <w:r w:rsidR="005B7BE9">
        <w:t xml:space="preserve">la matriz de resultados del proyecto </w:t>
      </w:r>
      <w:r>
        <w:t xml:space="preserve">los </w:t>
      </w:r>
      <w:r w:rsidR="005B7BE9">
        <w:t xml:space="preserve">dos indicadores de impacto, ambos </w:t>
      </w:r>
      <w:r w:rsidR="003F2555">
        <w:t xml:space="preserve">directamente </w:t>
      </w:r>
      <w:r w:rsidR="005B7BE9">
        <w:t xml:space="preserve">relacionados </w:t>
      </w:r>
      <w:r w:rsidR="003F2555">
        <w:t xml:space="preserve">con los beneficios </w:t>
      </w:r>
      <w:r>
        <w:t>esperados</w:t>
      </w:r>
      <w:r w:rsidR="00D160BE">
        <w:t xml:space="preserve"> (ver cuadro 1</w:t>
      </w:r>
      <w:r w:rsidR="00D177C1">
        <w:t>)</w:t>
      </w:r>
      <w:r w:rsidR="003F2555">
        <w:t xml:space="preserve">. El primer indicador </w:t>
      </w:r>
      <w:r>
        <w:t xml:space="preserve">seleccionado </w:t>
      </w:r>
      <w:r w:rsidR="003F2555">
        <w:t xml:space="preserve">es “I.1. </w:t>
      </w:r>
      <w:r w:rsidR="003F2555" w:rsidRPr="003F2555">
        <w:rPr>
          <w:lang w:val="es-ES_tradnl"/>
        </w:rPr>
        <w:t>Montos pagados sobre el total de montos pretendidos en causas Estado demandado</w:t>
      </w:r>
      <w:r w:rsidR="003F2555">
        <w:rPr>
          <w:lang w:val="es-ES_tradnl"/>
        </w:rPr>
        <w:t xml:space="preserve">”, que mide la cuantía pagada como consecuencia de fallos total o parcialmente desfavorables sobre el total de la pretensión económica </w:t>
      </w:r>
      <w:r>
        <w:rPr>
          <w:lang w:val="es-ES_tradnl"/>
        </w:rPr>
        <w:t xml:space="preserve">formulada en la demanda. </w:t>
      </w:r>
      <w:r w:rsidR="00D177C1">
        <w:rPr>
          <w:lang w:val="es-ES_tradnl"/>
        </w:rPr>
        <w:t xml:space="preserve">Una reducción de </w:t>
      </w:r>
      <w:r w:rsidR="00AC3E44">
        <w:rPr>
          <w:lang w:val="es-ES_tradnl"/>
        </w:rPr>
        <w:t xml:space="preserve">valor en </w:t>
      </w:r>
      <w:r w:rsidR="00D177C1">
        <w:rPr>
          <w:lang w:val="es-ES_tradnl"/>
        </w:rPr>
        <w:t xml:space="preserve">este indicador estaría mostrando un incremento de los pagos </w:t>
      </w:r>
      <w:r w:rsidR="00D177C1">
        <w:rPr>
          <w:lang w:val="es-ES_tradnl"/>
        </w:rPr>
        <w:lastRenderedPageBreak/>
        <w:t xml:space="preserve">evitados por el Fisco (y viceversa). </w:t>
      </w:r>
      <w:r w:rsidR="000E7D60">
        <w:rPr>
          <w:lang w:val="es-ES_tradnl"/>
        </w:rPr>
        <w:t>P</w:t>
      </w:r>
      <w:r w:rsidR="00D160BE">
        <w:rPr>
          <w:lang w:val="es-ES_tradnl"/>
        </w:rPr>
        <w:t>uede observarse en el cuadro 1</w:t>
      </w:r>
      <w:r w:rsidR="000E7D60">
        <w:rPr>
          <w:lang w:val="es-ES_tradnl"/>
        </w:rPr>
        <w:t xml:space="preserve"> que el valor estimado de la ratio “montos pagados sobre montos pretendidos en juicios Fisco demandado” fue del 54% en el año 2010, estando previsto que en el marco del proyecto evolucione al 52% en el año 2014 (punto intermedio) y al 50% en el año 50%.</w:t>
      </w:r>
    </w:p>
    <w:p w:rsidR="000E7D60" w:rsidRDefault="000E7D60" w:rsidP="000E7D60">
      <w:pPr>
        <w:pStyle w:val="ListParagraph"/>
        <w:ind w:left="567"/>
      </w:pPr>
    </w:p>
    <w:p w:rsidR="00D45041" w:rsidRPr="00D177C1" w:rsidRDefault="00D160BE" w:rsidP="00D177C1">
      <w:pPr>
        <w:pStyle w:val="ListParagraph"/>
        <w:spacing w:after="60"/>
        <w:ind w:left="360"/>
        <w:jc w:val="center"/>
        <w:rPr>
          <w:b/>
          <w:sz w:val="20"/>
        </w:rPr>
      </w:pPr>
      <w:r>
        <w:rPr>
          <w:b/>
          <w:sz w:val="20"/>
        </w:rPr>
        <w:t>Cuadro 1</w:t>
      </w:r>
      <w:r w:rsidR="00D177C1" w:rsidRPr="00D177C1">
        <w:rPr>
          <w:b/>
          <w:sz w:val="20"/>
        </w:rPr>
        <w:t xml:space="preserve">. Indicadores </w:t>
      </w:r>
      <w:r w:rsidR="008B4D4C">
        <w:rPr>
          <w:b/>
          <w:sz w:val="20"/>
        </w:rPr>
        <w:t xml:space="preserve">de impacto </w:t>
      </w:r>
      <w:r w:rsidR="00D177C1">
        <w:rPr>
          <w:b/>
          <w:sz w:val="20"/>
        </w:rPr>
        <w:t>analizados</w:t>
      </w:r>
      <w:r w:rsidR="00D177C1" w:rsidRPr="00D177C1">
        <w:rPr>
          <w:b/>
          <w:sz w:val="20"/>
        </w:rPr>
        <w:t xml:space="preserve"> para el análisis costo-beneficio</w:t>
      </w:r>
    </w:p>
    <w:tbl>
      <w:tblPr>
        <w:tblW w:w="9112" w:type="dxa"/>
        <w:jc w:val="right"/>
        <w:tblInd w:w="2890" w:type="dxa"/>
        <w:tblLook w:val="04A0" w:firstRow="1" w:lastRow="0" w:firstColumn="1" w:lastColumn="0" w:noHBand="0" w:noVBand="1"/>
      </w:tblPr>
      <w:tblGrid>
        <w:gridCol w:w="5407"/>
        <w:gridCol w:w="1182"/>
        <w:gridCol w:w="841"/>
        <w:gridCol w:w="841"/>
        <w:gridCol w:w="841"/>
      </w:tblGrid>
      <w:tr w:rsidR="00BA7828" w:rsidRPr="00465B38" w:rsidTr="00DB37E3">
        <w:trPr>
          <w:jc w:val="right"/>
        </w:trPr>
        <w:tc>
          <w:tcPr>
            <w:tcW w:w="5407" w:type="dxa"/>
            <w:tcBorders>
              <w:top w:val="single" w:sz="4" w:space="0" w:color="auto"/>
              <w:bottom w:val="single" w:sz="4" w:space="0" w:color="auto"/>
            </w:tcBorders>
          </w:tcPr>
          <w:p w:rsidR="00BA7828" w:rsidRPr="00465B38" w:rsidRDefault="00BA7828" w:rsidP="006D5597">
            <w:pPr>
              <w:tabs>
                <w:tab w:val="left" w:pos="435"/>
              </w:tabs>
              <w:ind w:left="426" w:hanging="426"/>
              <w:rPr>
                <w:b/>
                <w:sz w:val="20"/>
                <w:szCs w:val="18"/>
                <w:lang w:val="es-ES_tradnl"/>
              </w:rPr>
            </w:pPr>
            <w:r w:rsidRPr="00465B38">
              <w:rPr>
                <w:b/>
                <w:sz w:val="20"/>
                <w:szCs w:val="18"/>
                <w:lang w:val="es-ES_tradnl"/>
              </w:rPr>
              <w:t>Indicadores de impacto</w:t>
            </w:r>
          </w:p>
        </w:tc>
        <w:tc>
          <w:tcPr>
            <w:tcW w:w="0" w:type="auto"/>
            <w:tcBorders>
              <w:top w:val="single" w:sz="4" w:space="0" w:color="auto"/>
              <w:bottom w:val="single" w:sz="4" w:space="0" w:color="auto"/>
            </w:tcBorders>
          </w:tcPr>
          <w:p w:rsidR="00BA7828" w:rsidRPr="00465B38" w:rsidRDefault="00BA7828" w:rsidP="006D5597">
            <w:pPr>
              <w:rPr>
                <w:b/>
                <w:sz w:val="20"/>
                <w:szCs w:val="18"/>
                <w:lang w:val="es-CL"/>
              </w:rPr>
            </w:pPr>
            <w:r w:rsidRPr="00465B38">
              <w:rPr>
                <w:b/>
                <w:sz w:val="20"/>
                <w:szCs w:val="18"/>
                <w:lang w:val="es-CL"/>
              </w:rPr>
              <w:t>Unidad</w:t>
            </w:r>
          </w:p>
        </w:tc>
        <w:tc>
          <w:tcPr>
            <w:tcW w:w="0" w:type="auto"/>
            <w:tcBorders>
              <w:top w:val="single" w:sz="4" w:space="0" w:color="auto"/>
              <w:bottom w:val="single" w:sz="4" w:space="0" w:color="auto"/>
            </w:tcBorders>
          </w:tcPr>
          <w:p w:rsidR="00BA7828" w:rsidRPr="00465B38" w:rsidRDefault="00BA7828" w:rsidP="006D5597">
            <w:pPr>
              <w:jc w:val="left"/>
              <w:rPr>
                <w:b/>
                <w:sz w:val="20"/>
                <w:szCs w:val="18"/>
                <w:lang w:val="es-CL"/>
              </w:rPr>
            </w:pPr>
            <w:r w:rsidRPr="00465B38">
              <w:rPr>
                <w:b/>
                <w:sz w:val="20"/>
                <w:szCs w:val="18"/>
                <w:lang w:val="es-CL"/>
              </w:rPr>
              <w:t>2010</w:t>
            </w:r>
          </w:p>
        </w:tc>
        <w:tc>
          <w:tcPr>
            <w:tcW w:w="0" w:type="auto"/>
            <w:tcBorders>
              <w:top w:val="single" w:sz="4" w:space="0" w:color="auto"/>
              <w:bottom w:val="single" w:sz="4" w:space="0" w:color="auto"/>
            </w:tcBorders>
          </w:tcPr>
          <w:p w:rsidR="00BA7828" w:rsidRPr="00465B38" w:rsidRDefault="00BA7828" w:rsidP="006D5597">
            <w:pPr>
              <w:jc w:val="left"/>
              <w:rPr>
                <w:b/>
                <w:sz w:val="20"/>
                <w:szCs w:val="18"/>
                <w:lang w:val="es-CL"/>
              </w:rPr>
            </w:pPr>
            <w:r w:rsidRPr="00465B38">
              <w:rPr>
                <w:b/>
                <w:sz w:val="20"/>
                <w:szCs w:val="18"/>
                <w:lang w:val="es-CL"/>
              </w:rPr>
              <w:t>2014</w:t>
            </w:r>
          </w:p>
        </w:tc>
        <w:tc>
          <w:tcPr>
            <w:tcW w:w="0" w:type="auto"/>
            <w:tcBorders>
              <w:top w:val="single" w:sz="4" w:space="0" w:color="auto"/>
              <w:bottom w:val="single" w:sz="4" w:space="0" w:color="auto"/>
            </w:tcBorders>
          </w:tcPr>
          <w:p w:rsidR="00BA7828" w:rsidRPr="00465B38" w:rsidRDefault="00BA7828" w:rsidP="006D5597">
            <w:pPr>
              <w:jc w:val="left"/>
              <w:rPr>
                <w:b/>
                <w:sz w:val="20"/>
                <w:szCs w:val="18"/>
                <w:lang w:val="es-CL"/>
              </w:rPr>
            </w:pPr>
            <w:r w:rsidRPr="00465B38">
              <w:rPr>
                <w:b/>
                <w:sz w:val="20"/>
                <w:szCs w:val="18"/>
                <w:lang w:val="es-CL"/>
              </w:rPr>
              <w:t>2016</w:t>
            </w:r>
          </w:p>
        </w:tc>
      </w:tr>
      <w:tr w:rsidR="00BA7828" w:rsidRPr="00465B38" w:rsidTr="00DB37E3">
        <w:trPr>
          <w:jc w:val="right"/>
        </w:trPr>
        <w:tc>
          <w:tcPr>
            <w:tcW w:w="5407" w:type="dxa"/>
            <w:tcBorders>
              <w:top w:val="single" w:sz="4" w:space="0" w:color="auto"/>
            </w:tcBorders>
          </w:tcPr>
          <w:p w:rsidR="00BA7828" w:rsidRPr="00465B38" w:rsidRDefault="00BA7828" w:rsidP="006D5597">
            <w:pPr>
              <w:tabs>
                <w:tab w:val="left" w:pos="435"/>
              </w:tabs>
              <w:ind w:left="426" w:hanging="426"/>
              <w:rPr>
                <w:sz w:val="20"/>
                <w:szCs w:val="18"/>
                <w:lang w:val="es-CL"/>
              </w:rPr>
            </w:pPr>
            <w:r w:rsidRPr="00465B38">
              <w:rPr>
                <w:sz w:val="20"/>
                <w:szCs w:val="18"/>
                <w:lang w:val="es-ES_tradnl"/>
              </w:rPr>
              <w:t>I.1.</w:t>
            </w:r>
            <w:r w:rsidRPr="00465B38">
              <w:rPr>
                <w:sz w:val="20"/>
                <w:szCs w:val="18"/>
                <w:lang w:val="es-ES_tradnl"/>
              </w:rPr>
              <w:tab/>
              <w:t>Montos pagados sobre el total de montos pretendidos en causas Estado demandado</w:t>
            </w:r>
          </w:p>
        </w:tc>
        <w:tc>
          <w:tcPr>
            <w:tcW w:w="0" w:type="auto"/>
            <w:tcBorders>
              <w:top w:val="single" w:sz="4" w:space="0" w:color="auto"/>
            </w:tcBorders>
          </w:tcPr>
          <w:p w:rsidR="00BA7828" w:rsidRPr="00465B38" w:rsidRDefault="00AC3E44" w:rsidP="006D5597">
            <w:pPr>
              <w:rPr>
                <w:sz w:val="20"/>
                <w:szCs w:val="18"/>
                <w:lang w:val="es-CL"/>
              </w:rPr>
            </w:pPr>
            <w:r>
              <w:rPr>
                <w:sz w:val="20"/>
                <w:szCs w:val="18"/>
                <w:lang w:val="es-CL"/>
              </w:rPr>
              <w:t>% anual</w:t>
            </w:r>
          </w:p>
        </w:tc>
        <w:tc>
          <w:tcPr>
            <w:tcW w:w="0" w:type="auto"/>
            <w:tcBorders>
              <w:top w:val="single" w:sz="4" w:space="0" w:color="auto"/>
            </w:tcBorders>
          </w:tcPr>
          <w:p w:rsidR="00BA7828" w:rsidRPr="00465B38" w:rsidRDefault="00BA7828" w:rsidP="00D45041">
            <w:pPr>
              <w:jc w:val="right"/>
              <w:rPr>
                <w:sz w:val="20"/>
                <w:szCs w:val="18"/>
                <w:lang w:val="es-CL"/>
              </w:rPr>
            </w:pPr>
            <w:r w:rsidRPr="00465B38">
              <w:rPr>
                <w:sz w:val="20"/>
                <w:szCs w:val="18"/>
                <w:lang w:val="es-CL"/>
              </w:rPr>
              <w:t>54,0</w:t>
            </w:r>
          </w:p>
        </w:tc>
        <w:tc>
          <w:tcPr>
            <w:tcW w:w="0" w:type="auto"/>
            <w:tcBorders>
              <w:top w:val="single" w:sz="4" w:space="0" w:color="auto"/>
            </w:tcBorders>
          </w:tcPr>
          <w:p w:rsidR="00BA7828" w:rsidRPr="00465B38" w:rsidRDefault="00BA7828" w:rsidP="00D45041">
            <w:pPr>
              <w:jc w:val="right"/>
              <w:rPr>
                <w:sz w:val="20"/>
                <w:szCs w:val="18"/>
                <w:lang w:val="es-CL"/>
              </w:rPr>
            </w:pPr>
            <w:r w:rsidRPr="00465B38">
              <w:rPr>
                <w:sz w:val="20"/>
                <w:szCs w:val="18"/>
                <w:lang w:val="es-CL"/>
              </w:rPr>
              <w:t>52,0</w:t>
            </w:r>
          </w:p>
        </w:tc>
        <w:tc>
          <w:tcPr>
            <w:tcW w:w="0" w:type="auto"/>
            <w:tcBorders>
              <w:top w:val="single" w:sz="4" w:space="0" w:color="auto"/>
            </w:tcBorders>
          </w:tcPr>
          <w:p w:rsidR="00BA7828" w:rsidRPr="00465B38" w:rsidRDefault="00BA7828" w:rsidP="00D45041">
            <w:pPr>
              <w:jc w:val="right"/>
              <w:rPr>
                <w:sz w:val="20"/>
                <w:szCs w:val="18"/>
                <w:lang w:val="es-CL"/>
              </w:rPr>
            </w:pPr>
            <w:r w:rsidRPr="00465B38">
              <w:rPr>
                <w:sz w:val="20"/>
                <w:szCs w:val="18"/>
                <w:lang w:val="es-CL"/>
              </w:rPr>
              <w:t>50,0</w:t>
            </w:r>
          </w:p>
        </w:tc>
      </w:tr>
      <w:tr w:rsidR="00AC3E44" w:rsidRPr="00465B38" w:rsidTr="00DB37E3">
        <w:trPr>
          <w:jc w:val="right"/>
        </w:trPr>
        <w:tc>
          <w:tcPr>
            <w:tcW w:w="5407" w:type="dxa"/>
            <w:tcBorders>
              <w:bottom w:val="single" w:sz="4" w:space="0" w:color="auto"/>
            </w:tcBorders>
          </w:tcPr>
          <w:p w:rsidR="00AC3E44" w:rsidRPr="00465B38" w:rsidRDefault="00AC3E44" w:rsidP="006D5597">
            <w:pPr>
              <w:tabs>
                <w:tab w:val="left" w:pos="435"/>
              </w:tabs>
              <w:ind w:left="426" w:hanging="426"/>
              <w:rPr>
                <w:sz w:val="20"/>
                <w:szCs w:val="18"/>
                <w:lang w:val="es-CL"/>
              </w:rPr>
            </w:pPr>
            <w:r w:rsidRPr="00465B38">
              <w:rPr>
                <w:sz w:val="20"/>
                <w:szCs w:val="18"/>
                <w:lang w:val="es-ES_tradnl"/>
              </w:rPr>
              <w:t>I.2.</w:t>
            </w:r>
            <w:r w:rsidRPr="00465B38">
              <w:rPr>
                <w:sz w:val="20"/>
                <w:szCs w:val="18"/>
                <w:lang w:val="es-ES_tradnl"/>
              </w:rPr>
              <w:tab/>
              <w:t>Montos ingresados en el Tesoro sobre el total de montos involucrados en todas las acciones Estado demandante</w:t>
            </w:r>
          </w:p>
        </w:tc>
        <w:tc>
          <w:tcPr>
            <w:tcW w:w="0" w:type="auto"/>
            <w:tcBorders>
              <w:bottom w:val="single" w:sz="4" w:space="0" w:color="auto"/>
            </w:tcBorders>
          </w:tcPr>
          <w:p w:rsidR="00AC3E44" w:rsidRPr="00465B38" w:rsidRDefault="00AC3E44" w:rsidP="00AC3E44">
            <w:pPr>
              <w:rPr>
                <w:sz w:val="20"/>
                <w:szCs w:val="18"/>
                <w:lang w:val="es-CL"/>
              </w:rPr>
            </w:pPr>
            <w:r>
              <w:rPr>
                <w:sz w:val="20"/>
                <w:szCs w:val="18"/>
                <w:lang w:val="es-CL"/>
              </w:rPr>
              <w:t>% anual</w:t>
            </w:r>
          </w:p>
        </w:tc>
        <w:tc>
          <w:tcPr>
            <w:tcW w:w="0" w:type="auto"/>
            <w:tcBorders>
              <w:bottom w:val="single" w:sz="4" w:space="0" w:color="auto"/>
            </w:tcBorders>
          </w:tcPr>
          <w:p w:rsidR="00AC3E44" w:rsidRPr="00465B38" w:rsidRDefault="00AC3E44" w:rsidP="00D45041">
            <w:pPr>
              <w:jc w:val="right"/>
              <w:rPr>
                <w:sz w:val="20"/>
                <w:szCs w:val="18"/>
                <w:lang w:val="es-CL"/>
              </w:rPr>
            </w:pPr>
            <w:r w:rsidRPr="00465B38">
              <w:rPr>
                <w:sz w:val="20"/>
                <w:szCs w:val="18"/>
                <w:lang w:val="es-CL"/>
              </w:rPr>
              <w:t>4,8</w:t>
            </w:r>
          </w:p>
        </w:tc>
        <w:tc>
          <w:tcPr>
            <w:tcW w:w="0" w:type="auto"/>
            <w:tcBorders>
              <w:bottom w:val="single" w:sz="4" w:space="0" w:color="auto"/>
            </w:tcBorders>
          </w:tcPr>
          <w:p w:rsidR="00AC3E44" w:rsidRPr="00465B38" w:rsidRDefault="00AC3E44" w:rsidP="00D45041">
            <w:pPr>
              <w:jc w:val="right"/>
              <w:rPr>
                <w:sz w:val="20"/>
                <w:szCs w:val="18"/>
                <w:lang w:val="es-CL"/>
              </w:rPr>
            </w:pPr>
            <w:r w:rsidRPr="00465B38">
              <w:rPr>
                <w:sz w:val="20"/>
                <w:szCs w:val="18"/>
                <w:lang w:val="es-CL"/>
              </w:rPr>
              <w:t>9,0</w:t>
            </w:r>
          </w:p>
        </w:tc>
        <w:tc>
          <w:tcPr>
            <w:tcW w:w="0" w:type="auto"/>
            <w:tcBorders>
              <w:bottom w:val="single" w:sz="4" w:space="0" w:color="auto"/>
            </w:tcBorders>
          </w:tcPr>
          <w:p w:rsidR="00AC3E44" w:rsidRPr="00465B38" w:rsidRDefault="00AC3E44" w:rsidP="00D45041">
            <w:pPr>
              <w:jc w:val="right"/>
              <w:rPr>
                <w:sz w:val="20"/>
                <w:szCs w:val="18"/>
                <w:lang w:val="es-CL"/>
              </w:rPr>
            </w:pPr>
            <w:r w:rsidRPr="00465B38">
              <w:rPr>
                <w:sz w:val="20"/>
                <w:szCs w:val="18"/>
                <w:lang w:val="es-CL"/>
              </w:rPr>
              <w:t>13,5</w:t>
            </w:r>
          </w:p>
        </w:tc>
      </w:tr>
    </w:tbl>
    <w:p w:rsidR="000B275B" w:rsidRDefault="000B275B" w:rsidP="00D85F7B">
      <w:pPr>
        <w:pStyle w:val="ListParagraph"/>
        <w:ind w:left="360"/>
      </w:pPr>
    </w:p>
    <w:p w:rsidR="000E7D60" w:rsidRPr="00657757" w:rsidRDefault="000E7D60" w:rsidP="000E7D60">
      <w:pPr>
        <w:pStyle w:val="ListParagraph"/>
        <w:numPr>
          <w:ilvl w:val="0"/>
          <w:numId w:val="14"/>
        </w:numPr>
        <w:ind w:left="567" w:hanging="567"/>
      </w:pPr>
      <w:r w:rsidRPr="00657757">
        <w:rPr>
          <w:lang w:val="es-ES_tradnl"/>
        </w:rPr>
        <w:t>En la matriz de resultados</w:t>
      </w:r>
      <w:r w:rsidR="008D59A4" w:rsidRPr="00657757">
        <w:rPr>
          <w:lang w:val="es-ES_tradnl"/>
        </w:rPr>
        <w:t>,</w:t>
      </w:r>
      <w:r w:rsidRPr="00657757">
        <w:rPr>
          <w:lang w:val="es-ES_tradnl"/>
        </w:rPr>
        <w:t xml:space="preserve"> este indicador está expresado en términos relativos (</w:t>
      </w:r>
      <w:r w:rsidR="00706E05" w:rsidRPr="00657757">
        <w:rPr>
          <w:lang w:val="es-ES_tradnl"/>
        </w:rPr>
        <w:t>ratio anual, en porcentaje</w:t>
      </w:r>
      <w:r w:rsidRPr="00657757">
        <w:rPr>
          <w:lang w:val="es-ES_tradnl"/>
        </w:rPr>
        <w:t xml:space="preserve">), aunque sería susceptible de ser monetizado si se conocieran las magnitudes de referencia, en especial el monto de las pretensiones en los juicios contra el Fisco. Sin embargo, este dato no está disponible </w:t>
      </w:r>
      <w:r w:rsidR="008B4D4C" w:rsidRPr="00657757">
        <w:rPr>
          <w:lang w:val="es-ES_tradnl"/>
        </w:rPr>
        <w:t>en</w:t>
      </w:r>
      <w:r w:rsidRPr="00657757">
        <w:rPr>
          <w:lang w:val="es-ES_tradnl"/>
        </w:rPr>
        <w:t xml:space="preserve"> los sistemas de gestión de la AGU, por lo que </w:t>
      </w:r>
      <w:r w:rsidR="008B4D4C" w:rsidRPr="00657757">
        <w:rPr>
          <w:lang w:val="es-ES_tradnl"/>
        </w:rPr>
        <w:t xml:space="preserve">para calcular la tasa </w:t>
      </w:r>
      <w:r w:rsidRPr="00657757">
        <w:rPr>
          <w:lang w:val="es-ES_tradnl"/>
        </w:rPr>
        <w:t xml:space="preserve">se tuvo que recurrir a un análisis de una muestra </w:t>
      </w:r>
      <w:r w:rsidR="008B4D4C" w:rsidRPr="00657757">
        <w:rPr>
          <w:lang w:val="es-ES_tradnl"/>
        </w:rPr>
        <w:t xml:space="preserve">simple y sistemática </w:t>
      </w:r>
      <w:r w:rsidRPr="00657757">
        <w:rPr>
          <w:lang w:val="es-ES_tradnl"/>
        </w:rPr>
        <w:t xml:space="preserve">de 400 sentencias judiciales que fueron peritadas por el Departamento de Cálculos y Pericias de la Procuraduría General de la Unión (PGU) </w:t>
      </w:r>
      <w:r w:rsidR="008B4D4C" w:rsidRPr="00657757">
        <w:rPr>
          <w:lang w:val="es-ES_tradnl"/>
        </w:rPr>
        <w:t>y</w:t>
      </w:r>
      <w:r w:rsidRPr="00657757">
        <w:rPr>
          <w:lang w:val="es-ES_tradnl"/>
        </w:rPr>
        <w:t xml:space="preserve"> registrada</w:t>
      </w:r>
      <w:r w:rsidR="008B4D4C" w:rsidRPr="00657757">
        <w:rPr>
          <w:lang w:val="es-ES_tradnl"/>
        </w:rPr>
        <w:t>s</w:t>
      </w:r>
      <w:r w:rsidRPr="00657757">
        <w:rPr>
          <w:lang w:val="es-ES_tradnl"/>
        </w:rPr>
        <w:t xml:space="preserve"> en su base de datos.</w:t>
      </w:r>
      <w:r w:rsidR="00706E05" w:rsidRPr="00CF2FEC">
        <w:rPr>
          <w:rStyle w:val="FootnoteReference"/>
          <w:rFonts w:ascii="Times New Roman" w:hAnsi="Times New Roman"/>
          <w:lang w:val="es-ES_tradnl"/>
        </w:rPr>
        <w:footnoteReference w:id="3"/>
      </w:r>
      <w:r w:rsidR="008B4D4C" w:rsidRPr="00657757">
        <w:rPr>
          <w:lang w:val="es-ES_tradnl"/>
        </w:rPr>
        <w:t xml:space="preserve"> Por tanto, se desconoce el valor </w:t>
      </w:r>
      <w:r w:rsidR="00564391" w:rsidRPr="00657757">
        <w:rPr>
          <w:lang w:val="es-ES_tradnl"/>
        </w:rPr>
        <w:t>monetario</w:t>
      </w:r>
      <w:r w:rsidR="008B4D4C" w:rsidRPr="00657757">
        <w:rPr>
          <w:lang w:val="es-ES_tradnl"/>
        </w:rPr>
        <w:t xml:space="preserve"> de la base y en consecuencia su monetización es imposible</w:t>
      </w:r>
      <w:r w:rsidR="008B4D4C" w:rsidRPr="00CF2FEC">
        <w:rPr>
          <w:rStyle w:val="FootnoteReference"/>
          <w:rFonts w:ascii="Times New Roman" w:hAnsi="Times New Roman"/>
          <w:lang w:val="es-ES_tradnl"/>
        </w:rPr>
        <w:footnoteReference w:id="4"/>
      </w:r>
      <w:r w:rsidR="008B4D4C" w:rsidRPr="00657757">
        <w:rPr>
          <w:lang w:val="es-ES_tradnl"/>
        </w:rPr>
        <w:t xml:space="preserve">. </w:t>
      </w:r>
      <w:r w:rsidR="00564391" w:rsidRPr="00657757">
        <w:rPr>
          <w:lang w:val="es-ES_tradnl"/>
        </w:rPr>
        <w:t>Es</w:t>
      </w:r>
      <w:r w:rsidR="008B4D4C" w:rsidRPr="00657757">
        <w:rPr>
          <w:lang w:val="es-ES_tradnl"/>
        </w:rPr>
        <w:t xml:space="preserve"> un indicador que debe ser rechazado para un análisis costo-beneficio. </w:t>
      </w:r>
    </w:p>
    <w:p w:rsidR="000E7D60" w:rsidRDefault="000E7D60" w:rsidP="000E7D60">
      <w:pPr>
        <w:pStyle w:val="ListParagraph"/>
      </w:pPr>
    </w:p>
    <w:p w:rsidR="008B2E3D" w:rsidRPr="008B2E3D" w:rsidRDefault="00232E0F" w:rsidP="00232E0F">
      <w:pPr>
        <w:pStyle w:val="ListParagraph"/>
        <w:numPr>
          <w:ilvl w:val="0"/>
          <w:numId w:val="14"/>
        </w:numPr>
        <w:ind w:left="567" w:hanging="567"/>
      </w:pPr>
      <w:r>
        <w:t xml:space="preserve">En cuanto al otro </w:t>
      </w:r>
      <w:r w:rsidRPr="00232E0F">
        <w:rPr>
          <w:lang w:val="es-ES_tradnl"/>
        </w:rPr>
        <w:t>indicador</w:t>
      </w:r>
      <w:r w:rsidR="004E6F4E">
        <w:rPr>
          <w:lang w:val="es-ES_tradnl"/>
        </w:rPr>
        <w:t xml:space="preserve"> de impacto</w:t>
      </w:r>
      <w:r>
        <w:t xml:space="preserve">, </w:t>
      </w:r>
      <w:r w:rsidR="004E6F4E">
        <w:t>é</w:t>
      </w:r>
      <w:r w:rsidR="008B2E3D">
        <w:t xml:space="preserve">ste </w:t>
      </w:r>
      <w:r w:rsidR="004E6F4E">
        <w:t xml:space="preserve">es </w:t>
      </w:r>
      <w:r w:rsidR="008B2E3D">
        <w:t xml:space="preserve">también una ratio que relaciona los montos </w:t>
      </w:r>
      <w:r w:rsidR="008B2E3D" w:rsidRPr="008B2E3D">
        <w:rPr>
          <w:lang w:val="es-ES_tradnl"/>
        </w:rPr>
        <w:t xml:space="preserve">ingresados </w:t>
      </w:r>
      <w:r w:rsidR="00C83003">
        <w:rPr>
          <w:lang w:val="es-ES_tradnl"/>
        </w:rPr>
        <w:t xml:space="preserve">(MI) </w:t>
      </w:r>
      <w:r w:rsidR="008B2E3D" w:rsidRPr="008B2E3D">
        <w:rPr>
          <w:lang w:val="es-ES_tradnl"/>
        </w:rPr>
        <w:t>en el Tesoro sobre el total de montos involucrados en todas las acciones Estado demandante</w:t>
      </w:r>
      <w:r w:rsidR="008B2E3D">
        <w:rPr>
          <w:lang w:val="es-ES_tradnl"/>
        </w:rPr>
        <w:t xml:space="preserve"> (en porcentaje anual)</w:t>
      </w:r>
      <w:r w:rsidR="00C83003">
        <w:rPr>
          <w:lang w:val="es-ES_tradnl"/>
        </w:rPr>
        <w:t xml:space="preserve">. </w:t>
      </w:r>
    </w:p>
    <w:p w:rsidR="008B2E3D" w:rsidRPr="008B2E3D" w:rsidRDefault="008B2E3D" w:rsidP="008B2E3D">
      <w:pPr>
        <w:pStyle w:val="ListParagraph"/>
        <w:rPr>
          <w:lang w:val="es-ES_tradnl"/>
        </w:rPr>
      </w:pPr>
    </w:p>
    <w:p w:rsidR="008B2E3D" w:rsidRPr="002F6027" w:rsidRDefault="00C83003" w:rsidP="008B2E3D">
      <w:pPr>
        <w:pStyle w:val="ListParagraph"/>
        <w:ind w:left="567"/>
        <w:rPr>
          <w:lang w:val="es-ES_tradnl"/>
        </w:rPr>
      </w:pPr>
      <m:oMathPara>
        <m:oMath>
          <m:r>
            <w:rPr>
              <w:rFonts w:ascii="Cambria Math" w:hAnsi="Cambria Math"/>
            </w:rPr>
            <m:t>MI</m:t>
          </m:r>
          <m:r>
            <w:rPr>
              <w:rFonts w:ascii="Cambria Math" w:hAnsi="Cambria Math"/>
              <w:lang w:val="es-ES_tradnl"/>
            </w:rPr>
            <m:t>=100*</m:t>
          </m:r>
          <m:f>
            <m:fPr>
              <m:ctrlPr>
                <w:rPr>
                  <w:rFonts w:ascii="Cambria Math" w:hAnsi="Cambria Math"/>
                  <w:i/>
                </w:rPr>
              </m:ctrlPr>
            </m:fPr>
            <m:num>
              <m:r>
                <w:rPr>
                  <w:rFonts w:ascii="Cambria Math" w:hAnsi="Cambria Math"/>
                </w:rPr>
                <m:t>MCt</m:t>
              </m:r>
              <m:r>
                <w:rPr>
                  <w:rFonts w:ascii="Cambria Math" w:hAnsi="Cambria Math"/>
                  <w:lang w:val="es-ES_tradnl"/>
                </w:rPr>
                <m:t>+</m:t>
              </m:r>
              <m:r>
                <w:rPr>
                  <w:rFonts w:ascii="Cambria Math" w:hAnsi="Cambria Math"/>
                </w:rPr>
                <m:t>MPRt</m:t>
              </m:r>
            </m:num>
            <m:den>
              <m:nary>
                <m:naryPr>
                  <m:chr m:val="∑"/>
                  <m:limLoc m:val="undOvr"/>
                  <m:ctrlPr>
                    <w:rPr>
                      <w:rFonts w:ascii="Cambria Math" w:hAnsi="Cambria Math"/>
                    </w:rPr>
                  </m:ctrlPr>
                </m:naryPr>
                <m:sub>
                  <m:r>
                    <w:rPr>
                      <w:rFonts w:ascii="Cambria Math" w:hAnsi="Cambria Math"/>
                    </w:rPr>
                    <m:t>i</m:t>
                  </m:r>
                  <m:r>
                    <w:rPr>
                      <w:rFonts w:ascii="Cambria Math" w:hAnsi="Cambria Math"/>
                      <w:lang w:val="es-ES_tradnl"/>
                    </w:rPr>
                    <m:t>=0</m:t>
                  </m:r>
                </m:sub>
                <m:sup>
                  <m:r>
                    <w:rPr>
                      <w:rFonts w:ascii="Cambria Math" w:hAnsi="Cambria Math"/>
                    </w:rPr>
                    <m:t>t</m:t>
                  </m:r>
                </m:sup>
                <m:e>
                  <m:r>
                    <w:rPr>
                      <w:rFonts w:ascii="Cambria Math" w:hAnsi="Cambria Math"/>
                      <w:lang w:val="es-ES_tradnl"/>
                    </w:rPr>
                    <m:t xml:space="preserve"> (</m:t>
                  </m:r>
                  <m:r>
                    <w:rPr>
                      <w:rFonts w:ascii="Cambria Math" w:hAnsi="Cambria Math"/>
                    </w:rPr>
                    <m:t>MCAi</m:t>
                  </m:r>
                  <m:r>
                    <w:rPr>
                      <w:rFonts w:ascii="Cambria Math" w:hAnsi="Cambria Math"/>
                      <w:lang w:val="es-ES_tradnl"/>
                    </w:rPr>
                    <m:t>+</m:t>
                  </m:r>
                  <m:r>
                    <w:rPr>
                      <w:rFonts w:ascii="Cambria Math" w:hAnsi="Cambria Math"/>
                    </w:rPr>
                    <m:t>MPi</m:t>
                  </m:r>
                  <m:r>
                    <w:rPr>
                      <w:rFonts w:ascii="Cambria Math" w:hAnsi="Cambria Math"/>
                      <w:lang w:val="es-ES_tradnl"/>
                    </w:rPr>
                    <m:t>)</m:t>
                  </m:r>
                </m:e>
              </m:nary>
            </m:den>
          </m:f>
        </m:oMath>
      </m:oMathPara>
    </w:p>
    <w:p w:rsidR="008B2E3D" w:rsidRPr="002F6027" w:rsidRDefault="008B2E3D" w:rsidP="008B2E3D">
      <w:pPr>
        <w:pStyle w:val="ListParagraph"/>
        <w:rPr>
          <w:lang w:val="es-ES_tradnl"/>
        </w:rPr>
      </w:pPr>
    </w:p>
    <w:p w:rsidR="00C83003" w:rsidRDefault="00C83003" w:rsidP="00C83003">
      <w:pPr>
        <w:pStyle w:val="ListParagraph"/>
        <w:ind w:left="1418"/>
        <w:rPr>
          <w:lang w:val="es-ES_tradnl"/>
        </w:rPr>
      </w:pPr>
      <w:r>
        <w:rPr>
          <w:lang w:val="es-ES_tradnl"/>
        </w:rPr>
        <w:t>Donde MI = montos ingresados</w:t>
      </w:r>
    </w:p>
    <w:p w:rsidR="00C83003" w:rsidRDefault="00C83003" w:rsidP="00C83003">
      <w:pPr>
        <w:pStyle w:val="ListParagraph"/>
        <w:ind w:left="1418"/>
        <w:rPr>
          <w:lang w:val="es-ES_tradnl"/>
        </w:rPr>
      </w:pPr>
      <w:r>
        <w:rPr>
          <w:lang w:val="es-ES_tradnl"/>
        </w:rPr>
        <w:t>MC = Montos de crédito activo ingresados en el año t</w:t>
      </w:r>
    </w:p>
    <w:p w:rsidR="00C83003" w:rsidRDefault="00C83003" w:rsidP="00C83003">
      <w:pPr>
        <w:pStyle w:val="ListParagraph"/>
        <w:ind w:left="1418"/>
        <w:rPr>
          <w:lang w:val="es-ES_tradnl"/>
        </w:rPr>
      </w:pPr>
      <w:r>
        <w:rPr>
          <w:lang w:val="es-ES_tradnl"/>
        </w:rPr>
        <w:t>MPR = Montos patrimoniales recuperados en el año t</w:t>
      </w:r>
    </w:p>
    <w:p w:rsidR="00C83003" w:rsidRDefault="00C83003" w:rsidP="00C83003">
      <w:pPr>
        <w:pStyle w:val="ListParagraph"/>
        <w:ind w:left="1418"/>
        <w:rPr>
          <w:lang w:val="es-ES_tradnl"/>
        </w:rPr>
      </w:pPr>
      <w:r>
        <w:rPr>
          <w:lang w:val="es-ES_tradnl"/>
        </w:rPr>
        <w:t>MCA = Montos totales registrados en el Sistema de Deuda Activa</w:t>
      </w:r>
    </w:p>
    <w:p w:rsidR="00C83003" w:rsidRDefault="00C83003" w:rsidP="00C83003">
      <w:pPr>
        <w:pStyle w:val="ListParagraph"/>
        <w:ind w:left="1418"/>
        <w:rPr>
          <w:lang w:val="es-ES_tradnl"/>
        </w:rPr>
      </w:pPr>
      <w:r>
        <w:rPr>
          <w:lang w:val="es-ES_tradnl"/>
        </w:rPr>
        <w:t xml:space="preserve">MP = </w:t>
      </w:r>
      <w:r w:rsidR="00EC6EDC">
        <w:rPr>
          <w:lang w:val="es-ES_tradnl"/>
        </w:rPr>
        <w:t>Montos totales patrimoniales pendientes de recuperación</w:t>
      </w:r>
    </w:p>
    <w:p w:rsidR="00C83003" w:rsidRPr="008B2E3D" w:rsidRDefault="00C83003" w:rsidP="00C83003">
      <w:pPr>
        <w:pStyle w:val="ListParagraph"/>
        <w:ind w:left="1418"/>
        <w:rPr>
          <w:lang w:val="es-ES_tradnl"/>
        </w:rPr>
      </w:pPr>
    </w:p>
    <w:p w:rsidR="000E7D60" w:rsidRDefault="008B2E3D" w:rsidP="00232E0F">
      <w:pPr>
        <w:pStyle w:val="ListParagraph"/>
        <w:numPr>
          <w:ilvl w:val="0"/>
          <w:numId w:val="14"/>
        </w:numPr>
        <w:ind w:left="567" w:hanging="567"/>
      </w:pPr>
      <w:r>
        <w:rPr>
          <w:lang w:val="es-ES_tradnl"/>
        </w:rPr>
        <w:t xml:space="preserve">Los montos </w:t>
      </w:r>
      <w:r w:rsidR="002F6027">
        <w:rPr>
          <w:lang w:val="es-ES_tradnl"/>
        </w:rPr>
        <w:t>ingresados proceden</w:t>
      </w:r>
      <w:r>
        <w:rPr>
          <w:lang w:val="es-ES_tradnl"/>
        </w:rPr>
        <w:t xml:space="preserve"> de los créditos activos y de las recuperaciones patrimoniales. En el caso de los montos de los créditos, </w:t>
      </w:r>
      <w:r w:rsidR="002F6027">
        <w:rPr>
          <w:lang w:val="es-ES_tradnl"/>
        </w:rPr>
        <w:t>la</w:t>
      </w:r>
      <w:r>
        <w:rPr>
          <w:lang w:val="es-ES_tradnl"/>
        </w:rPr>
        <w:t xml:space="preserve"> información está disponible en el Sistema de Deuda Activa de la PGF, aunque limitada a las 19 grandes agencias y fundaciones, que acaparan la gran mayoría de los créditos activos. </w:t>
      </w:r>
      <w:r w:rsidR="002F6027">
        <w:rPr>
          <w:lang w:val="es-ES_tradnl"/>
        </w:rPr>
        <w:t xml:space="preserve">El órgano responsable de su cobranza es la PGF. Los montos de las recuperaciones proceden de la base de datos de los procesos resueltos por el Tribunal de Cuentas del Estado y que la PGU debe recuperar. </w:t>
      </w:r>
    </w:p>
    <w:p w:rsidR="000E7D60" w:rsidRDefault="000E7D60" w:rsidP="000E7D60">
      <w:pPr>
        <w:pStyle w:val="ListParagraph"/>
        <w:ind w:left="360"/>
      </w:pPr>
    </w:p>
    <w:p w:rsidR="00D45041" w:rsidRDefault="004E6F4E" w:rsidP="004E6F4E">
      <w:pPr>
        <w:pStyle w:val="ListParagraph"/>
        <w:numPr>
          <w:ilvl w:val="0"/>
          <w:numId w:val="14"/>
        </w:numPr>
        <w:ind w:left="567" w:hanging="567"/>
      </w:pPr>
      <w:r>
        <w:lastRenderedPageBreak/>
        <w:t xml:space="preserve">Este indicador de impacto, </w:t>
      </w:r>
      <w:r w:rsidRPr="004E6F4E">
        <w:rPr>
          <w:lang w:val="es-ES_tradnl"/>
        </w:rPr>
        <w:t>compuesto</w:t>
      </w:r>
      <w:r>
        <w:t xml:space="preserve"> de montos de deuda activa y de recuperación patrimonial es susceptible de ser monetizado en términos de beneficios esperados por el proyecto (ingresos y recaudación), por lo que es finalmente seleccionado para entrar en un análisis costo-beneficio.</w:t>
      </w:r>
    </w:p>
    <w:p w:rsidR="00D45041" w:rsidRDefault="00D45041" w:rsidP="00D85F7B">
      <w:pPr>
        <w:pStyle w:val="ListParagraph"/>
        <w:ind w:left="360"/>
      </w:pPr>
    </w:p>
    <w:p w:rsidR="00BA7828" w:rsidRDefault="00BA7828" w:rsidP="00D85F7B">
      <w:pPr>
        <w:pStyle w:val="ListParagraph"/>
        <w:ind w:left="360"/>
      </w:pPr>
    </w:p>
    <w:p w:rsidR="000B275B" w:rsidRDefault="000C7499" w:rsidP="00180945">
      <w:pPr>
        <w:pStyle w:val="Heading2"/>
      </w:pPr>
      <w:bookmarkStart w:id="11" w:name="_Toc303885503"/>
      <w:bookmarkStart w:id="12" w:name="_Toc298005483"/>
      <w:r>
        <w:t>Tipo de análisis</w:t>
      </w:r>
      <w:r w:rsidR="001A0694">
        <w:t xml:space="preserve"> aplicado para la valoración económica</w:t>
      </w:r>
      <w:bookmarkEnd w:id="11"/>
      <w:bookmarkEnd w:id="12"/>
    </w:p>
    <w:p w:rsidR="0002292D" w:rsidRPr="0002292D" w:rsidRDefault="004E6F4E" w:rsidP="0002292D">
      <w:pPr>
        <w:pStyle w:val="ListParagraph"/>
        <w:numPr>
          <w:ilvl w:val="0"/>
          <w:numId w:val="14"/>
        </w:numPr>
        <w:ind w:left="567" w:hanging="567"/>
      </w:pPr>
      <w:r>
        <w:t xml:space="preserve">Dado que los impactos o beneficios que se deducen de la matriz de resultados son </w:t>
      </w:r>
      <w:proofErr w:type="spellStart"/>
      <w:r>
        <w:t>monetizables</w:t>
      </w:r>
      <w:proofErr w:type="spellEnd"/>
      <w:r>
        <w:t>, p</w:t>
      </w:r>
      <w:r w:rsidR="0002292D" w:rsidRPr="00985AF9">
        <w:t>ara la valoración económica del programa se ha recurrido al análisis costo-beneficio</w:t>
      </w:r>
      <w:r w:rsidR="00DB37E3">
        <w:t xml:space="preserve"> (ACB)</w:t>
      </w:r>
      <w:r>
        <w:t>.</w:t>
      </w:r>
      <w:r w:rsidR="0002292D" w:rsidRPr="00985AF9">
        <w:t xml:space="preserve"> Este método compara el valor de los costos (inversiones y otros gastos</w:t>
      </w:r>
      <w:r w:rsidR="000C7499">
        <w:t xml:space="preserve"> vinculados</w:t>
      </w:r>
      <w:r w:rsidR="0002292D" w:rsidRPr="00985AF9">
        <w:t xml:space="preserve">) con el valor presente neto (VPN) de los flujos de los beneficios estimados por el programa. Si la diferencia de los beneficios descontados y los costos es positiva, entonces el programa tiene viabilidad económica y es eficiente. Por el contrario, es ineficiente en el caso de que la diferencia sea negativa. </w:t>
      </w:r>
      <w:r w:rsidR="0002292D" w:rsidRPr="0002292D">
        <w:t xml:space="preserve">Sin embargo, el hecho de que la opción evaluada sea </w:t>
      </w:r>
      <w:r w:rsidR="0002292D" w:rsidRPr="00952717">
        <w:rPr>
          <w:i/>
        </w:rPr>
        <w:t>per se</w:t>
      </w:r>
      <w:r w:rsidR="0002292D" w:rsidRPr="0002292D">
        <w:t xml:space="preserve"> eficiente no cabe concluir que sea necesariamente la mejor y, por tanto, la elegible. Pueden existir otras opciones que deberían ser sometidas al mismo procedimiento de evaluación que la opción inicialmente considerada. Sólo bajo estas condiciones de comparación de un amplio rango de opciones debe operar el análisis costo-beneficio.</w:t>
      </w:r>
    </w:p>
    <w:p w:rsidR="0002292D" w:rsidRDefault="0002292D" w:rsidP="0002292D">
      <w:pPr>
        <w:pStyle w:val="ListParagraph"/>
        <w:rPr>
          <w:sz w:val="24"/>
          <w:szCs w:val="24"/>
        </w:rPr>
      </w:pPr>
    </w:p>
    <w:p w:rsidR="0002292D" w:rsidRPr="00657757" w:rsidRDefault="0002292D" w:rsidP="0002292D">
      <w:pPr>
        <w:pStyle w:val="ListParagraph"/>
        <w:numPr>
          <w:ilvl w:val="0"/>
          <w:numId w:val="14"/>
        </w:numPr>
        <w:ind w:left="567" w:hanging="567"/>
      </w:pPr>
      <w:r w:rsidRPr="00657757">
        <w:t xml:space="preserve">Estas consideraciones llevan a establecer las siguientes reglas decisionales: (i) nunca debe ser admitida una opción </w:t>
      </w:r>
      <w:r w:rsidR="00843C83" w:rsidRPr="00657757">
        <w:t>cuando el valor presente neto de los beneficios (VPB) menos el valor presente de los costos (VPC)</w:t>
      </w:r>
      <w:r w:rsidRPr="00657757">
        <w:t xml:space="preserve"> sea negativo</w:t>
      </w:r>
      <w:r w:rsidR="00281C0D" w:rsidRPr="00657757">
        <w:t xml:space="preserve"> (NPV =</w:t>
      </w:r>
      <w:r w:rsidR="00843C83" w:rsidRPr="00657757">
        <w:t xml:space="preserve"> NPB – NPC</w:t>
      </w:r>
      <w:r w:rsidR="00281C0D" w:rsidRPr="00657757">
        <w:t xml:space="preserve"> &gt; 0</w:t>
      </w:r>
      <w:r w:rsidR="00843C83" w:rsidRPr="00657757">
        <w:t>)</w:t>
      </w:r>
      <w:r w:rsidRPr="00657757">
        <w:t>; (ii) en el caso de restricciones presupuestarias, seleccionar el subconjunto de opciones que maximizan el VPN; y (iii) en el caso de opciones mutuamente excluyentes, elegir la que maximice el VPN.</w:t>
      </w:r>
      <w:r w:rsidR="00843C83" w:rsidRPr="00CF2FEC">
        <w:rPr>
          <w:rStyle w:val="FootnoteReference"/>
          <w:rFonts w:ascii="Times New Roman" w:hAnsi="Times New Roman"/>
        </w:rPr>
        <w:footnoteReference w:id="5"/>
      </w:r>
    </w:p>
    <w:p w:rsidR="0002292D" w:rsidRDefault="0002292D" w:rsidP="00D85F7B">
      <w:pPr>
        <w:pStyle w:val="ListParagraph"/>
        <w:ind w:left="360"/>
      </w:pPr>
    </w:p>
    <w:p w:rsidR="001A0694" w:rsidRDefault="001A0694" w:rsidP="00D85F7B">
      <w:pPr>
        <w:pStyle w:val="ListParagraph"/>
        <w:ind w:left="360"/>
      </w:pPr>
    </w:p>
    <w:p w:rsidR="0002292D" w:rsidRDefault="00C94D54" w:rsidP="0002292D">
      <w:pPr>
        <w:pStyle w:val="Heading1"/>
      </w:pPr>
      <w:bookmarkStart w:id="13" w:name="_Toc303885504"/>
      <w:bookmarkStart w:id="14" w:name="_Toc298005484"/>
      <w:r>
        <w:t>Supuestos y metodología</w:t>
      </w:r>
      <w:bookmarkEnd w:id="13"/>
      <w:bookmarkEnd w:id="14"/>
    </w:p>
    <w:p w:rsidR="00281C0D" w:rsidRDefault="00281C0D" w:rsidP="00180945">
      <w:pPr>
        <w:pStyle w:val="Heading2"/>
      </w:pPr>
      <w:bookmarkStart w:id="15" w:name="_Toc303885505"/>
      <w:bookmarkStart w:id="16" w:name="_Toc298005485"/>
      <w:r>
        <w:t>Alternativas consideradas</w:t>
      </w:r>
      <w:bookmarkEnd w:id="15"/>
      <w:bookmarkEnd w:id="16"/>
    </w:p>
    <w:p w:rsidR="001F4D8B" w:rsidRDefault="003008A8" w:rsidP="00C063A2">
      <w:pPr>
        <w:pStyle w:val="ListParagraph"/>
        <w:numPr>
          <w:ilvl w:val="0"/>
          <w:numId w:val="14"/>
        </w:numPr>
        <w:ind w:left="567" w:hanging="567"/>
      </w:pPr>
      <w:r>
        <w:t xml:space="preserve">La Abogacía General de la Unión </w:t>
      </w:r>
      <w:r w:rsidR="00C063A2">
        <w:t xml:space="preserve">(AGU) </w:t>
      </w:r>
      <w:r w:rsidR="0096179F">
        <w:t>ha</w:t>
      </w:r>
      <w:r>
        <w:t xml:space="preserve"> acometido en los últimos años diversas tentativas de mejorar la gestión, en especial, poniendo énfasis en lo que serían los aspectos relacionados con</w:t>
      </w:r>
      <w:r w:rsidR="004E6F4E">
        <w:t>: (i)</w:t>
      </w:r>
      <w:r>
        <w:t xml:space="preserve"> la mejora de la </w:t>
      </w:r>
      <w:r w:rsidRPr="0096179F">
        <w:rPr>
          <w:i/>
        </w:rPr>
        <w:t>prevención</w:t>
      </w:r>
      <w:r>
        <w:t xml:space="preserve">, </w:t>
      </w:r>
      <w:r w:rsidR="00133645">
        <w:t>promoviendo</w:t>
      </w:r>
      <w:r>
        <w:t xml:space="preserve"> las funciones </w:t>
      </w:r>
      <w:r w:rsidR="004E6F4E">
        <w:t xml:space="preserve">de asesoramiento y consultoría </w:t>
      </w:r>
      <w:r w:rsidR="00C27C44">
        <w:t>en</w:t>
      </w:r>
      <w:r w:rsidR="004E6F4E">
        <w:t xml:space="preserve"> los ministerios, agencias y fundaciones; (ii) </w:t>
      </w:r>
      <w:r w:rsidR="00133645">
        <w:t xml:space="preserve">la mejora de la </w:t>
      </w:r>
      <w:r w:rsidR="00133645" w:rsidRPr="0096179F">
        <w:rPr>
          <w:i/>
        </w:rPr>
        <w:t>defensa</w:t>
      </w:r>
      <w:r w:rsidR="00133645">
        <w:t xml:space="preserve"> en tribunales, impulsando estrategias de defensa más certeras mediante una mejor gestión del conocimiento</w:t>
      </w:r>
      <w:r w:rsidR="00C27C44">
        <w:t xml:space="preserve"> y el cumplimiento cabal de los plazos procesales</w:t>
      </w:r>
      <w:r w:rsidR="00133645">
        <w:t xml:space="preserve">; </w:t>
      </w:r>
      <w:r w:rsidR="00661F5C">
        <w:t xml:space="preserve">(iii) el mejoramiento del </w:t>
      </w:r>
      <w:r w:rsidR="0096179F">
        <w:t xml:space="preserve">proceso de cobranza </w:t>
      </w:r>
      <w:r w:rsidR="00661F5C">
        <w:t>de la deuda de terceros con las agencias y empresas públicas,</w:t>
      </w:r>
      <w:r w:rsidR="00661F5C" w:rsidRPr="00661F5C">
        <w:t xml:space="preserve"> </w:t>
      </w:r>
      <w:r w:rsidR="00661F5C">
        <w:t>para lo cual se considera imprescindible mejorar el sistema de gestión de deuda activa; y (iv) el mejoramiento de la gestión de la</w:t>
      </w:r>
      <w:r w:rsidR="0096179F">
        <w:t xml:space="preserve"> recuperación patrimonial</w:t>
      </w:r>
      <w:r w:rsidR="00661F5C">
        <w:t>. Estos dos últimos aspectos de la cobranza y la recuperación serán objeto de atención en el análisis económico.</w:t>
      </w:r>
      <w:r w:rsidR="001F4D8B">
        <w:t xml:space="preserve"> </w:t>
      </w:r>
    </w:p>
    <w:p w:rsidR="001F4D8B" w:rsidRDefault="001F4D8B" w:rsidP="001F4D8B">
      <w:pPr>
        <w:pStyle w:val="ListParagraph"/>
        <w:ind w:left="567"/>
      </w:pPr>
    </w:p>
    <w:p w:rsidR="002A5670" w:rsidRDefault="00DB37E3" w:rsidP="0096179F">
      <w:pPr>
        <w:pStyle w:val="ListParagraph"/>
        <w:numPr>
          <w:ilvl w:val="0"/>
          <w:numId w:val="14"/>
        </w:numPr>
        <w:ind w:left="567" w:hanging="567"/>
      </w:pPr>
      <w:r>
        <w:t>Por tanto, parece razonable que la</w:t>
      </w:r>
      <w:r w:rsidR="004222A8">
        <w:t>s</w:t>
      </w:r>
      <w:r>
        <w:t xml:space="preserve"> alternativa</w:t>
      </w:r>
      <w:r w:rsidR="004222A8">
        <w:t>s</w:t>
      </w:r>
      <w:r>
        <w:t xml:space="preserve"> a considerar en el ACB a efectos comparativos sea</w:t>
      </w:r>
      <w:r w:rsidR="0015617B">
        <w:t>n</w:t>
      </w:r>
      <w:r>
        <w:t xml:space="preserve"> la</w:t>
      </w:r>
      <w:r w:rsidR="004222A8">
        <w:t>s</w:t>
      </w:r>
      <w:r>
        <w:t xml:space="preserve"> que se derive de </w:t>
      </w:r>
      <w:r w:rsidR="004222A8">
        <w:t>las</w:t>
      </w:r>
      <w:r w:rsidR="001F4D8B">
        <w:t xml:space="preserve">: </w:t>
      </w:r>
      <w:r w:rsidR="002A5670">
        <w:t>(i)</w:t>
      </w:r>
      <w:r w:rsidR="001F4D8B">
        <w:t xml:space="preserve"> acciones </w:t>
      </w:r>
      <w:r w:rsidR="002A5670">
        <w:t xml:space="preserve">por </w:t>
      </w:r>
      <w:r w:rsidR="002A5670" w:rsidRPr="002A5670">
        <w:rPr>
          <w:i/>
        </w:rPr>
        <w:t>iniciativa propia</w:t>
      </w:r>
      <w:r w:rsidR="002A5670">
        <w:t xml:space="preserve"> </w:t>
      </w:r>
      <w:r w:rsidR="001F4D8B">
        <w:t>en materia de cobranza y recuperación patrimonial</w:t>
      </w:r>
      <w:r w:rsidR="002A5670" w:rsidRPr="002A5670">
        <w:t>;</w:t>
      </w:r>
      <w:r w:rsidR="001F4D8B">
        <w:t xml:space="preserve"> y </w:t>
      </w:r>
      <w:r w:rsidR="002A5670">
        <w:t xml:space="preserve">(ii) </w:t>
      </w:r>
      <w:r w:rsidR="001F4D8B">
        <w:t xml:space="preserve">acciones </w:t>
      </w:r>
      <w:r w:rsidR="002A5670">
        <w:t xml:space="preserve">vinculadas al </w:t>
      </w:r>
      <w:r w:rsidR="002A5670" w:rsidRPr="00DB37E3">
        <w:rPr>
          <w:i/>
        </w:rPr>
        <w:t>programa BID</w:t>
      </w:r>
      <w:r w:rsidR="002A5670">
        <w:t xml:space="preserve"> en la misma área de cobranza y recuperación patrimonial. C</w:t>
      </w:r>
      <w:r w:rsidR="001F4D8B">
        <w:t>on el fin de facilitar la comprensión de estas dos alternativas, a continuación se expondrán</w:t>
      </w:r>
      <w:r w:rsidR="0096179F">
        <w:t xml:space="preserve"> </w:t>
      </w:r>
      <w:r w:rsidR="00613D8F">
        <w:t>las principales características de las mismas</w:t>
      </w:r>
      <w:r w:rsidR="0096179F">
        <w:t xml:space="preserve">. </w:t>
      </w:r>
    </w:p>
    <w:p w:rsidR="002A5670" w:rsidRDefault="002A5670" w:rsidP="002A5670">
      <w:pPr>
        <w:pStyle w:val="ListParagraph"/>
      </w:pPr>
    </w:p>
    <w:p w:rsidR="004222A8" w:rsidRPr="002B3067" w:rsidRDefault="00613D8F" w:rsidP="0096179F">
      <w:pPr>
        <w:pStyle w:val="ListParagraph"/>
        <w:numPr>
          <w:ilvl w:val="0"/>
          <w:numId w:val="14"/>
        </w:numPr>
        <w:ind w:left="567" w:hanging="567"/>
      </w:pPr>
      <w:r w:rsidRPr="00657757">
        <w:lastRenderedPageBreak/>
        <w:t xml:space="preserve">La </w:t>
      </w:r>
      <w:r w:rsidR="0096179F" w:rsidRPr="00657757">
        <w:t>primer</w:t>
      </w:r>
      <w:r w:rsidRPr="00657757">
        <w:t>a</w:t>
      </w:r>
      <w:r w:rsidR="0096179F" w:rsidRPr="002B3067">
        <w:t xml:space="preserve"> de ell</w:t>
      </w:r>
      <w:r w:rsidRPr="002B3067">
        <w:t>a</w:t>
      </w:r>
      <w:r w:rsidR="0096179F" w:rsidRPr="002B3067">
        <w:t xml:space="preserve">s es </w:t>
      </w:r>
      <w:r w:rsidRPr="002B3067">
        <w:t xml:space="preserve">la </w:t>
      </w:r>
      <w:r w:rsidR="0096179F" w:rsidRPr="002B3067">
        <w:t xml:space="preserve">resultante tras la implementación de las acciones </w:t>
      </w:r>
      <w:r w:rsidR="00D160BE" w:rsidRPr="002B3067">
        <w:t>del proyecto BID</w:t>
      </w:r>
      <w:r w:rsidR="004222A8" w:rsidRPr="002B3067">
        <w:t xml:space="preserve">, es decir, </w:t>
      </w:r>
      <w:r w:rsidRPr="002B3067">
        <w:t xml:space="preserve">la que refleja </w:t>
      </w:r>
      <w:r w:rsidR="004222A8" w:rsidRPr="002B3067">
        <w:t>los impactos derivados tras la ejecución de la totalidad de las actividades y productos previstos en los tres componentes</w:t>
      </w:r>
      <w:r w:rsidRPr="002B3067">
        <w:t xml:space="preserve"> del programa BID</w:t>
      </w:r>
      <w:r w:rsidR="00D160BE" w:rsidRPr="002B3067">
        <w:t xml:space="preserve">. </w:t>
      </w:r>
      <w:r w:rsidR="004222A8" w:rsidRPr="002B3067">
        <w:t>A este escenario se</w:t>
      </w:r>
      <w:r w:rsidR="00D160BE" w:rsidRPr="002B3067">
        <w:t xml:space="preserve"> le denominará </w:t>
      </w:r>
      <w:r w:rsidR="004222A8" w:rsidRPr="002B3067">
        <w:t xml:space="preserve">se le denominará </w:t>
      </w:r>
      <w:r w:rsidRPr="002B3067">
        <w:t xml:space="preserve">alternativa </w:t>
      </w:r>
      <w:r w:rsidR="00147C5B">
        <w:t xml:space="preserve">BID. </w:t>
      </w:r>
      <w:r w:rsidR="004222A8" w:rsidRPr="002B3067">
        <w:t xml:space="preserve">La </w:t>
      </w:r>
      <w:r w:rsidR="00DB37E3" w:rsidRPr="002B3067">
        <w:t xml:space="preserve">línea de base y </w:t>
      </w:r>
      <w:r w:rsidR="00D160BE" w:rsidRPr="002B3067">
        <w:t xml:space="preserve">las metas </w:t>
      </w:r>
      <w:r w:rsidR="004222A8" w:rsidRPr="002B3067">
        <w:t>corresponden a las contenidas en la</w:t>
      </w:r>
      <w:r w:rsidR="00D160BE" w:rsidRPr="002B3067">
        <w:t xml:space="preserve"> propia matriz de resultados del proyecto.</w:t>
      </w:r>
      <w:r w:rsidR="005F4251" w:rsidRPr="00CF2FEC">
        <w:rPr>
          <w:rStyle w:val="FootnoteReference"/>
          <w:rFonts w:ascii="Times New Roman" w:hAnsi="Times New Roman"/>
        </w:rPr>
        <w:footnoteReference w:id="6"/>
      </w:r>
      <w:r w:rsidR="00D160BE" w:rsidRPr="002B3067">
        <w:t xml:space="preserve"> </w:t>
      </w:r>
    </w:p>
    <w:p w:rsidR="004222A8" w:rsidRDefault="004222A8" w:rsidP="004222A8">
      <w:pPr>
        <w:pStyle w:val="ListParagraph"/>
      </w:pPr>
    </w:p>
    <w:p w:rsidR="001F4D8B" w:rsidRPr="00D177C1" w:rsidRDefault="001F4D8B" w:rsidP="001F4D8B">
      <w:pPr>
        <w:pStyle w:val="ListParagraph"/>
        <w:spacing w:after="60"/>
        <w:ind w:left="360"/>
        <w:jc w:val="center"/>
        <w:rPr>
          <w:b/>
          <w:sz w:val="20"/>
        </w:rPr>
      </w:pPr>
      <w:r>
        <w:rPr>
          <w:b/>
          <w:sz w:val="20"/>
        </w:rPr>
        <w:t>Cuadro 2</w:t>
      </w:r>
      <w:r w:rsidRPr="00D177C1">
        <w:rPr>
          <w:b/>
          <w:sz w:val="20"/>
        </w:rPr>
        <w:t xml:space="preserve">. </w:t>
      </w:r>
      <w:r w:rsidR="00613D8F">
        <w:rPr>
          <w:b/>
          <w:sz w:val="20"/>
        </w:rPr>
        <w:t xml:space="preserve">Alternativas </w:t>
      </w:r>
      <w:r>
        <w:rPr>
          <w:b/>
          <w:sz w:val="20"/>
        </w:rPr>
        <w:t>con y sin proyecto</w:t>
      </w:r>
      <w:r w:rsidR="00DB37E3">
        <w:rPr>
          <w:b/>
          <w:sz w:val="20"/>
        </w:rPr>
        <w:t xml:space="preserve"> </w:t>
      </w:r>
      <w:r w:rsidR="009E7F7F">
        <w:rPr>
          <w:b/>
          <w:sz w:val="20"/>
        </w:rPr>
        <w:t xml:space="preserve">BID </w:t>
      </w:r>
      <w:r w:rsidR="00DB37E3">
        <w:rPr>
          <w:b/>
          <w:sz w:val="20"/>
        </w:rPr>
        <w:t>(tasa en %)</w:t>
      </w:r>
    </w:p>
    <w:tbl>
      <w:tblPr>
        <w:tblW w:w="4642" w:type="pct"/>
        <w:tblLook w:val="04A0" w:firstRow="1" w:lastRow="0" w:firstColumn="1" w:lastColumn="0" w:noHBand="0" w:noVBand="1"/>
      </w:tblPr>
      <w:tblGrid>
        <w:gridCol w:w="5381"/>
        <w:gridCol w:w="729"/>
        <w:gridCol w:w="845"/>
        <w:gridCol w:w="988"/>
        <w:gridCol w:w="988"/>
      </w:tblGrid>
      <w:tr w:rsidR="006A7B2D" w:rsidRPr="006A7B2D" w:rsidTr="00193360">
        <w:tc>
          <w:tcPr>
            <w:tcW w:w="3013" w:type="pct"/>
          </w:tcPr>
          <w:p w:rsidR="001F4D8B" w:rsidRPr="006A7B2D" w:rsidRDefault="001F4D8B" w:rsidP="006D5597">
            <w:pPr>
              <w:tabs>
                <w:tab w:val="left" w:pos="390"/>
              </w:tabs>
              <w:ind w:left="426" w:hanging="426"/>
              <w:rPr>
                <w:b/>
                <w:sz w:val="20"/>
                <w:szCs w:val="18"/>
                <w:lang w:val="es-ES_tradnl"/>
              </w:rPr>
            </w:pPr>
          </w:p>
        </w:tc>
        <w:tc>
          <w:tcPr>
            <w:tcW w:w="408" w:type="pct"/>
          </w:tcPr>
          <w:p w:rsidR="001F4D8B" w:rsidRPr="006A7B2D" w:rsidRDefault="001F4D8B" w:rsidP="006D5597">
            <w:pPr>
              <w:rPr>
                <w:b/>
                <w:sz w:val="20"/>
                <w:szCs w:val="18"/>
                <w:lang w:val="es-CL"/>
              </w:rPr>
            </w:pPr>
          </w:p>
        </w:tc>
        <w:tc>
          <w:tcPr>
            <w:tcW w:w="473" w:type="pct"/>
          </w:tcPr>
          <w:p w:rsidR="001F4D8B" w:rsidRPr="006A7B2D" w:rsidRDefault="001F4D8B" w:rsidP="006D5597">
            <w:pPr>
              <w:jc w:val="center"/>
              <w:rPr>
                <w:b/>
                <w:sz w:val="20"/>
                <w:szCs w:val="18"/>
                <w:lang w:val="es-ES_tradnl"/>
              </w:rPr>
            </w:pPr>
            <w:r w:rsidRPr="006A7B2D">
              <w:rPr>
                <w:b/>
                <w:sz w:val="20"/>
                <w:szCs w:val="18"/>
                <w:lang w:val="es-ES_tradnl"/>
              </w:rPr>
              <w:t>2010</w:t>
            </w:r>
          </w:p>
        </w:tc>
        <w:tc>
          <w:tcPr>
            <w:tcW w:w="553" w:type="pct"/>
          </w:tcPr>
          <w:p w:rsidR="001F4D8B" w:rsidRPr="006A7B2D" w:rsidRDefault="001F4D8B" w:rsidP="006D5597">
            <w:pPr>
              <w:jc w:val="center"/>
              <w:rPr>
                <w:b/>
                <w:sz w:val="20"/>
                <w:szCs w:val="18"/>
                <w:lang w:val="es-ES_tradnl"/>
              </w:rPr>
            </w:pPr>
            <w:r w:rsidRPr="006A7B2D">
              <w:rPr>
                <w:b/>
                <w:sz w:val="20"/>
                <w:szCs w:val="18"/>
                <w:lang w:val="es-ES_tradnl"/>
              </w:rPr>
              <w:t>2014</w:t>
            </w:r>
          </w:p>
        </w:tc>
        <w:tc>
          <w:tcPr>
            <w:tcW w:w="554" w:type="pct"/>
          </w:tcPr>
          <w:p w:rsidR="001F4D8B" w:rsidRPr="006A7B2D" w:rsidRDefault="001F4D8B" w:rsidP="006D5597">
            <w:pPr>
              <w:jc w:val="center"/>
              <w:rPr>
                <w:b/>
                <w:sz w:val="20"/>
                <w:szCs w:val="18"/>
                <w:lang w:val="es-ES_tradnl"/>
              </w:rPr>
            </w:pPr>
            <w:r w:rsidRPr="006A7B2D">
              <w:rPr>
                <w:b/>
                <w:sz w:val="20"/>
                <w:szCs w:val="18"/>
                <w:lang w:val="es-ES_tradnl"/>
              </w:rPr>
              <w:t>2016</w:t>
            </w:r>
          </w:p>
        </w:tc>
      </w:tr>
      <w:tr w:rsidR="006A7B2D" w:rsidRPr="006A7B2D" w:rsidTr="00193360">
        <w:tc>
          <w:tcPr>
            <w:tcW w:w="3013" w:type="pct"/>
            <w:vMerge w:val="restart"/>
            <w:tcBorders>
              <w:top w:val="single" w:sz="4" w:space="0" w:color="auto"/>
              <w:bottom w:val="single" w:sz="4" w:space="0" w:color="auto"/>
            </w:tcBorders>
          </w:tcPr>
          <w:p w:rsidR="006A7B2D" w:rsidRPr="006A7B2D" w:rsidRDefault="006A7B2D" w:rsidP="006D5597">
            <w:pPr>
              <w:tabs>
                <w:tab w:val="left" w:pos="390"/>
              </w:tabs>
              <w:ind w:left="426" w:hanging="426"/>
              <w:rPr>
                <w:sz w:val="20"/>
                <w:szCs w:val="18"/>
                <w:lang w:val="es-ES_tradnl"/>
              </w:rPr>
            </w:pPr>
            <w:r w:rsidRPr="006A7B2D">
              <w:rPr>
                <w:sz w:val="20"/>
                <w:szCs w:val="18"/>
                <w:lang w:val="es-ES_tradnl"/>
              </w:rPr>
              <w:t>R.2.</w:t>
            </w:r>
            <w:r w:rsidRPr="006A7B2D">
              <w:rPr>
                <w:sz w:val="20"/>
                <w:szCs w:val="18"/>
                <w:lang w:val="es-ES_tradnl"/>
              </w:rPr>
              <w:tab/>
              <w:t>Montos recaudados por cobranza judicial sobre el total de deuda activa acumulada cada año</w:t>
            </w:r>
          </w:p>
        </w:tc>
        <w:tc>
          <w:tcPr>
            <w:tcW w:w="408" w:type="pct"/>
            <w:tcBorders>
              <w:top w:val="single" w:sz="4" w:space="0" w:color="auto"/>
              <w:bottom w:val="single" w:sz="4" w:space="0" w:color="auto"/>
            </w:tcBorders>
          </w:tcPr>
          <w:p w:rsidR="006A7B2D" w:rsidRPr="006A7B2D" w:rsidRDefault="006A7B2D" w:rsidP="001F4D8B">
            <w:pPr>
              <w:rPr>
                <w:sz w:val="20"/>
                <w:szCs w:val="18"/>
                <w:lang w:val="es-CL"/>
              </w:rPr>
            </w:pPr>
            <w:r w:rsidRPr="006A7B2D">
              <w:rPr>
                <w:sz w:val="20"/>
                <w:szCs w:val="18"/>
                <w:lang w:val="es-CL"/>
              </w:rPr>
              <w:t>BID</w:t>
            </w:r>
          </w:p>
        </w:tc>
        <w:tc>
          <w:tcPr>
            <w:tcW w:w="473" w:type="pct"/>
            <w:tcBorders>
              <w:top w:val="single" w:sz="4" w:space="0" w:color="auto"/>
              <w:bottom w:val="single" w:sz="4" w:space="0" w:color="auto"/>
            </w:tcBorders>
          </w:tcPr>
          <w:p w:rsidR="006A7B2D" w:rsidRPr="006A7B2D" w:rsidRDefault="006A7B2D" w:rsidP="006D5597">
            <w:pPr>
              <w:jc w:val="center"/>
              <w:rPr>
                <w:sz w:val="20"/>
                <w:szCs w:val="18"/>
                <w:lang w:val="es-ES_tradnl"/>
              </w:rPr>
            </w:pPr>
            <w:r w:rsidRPr="006A7B2D">
              <w:rPr>
                <w:sz w:val="20"/>
                <w:szCs w:val="18"/>
                <w:lang w:val="es-ES_tradnl"/>
              </w:rPr>
              <w:t>3,1</w:t>
            </w:r>
          </w:p>
        </w:tc>
        <w:tc>
          <w:tcPr>
            <w:tcW w:w="553" w:type="pct"/>
            <w:tcBorders>
              <w:top w:val="single" w:sz="4" w:space="0" w:color="auto"/>
              <w:bottom w:val="single" w:sz="4" w:space="0" w:color="auto"/>
            </w:tcBorders>
          </w:tcPr>
          <w:p w:rsidR="006A7B2D" w:rsidRPr="006A7B2D" w:rsidRDefault="006A7B2D" w:rsidP="006D5597">
            <w:pPr>
              <w:jc w:val="center"/>
              <w:rPr>
                <w:sz w:val="20"/>
                <w:szCs w:val="18"/>
                <w:lang w:val="es-ES_tradnl"/>
              </w:rPr>
            </w:pPr>
            <w:r w:rsidRPr="006A7B2D">
              <w:rPr>
                <w:sz w:val="20"/>
                <w:szCs w:val="18"/>
                <w:lang w:val="es-ES_tradnl"/>
              </w:rPr>
              <w:t>5,0</w:t>
            </w:r>
          </w:p>
        </w:tc>
        <w:tc>
          <w:tcPr>
            <w:tcW w:w="554" w:type="pct"/>
            <w:tcBorders>
              <w:top w:val="single" w:sz="4" w:space="0" w:color="auto"/>
              <w:bottom w:val="single" w:sz="4" w:space="0" w:color="auto"/>
            </w:tcBorders>
          </w:tcPr>
          <w:p w:rsidR="006A7B2D" w:rsidRPr="006A7B2D" w:rsidRDefault="006A7B2D" w:rsidP="006D5597">
            <w:pPr>
              <w:jc w:val="center"/>
              <w:rPr>
                <w:sz w:val="20"/>
                <w:szCs w:val="18"/>
                <w:lang w:val="es-ES_tradnl"/>
              </w:rPr>
            </w:pPr>
            <w:r w:rsidRPr="006A7B2D">
              <w:rPr>
                <w:sz w:val="20"/>
                <w:szCs w:val="18"/>
                <w:lang w:val="es-ES_tradnl"/>
              </w:rPr>
              <w:t>8,0</w:t>
            </w:r>
          </w:p>
        </w:tc>
      </w:tr>
      <w:tr w:rsidR="006A7B2D" w:rsidRPr="006A7B2D" w:rsidTr="00193360">
        <w:tc>
          <w:tcPr>
            <w:tcW w:w="3013" w:type="pct"/>
            <w:vMerge/>
            <w:tcBorders>
              <w:bottom w:val="single" w:sz="4" w:space="0" w:color="auto"/>
            </w:tcBorders>
          </w:tcPr>
          <w:p w:rsidR="006A7B2D" w:rsidRPr="006A7B2D" w:rsidRDefault="006A7B2D" w:rsidP="006D5597">
            <w:pPr>
              <w:tabs>
                <w:tab w:val="left" w:pos="390"/>
              </w:tabs>
              <w:ind w:left="426" w:hanging="426"/>
              <w:rPr>
                <w:sz w:val="20"/>
                <w:szCs w:val="18"/>
                <w:lang w:val="es-ES_tradnl"/>
              </w:rPr>
            </w:pPr>
          </w:p>
        </w:tc>
        <w:tc>
          <w:tcPr>
            <w:tcW w:w="408" w:type="pct"/>
            <w:tcBorders>
              <w:top w:val="single" w:sz="4" w:space="0" w:color="auto"/>
              <w:bottom w:val="single" w:sz="4" w:space="0" w:color="auto"/>
            </w:tcBorders>
          </w:tcPr>
          <w:p w:rsidR="006A7B2D" w:rsidRPr="006A7B2D" w:rsidRDefault="000A1992" w:rsidP="006D5597">
            <w:pPr>
              <w:rPr>
                <w:sz w:val="20"/>
                <w:szCs w:val="18"/>
                <w:lang w:val="es-CL"/>
              </w:rPr>
            </w:pPr>
            <w:r>
              <w:rPr>
                <w:sz w:val="20"/>
                <w:szCs w:val="18"/>
                <w:lang w:val="es-CL"/>
              </w:rPr>
              <w:t>AGU</w:t>
            </w:r>
          </w:p>
        </w:tc>
        <w:tc>
          <w:tcPr>
            <w:tcW w:w="473" w:type="pct"/>
            <w:tcBorders>
              <w:top w:val="single" w:sz="4" w:space="0" w:color="auto"/>
              <w:bottom w:val="single" w:sz="4" w:space="0" w:color="auto"/>
            </w:tcBorders>
          </w:tcPr>
          <w:p w:rsidR="006A7B2D" w:rsidRPr="006A7B2D" w:rsidRDefault="005F4251" w:rsidP="006D5597">
            <w:pPr>
              <w:jc w:val="center"/>
              <w:rPr>
                <w:sz w:val="20"/>
                <w:szCs w:val="18"/>
                <w:lang w:val="es-ES_tradnl"/>
              </w:rPr>
            </w:pPr>
            <w:r>
              <w:rPr>
                <w:sz w:val="20"/>
                <w:szCs w:val="18"/>
                <w:lang w:val="es-ES_tradnl"/>
              </w:rPr>
              <w:t>3,1</w:t>
            </w:r>
          </w:p>
        </w:tc>
        <w:tc>
          <w:tcPr>
            <w:tcW w:w="553" w:type="pct"/>
            <w:tcBorders>
              <w:top w:val="single" w:sz="4" w:space="0" w:color="auto"/>
              <w:bottom w:val="single" w:sz="4" w:space="0" w:color="auto"/>
            </w:tcBorders>
          </w:tcPr>
          <w:p w:rsidR="006A7B2D" w:rsidRPr="006A7B2D" w:rsidRDefault="005F4251" w:rsidP="006D5597">
            <w:pPr>
              <w:jc w:val="center"/>
              <w:rPr>
                <w:sz w:val="20"/>
                <w:szCs w:val="18"/>
                <w:lang w:val="es-ES_tradnl"/>
              </w:rPr>
            </w:pPr>
            <w:r>
              <w:rPr>
                <w:sz w:val="20"/>
                <w:szCs w:val="18"/>
                <w:lang w:val="es-ES_tradnl"/>
              </w:rPr>
              <w:t>4,0</w:t>
            </w:r>
          </w:p>
        </w:tc>
        <w:tc>
          <w:tcPr>
            <w:tcW w:w="554" w:type="pct"/>
            <w:tcBorders>
              <w:top w:val="single" w:sz="4" w:space="0" w:color="auto"/>
              <w:bottom w:val="single" w:sz="4" w:space="0" w:color="auto"/>
            </w:tcBorders>
          </w:tcPr>
          <w:p w:rsidR="006A7B2D" w:rsidRPr="006A7B2D" w:rsidRDefault="005F4251" w:rsidP="006D5597">
            <w:pPr>
              <w:jc w:val="center"/>
              <w:rPr>
                <w:sz w:val="20"/>
                <w:szCs w:val="18"/>
                <w:lang w:val="es-ES_tradnl"/>
              </w:rPr>
            </w:pPr>
            <w:r>
              <w:rPr>
                <w:sz w:val="20"/>
                <w:szCs w:val="18"/>
                <w:lang w:val="es-ES_tradnl"/>
              </w:rPr>
              <w:t>6,0</w:t>
            </w:r>
          </w:p>
        </w:tc>
      </w:tr>
      <w:tr w:rsidR="00193360" w:rsidRPr="006A7B2D" w:rsidTr="00193360">
        <w:tc>
          <w:tcPr>
            <w:tcW w:w="3013" w:type="pct"/>
            <w:vMerge w:val="restart"/>
            <w:tcBorders>
              <w:top w:val="single" w:sz="4" w:space="0" w:color="auto"/>
              <w:bottom w:val="single" w:sz="4" w:space="0" w:color="auto"/>
            </w:tcBorders>
          </w:tcPr>
          <w:p w:rsidR="00193360" w:rsidRPr="006A7B2D" w:rsidRDefault="00193360" w:rsidP="006A7B2D">
            <w:pPr>
              <w:tabs>
                <w:tab w:val="left" w:pos="390"/>
              </w:tabs>
              <w:ind w:left="426" w:hanging="426"/>
              <w:rPr>
                <w:sz w:val="20"/>
                <w:szCs w:val="18"/>
                <w:lang w:val="es-ES_tradnl"/>
              </w:rPr>
            </w:pPr>
            <w:r w:rsidRPr="006A7B2D">
              <w:rPr>
                <w:sz w:val="20"/>
                <w:szCs w:val="18"/>
                <w:lang w:val="es-ES_tradnl"/>
              </w:rPr>
              <w:t>R.3.</w:t>
            </w:r>
            <w:r w:rsidRPr="006A7B2D">
              <w:rPr>
                <w:sz w:val="20"/>
                <w:szCs w:val="18"/>
                <w:lang w:val="es-ES_tradnl"/>
              </w:rPr>
              <w:tab/>
              <w:t>Montos patrimoniales recuperados sobre el total de montos involucrados (TCU, convenios, acciones civiles, etc.)</w:t>
            </w:r>
          </w:p>
        </w:tc>
        <w:tc>
          <w:tcPr>
            <w:tcW w:w="408" w:type="pct"/>
            <w:tcBorders>
              <w:top w:val="single" w:sz="4" w:space="0" w:color="auto"/>
              <w:bottom w:val="single" w:sz="4" w:space="0" w:color="auto"/>
            </w:tcBorders>
          </w:tcPr>
          <w:p w:rsidR="00193360" w:rsidRPr="006A7B2D" w:rsidRDefault="00193360" w:rsidP="006D5597">
            <w:pPr>
              <w:rPr>
                <w:sz w:val="20"/>
                <w:szCs w:val="18"/>
                <w:lang w:val="es-CL"/>
              </w:rPr>
            </w:pPr>
            <w:r w:rsidRPr="006A7B2D">
              <w:rPr>
                <w:sz w:val="20"/>
                <w:szCs w:val="18"/>
                <w:lang w:val="es-CL"/>
              </w:rPr>
              <w:t>BID</w:t>
            </w:r>
          </w:p>
        </w:tc>
        <w:tc>
          <w:tcPr>
            <w:tcW w:w="473" w:type="pct"/>
            <w:tcBorders>
              <w:top w:val="single" w:sz="4" w:space="0" w:color="auto"/>
              <w:bottom w:val="single" w:sz="4" w:space="0" w:color="auto"/>
            </w:tcBorders>
          </w:tcPr>
          <w:p w:rsidR="00193360" w:rsidRPr="006A7B2D" w:rsidRDefault="00193360" w:rsidP="006D5597">
            <w:pPr>
              <w:jc w:val="center"/>
              <w:rPr>
                <w:sz w:val="20"/>
                <w:szCs w:val="18"/>
                <w:lang w:val="es-ES_tradnl"/>
              </w:rPr>
            </w:pPr>
            <w:r w:rsidRPr="006A7B2D">
              <w:rPr>
                <w:sz w:val="20"/>
                <w:szCs w:val="18"/>
                <w:lang w:val="es-ES_tradnl"/>
              </w:rPr>
              <w:t>7,5</w:t>
            </w:r>
          </w:p>
        </w:tc>
        <w:tc>
          <w:tcPr>
            <w:tcW w:w="553" w:type="pct"/>
            <w:tcBorders>
              <w:top w:val="single" w:sz="4" w:space="0" w:color="auto"/>
              <w:bottom w:val="single" w:sz="4" w:space="0" w:color="auto"/>
            </w:tcBorders>
          </w:tcPr>
          <w:p w:rsidR="00193360" w:rsidRPr="006A7B2D" w:rsidRDefault="00193360" w:rsidP="006D5597">
            <w:pPr>
              <w:jc w:val="center"/>
              <w:rPr>
                <w:sz w:val="20"/>
                <w:szCs w:val="18"/>
                <w:lang w:val="es-ES_tradnl"/>
              </w:rPr>
            </w:pPr>
            <w:r w:rsidRPr="006A7B2D">
              <w:rPr>
                <w:sz w:val="20"/>
                <w:szCs w:val="18"/>
                <w:lang w:val="es-ES_tradnl"/>
              </w:rPr>
              <w:t>13,0</w:t>
            </w:r>
          </w:p>
        </w:tc>
        <w:tc>
          <w:tcPr>
            <w:tcW w:w="554" w:type="pct"/>
            <w:tcBorders>
              <w:top w:val="single" w:sz="4" w:space="0" w:color="auto"/>
              <w:bottom w:val="single" w:sz="4" w:space="0" w:color="auto"/>
            </w:tcBorders>
          </w:tcPr>
          <w:p w:rsidR="00193360" w:rsidRPr="006A7B2D" w:rsidRDefault="00193360" w:rsidP="006D5597">
            <w:pPr>
              <w:jc w:val="center"/>
              <w:rPr>
                <w:sz w:val="20"/>
                <w:szCs w:val="18"/>
                <w:lang w:val="es-ES_tradnl"/>
              </w:rPr>
            </w:pPr>
            <w:r w:rsidRPr="006A7B2D">
              <w:rPr>
                <w:sz w:val="20"/>
                <w:szCs w:val="18"/>
                <w:lang w:val="es-ES_tradnl"/>
              </w:rPr>
              <w:t>22,0</w:t>
            </w:r>
          </w:p>
        </w:tc>
      </w:tr>
      <w:tr w:rsidR="00193360" w:rsidRPr="006A7B2D" w:rsidTr="00193360">
        <w:tc>
          <w:tcPr>
            <w:tcW w:w="3013" w:type="pct"/>
            <w:vMerge/>
            <w:tcBorders>
              <w:bottom w:val="single" w:sz="4" w:space="0" w:color="auto"/>
            </w:tcBorders>
          </w:tcPr>
          <w:p w:rsidR="00193360" w:rsidRPr="006A7B2D" w:rsidRDefault="00193360" w:rsidP="006D5597">
            <w:pPr>
              <w:tabs>
                <w:tab w:val="left" w:pos="390"/>
              </w:tabs>
              <w:ind w:left="426" w:hanging="426"/>
              <w:rPr>
                <w:sz w:val="20"/>
                <w:szCs w:val="18"/>
                <w:lang w:val="es-ES_tradnl"/>
              </w:rPr>
            </w:pPr>
          </w:p>
        </w:tc>
        <w:tc>
          <w:tcPr>
            <w:tcW w:w="408" w:type="pct"/>
            <w:tcBorders>
              <w:top w:val="single" w:sz="4" w:space="0" w:color="auto"/>
              <w:bottom w:val="single" w:sz="4" w:space="0" w:color="auto"/>
            </w:tcBorders>
          </w:tcPr>
          <w:p w:rsidR="00193360" w:rsidRPr="006A7B2D" w:rsidRDefault="000A1992" w:rsidP="006D5597">
            <w:pPr>
              <w:rPr>
                <w:sz w:val="20"/>
                <w:szCs w:val="18"/>
                <w:lang w:val="es-CL"/>
              </w:rPr>
            </w:pPr>
            <w:r>
              <w:rPr>
                <w:sz w:val="20"/>
                <w:szCs w:val="18"/>
                <w:lang w:val="es-CL"/>
              </w:rPr>
              <w:t>AGU</w:t>
            </w:r>
          </w:p>
        </w:tc>
        <w:tc>
          <w:tcPr>
            <w:tcW w:w="473" w:type="pct"/>
            <w:tcBorders>
              <w:top w:val="single" w:sz="4" w:space="0" w:color="auto"/>
              <w:bottom w:val="single" w:sz="4" w:space="0" w:color="auto"/>
            </w:tcBorders>
          </w:tcPr>
          <w:p w:rsidR="00193360" w:rsidRPr="006A7B2D" w:rsidRDefault="005F4251" w:rsidP="006D5597">
            <w:pPr>
              <w:jc w:val="center"/>
              <w:rPr>
                <w:sz w:val="20"/>
                <w:szCs w:val="18"/>
                <w:lang w:val="es-ES_tradnl"/>
              </w:rPr>
            </w:pPr>
            <w:r>
              <w:rPr>
                <w:sz w:val="20"/>
                <w:szCs w:val="18"/>
                <w:lang w:val="es-ES_tradnl"/>
              </w:rPr>
              <w:t>7,5</w:t>
            </w:r>
          </w:p>
        </w:tc>
        <w:tc>
          <w:tcPr>
            <w:tcW w:w="553" w:type="pct"/>
            <w:tcBorders>
              <w:top w:val="single" w:sz="4" w:space="0" w:color="auto"/>
              <w:bottom w:val="single" w:sz="4" w:space="0" w:color="auto"/>
            </w:tcBorders>
          </w:tcPr>
          <w:p w:rsidR="00193360" w:rsidRPr="006A7B2D" w:rsidRDefault="005F4251" w:rsidP="006D5597">
            <w:pPr>
              <w:jc w:val="center"/>
              <w:rPr>
                <w:sz w:val="20"/>
                <w:szCs w:val="18"/>
                <w:lang w:val="es-ES_tradnl"/>
              </w:rPr>
            </w:pPr>
            <w:r>
              <w:rPr>
                <w:sz w:val="20"/>
                <w:szCs w:val="18"/>
                <w:lang w:val="es-ES_tradnl"/>
              </w:rPr>
              <w:t>11,0</w:t>
            </w:r>
          </w:p>
        </w:tc>
        <w:tc>
          <w:tcPr>
            <w:tcW w:w="554" w:type="pct"/>
            <w:tcBorders>
              <w:top w:val="single" w:sz="4" w:space="0" w:color="auto"/>
              <w:bottom w:val="single" w:sz="4" w:space="0" w:color="auto"/>
            </w:tcBorders>
          </w:tcPr>
          <w:p w:rsidR="00193360" w:rsidRPr="006A7B2D" w:rsidRDefault="005F4251" w:rsidP="006D5597">
            <w:pPr>
              <w:jc w:val="center"/>
              <w:rPr>
                <w:sz w:val="20"/>
                <w:szCs w:val="18"/>
                <w:lang w:val="es-ES_tradnl"/>
              </w:rPr>
            </w:pPr>
            <w:r>
              <w:rPr>
                <w:sz w:val="20"/>
                <w:szCs w:val="18"/>
                <w:lang w:val="es-ES_tradnl"/>
              </w:rPr>
              <w:t>15,0</w:t>
            </w:r>
          </w:p>
        </w:tc>
      </w:tr>
    </w:tbl>
    <w:p w:rsidR="007D4952" w:rsidRDefault="007D4952" w:rsidP="003008A8"/>
    <w:p w:rsidR="000A1992" w:rsidRDefault="00613D8F" w:rsidP="000A1992">
      <w:pPr>
        <w:pStyle w:val="ListParagraph"/>
        <w:numPr>
          <w:ilvl w:val="0"/>
          <w:numId w:val="14"/>
        </w:numPr>
        <w:ind w:left="567" w:hanging="567"/>
      </w:pPr>
      <w:r>
        <w:t xml:space="preserve">La otra alternativa </w:t>
      </w:r>
      <w:r w:rsidR="000A1992">
        <w:t xml:space="preserve">es </w:t>
      </w:r>
      <w:r>
        <w:t xml:space="preserve">la </w:t>
      </w:r>
      <w:r w:rsidR="000A1992">
        <w:t>que surgiría en el supuesto de que la AGU persistiera con las acciones que por iniciativa propia tenía previsto desarrollar en los próximos años</w:t>
      </w:r>
      <w:r>
        <w:t xml:space="preserve"> con recursos presupuestarios propios, no comprometidos todavía</w:t>
      </w:r>
      <w:r w:rsidR="000A1992">
        <w:t>. Est</w:t>
      </w:r>
      <w:r>
        <w:t>a</w:t>
      </w:r>
      <w:r w:rsidR="000A1992">
        <w:t xml:space="preserve"> </w:t>
      </w:r>
      <w:r>
        <w:t xml:space="preserve">alternativa </w:t>
      </w:r>
      <w:r w:rsidR="000A1992">
        <w:t xml:space="preserve">se denomina </w:t>
      </w:r>
      <w:r>
        <w:t xml:space="preserve">alternativa </w:t>
      </w:r>
      <w:r w:rsidR="000A1992">
        <w:t xml:space="preserve">AGU. Como puede observarse, esta alternativa presenta metas inferiores a las que se consideran en </w:t>
      </w:r>
      <w:r>
        <w:t>la alternativa</w:t>
      </w:r>
      <w:r w:rsidR="000A1992">
        <w:t xml:space="preserve"> BID</w:t>
      </w:r>
      <w:r>
        <w:t xml:space="preserve">, o dicho de otra forma, </w:t>
      </w:r>
      <w:r w:rsidR="000C159F">
        <w:t>la</w:t>
      </w:r>
      <w:r w:rsidR="00A660A9">
        <w:t xml:space="preserve"> alternativa BID presenta mayores niveles de eficacia que la alternativa AGU</w:t>
      </w:r>
      <w:r w:rsidR="000A1992">
        <w:t xml:space="preserve">. </w:t>
      </w:r>
    </w:p>
    <w:p w:rsidR="000A1992" w:rsidRDefault="000A1992" w:rsidP="000A1992"/>
    <w:p w:rsidR="007D4952" w:rsidRDefault="007D4952" w:rsidP="003008A8"/>
    <w:p w:rsidR="007D4952" w:rsidRDefault="001E2E96" w:rsidP="00180945">
      <w:pPr>
        <w:pStyle w:val="Heading2"/>
      </w:pPr>
      <w:bookmarkStart w:id="17" w:name="_Toc303885506"/>
      <w:bookmarkStart w:id="18" w:name="_Toc298005486"/>
      <w:r>
        <w:t>Supuestos</w:t>
      </w:r>
      <w:bookmarkEnd w:id="17"/>
      <w:bookmarkEnd w:id="18"/>
    </w:p>
    <w:p w:rsidR="007D4952" w:rsidRPr="004B2440" w:rsidRDefault="004B2440" w:rsidP="007E0EE5">
      <w:pPr>
        <w:pStyle w:val="ListParagraph"/>
        <w:numPr>
          <w:ilvl w:val="0"/>
          <w:numId w:val="25"/>
        </w:numPr>
        <w:rPr>
          <w:b/>
        </w:rPr>
      </w:pPr>
      <w:r w:rsidRPr="004B2440">
        <w:rPr>
          <w:b/>
        </w:rPr>
        <w:t>Duración del proyecto y sus efectos</w:t>
      </w:r>
    </w:p>
    <w:p w:rsidR="001E2E96" w:rsidRDefault="001E2E96" w:rsidP="003008A8"/>
    <w:p w:rsidR="001E2E96" w:rsidRDefault="004B2440" w:rsidP="004B2440">
      <w:pPr>
        <w:pStyle w:val="ListParagraph"/>
        <w:numPr>
          <w:ilvl w:val="0"/>
          <w:numId w:val="14"/>
        </w:numPr>
        <w:ind w:left="567" w:hanging="567"/>
      </w:pPr>
      <w:r>
        <w:t xml:space="preserve">Está previsto que el proyecto dure cinco años, comenzando el año 2012 y terminando la ejecución en el año 2016. A los efectos del análisis costo-beneficio, se ha supuesto que </w:t>
      </w:r>
      <w:r w:rsidR="00134CA1">
        <w:t>los efectos directos d</w:t>
      </w:r>
      <w:r>
        <w:t>el proyecto se prolonga</w:t>
      </w:r>
      <w:r w:rsidR="00134CA1">
        <w:t>n</w:t>
      </w:r>
      <w:r>
        <w:t xml:space="preserve"> cinco años más, es decir, hasta el año 2021, con el fin de recoger los comportamientos inerciales que puedan generarse, tanto en los proyectos financiados bajo </w:t>
      </w:r>
      <w:r w:rsidR="00134CA1">
        <w:t xml:space="preserve">la alternativa </w:t>
      </w:r>
      <w:r>
        <w:t xml:space="preserve">BID como </w:t>
      </w:r>
      <w:r w:rsidR="00134CA1">
        <w:t xml:space="preserve">la </w:t>
      </w:r>
      <w:r>
        <w:t>AGU.</w:t>
      </w:r>
    </w:p>
    <w:p w:rsidR="004B2440" w:rsidRDefault="004B2440" w:rsidP="004B2440"/>
    <w:p w:rsidR="004B2440" w:rsidRPr="009030F8" w:rsidRDefault="009030F8" w:rsidP="007E0EE5">
      <w:pPr>
        <w:pStyle w:val="ListParagraph"/>
        <w:numPr>
          <w:ilvl w:val="0"/>
          <w:numId w:val="25"/>
        </w:numPr>
        <w:rPr>
          <w:b/>
        </w:rPr>
      </w:pPr>
      <w:r w:rsidRPr="009030F8">
        <w:rPr>
          <w:b/>
        </w:rPr>
        <w:t>Estabilidad institucional</w:t>
      </w:r>
    </w:p>
    <w:p w:rsidR="004B2440" w:rsidRDefault="004B2440" w:rsidP="004B2440"/>
    <w:p w:rsidR="004B2440" w:rsidRDefault="009030F8" w:rsidP="009030F8">
      <w:pPr>
        <w:pStyle w:val="ListParagraph"/>
        <w:numPr>
          <w:ilvl w:val="0"/>
          <w:numId w:val="14"/>
        </w:numPr>
        <w:ind w:left="567" w:hanging="567"/>
      </w:pPr>
      <w:r>
        <w:t>Dado el periodo tan largo de tiempo considerado para el análisis, es especialmente importante que no se produzcan modificaciones en el contexto institucional, especialmente en lo que serían los productos estratégicos de los distintos órganos de la AGU: (i) asesoramiento a los ministerios, agencias y fundaciones; (ii) defensa en tribunales en las causas Estado demandado y Estado demandante; (iii) cobranza de la deuda activa a favor del Estado</w:t>
      </w:r>
      <w:r w:rsidR="00134CA1">
        <w:t>;</w:t>
      </w:r>
      <w:r>
        <w:t xml:space="preserve"> </w:t>
      </w:r>
      <w:r w:rsidR="00CE378E">
        <w:t xml:space="preserve">y </w:t>
      </w:r>
      <w:r w:rsidR="00134CA1">
        <w:t xml:space="preserve">(iv) </w:t>
      </w:r>
      <w:r w:rsidR="00CE378E">
        <w:t>recuperación patrimonial.</w:t>
      </w:r>
    </w:p>
    <w:p w:rsidR="00CE378E" w:rsidRDefault="00CE378E" w:rsidP="00CE378E">
      <w:pPr>
        <w:pStyle w:val="ListParagraph"/>
        <w:ind w:left="567"/>
      </w:pPr>
    </w:p>
    <w:p w:rsidR="00CE378E" w:rsidRDefault="00CE378E" w:rsidP="009030F8">
      <w:pPr>
        <w:pStyle w:val="ListParagraph"/>
        <w:numPr>
          <w:ilvl w:val="0"/>
          <w:numId w:val="14"/>
        </w:numPr>
        <w:ind w:left="567" w:hanging="567"/>
      </w:pPr>
      <w:r>
        <w:t xml:space="preserve">En el análisis de riesgos contingentes realizado no se aprecian </w:t>
      </w:r>
      <w:r w:rsidR="00E80005">
        <w:t xml:space="preserve">eventuales </w:t>
      </w:r>
      <w:r>
        <w:t>cambios en el entorno legal de la AGU</w:t>
      </w:r>
      <w:r w:rsidR="00E80005">
        <w:t xml:space="preserve"> que puedan afectar a las funciones misionales de la institución</w:t>
      </w:r>
      <w:r>
        <w:t>, por lo que cabría pensar que al menos en el periodo de vigencia del proyecto no se producirían alteraciones significativas</w:t>
      </w:r>
      <w:r w:rsidR="00E80005">
        <w:t xml:space="preserve"> en sus productos estratégicos.</w:t>
      </w:r>
    </w:p>
    <w:p w:rsidR="004B2440" w:rsidRDefault="004B2440" w:rsidP="004B2440"/>
    <w:p w:rsidR="00103D3A" w:rsidRDefault="00103D3A" w:rsidP="004B2440"/>
    <w:p w:rsidR="004B2440" w:rsidRPr="00103D3A" w:rsidRDefault="00103D3A" w:rsidP="00180945">
      <w:pPr>
        <w:pStyle w:val="Heading2"/>
      </w:pPr>
      <w:bookmarkStart w:id="19" w:name="_Toc303885507"/>
      <w:bookmarkStart w:id="20" w:name="_Toc298005487"/>
      <w:r w:rsidRPr="00103D3A">
        <w:lastRenderedPageBreak/>
        <w:t>Cuantificación</w:t>
      </w:r>
      <w:r w:rsidR="004B2440" w:rsidRPr="00103D3A">
        <w:t xml:space="preserve"> de </w:t>
      </w:r>
      <w:r w:rsidR="00CE378E" w:rsidRPr="00103D3A">
        <w:t>los costos y beneficios</w:t>
      </w:r>
      <w:bookmarkEnd w:id="19"/>
      <w:bookmarkEnd w:id="20"/>
    </w:p>
    <w:p w:rsidR="004B2440" w:rsidRDefault="009030F8" w:rsidP="009030F8">
      <w:pPr>
        <w:pStyle w:val="ListParagraph"/>
        <w:numPr>
          <w:ilvl w:val="0"/>
          <w:numId w:val="14"/>
        </w:numPr>
        <w:ind w:left="567" w:hanging="567"/>
      </w:pPr>
      <w:r>
        <w:t xml:space="preserve">Para la monetización de las variables </w:t>
      </w:r>
      <w:r w:rsidR="00CE378E">
        <w:t xml:space="preserve">de beneficios incorporadas al análisis </w:t>
      </w:r>
      <w:r>
        <w:t>se han utilizado precios de 2010.</w:t>
      </w:r>
      <w:r w:rsidR="00CE378E">
        <w:t xml:space="preserve"> Los costos </w:t>
      </w:r>
      <w:r w:rsidR="00293DAE">
        <w:t xml:space="preserve">han sido </w:t>
      </w:r>
      <w:r w:rsidR="00CE378E">
        <w:t xml:space="preserve">igualmente </w:t>
      </w:r>
      <w:r w:rsidR="00293DAE">
        <w:t>valorados a precios de mercado del</w:t>
      </w:r>
      <w:r w:rsidR="00CE378E">
        <w:t xml:space="preserve"> año 2010.</w:t>
      </w:r>
    </w:p>
    <w:p w:rsidR="004B2440" w:rsidRDefault="004B2440" w:rsidP="003008A8"/>
    <w:p w:rsidR="00E15EA7" w:rsidRPr="003008A8" w:rsidRDefault="00E15EA7" w:rsidP="003008A8"/>
    <w:p w:rsidR="0002292D" w:rsidRPr="0002292D" w:rsidRDefault="0002292D" w:rsidP="00180945">
      <w:pPr>
        <w:pStyle w:val="Heading2"/>
      </w:pPr>
      <w:bookmarkStart w:id="21" w:name="_Toc303885508"/>
      <w:bookmarkStart w:id="22" w:name="_Toc298005488"/>
      <w:r w:rsidRPr="0002292D">
        <w:t>Tasa de descuento</w:t>
      </w:r>
      <w:bookmarkEnd w:id="21"/>
      <w:bookmarkEnd w:id="22"/>
    </w:p>
    <w:p w:rsidR="00F510B6" w:rsidRPr="00F510B6" w:rsidRDefault="00F510B6" w:rsidP="00F510B6">
      <w:pPr>
        <w:pStyle w:val="ListParagraph"/>
        <w:numPr>
          <w:ilvl w:val="0"/>
          <w:numId w:val="14"/>
        </w:numPr>
        <w:ind w:left="567" w:hanging="567"/>
      </w:pPr>
      <w:r>
        <w:t xml:space="preserve">Para el análisis coste-beneficio del </w:t>
      </w:r>
      <w:r w:rsidRPr="00F510B6">
        <w:t>Programa</w:t>
      </w:r>
      <w:r w:rsidRPr="00F510B6">
        <w:rPr>
          <w:bCs/>
          <w:lang w:val="es-ES_tradnl"/>
        </w:rPr>
        <w:t xml:space="preserve"> de Apoyo a la </w:t>
      </w:r>
      <w:r w:rsidRPr="00F510B6">
        <w:rPr>
          <w:bCs/>
        </w:rPr>
        <w:t>Modernización</w:t>
      </w:r>
      <w:r w:rsidRPr="00F510B6">
        <w:rPr>
          <w:bCs/>
          <w:lang w:val="es-ES_tradnl"/>
        </w:rPr>
        <w:t xml:space="preserve"> de la AGU se ha aplicado una tasa de descuento del 12%, que puede considerarse elevada para un programa de </w:t>
      </w:r>
      <w:r w:rsidR="008914A0">
        <w:rPr>
          <w:bCs/>
          <w:lang w:val="es-ES_tradnl"/>
        </w:rPr>
        <w:t>estas</w:t>
      </w:r>
      <w:r w:rsidRPr="00F510B6">
        <w:rPr>
          <w:bCs/>
          <w:lang w:val="es-ES_tradnl"/>
        </w:rPr>
        <w:t xml:space="preserve"> características</w:t>
      </w:r>
      <w:r w:rsidR="004B2440">
        <w:rPr>
          <w:bCs/>
          <w:lang w:val="es-ES_tradnl"/>
        </w:rPr>
        <w:t xml:space="preserve">. </w:t>
      </w:r>
    </w:p>
    <w:p w:rsidR="00F510B6" w:rsidRPr="00F510B6" w:rsidRDefault="00F510B6" w:rsidP="00F510B6">
      <w:pPr>
        <w:pStyle w:val="ListParagraph"/>
        <w:ind w:left="567"/>
      </w:pPr>
    </w:p>
    <w:p w:rsidR="000B275B" w:rsidRPr="002B3067" w:rsidRDefault="00F510B6" w:rsidP="00F510B6">
      <w:pPr>
        <w:pStyle w:val="ListParagraph"/>
        <w:numPr>
          <w:ilvl w:val="0"/>
          <w:numId w:val="14"/>
        </w:numPr>
        <w:ind w:left="567" w:hanging="567"/>
      </w:pPr>
      <w:r w:rsidRPr="00657757">
        <w:rPr>
          <w:bCs/>
          <w:lang w:val="es-ES_tradnl"/>
        </w:rPr>
        <w:t>La razón para su utilización</w:t>
      </w:r>
      <w:r w:rsidRPr="002B3067">
        <w:rPr>
          <w:bCs/>
          <w:lang w:val="es-ES_tradnl"/>
        </w:rPr>
        <w:t xml:space="preserve"> es básicamente la inexistencia de una tasa de descuento social que esté siendo utilizada en los proyectos del sector público en materia de inversión social o inversión en infraestructura. Se consultaron diversas entidades y organismos del </w:t>
      </w:r>
      <w:r w:rsidR="008914A0" w:rsidRPr="002B3067">
        <w:rPr>
          <w:bCs/>
          <w:lang w:val="es-ES_tradnl"/>
        </w:rPr>
        <w:t>sector público de Brasil, y en todos los casos no fue posible obtener una tasa de descuento social que fuera utilizada de forma oficial en los estudios y planes de inversión.</w:t>
      </w:r>
      <w:r w:rsidR="007524B7" w:rsidRPr="00CF2FEC">
        <w:rPr>
          <w:rStyle w:val="FootnoteReference"/>
          <w:rFonts w:ascii="Times New Roman" w:hAnsi="Times New Roman"/>
          <w:lang w:val="es-ES_tradnl"/>
        </w:rPr>
        <w:footnoteReference w:id="7"/>
      </w:r>
    </w:p>
    <w:p w:rsidR="0002292D" w:rsidRDefault="0002292D" w:rsidP="00D85F7B">
      <w:pPr>
        <w:pStyle w:val="ListParagraph"/>
        <w:ind w:left="360"/>
      </w:pPr>
    </w:p>
    <w:p w:rsidR="0002292D" w:rsidRDefault="008914A0" w:rsidP="008914A0">
      <w:pPr>
        <w:pStyle w:val="ListParagraph"/>
        <w:numPr>
          <w:ilvl w:val="0"/>
          <w:numId w:val="14"/>
        </w:numPr>
        <w:ind w:left="567" w:hanging="567"/>
      </w:pPr>
      <w:r>
        <w:t xml:space="preserve">En el sector </w:t>
      </w:r>
      <w:r w:rsidRPr="008914A0">
        <w:rPr>
          <w:bCs/>
          <w:lang w:val="es-ES_tradnl"/>
        </w:rPr>
        <w:t>privado</w:t>
      </w:r>
      <w:r>
        <w:t xml:space="preserve">, las tasas de descuento oscilan entre el 4% y </w:t>
      </w:r>
      <w:r w:rsidR="004B2440">
        <w:t>12</w:t>
      </w:r>
      <w:r>
        <w:t>%, pero en estos casos los criterios de estimación de las tasas se basan, entre otros</w:t>
      </w:r>
      <w:r w:rsidR="004B2440">
        <w:t xml:space="preserve"> factores</w:t>
      </w:r>
      <w:r>
        <w:t>, en los costos de oportunidad de la inversión y en los riesgos implí</w:t>
      </w:r>
      <w:r w:rsidR="00FB3FE6">
        <w:t>citos</w:t>
      </w:r>
      <w:r w:rsidR="007524B7">
        <w:t xml:space="preserve"> (variaciones sobre las primas de riesgo)</w:t>
      </w:r>
      <w:r w:rsidR="00FB3FE6">
        <w:t xml:space="preserve">. </w:t>
      </w:r>
    </w:p>
    <w:p w:rsidR="00FB3FE6" w:rsidRDefault="00FB3FE6" w:rsidP="00FB3FE6">
      <w:pPr>
        <w:pStyle w:val="ListParagraph"/>
      </w:pPr>
    </w:p>
    <w:p w:rsidR="00FB3FE6" w:rsidRDefault="00FB3FE6" w:rsidP="008914A0">
      <w:pPr>
        <w:pStyle w:val="ListParagraph"/>
        <w:numPr>
          <w:ilvl w:val="0"/>
          <w:numId w:val="14"/>
        </w:numPr>
        <w:ind w:left="567" w:hanging="567"/>
      </w:pPr>
      <w:r>
        <w:t xml:space="preserve">Teniendo en cuenta todas estas circunstancias, finalmente se optó por utilizar la tasa de descuento </w:t>
      </w:r>
      <w:r w:rsidR="004B2440">
        <w:t xml:space="preserve">del 12%, </w:t>
      </w:r>
      <w:r>
        <w:t xml:space="preserve">que </w:t>
      </w:r>
      <w:r w:rsidR="004B2440">
        <w:t xml:space="preserve">es la que </w:t>
      </w:r>
      <w:r>
        <w:t>el Banco Interamericano de Desarrollo utiliza en sus proyectos en Brasil. Como se ha mencionado, el valor de esta tasa es elevado en relación con las tasas que se utiliz</w:t>
      </w:r>
      <w:r w:rsidR="004B2440">
        <w:t>an en otros países de la región</w:t>
      </w:r>
      <w:r>
        <w:t>.</w:t>
      </w:r>
    </w:p>
    <w:p w:rsidR="008914A0" w:rsidRDefault="008914A0" w:rsidP="008914A0">
      <w:pPr>
        <w:pStyle w:val="ListParagraph"/>
      </w:pPr>
    </w:p>
    <w:p w:rsidR="0002292D" w:rsidRDefault="0002292D" w:rsidP="00D85F7B">
      <w:pPr>
        <w:pStyle w:val="ListParagraph"/>
        <w:ind w:left="360"/>
      </w:pPr>
    </w:p>
    <w:p w:rsidR="0002292D" w:rsidRDefault="00103D3A" w:rsidP="00E80005">
      <w:pPr>
        <w:pStyle w:val="Heading1"/>
      </w:pPr>
      <w:bookmarkStart w:id="23" w:name="_Toc303885509"/>
      <w:bookmarkStart w:id="24" w:name="_Toc298005489"/>
      <w:r>
        <w:t>Beneficios económicos</w:t>
      </w:r>
      <w:bookmarkEnd w:id="23"/>
      <w:bookmarkEnd w:id="24"/>
    </w:p>
    <w:p w:rsidR="008E7ED5" w:rsidRPr="00180945" w:rsidRDefault="00215726" w:rsidP="00180945">
      <w:pPr>
        <w:pStyle w:val="Heading2"/>
      </w:pPr>
      <w:bookmarkStart w:id="25" w:name="_Toc303885510"/>
      <w:bookmarkStart w:id="26" w:name="_Toc298005490"/>
      <w:r w:rsidRPr="00180945">
        <w:t xml:space="preserve">Identificación </w:t>
      </w:r>
      <w:r w:rsidR="008E7ED5" w:rsidRPr="00180945">
        <w:t>de los beneficios</w:t>
      </w:r>
      <w:bookmarkEnd w:id="25"/>
      <w:bookmarkEnd w:id="26"/>
    </w:p>
    <w:p w:rsidR="00215726" w:rsidRDefault="00215726" w:rsidP="00215726">
      <w:pPr>
        <w:pStyle w:val="ListParagraph"/>
        <w:numPr>
          <w:ilvl w:val="0"/>
          <w:numId w:val="14"/>
        </w:numPr>
        <w:ind w:left="567" w:hanging="567"/>
      </w:pPr>
      <w:r>
        <w:t xml:space="preserve">Pueden identificarse los siguientes </w:t>
      </w:r>
      <w:r w:rsidRPr="00180945">
        <w:rPr>
          <w:i/>
        </w:rPr>
        <w:t>beneficios directos</w:t>
      </w:r>
      <w:r>
        <w:t xml:space="preserve"> derivados del programa BID</w:t>
      </w:r>
      <w:r w:rsidR="00180945">
        <w:t xml:space="preserve"> </w:t>
      </w:r>
      <w:r w:rsidR="0015617B">
        <w:t xml:space="preserve">y </w:t>
      </w:r>
      <w:r w:rsidR="00180945">
        <w:t xml:space="preserve">susceptibles de ser incorporados al análisis del beneficio </w:t>
      </w:r>
      <w:r w:rsidR="0015617B">
        <w:t xml:space="preserve">(ACB) </w:t>
      </w:r>
      <w:r w:rsidR="00180945">
        <w:t>en función del costo</w:t>
      </w:r>
      <w:r>
        <w:t>:</w:t>
      </w:r>
    </w:p>
    <w:p w:rsidR="00215726" w:rsidRDefault="00215726" w:rsidP="00215726"/>
    <w:p w:rsidR="00215726" w:rsidRDefault="00215726" w:rsidP="007E0EE5">
      <w:pPr>
        <w:pStyle w:val="ListParagraph"/>
        <w:numPr>
          <w:ilvl w:val="0"/>
          <w:numId w:val="27"/>
        </w:numPr>
      </w:pPr>
      <w:r>
        <w:t xml:space="preserve">Ingresos para el Fisco por la mejora de la cobranza de deudas de las agencias y fundaciones públicas (PGF). </w:t>
      </w:r>
      <w:r w:rsidR="00956CF0">
        <w:t xml:space="preserve">Los datos </w:t>
      </w:r>
      <w:r w:rsidR="00180945">
        <w:t>disponible</w:t>
      </w:r>
      <w:r w:rsidR="00956CF0">
        <w:t>s en los sistemas de información de la AGU</w:t>
      </w:r>
      <w:r w:rsidR="00180945">
        <w:t xml:space="preserve"> </w:t>
      </w:r>
      <w:r w:rsidR="00956CF0">
        <w:t xml:space="preserve">son </w:t>
      </w:r>
      <w:r w:rsidR="00180945">
        <w:t>suficientemente sólid</w:t>
      </w:r>
      <w:r w:rsidR="00956CF0">
        <w:t>os</w:t>
      </w:r>
      <w:r w:rsidR="00180945">
        <w:t xml:space="preserve"> como para poder incorporar esta variable al análisis</w:t>
      </w:r>
      <w:r w:rsidR="00256DBA">
        <w:t>, y tiene estrecha relación con los indicadores de impacto y resultados de la matriz de resultados</w:t>
      </w:r>
      <w:r w:rsidR="00180945">
        <w:t xml:space="preserve">. Para los detalles </w:t>
      </w:r>
      <w:r w:rsidR="00956CF0">
        <w:t xml:space="preserve">sobre los supuestos en que se basa, </w:t>
      </w:r>
      <w:r w:rsidR="00180945">
        <w:t xml:space="preserve">ver la sección </w:t>
      </w:r>
      <w:r w:rsidR="00D857C2">
        <w:fldChar w:fldCharType="begin"/>
      </w:r>
      <w:r w:rsidR="00180945">
        <w:instrText xml:space="preserve"> REF _Ref294198252 \r \h </w:instrText>
      </w:r>
      <w:r w:rsidR="00D857C2">
        <w:fldChar w:fldCharType="separate"/>
      </w:r>
      <w:r w:rsidR="00D54D08">
        <w:t>3.2</w:t>
      </w:r>
      <w:r w:rsidR="00D857C2">
        <w:fldChar w:fldCharType="end"/>
      </w:r>
      <w:r w:rsidR="00180945">
        <w:t>. a) más adelante.</w:t>
      </w:r>
    </w:p>
    <w:p w:rsidR="00180945" w:rsidRDefault="00180945" w:rsidP="007E0EE5">
      <w:pPr>
        <w:pStyle w:val="ListParagraph"/>
        <w:numPr>
          <w:ilvl w:val="0"/>
          <w:numId w:val="27"/>
        </w:numPr>
      </w:pPr>
      <w:r>
        <w:t xml:space="preserve">Ingresos </w:t>
      </w:r>
      <w:r w:rsidR="00D9141E">
        <w:t xml:space="preserve">para el Fisco </w:t>
      </w:r>
      <w:r>
        <w:t xml:space="preserve">por recuperación de patrimonio del Estado en casos de corrupción (DPP/PGU). La información que entrega la AGU permite </w:t>
      </w:r>
      <w:r w:rsidR="00256DBA">
        <w:t xml:space="preserve">la inclusión </w:t>
      </w:r>
      <w:r w:rsidR="0015617B">
        <w:t xml:space="preserve">de estos datos </w:t>
      </w:r>
      <w:r w:rsidR="00256DBA">
        <w:t xml:space="preserve">en la matriz de resultados y </w:t>
      </w:r>
      <w:r>
        <w:t xml:space="preserve">su </w:t>
      </w:r>
      <w:r w:rsidR="00256DBA">
        <w:t xml:space="preserve">posterior </w:t>
      </w:r>
      <w:r>
        <w:t>monetizaci</w:t>
      </w:r>
      <w:r w:rsidR="00256DBA">
        <w:t>ón. P</w:t>
      </w:r>
      <w:r>
        <w:t xml:space="preserve">or tanto, se incorpora al análisis. En la sección </w:t>
      </w:r>
      <w:r w:rsidR="00D857C2">
        <w:fldChar w:fldCharType="begin"/>
      </w:r>
      <w:r>
        <w:instrText xml:space="preserve"> REF _Ref294198252 \r \h </w:instrText>
      </w:r>
      <w:r w:rsidR="00D857C2">
        <w:fldChar w:fldCharType="separate"/>
      </w:r>
      <w:r w:rsidR="00D54D08">
        <w:t>3.2</w:t>
      </w:r>
      <w:r w:rsidR="00D857C2">
        <w:fldChar w:fldCharType="end"/>
      </w:r>
      <w:r>
        <w:t>. b) pueden consultarse los criterios utilizados en su estimación.</w:t>
      </w:r>
    </w:p>
    <w:p w:rsidR="00D9141E" w:rsidRPr="002B3067" w:rsidRDefault="00D9141E" w:rsidP="007E0EE5">
      <w:pPr>
        <w:pStyle w:val="ListParagraph"/>
        <w:numPr>
          <w:ilvl w:val="0"/>
          <w:numId w:val="27"/>
        </w:numPr>
      </w:pPr>
      <w:r w:rsidRPr="002B3067">
        <w:t xml:space="preserve">Economías para el Fisco por reparaciones e indemnizaciones a </w:t>
      </w:r>
      <w:r w:rsidR="00956CF0" w:rsidRPr="002B3067">
        <w:t xml:space="preserve">no </w:t>
      </w:r>
      <w:r w:rsidRPr="002B3067">
        <w:t xml:space="preserve">pagar como consecuencia de fallos favorables en los tribunales. Este indicador no puede utilizarse </w:t>
      </w:r>
      <w:r w:rsidR="0015617B" w:rsidRPr="002B3067">
        <w:t xml:space="preserve">en el ACB </w:t>
      </w:r>
      <w:r w:rsidRPr="002B3067">
        <w:t xml:space="preserve">al no </w:t>
      </w:r>
      <w:r w:rsidRPr="002B3067">
        <w:lastRenderedPageBreak/>
        <w:t xml:space="preserve">disponerse de la información básica para </w:t>
      </w:r>
      <w:r w:rsidR="00674D80" w:rsidRPr="002B3067">
        <w:t>la construcción del modelo causal y su posterior monetización</w:t>
      </w:r>
      <w:r w:rsidRPr="002B3067">
        <w:t>.</w:t>
      </w:r>
      <w:r w:rsidRPr="00CF2FEC">
        <w:rPr>
          <w:rStyle w:val="FootnoteReference"/>
          <w:rFonts w:ascii="Times New Roman" w:hAnsi="Times New Roman"/>
        </w:rPr>
        <w:footnoteReference w:id="8"/>
      </w:r>
    </w:p>
    <w:p w:rsidR="00D9141E" w:rsidRDefault="00D9141E" w:rsidP="007E0EE5">
      <w:pPr>
        <w:pStyle w:val="ListParagraph"/>
        <w:numPr>
          <w:ilvl w:val="0"/>
          <w:numId w:val="27"/>
        </w:numPr>
      </w:pPr>
      <w:r>
        <w:t xml:space="preserve">Economías para el Fisco como consecuencia de las acciones de prevención del daño anti-jurídico. </w:t>
      </w:r>
      <w:r w:rsidR="00674D80">
        <w:t xml:space="preserve">Este indicador no puede utilizarse </w:t>
      </w:r>
      <w:r w:rsidR="0015617B">
        <w:t xml:space="preserve">en el ACB </w:t>
      </w:r>
      <w:r w:rsidR="00674D80">
        <w:t>al no estar disponible la información básica para la especificación del modelo causal, su estimación y posterior monetización.</w:t>
      </w:r>
    </w:p>
    <w:p w:rsidR="001F1594" w:rsidRDefault="001F1594" w:rsidP="007E0EE5">
      <w:pPr>
        <w:pStyle w:val="ListParagraph"/>
        <w:numPr>
          <w:ilvl w:val="0"/>
          <w:numId w:val="27"/>
        </w:numPr>
      </w:pPr>
      <w:r>
        <w:t>Economías para el Fisco como consecuencia de la adopci</w:t>
      </w:r>
      <w:r w:rsidR="00256DBA">
        <w:t>ón de estrategias de conciliación previa. Este indicador no puede utilizarse al no estar disponible la información básica para la especificación del modelo causal, su estimación y posterior monetización.</w:t>
      </w:r>
    </w:p>
    <w:p w:rsidR="00215726" w:rsidRDefault="00215726" w:rsidP="00215726"/>
    <w:p w:rsidR="001F1594" w:rsidRDefault="00596718" w:rsidP="00596718">
      <w:pPr>
        <w:pStyle w:val="ListParagraph"/>
        <w:numPr>
          <w:ilvl w:val="0"/>
          <w:numId w:val="14"/>
        </w:numPr>
        <w:ind w:left="567" w:hanging="567"/>
      </w:pPr>
      <w:r>
        <w:t xml:space="preserve">Además de estos beneficios directos, pueden identificarse los siguientes efectos </w:t>
      </w:r>
      <w:r w:rsidRPr="00596718">
        <w:rPr>
          <w:i/>
        </w:rPr>
        <w:t>indirectos</w:t>
      </w:r>
      <w:r w:rsidR="0015617B">
        <w:t xml:space="preserve"> positivos</w:t>
      </w:r>
      <w:r>
        <w:t xml:space="preserve">: </w:t>
      </w:r>
    </w:p>
    <w:p w:rsidR="00215726" w:rsidRDefault="00215726" w:rsidP="00215726"/>
    <w:p w:rsidR="0015617B" w:rsidRDefault="00163DCB" w:rsidP="007E0EE5">
      <w:pPr>
        <w:pStyle w:val="ListParagraph"/>
        <w:numPr>
          <w:ilvl w:val="0"/>
          <w:numId w:val="28"/>
        </w:numPr>
      </w:pPr>
      <w:r>
        <w:t xml:space="preserve">La ejecución del cobro efectivo de las deudas, así como la recuperación patrimonial en los casos de improbidad, </w:t>
      </w:r>
      <w:r w:rsidR="003861F0">
        <w:t>permite</w:t>
      </w:r>
      <w:r w:rsidR="00956CF0">
        <w:t>n</w:t>
      </w:r>
      <w:r w:rsidR="003861F0">
        <w:t xml:space="preserve"> generar</w:t>
      </w:r>
      <w:r>
        <w:t xml:space="preserve"> una percepción real de riesgo, frente a la percepción </w:t>
      </w:r>
      <w:r w:rsidR="00552102">
        <w:t xml:space="preserve">actual </w:t>
      </w:r>
      <w:r>
        <w:t xml:space="preserve">de impunidad. Muchas de las sanciones </w:t>
      </w:r>
      <w:r w:rsidR="00552102">
        <w:t>incluidas en la</w:t>
      </w:r>
      <w:r>
        <w:t xml:space="preserve"> posición acreedora de las agencias y fundaciones públicas</w:t>
      </w:r>
      <w:r w:rsidR="00552102">
        <w:t xml:space="preserve">, y por tanto susceptibles de cobranza ejecutiva, provienen de incumplimientos de las normas que afectan a las condiciones de competencia en determinados mercados regulados (telecomunicaciones, por ejemplo). </w:t>
      </w:r>
      <w:r w:rsidR="003861F0">
        <w:t xml:space="preserve">En ausencia de sanciones, </w:t>
      </w:r>
      <w:r w:rsidR="0059368A">
        <w:t xml:space="preserve">cabe esperar que </w:t>
      </w:r>
      <w:r w:rsidR="00956CF0">
        <w:t>algunos</w:t>
      </w:r>
      <w:r w:rsidR="003861F0">
        <w:t xml:space="preserve"> agentes </w:t>
      </w:r>
      <w:r w:rsidR="00956CF0">
        <w:t xml:space="preserve">de esos mercados puedan </w:t>
      </w:r>
      <w:r w:rsidR="003861F0">
        <w:t>tratar de aprovechar el costo cero que supone quebrar las regulaciones del merca</w:t>
      </w:r>
      <w:r w:rsidR="0059368A">
        <w:t xml:space="preserve">do, perjudicando </w:t>
      </w:r>
      <w:r w:rsidR="00552102">
        <w:t xml:space="preserve">a aquellos agentes </w:t>
      </w:r>
      <w:r w:rsidR="003861F0">
        <w:t>cumplidores</w:t>
      </w:r>
      <w:r w:rsidR="00552102">
        <w:t xml:space="preserve"> con</w:t>
      </w:r>
      <w:r w:rsidR="0059368A">
        <w:t xml:space="preserve"> las condiciones de regulación. </w:t>
      </w:r>
    </w:p>
    <w:p w:rsidR="0015617B" w:rsidRDefault="0015617B" w:rsidP="0015617B">
      <w:pPr>
        <w:pStyle w:val="ListParagraph"/>
        <w:ind w:left="1287"/>
      </w:pPr>
    </w:p>
    <w:p w:rsidR="00552102" w:rsidRDefault="00AA6BC7" w:rsidP="0015617B">
      <w:pPr>
        <w:ind w:left="1287"/>
      </w:pPr>
      <w:r>
        <w:t xml:space="preserve">Similar consideración se puede hacer en el caso de </w:t>
      </w:r>
      <w:r w:rsidR="00552102">
        <w:t>las sanciones por infracc</w:t>
      </w:r>
      <w:r>
        <w:t xml:space="preserve">iones en materia medioambiental, </w:t>
      </w:r>
      <w:r w:rsidR="003D4885">
        <w:t>de cuya vigilancia y supervisión tienen competencia directa determinadas</w:t>
      </w:r>
      <w:r>
        <w:t xml:space="preserve"> agencias del Ejecutivo </w:t>
      </w:r>
      <w:r w:rsidR="003D4885">
        <w:t>(IBAMA, por ejemplo)</w:t>
      </w:r>
      <w:r w:rsidR="00956CF0">
        <w:t xml:space="preserve"> y cuya gestión judicial </w:t>
      </w:r>
      <w:r w:rsidR="00FC1E77">
        <w:t xml:space="preserve">y cobranza de las sanciones </w:t>
      </w:r>
      <w:r w:rsidR="00956CF0">
        <w:t>recae en la AGU</w:t>
      </w:r>
      <w:r w:rsidR="003D4885">
        <w:t>.</w:t>
      </w:r>
      <w:r w:rsidR="00552102">
        <w:t xml:space="preserve"> </w:t>
      </w:r>
      <w:r w:rsidR="00FC1E77">
        <w:t>Por tanto</w:t>
      </w:r>
      <w:r w:rsidR="004357A9">
        <w:t xml:space="preserve">, </w:t>
      </w:r>
      <w:r w:rsidR="00FC1E77">
        <w:t xml:space="preserve">pueden estar </w:t>
      </w:r>
      <w:r w:rsidR="00147C5B">
        <w:t>generándose</w:t>
      </w:r>
      <w:r w:rsidR="00FC1E77">
        <w:t xml:space="preserve"> externalidades negativas sobre bienes públicos altamente valorados (ecosistemas frágiles, aire no contaminado en las grandes ciudades, por ejemplo) como consecuencia de </w:t>
      </w:r>
      <w:r w:rsidR="003D4885">
        <w:t xml:space="preserve">una </w:t>
      </w:r>
      <w:r w:rsidR="004357A9">
        <w:t xml:space="preserve">escasa percepción de riesgo por parte de </w:t>
      </w:r>
      <w:r w:rsidR="009F0167">
        <w:t>determinados</w:t>
      </w:r>
      <w:r w:rsidR="004357A9">
        <w:t xml:space="preserve"> agentes</w:t>
      </w:r>
      <w:r w:rsidR="009F0167">
        <w:t>.</w:t>
      </w:r>
    </w:p>
    <w:p w:rsidR="009F0167" w:rsidRDefault="009F0167" w:rsidP="009F0167"/>
    <w:p w:rsidR="009F0167" w:rsidRDefault="009F0167" w:rsidP="009F0167">
      <w:pPr>
        <w:ind w:left="1287"/>
      </w:pPr>
      <w:r>
        <w:t>Sin embargo, estos efectos indirectos son de difícil medición. Básicamente el problema principal radicaría en establecer un modelo causal consistente entre ejecución de sanciones</w:t>
      </w:r>
      <w:r w:rsidR="0015617B">
        <w:t xml:space="preserve"> por parte de la AGU</w:t>
      </w:r>
      <w:r>
        <w:t xml:space="preserve">, percepción de riesgo </w:t>
      </w:r>
      <w:r w:rsidR="0015617B">
        <w:t xml:space="preserve">entre los agentes </w:t>
      </w:r>
      <w:r>
        <w:t>y comportamiento probable de los agentes. Por esta razón, no se ha incorporado este beneficio potencial al análisis costo-beneficio.</w:t>
      </w:r>
    </w:p>
    <w:p w:rsidR="00552102" w:rsidRDefault="00552102" w:rsidP="0059368A">
      <w:pPr>
        <w:pStyle w:val="ListParagraph"/>
        <w:ind w:left="1287"/>
      </w:pPr>
    </w:p>
    <w:p w:rsidR="0059368A" w:rsidRDefault="009F0167" w:rsidP="007E0EE5">
      <w:pPr>
        <w:pStyle w:val="ListParagraph"/>
        <w:numPr>
          <w:ilvl w:val="0"/>
          <w:numId w:val="28"/>
        </w:numPr>
      </w:pPr>
      <w:r>
        <w:t xml:space="preserve">Otro efecto indirecto </w:t>
      </w:r>
      <w:r w:rsidR="0015617B">
        <w:t xml:space="preserve">positivo </w:t>
      </w:r>
      <w:r>
        <w:t xml:space="preserve">del programa BID </w:t>
      </w:r>
      <w:r w:rsidR="009F65A0">
        <w:t xml:space="preserve">está relacionado con </w:t>
      </w:r>
      <w:r w:rsidR="008B730E">
        <w:t xml:space="preserve">la mejora en la cobranza de las deudas tributarias y de las sanciones a las entidades bancarias, responsabilidad de la </w:t>
      </w:r>
      <w:r w:rsidR="008B730E">
        <w:rPr>
          <w:lang w:val="es-ES_tradnl"/>
        </w:rPr>
        <w:t xml:space="preserve">Procuraduría General de la Hacienda Nacional (PGFN) </w:t>
      </w:r>
      <w:r w:rsidR="008B730E">
        <w:t>y de la Procuraduría General del Banco Central (PGBC), respectivamente. L</w:t>
      </w:r>
      <w:r w:rsidR="008B730E">
        <w:rPr>
          <w:lang w:val="es-ES_tradnl"/>
        </w:rPr>
        <w:t>a PGFN está integrada en la estructura orgánica del Ministerio de Hacienda pero sobre la que la AGU ejerce la supervisión técnica</w:t>
      </w:r>
      <w:r w:rsidR="00AD190A">
        <w:rPr>
          <w:lang w:val="es-ES_tradnl"/>
        </w:rPr>
        <w:t xml:space="preserve"> en materia de defensa jurídica y </w:t>
      </w:r>
      <w:r w:rsidR="00AE3302">
        <w:rPr>
          <w:lang w:val="es-ES_tradnl"/>
        </w:rPr>
        <w:t>asesoramiento legal</w:t>
      </w:r>
      <w:r w:rsidR="008B730E">
        <w:rPr>
          <w:lang w:val="es-ES_tradnl"/>
        </w:rPr>
        <w:t>. Este órgano podría haberse incorporado al ACB, dado que va a poder beneficiarse de algunas de las actividades previstas en el proyecto BID</w:t>
      </w:r>
      <w:r w:rsidR="00AE3302">
        <w:rPr>
          <w:lang w:val="es-ES_tradnl"/>
        </w:rPr>
        <w:t xml:space="preserve"> (sistema de gestión de deuda activa)</w:t>
      </w:r>
      <w:r w:rsidR="008B730E">
        <w:rPr>
          <w:lang w:val="es-ES_tradnl"/>
        </w:rPr>
        <w:t>, pero se ha considerado más conveniente no hacerlo dadas las incertidumbres que existen sobre su definitivo encaje institucional. Otro tanto puede mencionarse de la PGBC</w:t>
      </w:r>
      <w:r w:rsidR="008B3F16">
        <w:rPr>
          <w:lang w:val="es-ES_tradnl"/>
        </w:rPr>
        <w:t xml:space="preserve">, que aunque organizativamente está inserta en </w:t>
      </w:r>
      <w:r w:rsidR="00B72716">
        <w:rPr>
          <w:lang w:val="es-ES_tradnl"/>
        </w:rPr>
        <w:t xml:space="preserve">el Banco Central, la AGU ejerce las funciones de </w:t>
      </w:r>
      <w:r w:rsidR="00B72716">
        <w:rPr>
          <w:lang w:val="es-ES_tradnl"/>
        </w:rPr>
        <w:lastRenderedPageBreak/>
        <w:t>seguimiento técnico</w:t>
      </w:r>
      <w:r w:rsidR="008B730E">
        <w:rPr>
          <w:lang w:val="es-ES_tradnl"/>
        </w:rPr>
        <w:t>. En ambos casos, productos del programa BID van a poder ser incorporados al modelo de gestión de estas dos instituciones, s</w:t>
      </w:r>
      <w:r w:rsidR="00B72716">
        <w:rPr>
          <w:lang w:val="es-ES_tradnl"/>
        </w:rPr>
        <w:t>i</w:t>
      </w:r>
      <w:r w:rsidR="008B730E">
        <w:rPr>
          <w:lang w:val="es-ES_tradnl"/>
        </w:rPr>
        <w:t>n costos adicionales.</w:t>
      </w:r>
    </w:p>
    <w:p w:rsidR="0059368A" w:rsidRDefault="0059368A" w:rsidP="0059368A">
      <w:pPr>
        <w:pStyle w:val="ListParagraph"/>
        <w:ind w:left="1287"/>
      </w:pPr>
    </w:p>
    <w:p w:rsidR="0002292D" w:rsidRDefault="00B72716" w:rsidP="00FB3FE6">
      <w:pPr>
        <w:pStyle w:val="ListParagraph"/>
        <w:numPr>
          <w:ilvl w:val="0"/>
          <w:numId w:val="14"/>
        </w:numPr>
        <w:ind w:left="567" w:hanging="567"/>
      </w:pPr>
      <w:r>
        <w:t>Teniendo en cuenta estos elementos</w:t>
      </w:r>
      <w:r w:rsidR="008B730E">
        <w:t xml:space="preserve">, los indicadores directamente relacionados con la matriz de resultados, y que </w:t>
      </w:r>
      <w:r>
        <w:t>son seleccionados para su</w:t>
      </w:r>
      <w:r w:rsidR="008B730E">
        <w:t xml:space="preserve"> </w:t>
      </w:r>
      <w:r>
        <w:t xml:space="preserve">monetización </w:t>
      </w:r>
      <w:r w:rsidR="008B730E">
        <w:t>en el marco del análisis costo-beneficio, son los siguientes</w:t>
      </w:r>
      <w:r w:rsidR="00FB3FE6">
        <w:t>:</w:t>
      </w:r>
    </w:p>
    <w:p w:rsidR="00FB3FE6" w:rsidRDefault="00FB3FE6" w:rsidP="00FB3FE6"/>
    <w:p w:rsidR="00FB3FE6" w:rsidRDefault="007F442B" w:rsidP="007E0EE5">
      <w:pPr>
        <w:pStyle w:val="ListParagraph"/>
        <w:numPr>
          <w:ilvl w:val="0"/>
          <w:numId w:val="17"/>
        </w:numPr>
        <w:ind w:left="1134" w:hanging="567"/>
      </w:pPr>
      <w:r>
        <w:t>Cobranza</w:t>
      </w:r>
      <w:r w:rsidR="008B730E" w:rsidRPr="008B730E">
        <w:rPr>
          <w:b/>
        </w:rPr>
        <w:t xml:space="preserve"> </w:t>
      </w:r>
      <w:r w:rsidR="008B730E" w:rsidRPr="008B730E">
        <w:t>de deudas</w:t>
      </w:r>
      <w:r w:rsidR="008B730E">
        <w:t xml:space="preserve"> de agencias y fundaciones públicas</w:t>
      </w:r>
      <w:r w:rsidR="00B72716">
        <w:t xml:space="preserve"> (PFG)</w:t>
      </w:r>
      <w:r w:rsidR="00FB3FE6">
        <w:t>;</w:t>
      </w:r>
      <w:r w:rsidR="00CF002C">
        <w:t xml:space="preserve"> y</w:t>
      </w:r>
    </w:p>
    <w:p w:rsidR="00FB3FE6" w:rsidRDefault="00FB3FE6" w:rsidP="007E0EE5">
      <w:pPr>
        <w:pStyle w:val="ListParagraph"/>
        <w:numPr>
          <w:ilvl w:val="0"/>
          <w:numId w:val="17"/>
        </w:numPr>
        <w:ind w:left="1134" w:hanging="567"/>
      </w:pPr>
      <w:r>
        <w:t>Recuperación de patrimonio del Estado en casos de corrupción</w:t>
      </w:r>
      <w:r w:rsidR="00CF002C">
        <w:t xml:space="preserve"> (DPP/PGU)</w:t>
      </w:r>
      <w:r>
        <w:t>.</w:t>
      </w:r>
    </w:p>
    <w:p w:rsidR="00FB3FE6" w:rsidRDefault="00FB3FE6" w:rsidP="00FB3FE6"/>
    <w:p w:rsidR="00F81619" w:rsidRDefault="00F81619" w:rsidP="00F81619">
      <w:pPr>
        <w:pStyle w:val="ListParagraph"/>
        <w:numPr>
          <w:ilvl w:val="0"/>
          <w:numId w:val="14"/>
        </w:numPr>
        <w:ind w:left="567" w:hanging="567"/>
      </w:pPr>
      <w:r>
        <w:t>A continuación se describe el proceso para estimar el valor m</w:t>
      </w:r>
      <w:r w:rsidR="004B1F98">
        <w:t>onetario de los indicadores</w:t>
      </w:r>
      <w:r w:rsidR="00114ABF">
        <w:t xml:space="preserve"> de beneficios</w:t>
      </w:r>
      <w:r w:rsidR="004B1F98">
        <w:t xml:space="preserve"> </w:t>
      </w:r>
      <w:r w:rsidR="00114ABF">
        <w:t>finalmente seleccionados</w:t>
      </w:r>
      <w:r w:rsidR="004B1F98">
        <w:t>.</w:t>
      </w:r>
    </w:p>
    <w:p w:rsidR="00F81619" w:rsidRDefault="00F81619" w:rsidP="00FB3FE6"/>
    <w:p w:rsidR="008E7ED5" w:rsidRDefault="008E7ED5" w:rsidP="00FB3FE6"/>
    <w:p w:rsidR="008E7ED5" w:rsidRDefault="008E7ED5" w:rsidP="00180945">
      <w:pPr>
        <w:pStyle w:val="Heading2"/>
      </w:pPr>
      <w:bookmarkStart w:id="27" w:name="_Ref294198252"/>
      <w:bookmarkStart w:id="28" w:name="_Toc298005491"/>
      <w:bookmarkStart w:id="29" w:name="_Toc303885511"/>
      <w:r>
        <w:t xml:space="preserve">Beneficios </w:t>
      </w:r>
      <w:bookmarkEnd w:id="27"/>
      <w:bookmarkEnd w:id="28"/>
      <w:r w:rsidR="004753C4">
        <w:t>estimados</w:t>
      </w:r>
      <w:r w:rsidR="00F022D3">
        <w:t>: supuestos de partida</w:t>
      </w:r>
      <w:bookmarkEnd w:id="29"/>
    </w:p>
    <w:p w:rsidR="008C2CED" w:rsidRDefault="001D7104">
      <w:pPr>
        <w:pStyle w:val="Heading3"/>
      </w:pPr>
      <w:bookmarkStart w:id="30" w:name="_Toc303872203"/>
      <w:bookmarkStart w:id="31" w:name="_Toc303872358"/>
      <w:bookmarkStart w:id="32" w:name="_Toc303885367"/>
      <w:bookmarkStart w:id="33" w:name="_Toc303885512"/>
      <w:bookmarkStart w:id="34" w:name="_Toc303872204"/>
      <w:bookmarkStart w:id="35" w:name="_Toc303872359"/>
      <w:bookmarkStart w:id="36" w:name="_Toc303885368"/>
      <w:bookmarkStart w:id="37" w:name="_Toc303885513"/>
      <w:bookmarkStart w:id="38" w:name="_Ref303769243"/>
      <w:bookmarkStart w:id="39" w:name="_Toc303885514"/>
      <w:bookmarkEnd w:id="30"/>
      <w:bookmarkEnd w:id="31"/>
      <w:bookmarkEnd w:id="32"/>
      <w:bookmarkEnd w:id="33"/>
      <w:bookmarkEnd w:id="34"/>
      <w:bookmarkEnd w:id="35"/>
      <w:bookmarkEnd w:id="36"/>
      <w:bookmarkEnd w:id="37"/>
      <w:r w:rsidRPr="00CF2FEC">
        <w:t>Cobranza de deudas</w:t>
      </w:r>
      <w:r w:rsidR="00AB5D0D" w:rsidRPr="00AB5D0D">
        <w:t xml:space="preserve">: </w:t>
      </w:r>
      <w:r w:rsidRPr="00F022D3">
        <w:t>alternativa</w:t>
      </w:r>
      <w:r w:rsidR="00B51192" w:rsidRPr="00CF2FEC">
        <w:t xml:space="preserve"> BID</w:t>
      </w:r>
      <w:bookmarkEnd w:id="38"/>
      <w:bookmarkEnd w:id="39"/>
    </w:p>
    <w:p w:rsidR="00811446" w:rsidRPr="002B3067" w:rsidRDefault="00FB3FE6" w:rsidP="00811446">
      <w:pPr>
        <w:pStyle w:val="ListParagraph"/>
        <w:numPr>
          <w:ilvl w:val="0"/>
          <w:numId w:val="14"/>
        </w:numPr>
        <w:ind w:left="567" w:hanging="567"/>
      </w:pPr>
      <w:r w:rsidRPr="002B3067">
        <w:t xml:space="preserve">En el primer </w:t>
      </w:r>
      <w:r w:rsidR="0015617B" w:rsidRPr="002B3067">
        <w:t>indicador seleccionado</w:t>
      </w:r>
      <w:r w:rsidR="00CF002C" w:rsidRPr="002B3067">
        <w:t>,</w:t>
      </w:r>
      <w:r w:rsidRPr="002B3067">
        <w:t xml:space="preserve"> </w:t>
      </w:r>
      <w:r w:rsidR="00CF002C" w:rsidRPr="002B3067">
        <w:t>cobranza de deudas,</w:t>
      </w:r>
      <w:r w:rsidR="007F442B" w:rsidRPr="002B3067">
        <w:t xml:space="preserve"> </w:t>
      </w:r>
      <w:r w:rsidRPr="002B3067">
        <w:t>se ha partido de la i</w:t>
      </w:r>
      <w:r w:rsidR="00F81619" w:rsidRPr="002B3067">
        <w:t xml:space="preserve">nformación disponible en el Sistema </w:t>
      </w:r>
      <w:r w:rsidR="008B730E" w:rsidRPr="002B3067">
        <w:t xml:space="preserve">Único </w:t>
      </w:r>
      <w:r w:rsidR="00F81619" w:rsidRPr="002B3067">
        <w:t>de Deuda Activa gestionado por la PGF</w:t>
      </w:r>
      <w:r w:rsidR="00657757" w:rsidRPr="002B3067">
        <w:t>/</w:t>
      </w:r>
      <w:r w:rsidR="0015682F" w:rsidRPr="002B3067">
        <w:t>AGU</w:t>
      </w:r>
      <w:r w:rsidR="0015617B" w:rsidRPr="002B3067">
        <w:t>. E</w:t>
      </w:r>
      <w:r w:rsidR="00F81619" w:rsidRPr="002B3067">
        <w:t xml:space="preserve">n </w:t>
      </w:r>
      <w:r w:rsidR="0015617B" w:rsidRPr="002B3067">
        <w:t>este sistema, aún en proceso de desarrollo e implementación,</w:t>
      </w:r>
      <w:r w:rsidR="00F81619" w:rsidRPr="002B3067">
        <w:t xml:space="preserve"> está inscrita la</w:t>
      </w:r>
      <w:r w:rsidRPr="002B3067">
        <w:t xml:space="preserve"> deuda </w:t>
      </w:r>
      <w:r w:rsidR="0015617B" w:rsidRPr="002B3067">
        <w:t xml:space="preserve">de distintos agentes, públicos o privados, </w:t>
      </w:r>
      <w:r w:rsidR="00F81619" w:rsidRPr="002B3067">
        <w:t>con las agencias y fundaciones públicas</w:t>
      </w:r>
      <w:r w:rsidRPr="002B3067">
        <w:t>.</w:t>
      </w:r>
      <w:r w:rsidR="00D857C2" w:rsidRPr="00D857C2">
        <w:rPr>
          <w:rStyle w:val="FootnoteReference"/>
          <w:rFonts w:ascii="Times New Roman" w:hAnsi="Times New Roman"/>
        </w:rPr>
        <w:footnoteReference w:id="9"/>
      </w:r>
      <w:r w:rsidRPr="002B3067">
        <w:t xml:space="preserve"> </w:t>
      </w:r>
      <w:r w:rsidR="00F81619" w:rsidRPr="002B3067">
        <w:t>Estas deudas tienen distintos orígenes, que van desde sanciones impuestas por determinadas agencias reguladoras por contravención de normas</w:t>
      </w:r>
      <w:r w:rsidR="00527527" w:rsidRPr="002B3067">
        <w:t xml:space="preserve"> (en el mercado telefónico, </w:t>
      </w:r>
      <w:r w:rsidR="0015617B" w:rsidRPr="002B3067">
        <w:t xml:space="preserve">energético, </w:t>
      </w:r>
      <w:r w:rsidR="00527527" w:rsidRPr="002B3067">
        <w:t>por ejemplo)</w:t>
      </w:r>
      <w:r w:rsidR="00F81619" w:rsidRPr="002B3067">
        <w:t xml:space="preserve">, hasta multas establecidas por </w:t>
      </w:r>
      <w:r w:rsidR="00527527" w:rsidRPr="002B3067">
        <w:t>daño</w:t>
      </w:r>
      <w:r w:rsidR="00F81619" w:rsidRPr="002B3067">
        <w:t xml:space="preserve"> </w:t>
      </w:r>
      <w:r w:rsidR="00527527" w:rsidRPr="002B3067">
        <w:t>a</w:t>
      </w:r>
      <w:r w:rsidR="00AE5E6D" w:rsidRPr="002B3067">
        <w:t xml:space="preserve"> bienes públicos (medioambientales, por ejemplo).</w:t>
      </w:r>
      <w:r w:rsidR="00A41ED2" w:rsidRPr="002B3067">
        <w:t xml:space="preserve"> </w:t>
      </w:r>
    </w:p>
    <w:p w:rsidR="00811446" w:rsidRDefault="00811446" w:rsidP="00B462D2">
      <w:pPr>
        <w:pStyle w:val="ListParagraph"/>
        <w:ind w:left="567"/>
      </w:pPr>
    </w:p>
    <w:p w:rsidR="00E80005" w:rsidRDefault="00F81619" w:rsidP="00811446">
      <w:pPr>
        <w:pStyle w:val="ListParagraph"/>
        <w:numPr>
          <w:ilvl w:val="0"/>
          <w:numId w:val="14"/>
        </w:numPr>
        <w:ind w:left="567" w:hanging="567"/>
      </w:pPr>
      <w:r>
        <w:t xml:space="preserve">Lo que es importante señalar es que </w:t>
      </w:r>
      <w:r w:rsidR="0015617B">
        <w:t xml:space="preserve">desde el año 2007 </w:t>
      </w:r>
      <w:r>
        <w:t>c</w:t>
      </w:r>
      <w:r w:rsidR="00E80005">
        <w:t>ualquier acción de cobranza</w:t>
      </w:r>
      <w:r w:rsidR="00AE5E6D">
        <w:t xml:space="preserve"> es competencia de la PGF, como órgano </w:t>
      </w:r>
      <w:r w:rsidR="0015617B">
        <w:t xml:space="preserve">de la </w:t>
      </w:r>
      <w:r w:rsidR="00AE5E6D">
        <w:t>AGU, y</w:t>
      </w:r>
      <w:r w:rsidR="00E80005">
        <w:t xml:space="preserve"> requiere de forma expresa su registro en el mencionado </w:t>
      </w:r>
      <w:r w:rsidR="00AE5E6D">
        <w:t xml:space="preserve">Sistema </w:t>
      </w:r>
      <w:r w:rsidR="00843678">
        <w:t xml:space="preserve">Único </w:t>
      </w:r>
      <w:r w:rsidR="00AE5E6D">
        <w:t>de Deuda Activa</w:t>
      </w:r>
      <w:r w:rsidR="00843678">
        <w:t xml:space="preserve"> (SUDA)</w:t>
      </w:r>
      <w:r w:rsidR="00E80005">
        <w:t xml:space="preserve">. </w:t>
      </w:r>
      <w:r>
        <w:t>Una vez registrada la deuda</w:t>
      </w:r>
      <w:r w:rsidR="00E80005">
        <w:t xml:space="preserve">, pueden activarse los procedimientos </w:t>
      </w:r>
      <w:r w:rsidR="0015617B">
        <w:t xml:space="preserve">administrativos y judiciales </w:t>
      </w:r>
      <w:r w:rsidR="00E80005">
        <w:t>necesarios para efectuar su cobranza.</w:t>
      </w:r>
    </w:p>
    <w:p w:rsidR="00E80005" w:rsidRDefault="00E80005" w:rsidP="00E80005">
      <w:pPr>
        <w:pStyle w:val="ListParagraph"/>
        <w:ind w:left="567"/>
      </w:pPr>
    </w:p>
    <w:p w:rsidR="00E80005" w:rsidRDefault="00E80005" w:rsidP="00E80005">
      <w:pPr>
        <w:pStyle w:val="ListParagraph"/>
        <w:numPr>
          <w:ilvl w:val="0"/>
          <w:numId w:val="14"/>
        </w:numPr>
        <w:ind w:left="567" w:hanging="567"/>
      </w:pPr>
      <w:r>
        <w:t xml:space="preserve">En la actualidad, </w:t>
      </w:r>
      <w:r w:rsidR="00A41ED2">
        <w:t>el</w:t>
      </w:r>
      <w:r>
        <w:t xml:space="preserve"> </w:t>
      </w:r>
      <w:r w:rsidR="00A41ED2">
        <w:t xml:space="preserve">SUDA </w:t>
      </w:r>
      <w:r w:rsidR="00DA1FAB">
        <w:t xml:space="preserve">cubre una </w:t>
      </w:r>
      <w:r w:rsidR="0015682F">
        <w:t xml:space="preserve">reducida </w:t>
      </w:r>
      <w:r w:rsidR="00A41ED2">
        <w:t>fracción</w:t>
      </w:r>
      <w:r w:rsidR="00DA1FAB">
        <w:t xml:space="preserve"> de la totalidad de los órganos que forman parte del sector de agencias y fundaciones públicas</w:t>
      </w:r>
      <w:r w:rsidR="0015682F">
        <w:t xml:space="preserve"> y de la deuda </w:t>
      </w:r>
      <w:r w:rsidR="0015682F" w:rsidRPr="00B462D2">
        <w:rPr>
          <w:i/>
        </w:rPr>
        <w:t>real</w:t>
      </w:r>
      <w:r w:rsidR="0015682F">
        <w:t xml:space="preserve"> existente</w:t>
      </w:r>
      <w:r w:rsidR="00DA1FAB">
        <w:t>. Durante el año 2010</w:t>
      </w:r>
      <w:r w:rsidR="0015682F">
        <w:t>, coincidente con el proceso de formulación del programa BR-L1277,</w:t>
      </w:r>
      <w:r w:rsidR="00DA1FAB">
        <w:t xml:space="preserve"> se logró obtener información de 23 agencias y fundaciones, sobre un total de 156 instituciones existentes. </w:t>
      </w:r>
      <w:r w:rsidR="002943C0">
        <w:t xml:space="preserve">Estas dificultades para cubrir todo el universo de órganos </w:t>
      </w:r>
      <w:r w:rsidR="00811446">
        <w:t xml:space="preserve">son </w:t>
      </w:r>
      <w:r w:rsidR="002943C0">
        <w:t>en parte atribuible</w:t>
      </w:r>
      <w:r w:rsidR="00811446">
        <w:t>s</w:t>
      </w:r>
      <w:r w:rsidR="002943C0">
        <w:t xml:space="preserve"> a que fue en el año 2007 cuando </w:t>
      </w:r>
      <w:r w:rsidR="00527527">
        <w:t xml:space="preserve">se le </w:t>
      </w:r>
      <w:r w:rsidR="00811446">
        <w:t>asignó</w:t>
      </w:r>
      <w:r w:rsidR="00527527">
        <w:t xml:space="preserve"> a la PGF la </w:t>
      </w:r>
      <w:r w:rsidR="002943C0">
        <w:t>competencia para centralizar</w:t>
      </w:r>
      <w:r w:rsidR="00527527">
        <w:t xml:space="preserve"> la cobranza</w:t>
      </w:r>
      <w:r>
        <w:t xml:space="preserve">. </w:t>
      </w:r>
      <w:r w:rsidR="002943C0">
        <w:t xml:space="preserve">A partir de ese año, los esfuerzos de la PGF y de la AGU </w:t>
      </w:r>
      <w:r w:rsidR="00657757">
        <w:t xml:space="preserve">en su conjunto </w:t>
      </w:r>
      <w:r w:rsidR="002943C0">
        <w:t xml:space="preserve">se encaminaron a construir la institucionalidad necesaria para ejercer la mencionada competencia, lo que se ha </w:t>
      </w:r>
      <w:r w:rsidR="00A41ED2">
        <w:t>venido</w:t>
      </w:r>
      <w:r w:rsidR="002943C0">
        <w:t xml:space="preserve"> haciendo no sin múltiples dificultades y bajo restricciones presupuestarias. </w:t>
      </w:r>
      <w:r w:rsidR="005B2FF5">
        <w:t>En la actualidad, se está pretendiendo acelerar este proceso, para lo cual e</w:t>
      </w:r>
      <w:r w:rsidR="002943C0">
        <w:t xml:space="preserve">l programa BID pretende precisamente apoyar esta estrategia. </w:t>
      </w:r>
    </w:p>
    <w:p w:rsidR="00E80005" w:rsidRDefault="00E80005" w:rsidP="00E80005">
      <w:pPr>
        <w:pStyle w:val="ListParagraph"/>
        <w:ind w:left="567"/>
      </w:pPr>
    </w:p>
    <w:p w:rsidR="005A0B2E" w:rsidRPr="002B3067" w:rsidRDefault="00320F1D" w:rsidP="005A0B2E">
      <w:pPr>
        <w:pStyle w:val="ListParagraph"/>
        <w:numPr>
          <w:ilvl w:val="0"/>
          <w:numId w:val="14"/>
        </w:numPr>
        <w:ind w:left="567" w:hanging="567"/>
      </w:pPr>
      <w:r w:rsidRPr="002B3067">
        <w:t>Según</w:t>
      </w:r>
      <w:r w:rsidR="007B48C4" w:rsidRPr="002B3067">
        <w:t xml:space="preserve"> los </w:t>
      </w:r>
      <w:r w:rsidR="007B48C4" w:rsidRPr="002B3067">
        <w:rPr>
          <w:i/>
        </w:rPr>
        <w:t xml:space="preserve">datos </w:t>
      </w:r>
      <w:r w:rsidR="009B12FF" w:rsidRPr="002B3067">
        <w:rPr>
          <w:i/>
        </w:rPr>
        <w:t xml:space="preserve">de gestión </w:t>
      </w:r>
      <w:r w:rsidR="007B48C4" w:rsidRPr="002B3067">
        <w:rPr>
          <w:i/>
        </w:rPr>
        <w:t>disponibles</w:t>
      </w:r>
      <w:r w:rsidR="007B48C4" w:rsidRPr="002B3067">
        <w:t xml:space="preserve">, en el </w:t>
      </w:r>
      <w:r w:rsidRPr="002B3067">
        <w:t xml:space="preserve">año 2010 </w:t>
      </w:r>
      <w:r w:rsidR="007B48C4" w:rsidRPr="002B3067">
        <w:t xml:space="preserve">tan solo el 24,5% del total de </w:t>
      </w:r>
      <w:r w:rsidRPr="002B3067">
        <w:t xml:space="preserve">la </w:t>
      </w:r>
      <w:r w:rsidR="007B48C4" w:rsidRPr="002B3067">
        <w:t xml:space="preserve">deuda identificada </w:t>
      </w:r>
      <w:r w:rsidRPr="002B3067">
        <w:t xml:space="preserve">en agencias y fundaciones públicas </w:t>
      </w:r>
      <w:r w:rsidR="007B48C4" w:rsidRPr="002B3067">
        <w:t xml:space="preserve">está inscrita en el </w:t>
      </w:r>
      <w:r w:rsidR="005A0B2E" w:rsidRPr="002B3067">
        <w:t>SUDA</w:t>
      </w:r>
      <w:r w:rsidR="007B48C4" w:rsidRPr="002B3067">
        <w:t>.</w:t>
      </w:r>
      <w:r w:rsidR="001002E2" w:rsidRPr="002B3067">
        <w:t xml:space="preserve"> En términos monetarios, la inscripción supone </w:t>
      </w:r>
      <w:r w:rsidR="005A0B2E" w:rsidRPr="002B3067">
        <w:t>R$ 10.854 millones, con una tasa de cobranza del 3,1%</w:t>
      </w:r>
      <w:r w:rsidR="00843678" w:rsidRPr="002B3067">
        <w:t xml:space="preserve"> del total inscrito</w:t>
      </w:r>
      <w:r w:rsidR="005A0B2E" w:rsidRPr="002B3067">
        <w:t>, es decir, R$ 336 millones.</w:t>
      </w:r>
      <w:r w:rsidR="00D857C2" w:rsidRPr="00D857C2">
        <w:rPr>
          <w:rStyle w:val="FootnoteReference"/>
          <w:rFonts w:ascii="Times New Roman" w:hAnsi="Times New Roman"/>
        </w:rPr>
        <w:footnoteReference w:id="10"/>
      </w:r>
      <w:r w:rsidR="005A0B2E" w:rsidRPr="002B3067">
        <w:t xml:space="preserve"> </w:t>
      </w:r>
    </w:p>
    <w:p w:rsidR="00E80005" w:rsidRDefault="00E80005" w:rsidP="005A0B2E">
      <w:pPr>
        <w:pStyle w:val="ListParagraph"/>
        <w:ind w:left="567"/>
      </w:pPr>
    </w:p>
    <w:p w:rsidR="005B2FF5" w:rsidRPr="002B3067" w:rsidRDefault="005B2FF5" w:rsidP="005B2FF5">
      <w:pPr>
        <w:pStyle w:val="ListParagraph"/>
        <w:numPr>
          <w:ilvl w:val="0"/>
          <w:numId w:val="14"/>
        </w:numPr>
        <w:ind w:left="567" w:hanging="567"/>
      </w:pPr>
      <w:r w:rsidRPr="002B3067">
        <w:t xml:space="preserve">En el cuadro 3 pueden observarse los beneficios esperados </w:t>
      </w:r>
      <w:r w:rsidR="00561F33" w:rsidRPr="002B3067">
        <w:t xml:space="preserve">no descontados </w:t>
      </w:r>
      <w:r w:rsidRPr="002B3067">
        <w:t>en materia de cobranza como resultado del programa BID (alternativa BID). Para el año 2016, al final del programa BID, la meta prevista es que la deuda de terceros inscrita en el SUDA, como paso prescriptivo y previo a su cobranza, ascienda al 70% del total de la deuda identificada (inscrita y no inscrita), y que la tasa de cobranza se sitúe en el 8%.</w:t>
      </w:r>
      <w:r w:rsidRPr="00070A2F">
        <w:rPr>
          <w:rStyle w:val="FootnoteReference"/>
          <w:rFonts w:ascii="Times New Roman" w:hAnsi="Times New Roman"/>
        </w:rPr>
        <w:footnoteReference w:id="11"/>
      </w:r>
    </w:p>
    <w:p w:rsidR="005B2FF5" w:rsidRDefault="005B2FF5" w:rsidP="005B2FF5">
      <w:pPr>
        <w:pStyle w:val="ListParagraph"/>
        <w:ind w:left="567"/>
      </w:pPr>
    </w:p>
    <w:p w:rsidR="009E7F7F" w:rsidRPr="00D177C1" w:rsidRDefault="009E7F7F" w:rsidP="009E7F7F">
      <w:pPr>
        <w:pStyle w:val="ListParagraph"/>
        <w:spacing w:after="60"/>
        <w:ind w:left="360"/>
        <w:jc w:val="center"/>
        <w:rPr>
          <w:b/>
          <w:sz w:val="20"/>
        </w:rPr>
      </w:pPr>
      <w:r>
        <w:rPr>
          <w:b/>
          <w:sz w:val="20"/>
        </w:rPr>
        <w:t>Cuadro 3</w:t>
      </w:r>
      <w:r w:rsidRPr="00D177C1">
        <w:rPr>
          <w:b/>
          <w:sz w:val="20"/>
        </w:rPr>
        <w:t xml:space="preserve">. </w:t>
      </w:r>
      <w:r w:rsidR="00CE1781">
        <w:rPr>
          <w:b/>
          <w:sz w:val="20"/>
        </w:rPr>
        <w:t xml:space="preserve">Beneficios previstos en </w:t>
      </w:r>
      <w:r w:rsidR="00561F33">
        <w:rPr>
          <w:b/>
          <w:sz w:val="20"/>
        </w:rPr>
        <w:t>la alternativa</w:t>
      </w:r>
      <w:r w:rsidR="00CE1781">
        <w:rPr>
          <w:b/>
          <w:sz w:val="20"/>
        </w:rPr>
        <w:t xml:space="preserve"> BID</w:t>
      </w:r>
    </w:p>
    <w:tbl>
      <w:tblPr>
        <w:tblW w:w="7002" w:type="dxa"/>
        <w:jc w:val="center"/>
        <w:tblInd w:w="287" w:type="dxa"/>
        <w:tblCellMar>
          <w:left w:w="70" w:type="dxa"/>
          <w:right w:w="70" w:type="dxa"/>
        </w:tblCellMar>
        <w:tblLook w:val="04A0" w:firstRow="1" w:lastRow="0" w:firstColumn="1" w:lastColumn="0" w:noHBand="0" w:noVBand="1"/>
      </w:tblPr>
      <w:tblGrid>
        <w:gridCol w:w="1023"/>
        <w:gridCol w:w="1419"/>
        <w:gridCol w:w="1788"/>
        <w:gridCol w:w="1175"/>
        <w:gridCol w:w="1597"/>
      </w:tblGrid>
      <w:tr w:rsidR="009E7F7F" w:rsidRPr="009E7F7F" w:rsidTr="005B5557">
        <w:trPr>
          <w:trHeight w:val="225"/>
          <w:jc w:val="center"/>
        </w:trPr>
        <w:tc>
          <w:tcPr>
            <w:tcW w:w="1023" w:type="dxa"/>
            <w:tcBorders>
              <w:top w:val="single" w:sz="4" w:space="0" w:color="auto"/>
              <w:left w:val="nil"/>
              <w:bottom w:val="single" w:sz="4" w:space="0" w:color="auto"/>
              <w:right w:val="nil"/>
            </w:tcBorders>
            <w:shd w:val="clear" w:color="auto" w:fill="auto"/>
            <w:noWrap/>
            <w:vAlign w:val="bottom"/>
            <w:hideMark/>
          </w:tcPr>
          <w:p w:rsidR="009E7F7F" w:rsidRPr="009E7F7F" w:rsidRDefault="009E7F7F" w:rsidP="009E7F7F">
            <w:pPr>
              <w:jc w:val="left"/>
              <w:rPr>
                <w:color w:val="000000"/>
                <w:sz w:val="20"/>
                <w:szCs w:val="20"/>
                <w:lang w:val="es-ES_tradnl" w:eastAsia="es-ES_tradnl"/>
              </w:rPr>
            </w:pPr>
          </w:p>
        </w:tc>
        <w:tc>
          <w:tcPr>
            <w:tcW w:w="1419" w:type="dxa"/>
            <w:tcBorders>
              <w:top w:val="single" w:sz="4" w:space="0" w:color="auto"/>
              <w:left w:val="nil"/>
              <w:bottom w:val="single" w:sz="4" w:space="0" w:color="auto"/>
              <w:right w:val="nil"/>
            </w:tcBorders>
            <w:shd w:val="clear" w:color="auto" w:fill="auto"/>
            <w:noWrap/>
            <w:vAlign w:val="bottom"/>
            <w:hideMark/>
          </w:tcPr>
          <w:p w:rsidR="009E7F7F" w:rsidRPr="009E7F7F" w:rsidRDefault="009E7F7F" w:rsidP="009E7F7F">
            <w:pPr>
              <w:jc w:val="center"/>
              <w:rPr>
                <w:b/>
                <w:bCs/>
                <w:color w:val="000000"/>
                <w:sz w:val="20"/>
                <w:szCs w:val="20"/>
                <w:lang w:val="es-ES_tradnl" w:eastAsia="es-ES_tradnl"/>
              </w:rPr>
            </w:pPr>
            <w:r w:rsidRPr="009E7F7F">
              <w:rPr>
                <w:b/>
                <w:bCs/>
                <w:color w:val="000000"/>
                <w:sz w:val="20"/>
                <w:szCs w:val="20"/>
                <w:lang w:val="es-ES_tradnl" w:eastAsia="es-ES_tradnl"/>
              </w:rPr>
              <w:t>Tasa de inscripción</w:t>
            </w:r>
          </w:p>
        </w:tc>
        <w:tc>
          <w:tcPr>
            <w:tcW w:w="1788" w:type="dxa"/>
            <w:tcBorders>
              <w:top w:val="single" w:sz="4" w:space="0" w:color="auto"/>
              <w:left w:val="nil"/>
              <w:bottom w:val="single" w:sz="4" w:space="0" w:color="auto"/>
              <w:right w:val="nil"/>
            </w:tcBorders>
            <w:shd w:val="clear" w:color="auto" w:fill="auto"/>
            <w:noWrap/>
            <w:vAlign w:val="bottom"/>
            <w:hideMark/>
          </w:tcPr>
          <w:p w:rsidR="009E7F7F" w:rsidRPr="009E7F7F" w:rsidRDefault="009E7F7F" w:rsidP="009E7F7F">
            <w:pPr>
              <w:jc w:val="center"/>
              <w:rPr>
                <w:b/>
                <w:bCs/>
                <w:color w:val="000000"/>
                <w:sz w:val="20"/>
                <w:szCs w:val="20"/>
                <w:lang w:val="es-ES_tradnl" w:eastAsia="es-ES_tradnl"/>
              </w:rPr>
            </w:pPr>
            <w:r w:rsidRPr="009E7F7F">
              <w:rPr>
                <w:b/>
                <w:bCs/>
                <w:color w:val="000000"/>
                <w:sz w:val="20"/>
                <w:szCs w:val="20"/>
                <w:lang w:val="es-ES_tradnl" w:eastAsia="es-ES_tradnl"/>
              </w:rPr>
              <w:t>Stock deuda activa</w:t>
            </w:r>
            <w:r w:rsidR="00487930">
              <w:rPr>
                <w:b/>
                <w:bCs/>
                <w:color w:val="000000"/>
                <w:sz w:val="20"/>
                <w:szCs w:val="20"/>
                <w:lang w:val="es-ES_tradnl" w:eastAsia="es-ES_tradnl"/>
              </w:rPr>
              <w:t xml:space="preserve"> inscrita</w:t>
            </w:r>
            <w:r>
              <w:rPr>
                <w:b/>
                <w:bCs/>
                <w:color w:val="000000"/>
                <w:sz w:val="20"/>
                <w:szCs w:val="20"/>
                <w:lang w:val="es-ES_tradnl" w:eastAsia="es-ES_tradnl"/>
              </w:rPr>
              <w:t xml:space="preserve"> </w:t>
            </w:r>
          </w:p>
        </w:tc>
        <w:tc>
          <w:tcPr>
            <w:tcW w:w="1175" w:type="dxa"/>
            <w:tcBorders>
              <w:top w:val="single" w:sz="4" w:space="0" w:color="auto"/>
              <w:left w:val="nil"/>
              <w:bottom w:val="single" w:sz="4" w:space="0" w:color="auto"/>
              <w:right w:val="nil"/>
            </w:tcBorders>
            <w:shd w:val="clear" w:color="auto" w:fill="auto"/>
            <w:noWrap/>
            <w:vAlign w:val="bottom"/>
            <w:hideMark/>
          </w:tcPr>
          <w:p w:rsidR="009E7F7F" w:rsidRPr="009E7F7F" w:rsidRDefault="009E7F7F" w:rsidP="009E7F7F">
            <w:pPr>
              <w:jc w:val="center"/>
              <w:rPr>
                <w:b/>
                <w:bCs/>
                <w:color w:val="000000"/>
                <w:sz w:val="20"/>
                <w:szCs w:val="20"/>
                <w:lang w:val="es-ES_tradnl" w:eastAsia="es-ES_tradnl"/>
              </w:rPr>
            </w:pPr>
            <w:r w:rsidRPr="009E7F7F">
              <w:rPr>
                <w:b/>
                <w:bCs/>
                <w:color w:val="000000"/>
                <w:sz w:val="20"/>
                <w:szCs w:val="20"/>
                <w:lang w:val="es-ES_tradnl" w:eastAsia="es-ES_tradnl"/>
              </w:rPr>
              <w:t xml:space="preserve">Tasa </w:t>
            </w:r>
            <w:r w:rsidR="00F022D3">
              <w:rPr>
                <w:b/>
                <w:bCs/>
                <w:color w:val="000000"/>
                <w:sz w:val="20"/>
                <w:szCs w:val="20"/>
                <w:lang w:val="es-ES_tradnl" w:eastAsia="es-ES_tradnl"/>
              </w:rPr>
              <w:t xml:space="preserve">de </w:t>
            </w:r>
            <w:r w:rsidRPr="009E7F7F">
              <w:rPr>
                <w:b/>
                <w:bCs/>
                <w:color w:val="000000"/>
                <w:sz w:val="20"/>
                <w:szCs w:val="20"/>
                <w:lang w:val="es-ES_tradnl" w:eastAsia="es-ES_tradnl"/>
              </w:rPr>
              <w:t>cobranza</w:t>
            </w:r>
          </w:p>
        </w:tc>
        <w:tc>
          <w:tcPr>
            <w:tcW w:w="1597" w:type="dxa"/>
            <w:tcBorders>
              <w:top w:val="single" w:sz="4" w:space="0" w:color="auto"/>
              <w:left w:val="nil"/>
              <w:bottom w:val="single" w:sz="4" w:space="0" w:color="auto"/>
              <w:right w:val="nil"/>
            </w:tcBorders>
            <w:shd w:val="clear" w:color="auto" w:fill="auto"/>
            <w:noWrap/>
            <w:vAlign w:val="bottom"/>
            <w:hideMark/>
          </w:tcPr>
          <w:p w:rsidR="009E7F7F" w:rsidRPr="009E7F7F" w:rsidRDefault="009E7F7F" w:rsidP="009E7F7F">
            <w:pPr>
              <w:jc w:val="center"/>
              <w:rPr>
                <w:b/>
                <w:bCs/>
                <w:color w:val="000000"/>
                <w:sz w:val="20"/>
                <w:szCs w:val="20"/>
                <w:lang w:val="es-ES_tradnl" w:eastAsia="es-ES_tradnl"/>
              </w:rPr>
            </w:pPr>
            <w:r w:rsidRPr="009E7F7F">
              <w:rPr>
                <w:b/>
                <w:bCs/>
                <w:color w:val="000000"/>
                <w:sz w:val="20"/>
                <w:szCs w:val="20"/>
                <w:lang w:val="es-ES_tradnl" w:eastAsia="es-ES_tradnl"/>
              </w:rPr>
              <w:t>Montos</w:t>
            </w:r>
            <w:r w:rsidR="004B1F98">
              <w:rPr>
                <w:b/>
                <w:bCs/>
                <w:color w:val="000000"/>
                <w:sz w:val="20"/>
                <w:szCs w:val="20"/>
                <w:lang w:val="es-ES_tradnl" w:eastAsia="es-ES_tradnl"/>
              </w:rPr>
              <w:t xml:space="preserve"> cobrados</w:t>
            </w:r>
          </w:p>
        </w:tc>
      </w:tr>
      <w:tr w:rsidR="009E7F7F" w:rsidRPr="009E7F7F" w:rsidTr="000F5250">
        <w:trPr>
          <w:trHeight w:val="210"/>
          <w:jc w:val="center"/>
        </w:trPr>
        <w:tc>
          <w:tcPr>
            <w:tcW w:w="1023" w:type="dxa"/>
            <w:tcBorders>
              <w:top w:val="single" w:sz="4" w:space="0" w:color="auto"/>
              <w:left w:val="nil"/>
              <w:bottom w:val="nil"/>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2010</w:t>
            </w:r>
          </w:p>
        </w:tc>
        <w:tc>
          <w:tcPr>
            <w:tcW w:w="1419" w:type="dxa"/>
            <w:tcBorders>
              <w:top w:val="single" w:sz="4" w:space="0" w:color="auto"/>
              <w:left w:val="nil"/>
              <w:bottom w:val="nil"/>
              <w:right w:val="nil"/>
            </w:tcBorders>
            <w:shd w:val="clear" w:color="000000" w:fill="C5D9F1"/>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24,5%</w:t>
            </w:r>
          </w:p>
        </w:tc>
        <w:tc>
          <w:tcPr>
            <w:tcW w:w="1788" w:type="dxa"/>
            <w:tcBorders>
              <w:top w:val="single" w:sz="4" w:space="0" w:color="auto"/>
              <w:left w:val="nil"/>
              <w:bottom w:val="nil"/>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10.854.011.274</w:t>
            </w:r>
          </w:p>
        </w:tc>
        <w:tc>
          <w:tcPr>
            <w:tcW w:w="1175" w:type="dxa"/>
            <w:tcBorders>
              <w:top w:val="single" w:sz="4" w:space="0" w:color="auto"/>
              <w:left w:val="nil"/>
              <w:bottom w:val="nil"/>
              <w:right w:val="nil"/>
            </w:tcBorders>
            <w:shd w:val="clear" w:color="000000" w:fill="C5D9F1"/>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3,1%</w:t>
            </w:r>
          </w:p>
        </w:tc>
        <w:tc>
          <w:tcPr>
            <w:tcW w:w="1597" w:type="dxa"/>
            <w:tcBorders>
              <w:top w:val="single" w:sz="4" w:space="0" w:color="auto"/>
              <w:left w:val="nil"/>
              <w:bottom w:val="nil"/>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336.474.349</w:t>
            </w:r>
          </w:p>
        </w:tc>
      </w:tr>
      <w:tr w:rsidR="009E7F7F" w:rsidRPr="009E7F7F" w:rsidTr="000F5250">
        <w:trPr>
          <w:trHeight w:val="210"/>
          <w:jc w:val="center"/>
        </w:trPr>
        <w:tc>
          <w:tcPr>
            <w:tcW w:w="1023" w:type="dxa"/>
            <w:tcBorders>
              <w:top w:val="nil"/>
              <w:left w:val="nil"/>
              <w:bottom w:val="nil"/>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2014</w:t>
            </w:r>
          </w:p>
        </w:tc>
        <w:tc>
          <w:tcPr>
            <w:tcW w:w="1419" w:type="dxa"/>
            <w:tcBorders>
              <w:top w:val="nil"/>
              <w:left w:val="nil"/>
              <w:bottom w:val="nil"/>
              <w:right w:val="nil"/>
            </w:tcBorders>
            <w:shd w:val="clear" w:color="000000" w:fill="C5D9F1"/>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50,0%</w:t>
            </w:r>
          </w:p>
        </w:tc>
        <w:tc>
          <w:tcPr>
            <w:tcW w:w="1788" w:type="dxa"/>
            <w:tcBorders>
              <w:top w:val="nil"/>
              <w:left w:val="nil"/>
              <w:bottom w:val="nil"/>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22.151.043.416</w:t>
            </w:r>
          </w:p>
        </w:tc>
        <w:tc>
          <w:tcPr>
            <w:tcW w:w="1175" w:type="dxa"/>
            <w:tcBorders>
              <w:top w:val="nil"/>
              <w:left w:val="nil"/>
              <w:bottom w:val="nil"/>
              <w:right w:val="nil"/>
            </w:tcBorders>
            <w:shd w:val="clear" w:color="000000" w:fill="C5D9F1"/>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5,0%</w:t>
            </w:r>
          </w:p>
        </w:tc>
        <w:tc>
          <w:tcPr>
            <w:tcW w:w="1597" w:type="dxa"/>
            <w:tcBorders>
              <w:top w:val="nil"/>
              <w:left w:val="nil"/>
              <w:bottom w:val="nil"/>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1.107.552.171</w:t>
            </w:r>
          </w:p>
        </w:tc>
      </w:tr>
      <w:tr w:rsidR="009E7F7F" w:rsidRPr="009E7F7F" w:rsidTr="000F5250">
        <w:trPr>
          <w:trHeight w:val="210"/>
          <w:jc w:val="center"/>
        </w:trPr>
        <w:tc>
          <w:tcPr>
            <w:tcW w:w="1023" w:type="dxa"/>
            <w:tcBorders>
              <w:top w:val="nil"/>
              <w:left w:val="nil"/>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2015</w:t>
            </w:r>
          </w:p>
        </w:tc>
        <w:tc>
          <w:tcPr>
            <w:tcW w:w="1419" w:type="dxa"/>
            <w:tcBorders>
              <w:top w:val="nil"/>
              <w:left w:val="nil"/>
              <w:right w:val="nil"/>
            </w:tcBorders>
            <w:shd w:val="clear" w:color="auto" w:fill="auto"/>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60,0%</w:t>
            </w:r>
          </w:p>
        </w:tc>
        <w:tc>
          <w:tcPr>
            <w:tcW w:w="1788" w:type="dxa"/>
            <w:tcBorders>
              <w:top w:val="nil"/>
              <w:left w:val="nil"/>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26.581.252.099</w:t>
            </w:r>
          </w:p>
        </w:tc>
        <w:tc>
          <w:tcPr>
            <w:tcW w:w="1175" w:type="dxa"/>
            <w:tcBorders>
              <w:top w:val="nil"/>
              <w:left w:val="nil"/>
              <w:right w:val="nil"/>
            </w:tcBorders>
            <w:shd w:val="clear" w:color="auto" w:fill="auto"/>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6,0%</w:t>
            </w:r>
          </w:p>
        </w:tc>
        <w:tc>
          <w:tcPr>
            <w:tcW w:w="1597" w:type="dxa"/>
            <w:tcBorders>
              <w:top w:val="nil"/>
              <w:left w:val="nil"/>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1.594.875.126</w:t>
            </w:r>
          </w:p>
        </w:tc>
      </w:tr>
      <w:tr w:rsidR="009E7F7F" w:rsidRPr="009E7F7F" w:rsidTr="000F5250">
        <w:trPr>
          <w:trHeight w:val="210"/>
          <w:jc w:val="center"/>
        </w:trPr>
        <w:tc>
          <w:tcPr>
            <w:tcW w:w="1023" w:type="dxa"/>
            <w:tcBorders>
              <w:top w:val="nil"/>
              <w:left w:val="nil"/>
              <w:bottom w:val="single" w:sz="4" w:space="0" w:color="auto"/>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2016</w:t>
            </w:r>
          </w:p>
        </w:tc>
        <w:tc>
          <w:tcPr>
            <w:tcW w:w="1419" w:type="dxa"/>
            <w:tcBorders>
              <w:top w:val="nil"/>
              <w:left w:val="nil"/>
              <w:bottom w:val="single" w:sz="4" w:space="0" w:color="auto"/>
              <w:right w:val="nil"/>
            </w:tcBorders>
            <w:shd w:val="clear" w:color="000000" w:fill="C5D9F1"/>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70,0%</w:t>
            </w:r>
          </w:p>
        </w:tc>
        <w:tc>
          <w:tcPr>
            <w:tcW w:w="1788" w:type="dxa"/>
            <w:tcBorders>
              <w:top w:val="nil"/>
              <w:left w:val="nil"/>
              <w:bottom w:val="single" w:sz="4" w:space="0" w:color="auto"/>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31.011.460.782</w:t>
            </w:r>
          </w:p>
        </w:tc>
        <w:tc>
          <w:tcPr>
            <w:tcW w:w="1175" w:type="dxa"/>
            <w:tcBorders>
              <w:top w:val="nil"/>
              <w:left w:val="nil"/>
              <w:bottom w:val="single" w:sz="4" w:space="0" w:color="auto"/>
              <w:right w:val="nil"/>
            </w:tcBorders>
            <w:shd w:val="clear" w:color="000000" w:fill="C5D9F1"/>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8,0%</w:t>
            </w:r>
          </w:p>
        </w:tc>
        <w:tc>
          <w:tcPr>
            <w:tcW w:w="1597" w:type="dxa"/>
            <w:tcBorders>
              <w:top w:val="nil"/>
              <w:left w:val="nil"/>
              <w:bottom w:val="single" w:sz="4" w:space="0" w:color="auto"/>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2.480.916.863</w:t>
            </w:r>
          </w:p>
        </w:tc>
      </w:tr>
      <w:tr w:rsidR="009E7F7F" w:rsidRPr="009E7F7F" w:rsidTr="000F5250">
        <w:trPr>
          <w:trHeight w:val="210"/>
          <w:jc w:val="center"/>
        </w:trPr>
        <w:tc>
          <w:tcPr>
            <w:tcW w:w="1023" w:type="dxa"/>
            <w:tcBorders>
              <w:top w:val="single" w:sz="4" w:space="0" w:color="auto"/>
              <w:left w:val="nil"/>
              <w:bottom w:val="nil"/>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2017</w:t>
            </w:r>
          </w:p>
        </w:tc>
        <w:tc>
          <w:tcPr>
            <w:tcW w:w="1419" w:type="dxa"/>
            <w:tcBorders>
              <w:top w:val="single" w:sz="4" w:space="0" w:color="auto"/>
              <w:left w:val="nil"/>
              <w:bottom w:val="nil"/>
              <w:right w:val="nil"/>
            </w:tcBorders>
            <w:shd w:val="clear" w:color="auto" w:fill="auto"/>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71,0%</w:t>
            </w:r>
          </w:p>
        </w:tc>
        <w:tc>
          <w:tcPr>
            <w:tcW w:w="1788" w:type="dxa"/>
            <w:tcBorders>
              <w:top w:val="single" w:sz="4" w:space="0" w:color="auto"/>
              <w:left w:val="nil"/>
              <w:bottom w:val="nil"/>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31.454.481.651</w:t>
            </w:r>
          </w:p>
        </w:tc>
        <w:tc>
          <w:tcPr>
            <w:tcW w:w="1175" w:type="dxa"/>
            <w:tcBorders>
              <w:top w:val="single" w:sz="4" w:space="0" w:color="auto"/>
              <w:left w:val="nil"/>
              <w:bottom w:val="nil"/>
              <w:right w:val="nil"/>
            </w:tcBorders>
            <w:shd w:val="clear" w:color="auto" w:fill="auto"/>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10,0%</w:t>
            </w:r>
          </w:p>
        </w:tc>
        <w:tc>
          <w:tcPr>
            <w:tcW w:w="1597" w:type="dxa"/>
            <w:tcBorders>
              <w:top w:val="single" w:sz="4" w:space="0" w:color="auto"/>
              <w:left w:val="nil"/>
              <w:bottom w:val="nil"/>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3.145.448.165</w:t>
            </w:r>
          </w:p>
        </w:tc>
      </w:tr>
      <w:tr w:rsidR="009E7F7F" w:rsidRPr="009E7F7F" w:rsidTr="000F5250">
        <w:trPr>
          <w:trHeight w:val="210"/>
          <w:jc w:val="center"/>
        </w:trPr>
        <w:tc>
          <w:tcPr>
            <w:tcW w:w="1023" w:type="dxa"/>
            <w:tcBorders>
              <w:top w:val="nil"/>
              <w:left w:val="nil"/>
              <w:bottom w:val="nil"/>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2018</w:t>
            </w:r>
          </w:p>
        </w:tc>
        <w:tc>
          <w:tcPr>
            <w:tcW w:w="1419" w:type="dxa"/>
            <w:tcBorders>
              <w:top w:val="nil"/>
              <w:left w:val="nil"/>
              <w:bottom w:val="nil"/>
              <w:right w:val="nil"/>
            </w:tcBorders>
            <w:shd w:val="clear" w:color="auto" w:fill="auto"/>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72,0%</w:t>
            </w:r>
          </w:p>
        </w:tc>
        <w:tc>
          <w:tcPr>
            <w:tcW w:w="1788" w:type="dxa"/>
            <w:tcBorders>
              <w:top w:val="nil"/>
              <w:left w:val="nil"/>
              <w:bottom w:val="nil"/>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31.897.502.519</w:t>
            </w:r>
          </w:p>
        </w:tc>
        <w:tc>
          <w:tcPr>
            <w:tcW w:w="1175" w:type="dxa"/>
            <w:tcBorders>
              <w:top w:val="nil"/>
              <w:left w:val="nil"/>
              <w:bottom w:val="nil"/>
              <w:right w:val="nil"/>
            </w:tcBorders>
            <w:shd w:val="clear" w:color="auto" w:fill="auto"/>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11,0%</w:t>
            </w:r>
          </w:p>
        </w:tc>
        <w:tc>
          <w:tcPr>
            <w:tcW w:w="1597" w:type="dxa"/>
            <w:tcBorders>
              <w:top w:val="nil"/>
              <w:left w:val="nil"/>
              <w:bottom w:val="nil"/>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3.508.725.277</w:t>
            </w:r>
          </w:p>
        </w:tc>
      </w:tr>
      <w:tr w:rsidR="009E7F7F" w:rsidRPr="009E7F7F" w:rsidTr="000F5250">
        <w:trPr>
          <w:trHeight w:val="210"/>
          <w:jc w:val="center"/>
        </w:trPr>
        <w:tc>
          <w:tcPr>
            <w:tcW w:w="1023" w:type="dxa"/>
            <w:tcBorders>
              <w:top w:val="nil"/>
              <w:left w:val="nil"/>
              <w:bottom w:val="nil"/>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2019</w:t>
            </w:r>
          </w:p>
        </w:tc>
        <w:tc>
          <w:tcPr>
            <w:tcW w:w="1419" w:type="dxa"/>
            <w:tcBorders>
              <w:top w:val="nil"/>
              <w:left w:val="nil"/>
              <w:bottom w:val="nil"/>
              <w:right w:val="nil"/>
            </w:tcBorders>
            <w:shd w:val="clear" w:color="auto" w:fill="auto"/>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73,0%</w:t>
            </w:r>
          </w:p>
        </w:tc>
        <w:tc>
          <w:tcPr>
            <w:tcW w:w="1788" w:type="dxa"/>
            <w:tcBorders>
              <w:top w:val="nil"/>
              <w:left w:val="nil"/>
              <w:bottom w:val="nil"/>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32.340.523.387</w:t>
            </w:r>
          </w:p>
        </w:tc>
        <w:tc>
          <w:tcPr>
            <w:tcW w:w="1175" w:type="dxa"/>
            <w:tcBorders>
              <w:top w:val="nil"/>
              <w:left w:val="nil"/>
              <w:bottom w:val="nil"/>
              <w:right w:val="nil"/>
            </w:tcBorders>
            <w:shd w:val="clear" w:color="auto" w:fill="auto"/>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12,0%</w:t>
            </w:r>
          </w:p>
        </w:tc>
        <w:tc>
          <w:tcPr>
            <w:tcW w:w="1597" w:type="dxa"/>
            <w:tcBorders>
              <w:top w:val="nil"/>
              <w:left w:val="nil"/>
              <w:bottom w:val="nil"/>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3.880.862.806</w:t>
            </w:r>
          </w:p>
        </w:tc>
      </w:tr>
      <w:tr w:rsidR="009E7F7F" w:rsidRPr="009E7F7F" w:rsidTr="000F5250">
        <w:trPr>
          <w:trHeight w:val="210"/>
          <w:jc w:val="center"/>
        </w:trPr>
        <w:tc>
          <w:tcPr>
            <w:tcW w:w="1023" w:type="dxa"/>
            <w:tcBorders>
              <w:top w:val="nil"/>
              <w:left w:val="nil"/>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2020</w:t>
            </w:r>
          </w:p>
        </w:tc>
        <w:tc>
          <w:tcPr>
            <w:tcW w:w="1419" w:type="dxa"/>
            <w:tcBorders>
              <w:top w:val="nil"/>
              <w:left w:val="nil"/>
              <w:right w:val="nil"/>
            </w:tcBorders>
            <w:shd w:val="clear" w:color="auto" w:fill="auto"/>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74,0%</w:t>
            </w:r>
          </w:p>
        </w:tc>
        <w:tc>
          <w:tcPr>
            <w:tcW w:w="1788" w:type="dxa"/>
            <w:tcBorders>
              <w:top w:val="nil"/>
              <w:left w:val="nil"/>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32.783.544.256</w:t>
            </w:r>
          </w:p>
        </w:tc>
        <w:tc>
          <w:tcPr>
            <w:tcW w:w="1175" w:type="dxa"/>
            <w:tcBorders>
              <w:top w:val="nil"/>
              <w:left w:val="nil"/>
              <w:right w:val="nil"/>
            </w:tcBorders>
            <w:shd w:val="clear" w:color="auto" w:fill="auto"/>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13,0%</w:t>
            </w:r>
          </w:p>
        </w:tc>
        <w:tc>
          <w:tcPr>
            <w:tcW w:w="1597" w:type="dxa"/>
            <w:tcBorders>
              <w:top w:val="nil"/>
              <w:left w:val="nil"/>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4.261.860.753</w:t>
            </w:r>
          </w:p>
        </w:tc>
      </w:tr>
      <w:tr w:rsidR="009E7F7F" w:rsidRPr="009E7F7F" w:rsidTr="000F5250">
        <w:trPr>
          <w:trHeight w:val="210"/>
          <w:jc w:val="center"/>
        </w:trPr>
        <w:tc>
          <w:tcPr>
            <w:tcW w:w="1023" w:type="dxa"/>
            <w:tcBorders>
              <w:top w:val="nil"/>
              <w:left w:val="nil"/>
              <w:bottom w:val="single" w:sz="4" w:space="0" w:color="auto"/>
              <w:right w:val="nil"/>
            </w:tcBorders>
            <w:shd w:val="clear" w:color="auto" w:fill="auto"/>
            <w:noWrap/>
            <w:vAlign w:val="bottom"/>
            <w:hideMark/>
          </w:tcPr>
          <w:p w:rsidR="009E7F7F" w:rsidRPr="009E7F7F" w:rsidRDefault="009E7F7F" w:rsidP="005B5557">
            <w:pPr>
              <w:jc w:val="center"/>
              <w:rPr>
                <w:color w:val="000000"/>
                <w:sz w:val="20"/>
                <w:szCs w:val="20"/>
                <w:lang w:val="es-ES_tradnl" w:eastAsia="es-ES_tradnl"/>
              </w:rPr>
            </w:pPr>
            <w:r w:rsidRPr="009E7F7F">
              <w:rPr>
                <w:color w:val="000000"/>
                <w:sz w:val="20"/>
                <w:szCs w:val="20"/>
                <w:lang w:val="es-ES_tradnl" w:eastAsia="es-ES_tradnl"/>
              </w:rPr>
              <w:t>2021</w:t>
            </w:r>
          </w:p>
        </w:tc>
        <w:tc>
          <w:tcPr>
            <w:tcW w:w="1419" w:type="dxa"/>
            <w:tcBorders>
              <w:top w:val="nil"/>
              <w:left w:val="nil"/>
              <w:bottom w:val="single" w:sz="4" w:space="0" w:color="auto"/>
              <w:right w:val="nil"/>
            </w:tcBorders>
            <w:shd w:val="clear" w:color="auto" w:fill="auto"/>
            <w:noWrap/>
            <w:vAlign w:val="bottom"/>
            <w:hideMark/>
          </w:tcPr>
          <w:p w:rsidR="009E7F7F" w:rsidRPr="009E7F7F" w:rsidRDefault="009E7F7F" w:rsidP="005B5557">
            <w:pPr>
              <w:ind w:right="312"/>
              <w:jc w:val="right"/>
              <w:rPr>
                <w:color w:val="000000"/>
                <w:sz w:val="20"/>
                <w:szCs w:val="20"/>
                <w:lang w:val="es-ES_tradnl" w:eastAsia="es-ES_tradnl"/>
              </w:rPr>
            </w:pPr>
            <w:r w:rsidRPr="009E7F7F">
              <w:rPr>
                <w:color w:val="000000"/>
                <w:sz w:val="20"/>
                <w:szCs w:val="20"/>
                <w:lang w:val="es-ES_tradnl" w:eastAsia="es-ES_tradnl"/>
              </w:rPr>
              <w:t>75,0%</w:t>
            </w:r>
          </w:p>
        </w:tc>
        <w:tc>
          <w:tcPr>
            <w:tcW w:w="1788" w:type="dxa"/>
            <w:tcBorders>
              <w:top w:val="nil"/>
              <w:left w:val="nil"/>
              <w:bottom w:val="single" w:sz="4" w:space="0" w:color="auto"/>
              <w:right w:val="nil"/>
            </w:tcBorders>
            <w:shd w:val="clear" w:color="auto" w:fill="auto"/>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33.226.565.124</w:t>
            </w:r>
          </w:p>
        </w:tc>
        <w:tc>
          <w:tcPr>
            <w:tcW w:w="1175" w:type="dxa"/>
            <w:tcBorders>
              <w:top w:val="nil"/>
              <w:left w:val="nil"/>
              <w:bottom w:val="single" w:sz="4" w:space="0" w:color="auto"/>
              <w:right w:val="nil"/>
            </w:tcBorders>
            <w:shd w:val="clear" w:color="auto" w:fill="auto"/>
            <w:noWrap/>
            <w:vAlign w:val="bottom"/>
            <w:hideMark/>
          </w:tcPr>
          <w:p w:rsidR="009E7F7F" w:rsidRPr="009E7F7F" w:rsidRDefault="009E7F7F" w:rsidP="005B5557">
            <w:pPr>
              <w:ind w:right="215"/>
              <w:jc w:val="right"/>
              <w:rPr>
                <w:color w:val="000000"/>
                <w:sz w:val="20"/>
                <w:szCs w:val="20"/>
                <w:lang w:val="es-ES_tradnl" w:eastAsia="es-ES_tradnl"/>
              </w:rPr>
            </w:pPr>
            <w:r w:rsidRPr="009E7F7F">
              <w:rPr>
                <w:color w:val="000000"/>
                <w:sz w:val="20"/>
                <w:szCs w:val="20"/>
                <w:lang w:val="es-ES_tradnl" w:eastAsia="es-ES_tradnl"/>
              </w:rPr>
              <w:t>14,0%</w:t>
            </w:r>
          </w:p>
        </w:tc>
        <w:tc>
          <w:tcPr>
            <w:tcW w:w="1597" w:type="dxa"/>
            <w:tcBorders>
              <w:top w:val="nil"/>
              <w:left w:val="nil"/>
              <w:bottom w:val="single" w:sz="4" w:space="0" w:color="auto"/>
              <w:right w:val="nil"/>
            </w:tcBorders>
            <w:shd w:val="clear" w:color="auto" w:fill="F2F2F2" w:themeFill="background1" w:themeFillShade="F2"/>
            <w:noWrap/>
            <w:vAlign w:val="bottom"/>
            <w:hideMark/>
          </w:tcPr>
          <w:p w:rsidR="009E7F7F" w:rsidRPr="009E7F7F" w:rsidRDefault="009E7F7F" w:rsidP="009E7F7F">
            <w:pPr>
              <w:jc w:val="right"/>
              <w:rPr>
                <w:color w:val="000000"/>
                <w:sz w:val="20"/>
                <w:szCs w:val="20"/>
                <w:lang w:val="es-ES_tradnl" w:eastAsia="es-ES_tradnl"/>
              </w:rPr>
            </w:pPr>
            <w:r w:rsidRPr="009E7F7F">
              <w:rPr>
                <w:color w:val="000000"/>
                <w:sz w:val="20"/>
                <w:szCs w:val="20"/>
                <w:lang w:val="es-ES_tradnl" w:eastAsia="es-ES_tradnl"/>
              </w:rPr>
              <w:t>4.651.719.117</w:t>
            </w:r>
          </w:p>
        </w:tc>
      </w:tr>
    </w:tbl>
    <w:p w:rsidR="009E7F7F" w:rsidRPr="009E7F7F" w:rsidRDefault="009E7F7F" w:rsidP="00DD5684">
      <w:pPr>
        <w:pStyle w:val="ListParagraph"/>
        <w:ind w:left="1276" w:right="1324"/>
        <w:rPr>
          <w:sz w:val="18"/>
        </w:rPr>
      </w:pPr>
      <w:r w:rsidRPr="009E7F7F">
        <w:rPr>
          <w:sz w:val="18"/>
        </w:rPr>
        <w:t>Tasa de inscripción: deuda inscrita sobre el total de deuda identificada.</w:t>
      </w:r>
      <w:r>
        <w:rPr>
          <w:sz w:val="18"/>
        </w:rPr>
        <w:t xml:space="preserve"> </w:t>
      </w:r>
      <w:r w:rsidRPr="009E7F7F">
        <w:rPr>
          <w:sz w:val="18"/>
        </w:rPr>
        <w:t>Tasa de cobranza: deuda cobrada sobre el total de deuda inscrita.</w:t>
      </w:r>
      <w:r>
        <w:rPr>
          <w:sz w:val="18"/>
        </w:rPr>
        <w:t xml:space="preserve"> </w:t>
      </w:r>
      <w:r w:rsidRPr="009E7F7F">
        <w:rPr>
          <w:sz w:val="18"/>
        </w:rPr>
        <w:t>Montos en reales 2010.</w:t>
      </w:r>
      <w:r w:rsidR="00CE1781">
        <w:rPr>
          <w:sz w:val="18"/>
        </w:rPr>
        <w:t xml:space="preserve"> </w:t>
      </w:r>
      <w:r w:rsidRPr="009E7F7F">
        <w:rPr>
          <w:sz w:val="18"/>
        </w:rPr>
        <w:t>Fuente: PGF</w:t>
      </w:r>
      <w:r w:rsidR="00657757">
        <w:rPr>
          <w:sz w:val="18"/>
        </w:rPr>
        <w:t>/</w:t>
      </w:r>
      <w:r w:rsidR="00561F33">
        <w:rPr>
          <w:sz w:val="18"/>
        </w:rPr>
        <w:t>AGU</w:t>
      </w:r>
      <w:r w:rsidRPr="009E7F7F">
        <w:rPr>
          <w:sz w:val="18"/>
        </w:rPr>
        <w:t>.</w:t>
      </w:r>
    </w:p>
    <w:p w:rsidR="00114ABF" w:rsidRDefault="00114ABF" w:rsidP="00114ABF">
      <w:pPr>
        <w:pStyle w:val="ListParagraph"/>
        <w:ind w:left="567"/>
      </w:pPr>
    </w:p>
    <w:p w:rsidR="00CE1781" w:rsidRDefault="00CE1781" w:rsidP="00CE1781">
      <w:pPr>
        <w:pStyle w:val="ListParagraph"/>
        <w:numPr>
          <w:ilvl w:val="0"/>
          <w:numId w:val="14"/>
        </w:numPr>
        <w:ind w:left="567" w:hanging="567"/>
      </w:pPr>
      <w:r>
        <w:t xml:space="preserve">Para la monetización de estas tasas se ha supuesto que el stock de deuda identificada </w:t>
      </w:r>
      <w:r w:rsidR="004B1F98">
        <w:t xml:space="preserve">(monto conocido en el año 2010) </w:t>
      </w:r>
      <w:r>
        <w:t>permanece invariable en todo el periodo del programa</w:t>
      </w:r>
      <w:r w:rsidR="00E91927">
        <w:t xml:space="preserve"> (hasta el año 2021)</w:t>
      </w:r>
      <w:r>
        <w:t xml:space="preserve">, y que el crecimiento del stock de deuda activa </w:t>
      </w:r>
      <w:r w:rsidR="00487930">
        <w:t xml:space="preserve">inscrita </w:t>
      </w:r>
      <w:r>
        <w:t xml:space="preserve">se produce exclusivamente como resultado </w:t>
      </w:r>
      <w:r w:rsidR="00C571D7">
        <w:t xml:space="preserve">del esfuerzo </w:t>
      </w:r>
      <w:r>
        <w:t xml:space="preserve">de </w:t>
      </w:r>
      <w:r w:rsidR="00C571D7">
        <w:t>inscribir la deuda ya identificada</w:t>
      </w:r>
      <w:r>
        <w:t xml:space="preserve">. </w:t>
      </w:r>
      <w:r w:rsidR="00E91927">
        <w:t>Por tanto, e</w:t>
      </w:r>
      <w:r w:rsidR="004B1F98">
        <w:t>sta hipótesis</w:t>
      </w:r>
      <w:r w:rsidR="00E91927">
        <w:t xml:space="preserve"> de trabajo no tiene en cuenta</w:t>
      </w:r>
      <w:r w:rsidR="004B1F98">
        <w:t xml:space="preserve"> </w:t>
      </w:r>
      <w:r w:rsidR="00E91927">
        <w:t>el</w:t>
      </w:r>
      <w:r w:rsidR="004B1F98">
        <w:t xml:space="preserve"> más que </w:t>
      </w:r>
      <w:r w:rsidR="00E91927">
        <w:t>probable</w:t>
      </w:r>
      <w:r w:rsidR="004B1F98">
        <w:t xml:space="preserve"> </w:t>
      </w:r>
      <w:r w:rsidR="00E91927">
        <w:t>registro</w:t>
      </w:r>
      <w:r w:rsidR="004B1F98">
        <w:t xml:space="preserve"> </w:t>
      </w:r>
      <w:r w:rsidR="00E91927">
        <w:t>en el SUDA de deuda identificada</w:t>
      </w:r>
      <w:r w:rsidR="004B1F98">
        <w:t xml:space="preserve">, lo que de alguna forma </w:t>
      </w:r>
      <w:r w:rsidR="00E91927">
        <w:t xml:space="preserve">estaría </w:t>
      </w:r>
      <w:r w:rsidR="00D857C2" w:rsidRPr="00D857C2">
        <w:rPr>
          <w:i/>
        </w:rPr>
        <w:t>subestimando</w:t>
      </w:r>
      <w:r w:rsidR="004B1F98">
        <w:t xml:space="preserve"> el stock </w:t>
      </w:r>
      <w:r w:rsidR="004753C4">
        <w:t xml:space="preserve">de deuda </w:t>
      </w:r>
      <w:r w:rsidR="00C571D7">
        <w:t>a inscribir</w:t>
      </w:r>
      <w:r w:rsidR="004B1F98">
        <w:t xml:space="preserve"> en el SUDA. Es</w:t>
      </w:r>
      <w:r w:rsidR="00E91927">
        <w:t xml:space="preserve">te es </w:t>
      </w:r>
      <w:r w:rsidR="004B1F98">
        <w:t xml:space="preserve">un supuesto </w:t>
      </w:r>
      <w:r w:rsidR="00E91927">
        <w:t xml:space="preserve">claramente </w:t>
      </w:r>
      <w:r w:rsidR="004B1F98">
        <w:t xml:space="preserve">conservador </w:t>
      </w:r>
      <w:r w:rsidR="00FB1483">
        <w:t xml:space="preserve">que </w:t>
      </w:r>
      <w:r w:rsidR="004B1F98">
        <w:t>afecta</w:t>
      </w:r>
      <w:r w:rsidR="00E91927">
        <w:t>,</w:t>
      </w:r>
      <w:r w:rsidR="004B1F98">
        <w:t xml:space="preserve"> como es obvio</w:t>
      </w:r>
      <w:r w:rsidR="00E91927">
        <w:t>,</w:t>
      </w:r>
      <w:r w:rsidR="004B1F98">
        <w:t xml:space="preserve"> a los monto</w:t>
      </w:r>
      <w:r w:rsidR="00E91927">
        <w:t xml:space="preserve">s </w:t>
      </w:r>
      <w:r w:rsidR="004753C4">
        <w:t xml:space="preserve">potencialmente </w:t>
      </w:r>
      <w:r w:rsidR="00E91927">
        <w:t>cobrables</w:t>
      </w:r>
      <w:r w:rsidR="00FB1483" w:rsidRPr="00FB1483">
        <w:t xml:space="preserve"> </w:t>
      </w:r>
      <w:r w:rsidR="00FB1483">
        <w:t>e infravalora los beneficios potenciales</w:t>
      </w:r>
      <w:r w:rsidR="00C571D7">
        <w:t xml:space="preserve"> en términos de ingresos para el Fisco</w:t>
      </w:r>
      <w:r w:rsidR="00E91927">
        <w:t>, dado</w:t>
      </w:r>
      <w:r w:rsidR="004B1F98">
        <w:t xml:space="preserve"> que la mayor restricción para proceder a la ejecución del cobro es su inscripción</w:t>
      </w:r>
      <w:r w:rsidR="00A41ED2">
        <w:t xml:space="preserve"> previa</w:t>
      </w:r>
      <w:r w:rsidR="004B1F98">
        <w:t xml:space="preserve">. </w:t>
      </w:r>
    </w:p>
    <w:p w:rsidR="00E80005" w:rsidRDefault="00E80005" w:rsidP="00E80005">
      <w:pPr>
        <w:pStyle w:val="ListParagraph"/>
        <w:ind w:left="567"/>
      </w:pPr>
    </w:p>
    <w:p w:rsidR="004B1F98" w:rsidRDefault="004B1F98" w:rsidP="004B1F98">
      <w:pPr>
        <w:pStyle w:val="ListParagraph"/>
        <w:numPr>
          <w:ilvl w:val="0"/>
          <w:numId w:val="14"/>
        </w:numPr>
        <w:ind w:left="567" w:hanging="567"/>
      </w:pPr>
      <w:r>
        <w:t xml:space="preserve">Como se ha señalado, las metas de las tasas están expresadas en la matriz de resultados, que alcanza hasta el año 2016. </w:t>
      </w:r>
      <w:r w:rsidR="00293217">
        <w:t xml:space="preserve">Sin embargo, el análisis costo-beneficio </w:t>
      </w:r>
      <w:r w:rsidR="009D76D3">
        <w:t xml:space="preserve">(ACB) </w:t>
      </w:r>
      <w:r w:rsidR="00293217">
        <w:t xml:space="preserve">se extiende hasta el año 2021. </w:t>
      </w:r>
      <w:r w:rsidR="00D2244D">
        <w:t>Para l</w:t>
      </w:r>
      <w:r>
        <w:t xml:space="preserve">a proyección al año 2021 </w:t>
      </w:r>
      <w:r w:rsidR="00577265">
        <w:t xml:space="preserve">de la tasa de inscripción </w:t>
      </w:r>
      <w:r>
        <w:t xml:space="preserve">se ha </w:t>
      </w:r>
      <w:r w:rsidR="00577265">
        <w:t xml:space="preserve">considerado que gran parte del esfuerzo de inscripción ha sido realizado en los años precedentes y que el proceso de inscripción </w:t>
      </w:r>
      <w:r w:rsidR="004753C4">
        <w:t xml:space="preserve">de deuda identificada </w:t>
      </w:r>
      <w:r w:rsidR="00577265">
        <w:t xml:space="preserve">presenta rendimientos marginales decrecientes. El mismo comportamiento cabe atribuir a la proyección de la tasa de cobranza. A los efectos del ACB, </w:t>
      </w:r>
      <w:r w:rsidR="00FD23FF">
        <w:t>los bajos ritmos de crecimiento de estas dos tasas inducen a que los beneficios económicos esperados a partir del año 2017 sean menores y, por tanto, se produzca una infraestimación de los mismos.</w:t>
      </w:r>
    </w:p>
    <w:p w:rsidR="008C2CED" w:rsidRDefault="008C2CED"/>
    <w:p w:rsidR="00C571D7" w:rsidRDefault="00C571D7" w:rsidP="00C571D7">
      <w:pPr>
        <w:pStyle w:val="ListParagraph"/>
        <w:numPr>
          <w:ilvl w:val="0"/>
          <w:numId w:val="14"/>
        </w:numPr>
        <w:ind w:left="567" w:hanging="567"/>
      </w:pPr>
      <w:r>
        <w:t xml:space="preserve">En resumen, los supuestos de partida utilizados para estimar los beneficios potenciales de la alternativa BID en materia de cobranza de la denominada deuda activa, expresados en términos de </w:t>
      </w:r>
      <w:r>
        <w:lastRenderedPageBreak/>
        <w:t>cantidades ingresadas al Fisco por acciones de cobranza, es muy probable que estén subestimados</w:t>
      </w:r>
      <w:r w:rsidR="00203531">
        <w:t>, pues no tiene en cuenta los flujos nuevos de deuda identificada</w:t>
      </w:r>
      <w:r>
        <w:t xml:space="preserve">. </w:t>
      </w:r>
      <w:r w:rsidR="00203531">
        <w:t xml:space="preserve">Los supuestos operan únicamente sobre el </w:t>
      </w:r>
      <w:r w:rsidR="00203531" w:rsidRPr="00B462D2">
        <w:rPr>
          <w:i/>
        </w:rPr>
        <w:t>stock de deuda activa inscrita</w:t>
      </w:r>
      <w:r w:rsidR="00203531">
        <w:t xml:space="preserve">. </w:t>
      </w:r>
      <w:r>
        <w:t xml:space="preserve">Por otra parte, alcanzar la meta del 70% de inscripción en año final del programa BID (2016) es </w:t>
      </w:r>
      <w:r w:rsidR="00561F33">
        <w:t>factible</w:t>
      </w:r>
      <w:r>
        <w:t xml:space="preserve"> alcanzarla, pues dentro del programa BR-L1277 está previsto automatizar la interfaz entre la deuda identificada y su registro en el SUDA</w:t>
      </w:r>
      <w:r w:rsidR="00561F33">
        <w:t>, lo que significaría la eliminación del retardo en el proceso de inscripción.</w:t>
      </w:r>
    </w:p>
    <w:p w:rsidR="00843678" w:rsidRDefault="00843678" w:rsidP="00E80005">
      <w:pPr>
        <w:pStyle w:val="ListParagraph"/>
        <w:ind w:left="567"/>
      </w:pPr>
    </w:p>
    <w:p w:rsidR="00C571D7" w:rsidRDefault="00C571D7" w:rsidP="00E80005">
      <w:pPr>
        <w:pStyle w:val="ListParagraph"/>
        <w:ind w:left="567"/>
      </w:pPr>
    </w:p>
    <w:p w:rsidR="008C2CED" w:rsidRDefault="00930FD9">
      <w:pPr>
        <w:pStyle w:val="Heading3"/>
      </w:pPr>
      <w:bookmarkStart w:id="40" w:name="_Toc303885515"/>
      <w:r w:rsidRPr="00CF2FEC">
        <w:t>Cobranza de deudas</w:t>
      </w:r>
      <w:r w:rsidR="00D857C2" w:rsidRPr="00D857C2">
        <w:t xml:space="preserve">: </w:t>
      </w:r>
      <w:r w:rsidR="00487930" w:rsidRPr="00F022D3">
        <w:t>alternativa AGU</w:t>
      </w:r>
      <w:bookmarkEnd w:id="40"/>
    </w:p>
    <w:p w:rsidR="00FD23FF" w:rsidRDefault="00F57E89" w:rsidP="00F57E89">
      <w:pPr>
        <w:pStyle w:val="ListParagraph"/>
        <w:numPr>
          <w:ilvl w:val="0"/>
          <w:numId w:val="14"/>
        </w:numPr>
        <w:ind w:left="567" w:hanging="567"/>
      </w:pPr>
      <w:r>
        <w:t xml:space="preserve">En </w:t>
      </w:r>
      <w:r w:rsidR="00D41F4D">
        <w:t>la alternativa</w:t>
      </w:r>
      <w:r>
        <w:t xml:space="preserve"> </w:t>
      </w:r>
      <w:r w:rsidR="00D41F4D">
        <w:t>AGU</w:t>
      </w:r>
      <w:r>
        <w:t xml:space="preserve"> se supone que la AGU prosigue con sus trabajos de mejorar el </w:t>
      </w:r>
      <w:r w:rsidR="00D41F4D">
        <w:t xml:space="preserve">proceso </w:t>
      </w:r>
      <w:r>
        <w:t>de trabajo en materia de cobranza</w:t>
      </w:r>
      <w:r w:rsidR="00D41F4D">
        <w:t xml:space="preserve"> de deuda activa</w:t>
      </w:r>
      <w:r>
        <w:t>, pero con menor intensidad</w:t>
      </w:r>
      <w:r w:rsidR="00953CEF">
        <w:t xml:space="preserve"> en el ritmo y con metas menos ambiciosas, tanto</w:t>
      </w:r>
      <w:r>
        <w:t xml:space="preserve"> en el caso de la tasa de inscripción </w:t>
      </w:r>
      <w:r w:rsidR="00953CEF">
        <w:t>como</w:t>
      </w:r>
      <w:r>
        <w:t xml:space="preserve"> en lo que se refiere a la tasa de cobranza. En el cuadro 4 pueden verse las diferencias de comportamiento de estos dos indicadores en ambos escenarios.</w:t>
      </w:r>
    </w:p>
    <w:p w:rsidR="00930FD9" w:rsidRDefault="00930FD9" w:rsidP="00E80005">
      <w:pPr>
        <w:pStyle w:val="ListParagraph"/>
        <w:ind w:left="567"/>
      </w:pPr>
    </w:p>
    <w:p w:rsidR="00F57E89" w:rsidRPr="00D177C1" w:rsidRDefault="00F57E89" w:rsidP="00F57E89">
      <w:pPr>
        <w:pStyle w:val="ListParagraph"/>
        <w:spacing w:after="60"/>
        <w:ind w:left="360"/>
        <w:jc w:val="center"/>
        <w:rPr>
          <w:b/>
          <w:sz w:val="20"/>
        </w:rPr>
      </w:pPr>
      <w:r>
        <w:rPr>
          <w:b/>
          <w:sz w:val="20"/>
        </w:rPr>
        <w:t>Cuadro 4</w:t>
      </w:r>
      <w:r w:rsidRPr="00D177C1">
        <w:rPr>
          <w:b/>
          <w:sz w:val="20"/>
        </w:rPr>
        <w:t xml:space="preserve">. </w:t>
      </w:r>
      <w:r>
        <w:rPr>
          <w:b/>
          <w:sz w:val="20"/>
        </w:rPr>
        <w:t xml:space="preserve">Diferenciales de tasas entre </w:t>
      </w:r>
      <w:r w:rsidR="00F022D3">
        <w:rPr>
          <w:b/>
          <w:sz w:val="20"/>
        </w:rPr>
        <w:t xml:space="preserve">las alternativas </w:t>
      </w:r>
      <w:r w:rsidR="00E91927">
        <w:rPr>
          <w:b/>
          <w:sz w:val="20"/>
        </w:rPr>
        <w:t>AGU y BID</w:t>
      </w:r>
    </w:p>
    <w:tbl>
      <w:tblPr>
        <w:tblW w:w="6642" w:type="dxa"/>
        <w:jc w:val="center"/>
        <w:tblInd w:w="899" w:type="dxa"/>
        <w:tblCellMar>
          <w:left w:w="70" w:type="dxa"/>
          <w:right w:w="70" w:type="dxa"/>
        </w:tblCellMar>
        <w:tblLook w:val="04A0" w:firstRow="1" w:lastRow="0" w:firstColumn="1" w:lastColumn="0" w:noHBand="0" w:noVBand="1"/>
      </w:tblPr>
      <w:tblGrid>
        <w:gridCol w:w="1023"/>
        <w:gridCol w:w="1419"/>
        <w:gridCol w:w="1365"/>
        <w:gridCol w:w="1560"/>
        <w:gridCol w:w="1275"/>
      </w:tblGrid>
      <w:tr w:rsidR="00F57E89" w:rsidRPr="009E7F7F" w:rsidTr="00E91927">
        <w:trPr>
          <w:trHeight w:val="225"/>
          <w:jc w:val="center"/>
        </w:trPr>
        <w:tc>
          <w:tcPr>
            <w:tcW w:w="1023" w:type="dxa"/>
            <w:tcBorders>
              <w:top w:val="single" w:sz="4" w:space="0" w:color="auto"/>
              <w:left w:val="nil"/>
              <w:bottom w:val="single" w:sz="4" w:space="0" w:color="auto"/>
              <w:right w:val="nil"/>
            </w:tcBorders>
            <w:shd w:val="clear" w:color="auto" w:fill="auto"/>
            <w:noWrap/>
            <w:vAlign w:val="bottom"/>
          </w:tcPr>
          <w:p w:rsidR="00F57E89" w:rsidRPr="009E7F7F" w:rsidRDefault="00F57E89" w:rsidP="00114ABF">
            <w:pPr>
              <w:jc w:val="left"/>
              <w:rPr>
                <w:color w:val="000000"/>
                <w:sz w:val="20"/>
                <w:szCs w:val="20"/>
                <w:lang w:val="es-ES_tradnl" w:eastAsia="es-ES_tradnl"/>
              </w:rPr>
            </w:pPr>
          </w:p>
        </w:tc>
        <w:tc>
          <w:tcPr>
            <w:tcW w:w="2784" w:type="dxa"/>
            <w:gridSpan w:val="2"/>
            <w:tcBorders>
              <w:top w:val="single" w:sz="4" w:space="0" w:color="auto"/>
              <w:left w:val="nil"/>
              <w:bottom w:val="single" w:sz="4" w:space="0" w:color="auto"/>
              <w:right w:val="nil"/>
            </w:tcBorders>
            <w:shd w:val="clear" w:color="auto" w:fill="auto"/>
            <w:noWrap/>
            <w:vAlign w:val="bottom"/>
          </w:tcPr>
          <w:p w:rsidR="00F57E89" w:rsidRPr="009E7F7F" w:rsidRDefault="00F022D3" w:rsidP="00F022D3">
            <w:pPr>
              <w:jc w:val="center"/>
              <w:rPr>
                <w:b/>
                <w:bCs/>
                <w:color w:val="000000"/>
                <w:sz w:val="20"/>
                <w:szCs w:val="20"/>
                <w:lang w:val="es-ES_tradnl" w:eastAsia="es-ES_tradnl"/>
              </w:rPr>
            </w:pPr>
            <w:r>
              <w:rPr>
                <w:b/>
                <w:bCs/>
                <w:color w:val="000000"/>
                <w:sz w:val="20"/>
                <w:szCs w:val="20"/>
                <w:lang w:val="es-ES_tradnl" w:eastAsia="es-ES_tradnl"/>
              </w:rPr>
              <w:t>Alternativa AGU</w:t>
            </w:r>
          </w:p>
        </w:tc>
        <w:tc>
          <w:tcPr>
            <w:tcW w:w="2835" w:type="dxa"/>
            <w:gridSpan w:val="2"/>
            <w:tcBorders>
              <w:top w:val="single" w:sz="4" w:space="0" w:color="auto"/>
              <w:left w:val="nil"/>
              <w:bottom w:val="single" w:sz="4" w:space="0" w:color="auto"/>
              <w:right w:val="nil"/>
            </w:tcBorders>
            <w:shd w:val="clear" w:color="auto" w:fill="auto"/>
            <w:noWrap/>
            <w:vAlign w:val="bottom"/>
          </w:tcPr>
          <w:p w:rsidR="00F57E89" w:rsidRPr="009E7F7F" w:rsidRDefault="00F022D3" w:rsidP="00F022D3">
            <w:pPr>
              <w:jc w:val="center"/>
              <w:rPr>
                <w:b/>
                <w:bCs/>
                <w:color w:val="000000"/>
                <w:sz w:val="20"/>
                <w:szCs w:val="20"/>
                <w:lang w:val="es-ES_tradnl" w:eastAsia="es-ES_tradnl"/>
              </w:rPr>
            </w:pPr>
            <w:r>
              <w:rPr>
                <w:b/>
                <w:bCs/>
                <w:color w:val="000000"/>
                <w:sz w:val="20"/>
                <w:szCs w:val="20"/>
                <w:lang w:val="es-ES_tradnl" w:eastAsia="es-ES_tradnl"/>
              </w:rPr>
              <w:t xml:space="preserve">Alternativa </w:t>
            </w:r>
            <w:r w:rsidR="00F57E89">
              <w:rPr>
                <w:b/>
                <w:bCs/>
                <w:color w:val="000000"/>
                <w:sz w:val="20"/>
                <w:szCs w:val="20"/>
                <w:lang w:val="es-ES_tradnl" w:eastAsia="es-ES_tradnl"/>
              </w:rPr>
              <w:t>BID</w:t>
            </w:r>
          </w:p>
        </w:tc>
      </w:tr>
      <w:tr w:rsidR="00F57E89" w:rsidRPr="009E7F7F" w:rsidTr="00E91927">
        <w:trPr>
          <w:trHeight w:val="225"/>
          <w:jc w:val="center"/>
        </w:trPr>
        <w:tc>
          <w:tcPr>
            <w:tcW w:w="1023" w:type="dxa"/>
            <w:tcBorders>
              <w:top w:val="single" w:sz="4" w:space="0" w:color="auto"/>
              <w:left w:val="nil"/>
              <w:bottom w:val="single" w:sz="4" w:space="0" w:color="auto"/>
              <w:right w:val="nil"/>
            </w:tcBorders>
            <w:shd w:val="clear" w:color="auto" w:fill="auto"/>
            <w:noWrap/>
            <w:vAlign w:val="bottom"/>
            <w:hideMark/>
          </w:tcPr>
          <w:p w:rsidR="00F57E89" w:rsidRPr="009E7F7F" w:rsidRDefault="00F57E89" w:rsidP="00114ABF">
            <w:pPr>
              <w:jc w:val="left"/>
              <w:rPr>
                <w:color w:val="000000"/>
                <w:sz w:val="20"/>
                <w:szCs w:val="20"/>
                <w:lang w:val="es-ES_tradnl" w:eastAsia="es-ES_tradnl"/>
              </w:rPr>
            </w:pPr>
          </w:p>
        </w:tc>
        <w:tc>
          <w:tcPr>
            <w:tcW w:w="1419" w:type="dxa"/>
            <w:tcBorders>
              <w:top w:val="single" w:sz="4" w:space="0" w:color="auto"/>
              <w:left w:val="nil"/>
              <w:bottom w:val="single" w:sz="4" w:space="0" w:color="auto"/>
              <w:right w:val="nil"/>
            </w:tcBorders>
            <w:shd w:val="clear" w:color="auto" w:fill="auto"/>
            <w:noWrap/>
            <w:vAlign w:val="bottom"/>
            <w:hideMark/>
          </w:tcPr>
          <w:p w:rsidR="00F57E89" w:rsidRPr="009E7F7F" w:rsidRDefault="00F57E89" w:rsidP="00114ABF">
            <w:pPr>
              <w:jc w:val="center"/>
              <w:rPr>
                <w:b/>
                <w:bCs/>
                <w:color w:val="000000"/>
                <w:sz w:val="20"/>
                <w:szCs w:val="20"/>
                <w:lang w:val="es-ES_tradnl" w:eastAsia="es-ES_tradnl"/>
              </w:rPr>
            </w:pPr>
            <w:r w:rsidRPr="009E7F7F">
              <w:rPr>
                <w:b/>
                <w:bCs/>
                <w:color w:val="000000"/>
                <w:sz w:val="20"/>
                <w:szCs w:val="20"/>
                <w:lang w:val="es-ES_tradnl" w:eastAsia="es-ES_tradnl"/>
              </w:rPr>
              <w:t>Tasa de inscripción</w:t>
            </w:r>
          </w:p>
        </w:tc>
        <w:tc>
          <w:tcPr>
            <w:tcW w:w="1365" w:type="dxa"/>
            <w:tcBorders>
              <w:top w:val="single" w:sz="4" w:space="0" w:color="auto"/>
              <w:left w:val="nil"/>
              <w:bottom w:val="single" w:sz="4" w:space="0" w:color="auto"/>
              <w:right w:val="nil"/>
            </w:tcBorders>
            <w:shd w:val="clear" w:color="auto" w:fill="auto"/>
            <w:noWrap/>
            <w:vAlign w:val="bottom"/>
            <w:hideMark/>
          </w:tcPr>
          <w:p w:rsidR="00F57E89" w:rsidRPr="009E7F7F" w:rsidRDefault="00F57E89" w:rsidP="00114ABF">
            <w:pPr>
              <w:jc w:val="center"/>
              <w:rPr>
                <w:b/>
                <w:bCs/>
                <w:color w:val="000000"/>
                <w:sz w:val="20"/>
                <w:szCs w:val="20"/>
                <w:lang w:val="es-ES_tradnl" w:eastAsia="es-ES_tradnl"/>
              </w:rPr>
            </w:pPr>
            <w:r w:rsidRPr="009E7F7F">
              <w:rPr>
                <w:b/>
                <w:bCs/>
                <w:color w:val="000000"/>
                <w:sz w:val="20"/>
                <w:szCs w:val="20"/>
                <w:lang w:val="es-ES_tradnl" w:eastAsia="es-ES_tradnl"/>
              </w:rPr>
              <w:t>Tasa cobranza</w:t>
            </w:r>
          </w:p>
        </w:tc>
        <w:tc>
          <w:tcPr>
            <w:tcW w:w="1560" w:type="dxa"/>
            <w:tcBorders>
              <w:top w:val="single" w:sz="4" w:space="0" w:color="auto"/>
              <w:left w:val="nil"/>
              <w:bottom w:val="single" w:sz="4" w:space="0" w:color="auto"/>
              <w:right w:val="nil"/>
            </w:tcBorders>
            <w:shd w:val="clear" w:color="auto" w:fill="auto"/>
            <w:noWrap/>
            <w:vAlign w:val="bottom"/>
          </w:tcPr>
          <w:p w:rsidR="00F57E89" w:rsidRPr="009E7F7F" w:rsidRDefault="00F57E89" w:rsidP="00114ABF">
            <w:pPr>
              <w:jc w:val="center"/>
              <w:rPr>
                <w:b/>
                <w:bCs/>
                <w:color w:val="000000"/>
                <w:sz w:val="20"/>
                <w:szCs w:val="20"/>
                <w:lang w:val="es-ES_tradnl" w:eastAsia="es-ES_tradnl"/>
              </w:rPr>
            </w:pPr>
            <w:r w:rsidRPr="009E7F7F">
              <w:rPr>
                <w:b/>
                <w:bCs/>
                <w:color w:val="000000"/>
                <w:sz w:val="20"/>
                <w:szCs w:val="20"/>
                <w:lang w:val="es-ES_tradnl" w:eastAsia="es-ES_tradnl"/>
              </w:rPr>
              <w:t>Tasa de inscripción</w:t>
            </w:r>
          </w:p>
        </w:tc>
        <w:tc>
          <w:tcPr>
            <w:tcW w:w="1275" w:type="dxa"/>
            <w:tcBorders>
              <w:top w:val="single" w:sz="4" w:space="0" w:color="auto"/>
              <w:left w:val="nil"/>
              <w:bottom w:val="single" w:sz="4" w:space="0" w:color="auto"/>
              <w:right w:val="nil"/>
            </w:tcBorders>
            <w:vAlign w:val="bottom"/>
          </w:tcPr>
          <w:p w:rsidR="00F57E89" w:rsidRPr="009E7F7F" w:rsidRDefault="00F57E89" w:rsidP="00114ABF">
            <w:pPr>
              <w:jc w:val="center"/>
              <w:rPr>
                <w:b/>
                <w:bCs/>
                <w:color w:val="000000"/>
                <w:sz w:val="20"/>
                <w:szCs w:val="20"/>
                <w:lang w:val="es-ES_tradnl" w:eastAsia="es-ES_tradnl"/>
              </w:rPr>
            </w:pPr>
            <w:r w:rsidRPr="009E7F7F">
              <w:rPr>
                <w:b/>
                <w:bCs/>
                <w:color w:val="000000"/>
                <w:sz w:val="20"/>
                <w:szCs w:val="20"/>
                <w:lang w:val="es-ES_tradnl" w:eastAsia="es-ES_tradnl"/>
              </w:rPr>
              <w:t>Tasa cobranza</w:t>
            </w:r>
          </w:p>
        </w:tc>
      </w:tr>
      <w:tr w:rsidR="00F57E89" w:rsidRPr="009E7F7F" w:rsidTr="00E91927">
        <w:trPr>
          <w:trHeight w:val="210"/>
          <w:jc w:val="center"/>
        </w:trPr>
        <w:tc>
          <w:tcPr>
            <w:tcW w:w="1023" w:type="dxa"/>
            <w:tcBorders>
              <w:top w:val="single" w:sz="4" w:space="0" w:color="auto"/>
              <w:left w:val="nil"/>
              <w:bottom w:val="nil"/>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2010</w:t>
            </w:r>
          </w:p>
        </w:tc>
        <w:tc>
          <w:tcPr>
            <w:tcW w:w="1419" w:type="dxa"/>
            <w:tcBorders>
              <w:top w:val="single" w:sz="4" w:space="0" w:color="auto"/>
              <w:left w:val="nil"/>
              <w:bottom w:val="nil"/>
              <w:right w:val="nil"/>
            </w:tcBorders>
            <w:shd w:val="clear" w:color="000000" w:fill="C5D9F1"/>
            <w:noWrap/>
            <w:vAlign w:val="bottom"/>
            <w:hideMark/>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24,5%</w:t>
            </w:r>
          </w:p>
        </w:tc>
        <w:tc>
          <w:tcPr>
            <w:tcW w:w="1365" w:type="dxa"/>
            <w:tcBorders>
              <w:top w:val="single" w:sz="4" w:space="0" w:color="auto"/>
              <w:left w:val="nil"/>
              <w:bottom w:val="nil"/>
              <w:right w:val="nil"/>
            </w:tcBorders>
            <w:shd w:val="clear" w:color="000000" w:fill="C5D9F1"/>
            <w:noWrap/>
            <w:vAlign w:val="bottom"/>
            <w:hideMark/>
          </w:tcPr>
          <w:p w:rsidR="00F57E89" w:rsidRPr="009E7F7F" w:rsidRDefault="00F57E89" w:rsidP="00114ABF">
            <w:pPr>
              <w:ind w:right="215"/>
              <w:jc w:val="right"/>
              <w:rPr>
                <w:color w:val="000000"/>
                <w:sz w:val="20"/>
                <w:szCs w:val="20"/>
                <w:lang w:val="es-ES_tradnl" w:eastAsia="es-ES_tradnl"/>
              </w:rPr>
            </w:pPr>
            <w:r w:rsidRPr="009E7F7F">
              <w:rPr>
                <w:color w:val="000000"/>
                <w:sz w:val="20"/>
                <w:szCs w:val="20"/>
                <w:lang w:val="es-ES_tradnl" w:eastAsia="es-ES_tradnl"/>
              </w:rPr>
              <w:t>3,1%</w:t>
            </w:r>
          </w:p>
        </w:tc>
        <w:tc>
          <w:tcPr>
            <w:tcW w:w="1560" w:type="dxa"/>
            <w:tcBorders>
              <w:top w:val="single" w:sz="4" w:space="0" w:color="auto"/>
              <w:left w:val="nil"/>
              <w:bottom w:val="nil"/>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24,5%</w:t>
            </w:r>
          </w:p>
        </w:tc>
        <w:tc>
          <w:tcPr>
            <w:tcW w:w="1275" w:type="dxa"/>
            <w:tcBorders>
              <w:top w:val="single" w:sz="4" w:space="0" w:color="auto"/>
              <w:left w:val="nil"/>
              <w:bottom w:val="nil"/>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3,1%</w:t>
            </w:r>
          </w:p>
        </w:tc>
      </w:tr>
      <w:tr w:rsidR="00F57E89" w:rsidRPr="009E7F7F" w:rsidTr="00E91927">
        <w:trPr>
          <w:trHeight w:val="210"/>
          <w:jc w:val="center"/>
        </w:trPr>
        <w:tc>
          <w:tcPr>
            <w:tcW w:w="1023" w:type="dxa"/>
            <w:tcBorders>
              <w:top w:val="nil"/>
              <w:left w:val="nil"/>
              <w:bottom w:val="nil"/>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2014</w:t>
            </w:r>
          </w:p>
        </w:tc>
        <w:tc>
          <w:tcPr>
            <w:tcW w:w="1419" w:type="dxa"/>
            <w:tcBorders>
              <w:top w:val="nil"/>
              <w:left w:val="nil"/>
              <w:bottom w:val="nil"/>
              <w:right w:val="nil"/>
            </w:tcBorders>
            <w:shd w:val="clear" w:color="000000" w:fill="C5D9F1"/>
            <w:noWrap/>
            <w:vAlign w:val="bottom"/>
            <w:hideMark/>
          </w:tcPr>
          <w:p w:rsidR="00F57E89" w:rsidRPr="00930FD9" w:rsidRDefault="00F57E89" w:rsidP="00114ABF">
            <w:pPr>
              <w:ind w:right="312"/>
              <w:jc w:val="right"/>
              <w:rPr>
                <w:color w:val="000000"/>
                <w:sz w:val="20"/>
                <w:szCs w:val="20"/>
                <w:lang w:val="es-ES_tradnl" w:eastAsia="es-ES_tradnl"/>
              </w:rPr>
            </w:pPr>
            <w:r w:rsidRPr="00930FD9">
              <w:rPr>
                <w:color w:val="000000"/>
                <w:sz w:val="20"/>
                <w:szCs w:val="20"/>
                <w:lang w:val="es-ES_tradnl" w:eastAsia="es-ES_tradnl"/>
              </w:rPr>
              <w:t>26,0%</w:t>
            </w:r>
          </w:p>
        </w:tc>
        <w:tc>
          <w:tcPr>
            <w:tcW w:w="1365" w:type="dxa"/>
            <w:tcBorders>
              <w:top w:val="nil"/>
              <w:left w:val="nil"/>
              <w:bottom w:val="nil"/>
              <w:right w:val="nil"/>
            </w:tcBorders>
            <w:shd w:val="clear" w:color="000000" w:fill="C5D9F1"/>
            <w:noWrap/>
            <w:vAlign w:val="bottom"/>
            <w:hideMark/>
          </w:tcPr>
          <w:p w:rsidR="00F57E89" w:rsidRPr="00930FD9" w:rsidRDefault="00F57E89" w:rsidP="00114ABF">
            <w:pPr>
              <w:ind w:right="215"/>
              <w:jc w:val="right"/>
              <w:rPr>
                <w:color w:val="000000"/>
                <w:sz w:val="20"/>
                <w:szCs w:val="20"/>
                <w:lang w:val="es-ES_tradnl" w:eastAsia="es-ES_tradnl"/>
              </w:rPr>
            </w:pPr>
            <w:r w:rsidRPr="00930FD9">
              <w:rPr>
                <w:color w:val="000000"/>
                <w:sz w:val="20"/>
                <w:szCs w:val="20"/>
                <w:lang w:val="es-ES_tradnl" w:eastAsia="es-ES_tradnl"/>
              </w:rPr>
              <w:t>4,0%</w:t>
            </w:r>
          </w:p>
        </w:tc>
        <w:tc>
          <w:tcPr>
            <w:tcW w:w="1560" w:type="dxa"/>
            <w:tcBorders>
              <w:top w:val="nil"/>
              <w:left w:val="nil"/>
              <w:bottom w:val="nil"/>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50,0%</w:t>
            </w:r>
          </w:p>
        </w:tc>
        <w:tc>
          <w:tcPr>
            <w:tcW w:w="1275" w:type="dxa"/>
            <w:tcBorders>
              <w:top w:val="nil"/>
              <w:left w:val="nil"/>
              <w:bottom w:val="nil"/>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5,0%</w:t>
            </w:r>
          </w:p>
        </w:tc>
      </w:tr>
      <w:tr w:rsidR="00F57E89" w:rsidRPr="009E7F7F" w:rsidTr="00E91927">
        <w:trPr>
          <w:trHeight w:val="210"/>
          <w:jc w:val="center"/>
        </w:trPr>
        <w:tc>
          <w:tcPr>
            <w:tcW w:w="1023" w:type="dxa"/>
            <w:tcBorders>
              <w:top w:val="nil"/>
              <w:left w:val="nil"/>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2015</w:t>
            </w:r>
          </w:p>
        </w:tc>
        <w:tc>
          <w:tcPr>
            <w:tcW w:w="1419" w:type="dxa"/>
            <w:tcBorders>
              <w:top w:val="nil"/>
              <w:left w:val="nil"/>
              <w:right w:val="nil"/>
            </w:tcBorders>
            <w:shd w:val="clear" w:color="auto" w:fill="auto"/>
            <w:noWrap/>
            <w:vAlign w:val="bottom"/>
            <w:hideMark/>
          </w:tcPr>
          <w:p w:rsidR="00F57E89" w:rsidRPr="00930FD9" w:rsidRDefault="00F57E89" w:rsidP="00114ABF">
            <w:pPr>
              <w:ind w:right="312"/>
              <w:jc w:val="right"/>
              <w:rPr>
                <w:color w:val="000000"/>
                <w:sz w:val="20"/>
                <w:szCs w:val="20"/>
                <w:lang w:val="es-ES_tradnl" w:eastAsia="es-ES_tradnl"/>
              </w:rPr>
            </w:pPr>
            <w:r w:rsidRPr="00930FD9">
              <w:rPr>
                <w:color w:val="000000"/>
                <w:sz w:val="20"/>
                <w:szCs w:val="20"/>
                <w:lang w:val="es-ES_tradnl" w:eastAsia="es-ES_tradnl"/>
              </w:rPr>
              <w:t>26,3%</w:t>
            </w:r>
          </w:p>
        </w:tc>
        <w:tc>
          <w:tcPr>
            <w:tcW w:w="1365" w:type="dxa"/>
            <w:tcBorders>
              <w:top w:val="nil"/>
              <w:left w:val="nil"/>
              <w:right w:val="nil"/>
            </w:tcBorders>
            <w:shd w:val="clear" w:color="auto" w:fill="auto"/>
            <w:noWrap/>
            <w:vAlign w:val="bottom"/>
            <w:hideMark/>
          </w:tcPr>
          <w:p w:rsidR="00F57E89" w:rsidRPr="00930FD9" w:rsidRDefault="00F57E89" w:rsidP="00114ABF">
            <w:pPr>
              <w:ind w:right="215"/>
              <w:jc w:val="right"/>
              <w:rPr>
                <w:color w:val="000000"/>
                <w:sz w:val="20"/>
                <w:szCs w:val="20"/>
                <w:lang w:val="es-ES_tradnl" w:eastAsia="es-ES_tradnl"/>
              </w:rPr>
            </w:pPr>
            <w:r w:rsidRPr="00930FD9">
              <w:rPr>
                <w:color w:val="000000"/>
                <w:sz w:val="20"/>
                <w:szCs w:val="20"/>
                <w:lang w:val="es-ES_tradnl" w:eastAsia="es-ES_tradnl"/>
              </w:rPr>
              <w:t>5,5%</w:t>
            </w:r>
          </w:p>
        </w:tc>
        <w:tc>
          <w:tcPr>
            <w:tcW w:w="1560" w:type="dxa"/>
            <w:tcBorders>
              <w:top w:val="nil"/>
              <w:left w:val="nil"/>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60,0%</w:t>
            </w:r>
          </w:p>
        </w:tc>
        <w:tc>
          <w:tcPr>
            <w:tcW w:w="1275" w:type="dxa"/>
            <w:tcBorders>
              <w:top w:val="nil"/>
              <w:left w:val="nil"/>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6,0%</w:t>
            </w:r>
          </w:p>
        </w:tc>
      </w:tr>
      <w:tr w:rsidR="00F57E89" w:rsidRPr="009E7F7F" w:rsidTr="00E91927">
        <w:trPr>
          <w:trHeight w:val="210"/>
          <w:jc w:val="center"/>
        </w:trPr>
        <w:tc>
          <w:tcPr>
            <w:tcW w:w="1023" w:type="dxa"/>
            <w:tcBorders>
              <w:top w:val="nil"/>
              <w:left w:val="nil"/>
              <w:bottom w:val="single" w:sz="4" w:space="0" w:color="auto"/>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2016</w:t>
            </w:r>
          </w:p>
        </w:tc>
        <w:tc>
          <w:tcPr>
            <w:tcW w:w="1419" w:type="dxa"/>
            <w:tcBorders>
              <w:top w:val="nil"/>
              <w:left w:val="nil"/>
              <w:bottom w:val="single" w:sz="4" w:space="0" w:color="auto"/>
              <w:right w:val="nil"/>
            </w:tcBorders>
            <w:shd w:val="clear" w:color="000000" w:fill="C5D9F1"/>
            <w:noWrap/>
            <w:vAlign w:val="bottom"/>
            <w:hideMark/>
          </w:tcPr>
          <w:p w:rsidR="00F57E89" w:rsidRPr="00930FD9" w:rsidRDefault="00F57E89" w:rsidP="00114ABF">
            <w:pPr>
              <w:ind w:right="312"/>
              <w:jc w:val="right"/>
              <w:rPr>
                <w:color w:val="000000"/>
                <w:sz w:val="20"/>
                <w:szCs w:val="20"/>
                <w:lang w:val="es-ES_tradnl" w:eastAsia="es-ES_tradnl"/>
              </w:rPr>
            </w:pPr>
            <w:r w:rsidRPr="00930FD9">
              <w:rPr>
                <w:color w:val="000000"/>
                <w:sz w:val="20"/>
                <w:szCs w:val="20"/>
                <w:lang w:val="es-ES_tradnl" w:eastAsia="es-ES_tradnl"/>
              </w:rPr>
              <w:t>26,5%</w:t>
            </w:r>
          </w:p>
        </w:tc>
        <w:tc>
          <w:tcPr>
            <w:tcW w:w="1365" w:type="dxa"/>
            <w:tcBorders>
              <w:top w:val="nil"/>
              <w:left w:val="nil"/>
              <w:bottom w:val="single" w:sz="4" w:space="0" w:color="auto"/>
              <w:right w:val="nil"/>
            </w:tcBorders>
            <w:shd w:val="clear" w:color="000000" w:fill="C5D9F1"/>
            <w:noWrap/>
            <w:vAlign w:val="bottom"/>
            <w:hideMark/>
          </w:tcPr>
          <w:p w:rsidR="00F57E89" w:rsidRPr="00930FD9" w:rsidRDefault="00F57E89" w:rsidP="00114ABF">
            <w:pPr>
              <w:ind w:right="215"/>
              <w:jc w:val="right"/>
              <w:rPr>
                <w:color w:val="000000"/>
                <w:sz w:val="20"/>
                <w:szCs w:val="20"/>
                <w:lang w:val="es-ES_tradnl" w:eastAsia="es-ES_tradnl"/>
              </w:rPr>
            </w:pPr>
            <w:r w:rsidRPr="00930FD9">
              <w:rPr>
                <w:color w:val="000000"/>
                <w:sz w:val="20"/>
                <w:szCs w:val="20"/>
                <w:lang w:val="es-ES_tradnl" w:eastAsia="es-ES_tradnl"/>
              </w:rPr>
              <w:t>6,0%</w:t>
            </w:r>
          </w:p>
        </w:tc>
        <w:tc>
          <w:tcPr>
            <w:tcW w:w="1560" w:type="dxa"/>
            <w:tcBorders>
              <w:top w:val="nil"/>
              <w:left w:val="nil"/>
              <w:bottom w:val="single" w:sz="4" w:space="0" w:color="auto"/>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70,0%</w:t>
            </w:r>
          </w:p>
        </w:tc>
        <w:tc>
          <w:tcPr>
            <w:tcW w:w="1275" w:type="dxa"/>
            <w:tcBorders>
              <w:top w:val="nil"/>
              <w:left w:val="nil"/>
              <w:bottom w:val="single" w:sz="4" w:space="0" w:color="auto"/>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8,0%</w:t>
            </w:r>
          </w:p>
        </w:tc>
      </w:tr>
      <w:tr w:rsidR="00F57E89" w:rsidRPr="009E7F7F" w:rsidTr="00E91927">
        <w:trPr>
          <w:trHeight w:val="210"/>
          <w:jc w:val="center"/>
        </w:trPr>
        <w:tc>
          <w:tcPr>
            <w:tcW w:w="1023" w:type="dxa"/>
            <w:tcBorders>
              <w:top w:val="single" w:sz="4" w:space="0" w:color="auto"/>
              <w:left w:val="nil"/>
              <w:bottom w:val="nil"/>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2017</w:t>
            </w:r>
          </w:p>
        </w:tc>
        <w:tc>
          <w:tcPr>
            <w:tcW w:w="1419" w:type="dxa"/>
            <w:tcBorders>
              <w:top w:val="single" w:sz="4" w:space="0" w:color="auto"/>
              <w:left w:val="nil"/>
              <w:bottom w:val="nil"/>
              <w:right w:val="nil"/>
            </w:tcBorders>
            <w:shd w:val="clear" w:color="auto" w:fill="auto"/>
            <w:noWrap/>
            <w:vAlign w:val="bottom"/>
            <w:hideMark/>
          </w:tcPr>
          <w:p w:rsidR="00F57E89" w:rsidRPr="00930FD9" w:rsidRDefault="00F57E89" w:rsidP="00114ABF">
            <w:pPr>
              <w:ind w:right="312"/>
              <w:jc w:val="right"/>
              <w:rPr>
                <w:color w:val="000000"/>
                <w:sz w:val="20"/>
                <w:szCs w:val="20"/>
                <w:lang w:val="es-ES_tradnl" w:eastAsia="es-ES_tradnl"/>
              </w:rPr>
            </w:pPr>
            <w:r w:rsidRPr="00930FD9">
              <w:rPr>
                <w:color w:val="000000"/>
                <w:sz w:val="20"/>
                <w:szCs w:val="20"/>
                <w:lang w:val="es-ES_tradnl" w:eastAsia="es-ES_tradnl"/>
              </w:rPr>
              <w:t>26,8%</w:t>
            </w:r>
          </w:p>
        </w:tc>
        <w:tc>
          <w:tcPr>
            <w:tcW w:w="1365" w:type="dxa"/>
            <w:tcBorders>
              <w:top w:val="single" w:sz="4" w:space="0" w:color="auto"/>
              <w:left w:val="nil"/>
              <w:bottom w:val="nil"/>
              <w:right w:val="nil"/>
            </w:tcBorders>
            <w:shd w:val="clear" w:color="auto" w:fill="auto"/>
            <w:noWrap/>
            <w:vAlign w:val="bottom"/>
            <w:hideMark/>
          </w:tcPr>
          <w:p w:rsidR="00F57E89" w:rsidRPr="00930FD9" w:rsidRDefault="00F57E89" w:rsidP="00114ABF">
            <w:pPr>
              <w:ind w:right="215"/>
              <w:jc w:val="right"/>
              <w:rPr>
                <w:color w:val="000000"/>
                <w:sz w:val="20"/>
                <w:szCs w:val="20"/>
                <w:lang w:val="es-ES_tradnl" w:eastAsia="es-ES_tradnl"/>
              </w:rPr>
            </w:pPr>
            <w:r w:rsidRPr="00930FD9">
              <w:rPr>
                <w:color w:val="000000"/>
                <w:sz w:val="20"/>
                <w:szCs w:val="20"/>
                <w:lang w:val="es-ES_tradnl" w:eastAsia="es-ES_tradnl"/>
              </w:rPr>
              <w:t>7,0%</w:t>
            </w:r>
          </w:p>
        </w:tc>
        <w:tc>
          <w:tcPr>
            <w:tcW w:w="1560" w:type="dxa"/>
            <w:tcBorders>
              <w:top w:val="single" w:sz="4" w:space="0" w:color="auto"/>
              <w:left w:val="nil"/>
              <w:bottom w:val="nil"/>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71,0%</w:t>
            </w:r>
          </w:p>
        </w:tc>
        <w:tc>
          <w:tcPr>
            <w:tcW w:w="1275" w:type="dxa"/>
            <w:tcBorders>
              <w:top w:val="single" w:sz="4" w:space="0" w:color="auto"/>
              <w:left w:val="nil"/>
              <w:bottom w:val="nil"/>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10,0%</w:t>
            </w:r>
          </w:p>
        </w:tc>
      </w:tr>
      <w:tr w:rsidR="00F57E89" w:rsidRPr="009E7F7F" w:rsidTr="00E91927">
        <w:trPr>
          <w:trHeight w:val="210"/>
          <w:jc w:val="center"/>
        </w:trPr>
        <w:tc>
          <w:tcPr>
            <w:tcW w:w="1023" w:type="dxa"/>
            <w:tcBorders>
              <w:top w:val="nil"/>
              <w:left w:val="nil"/>
              <w:bottom w:val="nil"/>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2018</w:t>
            </w:r>
          </w:p>
        </w:tc>
        <w:tc>
          <w:tcPr>
            <w:tcW w:w="1419" w:type="dxa"/>
            <w:tcBorders>
              <w:top w:val="nil"/>
              <w:left w:val="nil"/>
              <w:bottom w:val="nil"/>
              <w:right w:val="nil"/>
            </w:tcBorders>
            <w:shd w:val="clear" w:color="auto" w:fill="auto"/>
            <w:noWrap/>
            <w:vAlign w:val="bottom"/>
            <w:hideMark/>
          </w:tcPr>
          <w:p w:rsidR="00F57E89" w:rsidRPr="00930FD9" w:rsidRDefault="00F57E89" w:rsidP="00114ABF">
            <w:pPr>
              <w:ind w:right="312"/>
              <w:jc w:val="right"/>
              <w:rPr>
                <w:color w:val="000000"/>
                <w:sz w:val="20"/>
                <w:szCs w:val="20"/>
                <w:lang w:val="es-ES_tradnl" w:eastAsia="es-ES_tradnl"/>
              </w:rPr>
            </w:pPr>
            <w:r w:rsidRPr="00930FD9">
              <w:rPr>
                <w:color w:val="000000"/>
                <w:sz w:val="20"/>
                <w:szCs w:val="20"/>
                <w:lang w:val="es-ES_tradnl" w:eastAsia="es-ES_tradnl"/>
              </w:rPr>
              <w:t>27,0%</w:t>
            </w:r>
          </w:p>
        </w:tc>
        <w:tc>
          <w:tcPr>
            <w:tcW w:w="1365" w:type="dxa"/>
            <w:tcBorders>
              <w:top w:val="nil"/>
              <w:left w:val="nil"/>
              <w:bottom w:val="nil"/>
              <w:right w:val="nil"/>
            </w:tcBorders>
            <w:shd w:val="clear" w:color="auto" w:fill="auto"/>
            <w:noWrap/>
            <w:vAlign w:val="bottom"/>
            <w:hideMark/>
          </w:tcPr>
          <w:p w:rsidR="00F57E89" w:rsidRPr="00930FD9" w:rsidRDefault="00F57E89" w:rsidP="00114ABF">
            <w:pPr>
              <w:ind w:right="215"/>
              <w:jc w:val="right"/>
              <w:rPr>
                <w:color w:val="000000"/>
                <w:sz w:val="20"/>
                <w:szCs w:val="20"/>
                <w:lang w:val="es-ES_tradnl" w:eastAsia="es-ES_tradnl"/>
              </w:rPr>
            </w:pPr>
            <w:r w:rsidRPr="00930FD9">
              <w:rPr>
                <w:color w:val="000000"/>
                <w:sz w:val="20"/>
                <w:szCs w:val="20"/>
                <w:lang w:val="es-ES_tradnl" w:eastAsia="es-ES_tradnl"/>
              </w:rPr>
              <w:t>8,0%</w:t>
            </w:r>
          </w:p>
        </w:tc>
        <w:tc>
          <w:tcPr>
            <w:tcW w:w="1560" w:type="dxa"/>
            <w:tcBorders>
              <w:top w:val="nil"/>
              <w:left w:val="nil"/>
              <w:bottom w:val="nil"/>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72,0%</w:t>
            </w:r>
          </w:p>
        </w:tc>
        <w:tc>
          <w:tcPr>
            <w:tcW w:w="1275" w:type="dxa"/>
            <w:tcBorders>
              <w:top w:val="nil"/>
              <w:left w:val="nil"/>
              <w:bottom w:val="nil"/>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11,0%</w:t>
            </w:r>
          </w:p>
        </w:tc>
      </w:tr>
      <w:tr w:rsidR="00F57E89" w:rsidRPr="009E7F7F" w:rsidTr="00E91927">
        <w:trPr>
          <w:trHeight w:val="210"/>
          <w:jc w:val="center"/>
        </w:trPr>
        <w:tc>
          <w:tcPr>
            <w:tcW w:w="1023" w:type="dxa"/>
            <w:tcBorders>
              <w:top w:val="nil"/>
              <w:left w:val="nil"/>
              <w:bottom w:val="nil"/>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2019</w:t>
            </w:r>
          </w:p>
        </w:tc>
        <w:tc>
          <w:tcPr>
            <w:tcW w:w="1419" w:type="dxa"/>
            <w:tcBorders>
              <w:top w:val="nil"/>
              <w:left w:val="nil"/>
              <w:bottom w:val="nil"/>
              <w:right w:val="nil"/>
            </w:tcBorders>
            <w:shd w:val="clear" w:color="auto" w:fill="auto"/>
            <w:noWrap/>
            <w:vAlign w:val="bottom"/>
            <w:hideMark/>
          </w:tcPr>
          <w:p w:rsidR="00F57E89" w:rsidRPr="00930FD9" w:rsidRDefault="00F57E89" w:rsidP="00114ABF">
            <w:pPr>
              <w:ind w:right="312"/>
              <w:jc w:val="right"/>
              <w:rPr>
                <w:color w:val="000000"/>
                <w:sz w:val="20"/>
                <w:szCs w:val="20"/>
                <w:lang w:val="es-ES_tradnl" w:eastAsia="es-ES_tradnl"/>
              </w:rPr>
            </w:pPr>
            <w:r w:rsidRPr="00930FD9">
              <w:rPr>
                <w:color w:val="000000"/>
                <w:sz w:val="20"/>
                <w:szCs w:val="20"/>
                <w:lang w:val="es-ES_tradnl" w:eastAsia="es-ES_tradnl"/>
              </w:rPr>
              <w:t>28,0%</w:t>
            </w:r>
          </w:p>
        </w:tc>
        <w:tc>
          <w:tcPr>
            <w:tcW w:w="1365" w:type="dxa"/>
            <w:tcBorders>
              <w:top w:val="nil"/>
              <w:left w:val="nil"/>
              <w:bottom w:val="nil"/>
              <w:right w:val="nil"/>
            </w:tcBorders>
            <w:shd w:val="clear" w:color="auto" w:fill="auto"/>
            <w:noWrap/>
            <w:vAlign w:val="bottom"/>
            <w:hideMark/>
          </w:tcPr>
          <w:p w:rsidR="00F57E89" w:rsidRPr="00930FD9" w:rsidRDefault="00F57E89" w:rsidP="00114ABF">
            <w:pPr>
              <w:ind w:right="215"/>
              <w:jc w:val="right"/>
              <w:rPr>
                <w:color w:val="000000"/>
                <w:sz w:val="20"/>
                <w:szCs w:val="20"/>
                <w:lang w:val="es-ES_tradnl" w:eastAsia="es-ES_tradnl"/>
              </w:rPr>
            </w:pPr>
            <w:r w:rsidRPr="00930FD9">
              <w:rPr>
                <w:color w:val="000000"/>
                <w:sz w:val="20"/>
                <w:szCs w:val="20"/>
                <w:lang w:val="es-ES_tradnl" w:eastAsia="es-ES_tradnl"/>
              </w:rPr>
              <w:t>9,0%</w:t>
            </w:r>
          </w:p>
        </w:tc>
        <w:tc>
          <w:tcPr>
            <w:tcW w:w="1560" w:type="dxa"/>
            <w:tcBorders>
              <w:top w:val="nil"/>
              <w:left w:val="nil"/>
              <w:bottom w:val="nil"/>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73,0%</w:t>
            </w:r>
          </w:p>
        </w:tc>
        <w:tc>
          <w:tcPr>
            <w:tcW w:w="1275" w:type="dxa"/>
            <w:tcBorders>
              <w:top w:val="nil"/>
              <w:left w:val="nil"/>
              <w:bottom w:val="nil"/>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12,0%</w:t>
            </w:r>
          </w:p>
        </w:tc>
      </w:tr>
      <w:tr w:rsidR="00F57E89" w:rsidRPr="009E7F7F" w:rsidTr="00E91927">
        <w:trPr>
          <w:trHeight w:val="210"/>
          <w:jc w:val="center"/>
        </w:trPr>
        <w:tc>
          <w:tcPr>
            <w:tcW w:w="1023" w:type="dxa"/>
            <w:tcBorders>
              <w:top w:val="nil"/>
              <w:left w:val="nil"/>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2020</w:t>
            </w:r>
          </w:p>
        </w:tc>
        <w:tc>
          <w:tcPr>
            <w:tcW w:w="1419" w:type="dxa"/>
            <w:tcBorders>
              <w:top w:val="nil"/>
              <w:left w:val="nil"/>
              <w:right w:val="nil"/>
            </w:tcBorders>
            <w:shd w:val="clear" w:color="auto" w:fill="auto"/>
            <w:noWrap/>
            <w:vAlign w:val="bottom"/>
            <w:hideMark/>
          </w:tcPr>
          <w:p w:rsidR="00F57E89" w:rsidRPr="00930FD9" w:rsidRDefault="00F57E89" w:rsidP="00114ABF">
            <w:pPr>
              <w:ind w:right="312"/>
              <w:jc w:val="right"/>
              <w:rPr>
                <w:color w:val="000000"/>
                <w:sz w:val="20"/>
                <w:szCs w:val="20"/>
                <w:lang w:val="es-ES_tradnl" w:eastAsia="es-ES_tradnl"/>
              </w:rPr>
            </w:pPr>
            <w:r w:rsidRPr="00930FD9">
              <w:rPr>
                <w:color w:val="000000"/>
                <w:sz w:val="20"/>
                <w:szCs w:val="20"/>
                <w:lang w:val="es-ES_tradnl" w:eastAsia="es-ES_tradnl"/>
              </w:rPr>
              <w:t>29,0%</w:t>
            </w:r>
          </w:p>
        </w:tc>
        <w:tc>
          <w:tcPr>
            <w:tcW w:w="1365" w:type="dxa"/>
            <w:tcBorders>
              <w:top w:val="nil"/>
              <w:left w:val="nil"/>
              <w:right w:val="nil"/>
            </w:tcBorders>
            <w:shd w:val="clear" w:color="auto" w:fill="auto"/>
            <w:noWrap/>
            <w:vAlign w:val="bottom"/>
            <w:hideMark/>
          </w:tcPr>
          <w:p w:rsidR="00F57E89" w:rsidRPr="00930FD9" w:rsidRDefault="00F57E89" w:rsidP="00114ABF">
            <w:pPr>
              <w:ind w:right="215"/>
              <w:jc w:val="right"/>
              <w:rPr>
                <w:color w:val="000000"/>
                <w:sz w:val="20"/>
                <w:szCs w:val="20"/>
                <w:lang w:val="es-ES_tradnl" w:eastAsia="es-ES_tradnl"/>
              </w:rPr>
            </w:pPr>
            <w:r w:rsidRPr="00930FD9">
              <w:rPr>
                <w:color w:val="000000"/>
                <w:sz w:val="20"/>
                <w:szCs w:val="20"/>
                <w:lang w:val="es-ES_tradnl" w:eastAsia="es-ES_tradnl"/>
              </w:rPr>
              <w:t>10,0%</w:t>
            </w:r>
          </w:p>
        </w:tc>
        <w:tc>
          <w:tcPr>
            <w:tcW w:w="1560" w:type="dxa"/>
            <w:tcBorders>
              <w:top w:val="nil"/>
              <w:left w:val="nil"/>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74,0%</w:t>
            </w:r>
          </w:p>
        </w:tc>
        <w:tc>
          <w:tcPr>
            <w:tcW w:w="1275" w:type="dxa"/>
            <w:tcBorders>
              <w:top w:val="nil"/>
              <w:left w:val="nil"/>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13,0%</w:t>
            </w:r>
          </w:p>
        </w:tc>
      </w:tr>
      <w:tr w:rsidR="00F57E89" w:rsidRPr="009E7F7F" w:rsidTr="00E91927">
        <w:trPr>
          <w:trHeight w:val="210"/>
          <w:jc w:val="center"/>
        </w:trPr>
        <w:tc>
          <w:tcPr>
            <w:tcW w:w="1023" w:type="dxa"/>
            <w:tcBorders>
              <w:top w:val="nil"/>
              <w:left w:val="nil"/>
              <w:bottom w:val="single" w:sz="4" w:space="0" w:color="auto"/>
              <w:right w:val="nil"/>
            </w:tcBorders>
            <w:shd w:val="clear" w:color="auto" w:fill="auto"/>
            <w:noWrap/>
            <w:vAlign w:val="bottom"/>
            <w:hideMark/>
          </w:tcPr>
          <w:p w:rsidR="00F57E89" w:rsidRPr="009E7F7F" w:rsidRDefault="00F57E89" w:rsidP="00114ABF">
            <w:pPr>
              <w:jc w:val="center"/>
              <w:rPr>
                <w:color w:val="000000"/>
                <w:sz w:val="20"/>
                <w:szCs w:val="20"/>
                <w:lang w:val="es-ES_tradnl" w:eastAsia="es-ES_tradnl"/>
              </w:rPr>
            </w:pPr>
            <w:r w:rsidRPr="009E7F7F">
              <w:rPr>
                <w:color w:val="000000"/>
                <w:sz w:val="20"/>
                <w:szCs w:val="20"/>
                <w:lang w:val="es-ES_tradnl" w:eastAsia="es-ES_tradnl"/>
              </w:rPr>
              <w:t>2021</w:t>
            </w:r>
          </w:p>
        </w:tc>
        <w:tc>
          <w:tcPr>
            <w:tcW w:w="1419" w:type="dxa"/>
            <w:tcBorders>
              <w:top w:val="nil"/>
              <w:left w:val="nil"/>
              <w:bottom w:val="single" w:sz="4" w:space="0" w:color="auto"/>
              <w:right w:val="nil"/>
            </w:tcBorders>
            <w:shd w:val="clear" w:color="auto" w:fill="auto"/>
            <w:noWrap/>
            <w:vAlign w:val="bottom"/>
            <w:hideMark/>
          </w:tcPr>
          <w:p w:rsidR="00F57E89" w:rsidRPr="00930FD9" w:rsidRDefault="00F57E89" w:rsidP="00114ABF">
            <w:pPr>
              <w:ind w:right="312"/>
              <w:jc w:val="right"/>
              <w:rPr>
                <w:color w:val="000000"/>
                <w:sz w:val="20"/>
                <w:szCs w:val="20"/>
                <w:lang w:val="es-ES_tradnl" w:eastAsia="es-ES_tradnl"/>
              </w:rPr>
            </w:pPr>
            <w:r w:rsidRPr="00930FD9">
              <w:rPr>
                <w:color w:val="000000"/>
                <w:sz w:val="20"/>
                <w:szCs w:val="20"/>
                <w:lang w:val="es-ES_tradnl" w:eastAsia="es-ES_tradnl"/>
              </w:rPr>
              <w:t>30,0%</w:t>
            </w:r>
          </w:p>
        </w:tc>
        <w:tc>
          <w:tcPr>
            <w:tcW w:w="1365" w:type="dxa"/>
            <w:tcBorders>
              <w:top w:val="nil"/>
              <w:left w:val="nil"/>
              <w:bottom w:val="single" w:sz="4" w:space="0" w:color="auto"/>
              <w:right w:val="nil"/>
            </w:tcBorders>
            <w:shd w:val="clear" w:color="auto" w:fill="auto"/>
            <w:noWrap/>
            <w:vAlign w:val="bottom"/>
            <w:hideMark/>
          </w:tcPr>
          <w:p w:rsidR="00F57E89" w:rsidRPr="00930FD9" w:rsidRDefault="00F57E89" w:rsidP="00114ABF">
            <w:pPr>
              <w:ind w:right="215"/>
              <w:jc w:val="right"/>
              <w:rPr>
                <w:color w:val="000000"/>
                <w:sz w:val="20"/>
                <w:szCs w:val="20"/>
                <w:lang w:val="es-ES_tradnl" w:eastAsia="es-ES_tradnl"/>
              </w:rPr>
            </w:pPr>
            <w:r w:rsidRPr="00930FD9">
              <w:rPr>
                <w:color w:val="000000"/>
                <w:sz w:val="20"/>
                <w:szCs w:val="20"/>
                <w:lang w:val="es-ES_tradnl" w:eastAsia="es-ES_tradnl"/>
              </w:rPr>
              <w:t>11,0%</w:t>
            </w:r>
          </w:p>
        </w:tc>
        <w:tc>
          <w:tcPr>
            <w:tcW w:w="1560" w:type="dxa"/>
            <w:tcBorders>
              <w:top w:val="nil"/>
              <w:left w:val="nil"/>
              <w:bottom w:val="single" w:sz="4" w:space="0" w:color="auto"/>
              <w:right w:val="nil"/>
            </w:tcBorders>
            <w:shd w:val="clear" w:color="auto" w:fill="auto"/>
            <w:noWrap/>
            <w:vAlign w:val="bottom"/>
          </w:tcPr>
          <w:p w:rsidR="00F57E89" w:rsidRPr="009E7F7F" w:rsidRDefault="00F57E89" w:rsidP="00114ABF">
            <w:pPr>
              <w:ind w:right="312"/>
              <w:jc w:val="right"/>
              <w:rPr>
                <w:color w:val="000000"/>
                <w:sz w:val="20"/>
                <w:szCs w:val="20"/>
                <w:lang w:val="es-ES_tradnl" w:eastAsia="es-ES_tradnl"/>
              </w:rPr>
            </w:pPr>
            <w:r w:rsidRPr="009E7F7F">
              <w:rPr>
                <w:color w:val="000000"/>
                <w:sz w:val="20"/>
                <w:szCs w:val="20"/>
                <w:lang w:val="es-ES_tradnl" w:eastAsia="es-ES_tradnl"/>
              </w:rPr>
              <w:t>75,0%</w:t>
            </w:r>
          </w:p>
        </w:tc>
        <w:tc>
          <w:tcPr>
            <w:tcW w:w="1275" w:type="dxa"/>
            <w:tcBorders>
              <w:top w:val="nil"/>
              <w:left w:val="nil"/>
              <w:bottom w:val="single" w:sz="4" w:space="0" w:color="auto"/>
              <w:right w:val="nil"/>
            </w:tcBorders>
            <w:vAlign w:val="bottom"/>
          </w:tcPr>
          <w:p w:rsidR="00F57E89" w:rsidRPr="009E7F7F" w:rsidRDefault="00F57E89" w:rsidP="00F57E89">
            <w:pPr>
              <w:ind w:right="298"/>
              <w:jc w:val="right"/>
              <w:rPr>
                <w:color w:val="000000"/>
                <w:sz w:val="20"/>
                <w:szCs w:val="20"/>
                <w:lang w:val="es-ES_tradnl" w:eastAsia="es-ES_tradnl"/>
              </w:rPr>
            </w:pPr>
            <w:r w:rsidRPr="009E7F7F">
              <w:rPr>
                <w:color w:val="000000"/>
                <w:sz w:val="20"/>
                <w:szCs w:val="20"/>
                <w:lang w:val="es-ES_tradnl" w:eastAsia="es-ES_tradnl"/>
              </w:rPr>
              <w:t>14,0%</w:t>
            </w:r>
          </w:p>
        </w:tc>
      </w:tr>
    </w:tbl>
    <w:p w:rsidR="00F57E89" w:rsidRPr="009E7F7F" w:rsidRDefault="00F57E89" w:rsidP="00F57E89">
      <w:pPr>
        <w:pStyle w:val="ListParagraph"/>
        <w:ind w:left="1418" w:right="1324"/>
        <w:rPr>
          <w:sz w:val="18"/>
        </w:rPr>
      </w:pPr>
      <w:r w:rsidRPr="009E7F7F">
        <w:rPr>
          <w:sz w:val="18"/>
        </w:rPr>
        <w:t>Tasa de inscripción: deuda inscrita sobre el total de deuda identificada.</w:t>
      </w:r>
      <w:r>
        <w:rPr>
          <w:sz w:val="18"/>
        </w:rPr>
        <w:t xml:space="preserve"> </w:t>
      </w:r>
      <w:r w:rsidRPr="009E7F7F">
        <w:rPr>
          <w:sz w:val="18"/>
        </w:rPr>
        <w:t>Tasa de cobranza: deuda cobrada sobre el total de deuda inscrita.</w:t>
      </w:r>
      <w:r>
        <w:rPr>
          <w:sz w:val="18"/>
        </w:rPr>
        <w:t xml:space="preserve"> </w:t>
      </w:r>
      <w:r w:rsidRPr="009E7F7F">
        <w:rPr>
          <w:sz w:val="18"/>
        </w:rPr>
        <w:t>Montos en reales 2010.</w:t>
      </w:r>
      <w:r>
        <w:rPr>
          <w:sz w:val="18"/>
        </w:rPr>
        <w:t xml:space="preserve"> </w:t>
      </w:r>
      <w:r w:rsidRPr="009E7F7F">
        <w:rPr>
          <w:sz w:val="18"/>
        </w:rPr>
        <w:t>Fuente: PGF</w:t>
      </w:r>
      <w:r w:rsidR="00657757">
        <w:rPr>
          <w:sz w:val="18"/>
        </w:rPr>
        <w:t>/</w:t>
      </w:r>
      <w:r w:rsidR="00561F33">
        <w:rPr>
          <w:sz w:val="18"/>
        </w:rPr>
        <w:t>AGU</w:t>
      </w:r>
      <w:r w:rsidRPr="009E7F7F">
        <w:rPr>
          <w:sz w:val="18"/>
        </w:rPr>
        <w:t>.</w:t>
      </w:r>
    </w:p>
    <w:p w:rsidR="00F57E89" w:rsidRDefault="00F57E89" w:rsidP="00E80005">
      <w:pPr>
        <w:pStyle w:val="ListParagraph"/>
        <w:ind w:left="567"/>
      </w:pPr>
    </w:p>
    <w:p w:rsidR="00F022D3" w:rsidRDefault="00953CEF" w:rsidP="000F5250">
      <w:pPr>
        <w:pStyle w:val="ListParagraph"/>
        <w:numPr>
          <w:ilvl w:val="0"/>
          <w:numId w:val="14"/>
        </w:numPr>
        <w:ind w:left="567" w:hanging="567"/>
      </w:pPr>
      <w:r>
        <w:t>Estas metas fueron ampliamente discutidas con el equipo de AGU con el fin de que quedara</w:t>
      </w:r>
      <w:r w:rsidR="00E91927">
        <w:t>n</w:t>
      </w:r>
      <w:r>
        <w:t xml:space="preserve"> aislados </w:t>
      </w:r>
      <w:r w:rsidR="00E91927">
        <w:t>los efectos</w:t>
      </w:r>
      <w:r>
        <w:t xml:space="preserve"> sin</w:t>
      </w:r>
      <w:r w:rsidR="00553BEA">
        <w:t xml:space="preserve"> programa</w:t>
      </w:r>
      <w:r>
        <w:t xml:space="preserve"> BID y con </w:t>
      </w:r>
      <w:r w:rsidR="00553BEA">
        <w:t xml:space="preserve">programa </w:t>
      </w:r>
      <w:r>
        <w:t xml:space="preserve">BID. Para ello se analizaron los diversos planes actualmente en marcha en el interior de la AGU, y más concretamente en la PGF, poniendo una especial atención al proceso de consolidación del </w:t>
      </w:r>
      <w:r w:rsidR="00A41ED2">
        <w:t>SUDA</w:t>
      </w:r>
      <w:r w:rsidR="00F022D3">
        <w:t>, factor crítico para poder activar la cobranza</w:t>
      </w:r>
      <w:r w:rsidR="00A41ED2">
        <w:t xml:space="preserve"> </w:t>
      </w:r>
    </w:p>
    <w:p w:rsidR="00F022D3" w:rsidRDefault="00F022D3" w:rsidP="00B462D2">
      <w:pPr>
        <w:pStyle w:val="ListParagraph"/>
        <w:ind w:left="567"/>
      </w:pPr>
    </w:p>
    <w:p w:rsidR="000F5250" w:rsidRDefault="00953CEF" w:rsidP="000F5250">
      <w:pPr>
        <w:pStyle w:val="ListParagraph"/>
        <w:numPr>
          <w:ilvl w:val="0"/>
          <w:numId w:val="14"/>
        </w:numPr>
        <w:ind w:left="567" w:hanging="567"/>
      </w:pPr>
      <w:r>
        <w:t xml:space="preserve">En este sentido, </w:t>
      </w:r>
      <w:r w:rsidR="002F0AD1">
        <w:t xml:space="preserve">los planes de la AGU previos al diseño del programa BID eran consolidar </w:t>
      </w:r>
      <w:r w:rsidR="00E91927">
        <w:t xml:space="preserve">de </w:t>
      </w:r>
      <w:r w:rsidR="00E91927" w:rsidRPr="00AE3B3B">
        <w:rPr>
          <w:i/>
        </w:rPr>
        <w:t>forma paulatina</w:t>
      </w:r>
      <w:r w:rsidR="002F0AD1">
        <w:t xml:space="preserve"> un sistema de gestión informatizado</w:t>
      </w:r>
      <w:r w:rsidR="00553BEA">
        <w:t xml:space="preserve"> (tipo SUDA)</w:t>
      </w:r>
      <w:r w:rsidR="002F0AD1">
        <w:t xml:space="preserve">, desarrollado en </w:t>
      </w:r>
      <w:r w:rsidR="008B006F">
        <w:t>coordinación con</w:t>
      </w:r>
      <w:r w:rsidR="002F0AD1">
        <w:t xml:space="preserve"> la Dirección General de Tecnología (DGT) de la </w:t>
      </w:r>
      <w:r w:rsidR="008B006F">
        <w:t xml:space="preserve">AGU, y reorganizar un equipo interno especializado en materia de cobranza. </w:t>
      </w:r>
      <w:r w:rsidR="00553BEA">
        <w:t>Como se ha señalado, la idea subyacente en el actual proceso de desarrollo del sistema de gestión que está impulsando la PGF</w:t>
      </w:r>
      <w:r w:rsidR="00657757">
        <w:t>/</w:t>
      </w:r>
      <w:r w:rsidR="00553BEA">
        <w:t>AGU es tratar de establecer un sistema que únicamente registre la deuda identificada por las entidades (fundaciones y agencias públicas) a través de un sistema ubicado en los órganos responsables de ello (PGF, PGFN y PGBC).</w:t>
      </w:r>
    </w:p>
    <w:p w:rsidR="000F5250" w:rsidRDefault="000F5250" w:rsidP="000F5250">
      <w:pPr>
        <w:pStyle w:val="ListParagraph"/>
        <w:ind w:left="567"/>
      </w:pPr>
    </w:p>
    <w:p w:rsidR="00561F33" w:rsidRDefault="000F5250" w:rsidP="000F5250">
      <w:pPr>
        <w:pStyle w:val="ListParagraph"/>
        <w:numPr>
          <w:ilvl w:val="0"/>
          <w:numId w:val="14"/>
        </w:numPr>
        <w:ind w:left="567" w:hanging="567"/>
      </w:pPr>
      <w:r>
        <w:t>Este planteamiento contrasta con las actividades diseñadas en el marco del programa BID, mucho más orientadas a: (i) promover la rápida inscripción de la deuda identificada en las agencias y fundaciones</w:t>
      </w:r>
      <w:r w:rsidR="00553BEA">
        <w:t xml:space="preserve"> a través de procesos automatizados</w:t>
      </w:r>
      <w:r>
        <w:t xml:space="preserve">; (ii) modificar todo el flujo de trabajo mediante una reingeniería de procesos, incluyendo la puesta en funcionamiento lo antes posible del Sistema Único de Deuda Activa; y (iii) mejorar la gestión estratégica mediante un sistema de información </w:t>
      </w:r>
      <w:r>
        <w:lastRenderedPageBreak/>
        <w:t xml:space="preserve">gerencial </w:t>
      </w:r>
      <w:r w:rsidR="00AE3B3B">
        <w:t xml:space="preserve">(inteligencia de negocios) </w:t>
      </w:r>
      <w:r>
        <w:t xml:space="preserve">que permita </w:t>
      </w:r>
      <w:r w:rsidR="00AE3B3B">
        <w:t xml:space="preserve">el diseño y la implementación </w:t>
      </w:r>
      <w:r>
        <w:t xml:space="preserve">de nuevas estrategias de cobranza. </w:t>
      </w:r>
    </w:p>
    <w:p w:rsidR="008C2CED" w:rsidRDefault="008C2CED">
      <w:pPr>
        <w:pStyle w:val="ListParagraph"/>
        <w:ind w:left="567"/>
      </w:pPr>
    </w:p>
    <w:p w:rsidR="00F57E89" w:rsidRDefault="00561F33" w:rsidP="000F5250">
      <w:pPr>
        <w:pStyle w:val="ListParagraph"/>
        <w:numPr>
          <w:ilvl w:val="0"/>
          <w:numId w:val="14"/>
        </w:numPr>
        <w:ind w:left="567" w:hanging="567"/>
      </w:pPr>
      <w:r>
        <w:t>Por tanto, en términos comparativos con respecto a la alternativa AGU, las acciones previstas en materia de cobranza en la alternativa BID permiten generar una mayor eficacia en la recaudación potencial debido a la instalación de sistemas de gestión más avanzados.</w:t>
      </w:r>
    </w:p>
    <w:p w:rsidR="000F5250" w:rsidRDefault="000F5250" w:rsidP="000F5250">
      <w:pPr>
        <w:pStyle w:val="ListParagraph"/>
      </w:pPr>
    </w:p>
    <w:p w:rsidR="000F5250" w:rsidRDefault="000F5250" w:rsidP="000F5250">
      <w:pPr>
        <w:pStyle w:val="ListParagraph"/>
        <w:numPr>
          <w:ilvl w:val="0"/>
          <w:numId w:val="14"/>
        </w:numPr>
        <w:ind w:left="567" w:hanging="567"/>
      </w:pPr>
      <w:r>
        <w:t xml:space="preserve">En el cuadro 5 puede observarse el flujo estimado de beneficios </w:t>
      </w:r>
      <w:r w:rsidR="00561F33">
        <w:t xml:space="preserve">sin descontar </w:t>
      </w:r>
      <w:r>
        <w:t xml:space="preserve">en </w:t>
      </w:r>
      <w:r w:rsidR="005F2498">
        <w:t>la alternativa</w:t>
      </w:r>
      <w:r>
        <w:t xml:space="preserve"> AGU.</w:t>
      </w:r>
      <w:r w:rsidR="005F2498">
        <w:t xml:space="preserve"> </w:t>
      </w:r>
    </w:p>
    <w:p w:rsidR="00F57E89" w:rsidRDefault="00F57E89" w:rsidP="00E80005">
      <w:pPr>
        <w:pStyle w:val="ListParagraph"/>
        <w:ind w:left="567"/>
      </w:pPr>
    </w:p>
    <w:p w:rsidR="00930FD9" w:rsidRPr="00D177C1" w:rsidRDefault="00930FD9" w:rsidP="00BE49C8">
      <w:pPr>
        <w:pStyle w:val="ListParagraph"/>
        <w:spacing w:after="60"/>
        <w:ind w:left="1276" w:right="1182"/>
        <w:jc w:val="center"/>
        <w:rPr>
          <w:b/>
          <w:sz w:val="20"/>
        </w:rPr>
      </w:pPr>
      <w:r>
        <w:rPr>
          <w:b/>
          <w:sz w:val="20"/>
        </w:rPr>
        <w:t xml:space="preserve">Cuadro </w:t>
      </w:r>
      <w:r w:rsidR="00F57E89">
        <w:rPr>
          <w:b/>
          <w:sz w:val="20"/>
        </w:rPr>
        <w:t>5</w:t>
      </w:r>
      <w:r w:rsidRPr="00D177C1">
        <w:rPr>
          <w:b/>
          <w:sz w:val="20"/>
        </w:rPr>
        <w:t xml:space="preserve">. </w:t>
      </w:r>
      <w:r w:rsidR="00BE49C8">
        <w:rPr>
          <w:b/>
          <w:sz w:val="20"/>
        </w:rPr>
        <w:t>Cobranza: b</w:t>
      </w:r>
      <w:r>
        <w:rPr>
          <w:b/>
          <w:sz w:val="20"/>
        </w:rPr>
        <w:t>eneficios previstos sin el programa BID (escenario EAGU)</w:t>
      </w:r>
    </w:p>
    <w:tbl>
      <w:tblPr>
        <w:tblW w:w="7002" w:type="dxa"/>
        <w:jc w:val="center"/>
        <w:tblInd w:w="287" w:type="dxa"/>
        <w:tblCellMar>
          <w:left w:w="70" w:type="dxa"/>
          <w:right w:w="70" w:type="dxa"/>
        </w:tblCellMar>
        <w:tblLook w:val="04A0" w:firstRow="1" w:lastRow="0" w:firstColumn="1" w:lastColumn="0" w:noHBand="0" w:noVBand="1"/>
      </w:tblPr>
      <w:tblGrid>
        <w:gridCol w:w="1023"/>
        <w:gridCol w:w="1419"/>
        <w:gridCol w:w="1788"/>
        <w:gridCol w:w="1175"/>
        <w:gridCol w:w="1597"/>
      </w:tblGrid>
      <w:tr w:rsidR="00930FD9" w:rsidRPr="009E7F7F" w:rsidTr="00215726">
        <w:trPr>
          <w:trHeight w:val="225"/>
          <w:jc w:val="center"/>
        </w:trPr>
        <w:tc>
          <w:tcPr>
            <w:tcW w:w="1023" w:type="dxa"/>
            <w:tcBorders>
              <w:top w:val="single" w:sz="4" w:space="0" w:color="auto"/>
              <w:left w:val="nil"/>
              <w:bottom w:val="single" w:sz="4" w:space="0" w:color="auto"/>
              <w:right w:val="nil"/>
            </w:tcBorders>
            <w:shd w:val="clear" w:color="auto" w:fill="auto"/>
            <w:noWrap/>
            <w:vAlign w:val="bottom"/>
            <w:hideMark/>
          </w:tcPr>
          <w:p w:rsidR="00930FD9" w:rsidRPr="009E7F7F" w:rsidRDefault="00930FD9" w:rsidP="00215726">
            <w:pPr>
              <w:jc w:val="left"/>
              <w:rPr>
                <w:color w:val="000000"/>
                <w:sz w:val="20"/>
                <w:szCs w:val="20"/>
                <w:lang w:val="es-ES_tradnl" w:eastAsia="es-ES_tradnl"/>
              </w:rPr>
            </w:pPr>
          </w:p>
        </w:tc>
        <w:tc>
          <w:tcPr>
            <w:tcW w:w="1419" w:type="dxa"/>
            <w:tcBorders>
              <w:top w:val="single" w:sz="4" w:space="0" w:color="auto"/>
              <w:left w:val="nil"/>
              <w:bottom w:val="single" w:sz="4" w:space="0" w:color="auto"/>
              <w:right w:val="nil"/>
            </w:tcBorders>
            <w:shd w:val="clear" w:color="auto" w:fill="auto"/>
            <w:noWrap/>
            <w:vAlign w:val="bottom"/>
            <w:hideMark/>
          </w:tcPr>
          <w:p w:rsidR="00930FD9" w:rsidRPr="009E7F7F" w:rsidRDefault="00930FD9" w:rsidP="00215726">
            <w:pPr>
              <w:jc w:val="center"/>
              <w:rPr>
                <w:b/>
                <w:bCs/>
                <w:color w:val="000000"/>
                <w:sz w:val="20"/>
                <w:szCs w:val="20"/>
                <w:lang w:val="es-ES_tradnl" w:eastAsia="es-ES_tradnl"/>
              </w:rPr>
            </w:pPr>
            <w:r w:rsidRPr="009E7F7F">
              <w:rPr>
                <w:b/>
                <w:bCs/>
                <w:color w:val="000000"/>
                <w:sz w:val="20"/>
                <w:szCs w:val="20"/>
                <w:lang w:val="es-ES_tradnl" w:eastAsia="es-ES_tradnl"/>
              </w:rPr>
              <w:t>Tasa de inscripción</w:t>
            </w:r>
          </w:p>
        </w:tc>
        <w:tc>
          <w:tcPr>
            <w:tcW w:w="1788" w:type="dxa"/>
            <w:tcBorders>
              <w:top w:val="single" w:sz="4" w:space="0" w:color="auto"/>
              <w:left w:val="nil"/>
              <w:bottom w:val="single" w:sz="4" w:space="0" w:color="auto"/>
              <w:right w:val="nil"/>
            </w:tcBorders>
            <w:shd w:val="clear" w:color="auto" w:fill="auto"/>
            <w:noWrap/>
            <w:vAlign w:val="bottom"/>
            <w:hideMark/>
          </w:tcPr>
          <w:p w:rsidR="00930FD9" w:rsidRPr="009E7F7F" w:rsidRDefault="00930FD9" w:rsidP="00215726">
            <w:pPr>
              <w:jc w:val="center"/>
              <w:rPr>
                <w:b/>
                <w:bCs/>
                <w:color w:val="000000"/>
                <w:sz w:val="20"/>
                <w:szCs w:val="20"/>
                <w:lang w:val="es-ES_tradnl" w:eastAsia="es-ES_tradnl"/>
              </w:rPr>
            </w:pPr>
            <w:r w:rsidRPr="009E7F7F">
              <w:rPr>
                <w:b/>
                <w:bCs/>
                <w:color w:val="000000"/>
                <w:sz w:val="20"/>
                <w:szCs w:val="20"/>
                <w:lang w:val="es-ES_tradnl" w:eastAsia="es-ES_tradnl"/>
              </w:rPr>
              <w:t>Stock deuda activa</w:t>
            </w:r>
            <w:r>
              <w:rPr>
                <w:b/>
                <w:bCs/>
                <w:color w:val="000000"/>
                <w:sz w:val="20"/>
                <w:szCs w:val="20"/>
                <w:lang w:val="es-ES_tradnl" w:eastAsia="es-ES_tradnl"/>
              </w:rPr>
              <w:t xml:space="preserve"> </w:t>
            </w:r>
          </w:p>
        </w:tc>
        <w:tc>
          <w:tcPr>
            <w:tcW w:w="1175" w:type="dxa"/>
            <w:tcBorders>
              <w:top w:val="single" w:sz="4" w:space="0" w:color="auto"/>
              <w:left w:val="nil"/>
              <w:bottom w:val="single" w:sz="4" w:space="0" w:color="auto"/>
              <w:right w:val="nil"/>
            </w:tcBorders>
            <w:shd w:val="clear" w:color="auto" w:fill="auto"/>
            <w:noWrap/>
            <w:vAlign w:val="bottom"/>
            <w:hideMark/>
          </w:tcPr>
          <w:p w:rsidR="00930FD9" w:rsidRPr="009E7F7F" w:rsidRDefault="00930FD9" w:rsidP="00215726">
            <w:pPr>
              <w:jc w:val="center"/>
              <w:rPr>
                <w:b/>
                <w:bCs/>
                <w:color w:val="000000"/>
                <w:sz w:val="20"/>
                <w:szCs w:val="20"/>
                <w:lang w:val="es-ES_tradnl" w:eastAsia="es-ES_tradnl"/>
              </w:rPr>
            </w:pPr>
            <w:r w:rsidRPr="009E7F7F">
              <w:rPr>
                <w:b/>
                <w:bCs/>
                <w:color w:val="000000"/>
                <w:sz w:val="20"/>
                <w:szCs w:val="20"/>
                <w:lang w:val="es-ES_tradnl" w:eastAsia="es-ES_tradnl"/>
              </w:rPr>
              <w:t>Tasa cobranza</w:t>
            </w:r>
          </w:p>
        </w:tc>
        <w:tc>
          <w:tcPr>
            <w:tcW w:w="1597" w:type="dxa"/>
            <w:tcBorders>
              <w:top w:val="single" w:sz="4" w:space="0" w:color="auto"/>
              <w:left w:val="nil"/>
              <w:bottom w:val="single" w:sz="4" w:space="0" w:color="auto"/>
              <w:right w:val="nil"/>
            </w:tcBorders>
            <w:shd w:val="clear" w:color="auto" w:fill="auto"/>
            <w:noWrap/>
            <w:vAlign w:val="bottom"/>
            <w:hideMark/>
          </w:tcPr>
          <w:p w:rsidR="00930FD9" w:rsidRPr="009E7F7F" w:rsidRDefault="00930FD9" w:rsidP="00215726">
            <w:pPr>
              <w:jc w:val="center"/>
              <w:rPr>
                <w:b/>
                <w:bCs/>
                <w:color w:val="000000"/>
                <w:sz w:val="20"/>
                <w:szCs w:val="20"/>
                <w:lang w:val="es-ES_tradnl" w:eastAsia="es-ES_tradnl"/>
              </w:rPr>
            </w:pPr>
            <w:r w:rsidRPr="009E7F7F">
              <w:rPr>
                <w:b/>
                <w:bCs/>
                <w:color w:val="000000"/>
                <w:sz w:val="20"/>
                <w:szCs w:val="20"/>
                <w:lang w:val="es-ES_tradnl" w:eastAsia="es-ES_tradnl"/>
              </w:rPr>
              <w:t>Montos</w:t>
            </w:r>
            <w:r>
              <w:rPr>
                <w:b/>
                <w:bCs/>
                <w:color w:val="000000"/>
                <w:sz w:val="20"/>
                <w:szCs w:val="20"/>
                <w:lang w:val="es-ES_tradnl" w:eastAsia="es-ES_tradnl"/>
              </w:rPr>
              <w:t xml:space="preserve"> cobrados</w:t>
            </w:r>
          </w:p>
        </w:tc>
      </w:tr>
      <w:tr w:rsidR="00930FD9" w:rsidRPr="009E7F7F" w:rsidTr="000F5250">
        <w:trPr>
          <w:trHeight w:val="210"/>
          <w:jc w:val="center"/>
        </w:trPr>
        <w:tc>
          <w:tcPr>
            <w:tcW w:w="1023" w:type="dxa"/>
            <w:tcBorders>
              <w:top w:val="single" w:sz="4" w:space="0" w:color="auto"/>
              <w:left w:val="nil"/>
              <w:bottom w:val="nil"/>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2010</w:t>
            </w:r>
          </w:p>
        </w:tc>
        <w:tc>
          <w:tcPr>
            <w:tcW w:w="1419" w:type="dxa"/>
            <w:tcBorders>
              <w:top w:val="single" w:sz="4" w:space="0" w:color="auto"/>
              <w:left w:val="nil"/>
              <w:bottom w:val="nil"/>
              <w:right w:val="nil"/>
            </w:tcBorders>
            <w:shd w:val="clear" w:color="000000" w:fill="C5D9F1"/>
            <w:noWrap/>
            <w:vAlign w:val="bottom"/>
            <w:hideMark/>
          </w:tcPr>
          <w:p w:rsidR="00930FD9" w:rsidRPr="009E7F7F" w:rsidRDefault="00930FD9" w:rsidP="00215726">
            <w:pPr>
              <w:ind w:right="312"/>
              <w:jc w:val="right"/>
              <w:rPr>
                <w:color w:val="000000"/>
                <w:sz w:val="20"/>
                <w:szCs w:val="20"/>
                <w:lang w:val="es-ES_tradnl" w:eastAsia="es-ES_tradnl"/>
              </w:rPr>
            </w:pPr>
            <w:r w:rsidRPr="009E7F7F">
              <w:rPr>
                <w:color w:val="000000"/>
                <w:sz w:val="20"/>
                <w:szCs w:val="20"/>
                <w:lang w:val="es-ES_tradnl" w:eastAsia="es-ES_tradnl"/>
              </w:rPr>
              <w:t>24,5%</w:t>
            </w:r>
          </w:p>
        </w:tc>
        <w:tc>
          <w:tcPr>
            <w:tcW w:w="1788" w:type="dxa"/>
            <w:tcBorders>
              <w:top w:val="single" w:sz="4" w:space="0" w:color="auto"/>
              <w:left w:val="nil"/>
              <w:bottom w:val="nil"/>
              <w:right w:val="nil"/>
            </w:tcBorders>
            <w:shd w:val="clear" w:color="auto" w:fill="auto"/>
            <w:noWrap/>
            <w:vAlign w:val="bottom"/>
            <w:hideMark/>
          </w:tcPr>
          <w:p w:rsidR="00930FD9" w:rsidRPr="009E7F7F" w:rsidRDefault="00930FD9" w:rsidP="00215726">
            <w:pPr>
              <w:jc w:val="right"/>
              <w:rPr>
                <w:color w:val="000000"/>
                <w:sz w:val="20"/>
                <w:szCs w:val="20"/>
                <w:lang w:val="es-ES_tradnl" w:eastAsia="es-ES_tradnl"/>
              </w:rPr>
            </w:pPr>
            <w:r w:rsidRPr="009E7F7F">
              <w:rPr>
                <w:color w:val="000000"/>
                <w:sz w:val="20"/>
                <w:szCs w:val="20"/>
                <w:lang w:val="es-ES_tradnl" w:eastAsia="es-ES_tradnl"/>
              </w:rPr>
              <w:t>10.854.011.274</w:t>
            </w:r>
          </w:p>
        </w:tc>
        <w:tc>
          <w:tcPr>
            <w:tcW w:w="1175" w:type="dxa"/>
            <w:tcBorders>
              <w:top w:val="single" w:sz="4" w:space="0" w:color="auto"/>
              <w:left w:val="nil"/>
              <w:bottom w:val="nil"/>
              <w:right w:val="nil"/>
            </w:tcBorders>
            <w:shd w:val="clear" w:color="000000" w:fill="C5D9F1"/>
            <w:noWrap/>
            <w:vAlign w:val="bottom"/>
            <w:hideMark/>
          </w:tcPr>
          <w:p w:rsidR="00930FD9" w:rsidRPr="009E7F7F" w:rsidRDefault="00930FD9" w:rsidP="00215726">
            <w:pPr>
              <w:ind w:right="215"/>
              <w:jc w:val="right"/>
              <w:rPr>
                <w:color w:val="000000"/>
                <w:sz w:val="20"/>
                <w:szCs w:val="20"/>
                <w:lang w:val="es-ES_tradnl" w:eastAsia="es-ES_tradnl"/>
              </w:rPr>
            </w:pPr>
            <w:r w:rsidRPr="009E7F7F">
              <w:rPr>
                <w:color w:val="000000"/>
                <w:sz w:val="20"/>
                <w:szCs w:val="20"/>
                <w:lang w:val="es-ES_tradnl" w:eastAsia="es-ES_tradnl"/>
              </w:rPr>
              <w:t>3,1%</w:t>
            </w:r>
          </w:p>
        </w:tc>
        <w:tc>
          <w:tcPr>
            <w:tcW w:w="1597" w:type="dxa"/>
            <w:tcBorders>
              <w:top w:val="single" w:sz="4" w:space="0" w:color="auto"/>
              <w:left w:val="nil"/>
              <w:bottom w:val="nil"/>
              <w:right w:val="nil"/>
            </w:tcBorders>
            <w:shd w:val="clear" w:color="auto" w:fill="F2F2F2" w:themeFill="background1" w:themeFillShade="F2"/>
            <w:noWrap/>
            <w:vAlign w:val="bottom"/>
            <w:hideMark/>
          </w:tcPr>
          <w:p w:rsidR="00930FD9" w:rsidRPr="009E7F7F" w:rsidRDefault="00930FD9" w:rsidP="00215726">
            <w:pPr>
              <w:jc w:val="right"/>
              <w:rPr>
                <w:color w:val="000000"/>
                <w:sz w:val="20"/>
                <w:szCs w:val="20"/>
                <w:lang w:val="es-ES_tradnl" w:eastAsia="es-ES_tradnl"/>
              </w:rPr>
            </w:pPr>
            <w:r w:rsidRPr="009E7F7F">
              <w:rPr>
                <w:color w:val="000000"/>
                <w:sz w:val="20"/>
                <w:szCs w:val="20"/>
                <w:lang w:val="es-ES_tradnl" w:eastAsia="es-ES_tradnl"/>
              </w:rPr>
              <w:t>336.474.349</w:t>
            </w:r>
          </w:p>
        </w:tc>
      </w:tr>
      <w:tr w:rsidR="00930FD9" w:rsidRPr="009E7F7F" w:rsidTr="000F5250">
        <w:trPr>
          <w:trHeight w:val="210"/>
          <w:jc w:val="center"/>
        </w:trPr>
        <w:tc>
          <w:tcPr>
            <w:tcW w:w="1023" w:type="dxa"/>
            <w:tcBorders>
              <w:top w:val="nil"/>
              <w:left w:val="nil"/>
              <w:bottom w:val="nil"/>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2014</w:t>
            </w:r>
          </w:p>
        </w:tc>
        <w:tc>
          <w:tcPr>
            <w:tcW w:w="1419" w:type="dxa"/>
            <w:tcBorders>
              <w:top w:val="nil"/>
              <w:left w:val="nil"/>
              <w:bottom w:val="nil"/>
              <w:right w:val="nil"/>
            </w:tcBorders>
            <w:shd w:val="clear" w:color="000000" w:fill="C5D9F1"/>
            <w:noWrap/>
            <w:vAlign w:val="bottom"/>
            <w:hideMark/>
          </w:tcPr>
          <w:p w:rsidR="00930FD9" w:rsidRPr="00930FD9" w:rsidRDefault="00930FD9" w:rsidP="00930FD9">
            <w:pPr>
              <w:ind w:right="312"/>
              <w:jc w:val="right"/>
              <w:rPr>
                <w:color w:val="000000"/>
                <w:sz w:val="20"/>
                <w:szCs w:val="20"/>
                <w:lang w:val="es-ES_tradnl" w:eastAsia="es-ES_tradnl"/>
              </w:rPr>
            </w:pPr>
            <w:r w:rsidRPr="00930FD9">
              <w:rPr>
                <w:color w:val="000000"/>
                <w:sz w:val="20"/>
                <w:szCs w:val="20"/>
                <w:lang w:val="es-ES_tradnl" w:eastAsia="es-ES_tradnl"/>
              </w:rPr>
              <w:t>26,0%</w:t>
            </w:r>
          </w:p>
        </w:tc>
        <w:tc>
          <w:tcPr>
            <w:tcW w:w="1788" w:type="dxa"/>
            <w:tcBorders>
              <w:top w:val="nil"/>
              <w:left w:val="nil"/>
              <w:bottom w:val="nil"/>
              <w:right w:val="nil"/>
            </w:tcBorders>
            <w:shd w:val="clear" w:color="auto" w:fill="auto"/>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11.518.542.576</w:t>
            </w:r>
          </w:p>
        </w:tc>
        <w:tc>
          <w:tcPr>
            <w:tcW w:w="1175" w:type="dxa"/>
            <w:tcBorders>
              <w:top w:val="nil"/>
              <w:left w:val="nil"/>
              <w:bottom w:val="nil"/>
              <w:right w:val="nil"/>
            </w:tcBorders>
            <w:shd w:val="clear" w:color="000000" w:fill="C5D9F1"/>
            <w:noWrap/>
            <w:vAlign w:val="bottom"/>
            <w:hideMark/>
          </w:tcPr>
          <w:p w:rsidR="00930FD9" w:rsidRPr="00930FD9" w:rsidRDefault="00930FD9" w:rsidP="00930FD9">
            <w:pPr>
              <w:ind w:right="215"/>
              <w:jc w:val="right"/>
              <w:rPr>
                <w:color w:val="000000"/>
                <w:sz w:val="20"/>
                <w:szCs w:val="20"/>
                <w:lang w:val="es-ES_tradnl" w:eastAsia="es-ES_tradnl"/>
              </w:rPr>
            </w:pPr>
            <w:r w:rsidRPr="00930FD9">
              <w:rPr>
                <w:color w:val="000000"/>
                <w:sz w:val="20"/>
                <w:szCs w:val="20"/>
                <w:lang w:val="es-ES_tradnl" w:eastAsia="es-ES_tradnl"/>
              </w:rPr>
              <w:t>4,0%</w:t>
            </w:r>
          </w:p>
        </w:tc>
        <w:tc>
          <w:tcPr>
            <w:tcW w:w="1597" w:type="dxa"/>
            <w:tcBorders>
              <w:top w:val="nil"/>
              <w:left w:val="nil"/>
              <w:bottom w:val="nil"/>
              <w:right w:val="nil"/>
            </w:tcBorders>
            <w:shd w:val="clear" w:color="auto" w:fill="F2F2F2" w:themeFill="background1" w:themeFillShade="F2"/>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460.741.703</w:t>
            </w:r>
          </w:p>
        </w:tc>
      </w:tr>
      <w:tr w:rsidR="00930FD9" w:rsidRPr="009E7F7F" w:rsidTr="000F5250">
        <w:trPr>
          <w:trHeight w:val="210"/>
          <w:jc w:val="center"/>
        </w:trPr>
        <w:tc>
          <w:tcPr>
            <w:tcW w:w="1023" w:type="dxa"/>
            <w:tcBorders>
              <w:top w:val="nil"/>
              <w:left w:val="nil"/>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2015</w:t>
            </w:r>
          </w:p>
        </w:tc>
        <w:tc>
          <w:tcPr>
            <w:tcW w:w="1419" w:type="dxa"/>
            <w:tcBorders>
              <w:top w:val="nil"/>
              <w:left w:val="nil"/>
              <w:right w:val="nil"/>
            </w:tcBorders>
            <w:shd w:val="clear" w:color="auto" w:fill="auto"/>
            <w:noWrap/>
            <w:vAlign w:val="bottom"/>
            <w:hideMark/>
          </w:tcPr>
          <w:p w:rsidR="00930FD9" w:rsidRPr="00930FD9" w:rsidRDefault="00930FD9" w:rsidP="00930FD9">
            <w:pPr>
              <w:ind w:right="312"/>
              <w:jc w:val="right"/>
              <w:rPr>
                <w:color w:val="000000"/>
                <w:sz w:val="20"/>
                <w:szCs w:val="20"/>
                <w:lang w:val="es-ES_tradnl" w:eastAsia="es-ES_tradnl"/>
              </w:rPr>
            </w:pPr>
            <w:r w:rsidRPr="00930FD9">
              <w:rPr>
                <w:color w:val="000000"/>
                <w:sz w:val="20"/>
                <w:szCs w:val="20"/>
                <w:lang w:val="es-ES_tradnl" w:eastAsia="es-ES_tradnl"/>
              </w:rPr>
              <w:t>26,3%</w:t>
            </w:r>
          </w:p>
        </w:tc>
        <w:tc>
          <w:tcPr>
            <w:tcW w:w="1788" w:type="dxa"/>
            <w:tcBorders>
              <w:top w:val="nil"/>
              <w:left w:val="nil"/>
              <w:right w:val="nil"/>
            </w:tcBorders>
            <w:shd w:val="clear" w:color="auto" w:fill="auto"/>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11.629.297.793</w:t>
            </w:r>
          </w:p>
        </w:tc>
        <w:tc>
          <w:tcPr>
            <w:tcW w:w="1175" w:type="dxa"/>
            <w:tcBorders>
              <w:top w:val="nil"/>
              <w:left w:val="nil"/>
              <w:right w:val="nil"/>
            </w:tcBorders>
            <w:shd w:val="clear" w:color="auto" w:fill="auto"/>
            <w:noWrap/>
            <w:vAlign w:val="bottom"/>
            <w:hideMark/>
          </w:tcPr>
          <w:p w:rsidR="00930FD9" w:rsidRPr="00930FD9" w:rsidRDefault="00930FD9" w:rsidP="00930FD9">
            <w:pPr>
              <w:ind w:right="215"/>
              <w:jc w:val="right"/>
              <w:rPr>
                <w:color w:val="000000"/>
                <w:sz w:val="20"/>
                <w:szCs w:val="20"/>
                <w:lang w:val="es-ES_tradnl" w:eastAsia="es-ES_tradnl"/>
              </w:rPr>
            </w:pPr>
            <w:r w:rsidRPr="00930FD9">
              <w:rPr>
                <w:color w:val="000000"/>
                <w:sz w:val="20"/>
                <w:szCs w:val="20"/>
                <w:lang w:val="es-ES_tradnl" w:eastAsia="es-ES_tradnl"/>
              </w:rPr>
              <w:t>5,5%</w:t>
            </w:r>
          </w:p>
        </w:tc>
        <w:tc>
          <w:tcPr>
            <w:tcW w:w="1597" w:type="dxa"/>
            <w:tcBorders>
              <w:top w:val="nil"/>
              <w:left w:val="nil"/>
              <w:right w:val="nil"/>
            </w:tcBorders>
            <w:shd w:val="clear" w:color="auto" w:fill="F2F2F2" w:themeFill="background1" w:themeFillShade="F2"/>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639.611.379</w:t>
            </w:r>
          </w:p>
        </w:tc>
      </w:tr>
      <w:tr w:rsidR="00930FD9" w:rsidRPr="009E7F7F" w:rsidTr="000F5250">
        <w:trPr>
          <w:trHeight w:val="210"/>
          <w:jc w:val="center"/>
        </w:trPr>
        <w:tc>
          <w:tcPr>
            <w:tcW w:w="1023" w:type="dxa"/>
            <w:tcBorders>
              <w:top w:val="nil"/>
              <w:left w:val="nil"/>
              <w:bottom w:val="single" w:sz="4" w:space="0" w:color="auto"/>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2016</w:t>
            </w:r>
          </w:p>
        </w:tc>
        <w:tc>
          <w:tcPr>
            <w:tcW w:w="1419" w:type="dxa"/>
            <w:tcBorders>
              <w:top w:val="nil"/>
              <w:left w:val="nil"/>
              <w:bottom w:val="single" w:sz="4" w:space="0" w:color="auto"/>
              <w:right w:val="nil"/>
            </w:tcBorders>
            <w:shd w:val="clear" w:color="000000" w:fill="C5D9F1"/>
            <w:noWrap/>
            <w:vAlign w:val="bottom"/>
            <w:hideMark/>
          </w:tcPr>
          <w:p w:rsidR="00930FD9" w:rsidRPr="00930FD9" w:rsidRDefault="00930FD9" w:rsidP="00930FD9">
            <w:pPr>
              <w:ind w:right="312"/>
              <w:jc w:val="right"/>
              <w:rPr>
                <w:color w:val="000000"/>
                <w:sz w:val="20"/>
                <w:szCs w:val="20"/>
                <w:lang w:val="es-ES_tradnl" w:eastAsia="es-ES_tradnl"/>
              </w:rPr>
            </w:pPr>
            <w:r w:rsidRPr="00930FD9">
              <w:rPr>
                <w:color w:val="000000"/>
                <w:sz w:val="20"/>
                <w:szCs w:val="20"/>
                <w:lang w:val="es-ES_tradnl" w:eastAsia="es-ES_tradnl"/>
              </w:rPr>
              <w:t>26,5%</w:t>
            </w:r>
          </w:p>
        </w:tc>
        <w:tc>
          <w:tcPr>
            <w:tcW w:w="1788" w:type="dxa"/>
            <w:tcBorders>
              <w:top w:val="nil"/>
              <w:left w:val="nil"/>
              <w:bottom w:val="single" w:sz="4" w:space="0" w:color="auto"/>
              <w:right w:val="nil"/>
            </w:tcBorders>
            <w:shd w:val="clear" w:color="auto" w:fill="auto"/>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11.740.053.010</w:t>
            </w:r>
          </w:p>
        </w:tc>
        <w:tc>
          <w:tcPr>
            <w:tcW w:w="1175" w:type="dxa"/>
            <w:tcBorders>
              <w:top w:val="nil"/>
              <w:left w:val="nil"/>
              <w:bottom w:val="single" w:sz="4" w:space="0" w:color="auto"/>
              <w:right w:val="nil"/>
            </w:tcBorders>
            <w:shd w:val="clear" w:color="000000" w:fill="C5D9F1"/>
            <w:noWrap/>
            <w:vAlign w:val="bottom"/>
            <w:hideMark/>
          </w:tcPr>
          <w:p w:rsidR="00930FD9" w:rsidRPr="00930FD9" w:rsidRDefault="00930FD9" w:rsidP="00930FD9">
            <w:pPr>
              <w:ind w:right="215"/>
              <w:jc w:val="right"/>
              <w:rPr>
                <w:color w:val="000000"/>
                <w:sz w:val="20"/>
                <w:szCs w:val="20"/>
                <w:lang w:val="es-ES_tradnl" w:eastAsia="es-ES_tradnl"/>
              </w:rPr>
            </w:pPr>
            <w:r w:rsidRPr="00930FD9">
              <w:rPr>
                <w:color w:val="000000"/>
                <w:sz w:val="20"/>
                <w:szCs w:val="20"/>
                <w:lang w:val="es-ES_tradnl" w:eastAsia="es-ES_tradnl"/>
              </w:rPr>
              <w:t>6,0%</w:t>
            </w:r>
          </w:p>
        </w:tc>
        <w:tc>
          <w:tcPr>
            <w:tcW w:w="1597" w:type="dxa"/>
            <w:tcBorders>
              <w:top w:val="nil"/>
              <w:left w:val="nil"/>
              <w:bottom w:val="single" w:sz="4" w:space="0" w:color="auto"/>
              <w:right w:val="nil"/>
            </w:tcBorders>
            <w:shd w:val="clear" w:color="auto" w:fill="F2F2F2" w:themeFill="background1" w:themeFillShade="F2"/>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704.403.181</w:t>
            </w:r>
          </w:p>
        </w:tc>
      </w:tr>
      <w:tr w:rsidR="00930FD9" w:rsidRPr="009E7F7F" w:rsidTr="000F5250">
        <w:trPr>
          <w:trHeight w:val="210"/>
          <w:jc w:val="center"/>
        </w:trPr>
        <w:tc>
          <w:tcPr>
            <w:tcW w:w="1023" w:type="dxa"/>
            <w:tcBorders>
              <w:top w:val="single" w:sz="4" w:space="0" w:color="auto"/>
              <w:left w:val="nil"/>
              <w:bottom w:val="nil"/>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2017</w:t>
            </w:r>
          </w:p>
        </w:tc>
        <w:tc>
          <w:tcPr>
            <w:tcW w:w="1419" w:type="dxa"/>
            <w:tcBorders>
              <w:top w:val="single" w:sz="4" w:space="0" w:color="auto"/>
              <w:left w:val="nil"/>
              <w:bottom w:val="nil"/>
              <w:right w:val="nil"/>
            </w:tcBorders>
            <w:shd w:val="clear" w:color="auto" w:fill="auto"/>
            <w:noWrap/>
            <w:vAlign w:val="bottom"/>
            <w:hideMark/>
          </w:tcPr>
          <w:p w:rsidR="00930FD9" w:rsidRPr="00930FD9" w:rsidRDefault="00930FD9" w:rsidP="00930FD9">
            <w:pPr>
              <w:ind w:right="312"/>
              <w:jc w:val="right"/>
              <w:rPr>
                <w:color w:val="000000"/>
                <w:sz w:val="20"/>
                <w:szCs w:val="20"/>
                <w:lang w:val="es-ES_tradnl" w:eastAsia="es-ES_tradnl"/>
              </w:rPr>
            </w:pPr>
            <w:r w:rsidRPr="00930FD9">
              <w:rPr>
                <w:color w:val="000000"/>
                <w:sz w:val="20"/>
                <w:szCs w:val="20"/>
                <w:lang w:val="es-ES_tradnl" w:eastAsia="es-ES_tradnl"/>
              </w:rPr>
              <w:t>26,8%</w:t>
            </w:r>
          </w:p>
        </w:tc>
        <w:tc>
          <w:tcPr>
            <w:tcW w:w="1788" w:type="dxa"/>
            <w:tcBorders>
              <w:top w:val="single" w:sz="4" w:space="0" w:color="auto"/>
              <w:left w:val="nil"/>
              <w:bottom w:val="nil"/>
              <w:right w:val="nil"/>
            </w:tcBorders>
            <w:shd w:val="clear" w:color="auto" w:fill="auto"/>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11.850.808.228</w:t>
            </w:r>
          </w:p>
        </w:tc>
        <w:tc>
          <w:tcPr>
            <w:tcW w:w="1175" w:type="dxa"/>
            <w:tcBorders>
              <w:top w:val="single" w:sz="4" w:space="0" w:color="auto"/>
              <w:left w:val="nil"/>
              <w:bottom w:val="nil"/>
              <w:right w:val="nil"/>
            </w:tcBorders>
            <w:shd w:val="clear" w:color="auto" w:fill="auto"/>
            <w:noWrap/>
            <w:vAlign w:val="bottom"/>
            <w:hideMark/>
          </w:tcPr>
          <w:p w:rsidR="00930FD9" w:rsidRPr="00930FD9" w:rsidRDefault="00930FD9" w:rsidP="00930FD9">
            <w:pPr>
              <w:ind w:right="215"/>
              <w:jc w:val="right"/>
              <w:rPr>
                <w:color w:val="000000"/>
                <w:sz w:val="20"/>
                <w:szCs w:val="20"/>
                <w:lang w:val="es-ES_tradnl" w:eastAsia="es-ES_tradnl"/>
              </w:rPr>
            </w:pPr>
            <w:r w:rsidRPr="00930FD9">
              <w:rPr>
                <w:color w:val="000000"/>
                <w:sz w:val="20"/>
                <w:szCs w:val="20"/>
                <w:lang w:val="es-ES_tradnl" w:eastAsia="es-ES_tradnl"/>
              </w:rPr>
              <w:t>7,0%</w:t>
            </w:r>
          </w:p>
        </w:tc>
        <w:tc>
          <w:tcPr>
            <w:tcW w:w="1597" w:type="dxa"/>
            <w:tcBorders>
              <w:top w:val="single" w:sz="4" w:space="0" w:color="auto"/>
              <w:left w:val="nil"/>
              <w:bottom w:val="nil"/>
              <w:right w:val="nil"/>
            </w:tcBorders>
            <w:shd w:val="clear" w:color="auto" w:fill="F2F2F2" w:themeFill="background1" w:themeFillShade="F2"/>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829.556.576</w:t>
            </w:r>
          </w:p>
        </w:tc>
      </w:tr>
      <w:tr w:rsidR="00930FD9" w:rsidRPr="009E7F7F" w:rsidTr="000F5250">
        <w:trPr>
          <w:trHeight w:val="210"/>
          <w:jc w:val="center"/>
        </w:trPr>
        <w:tc>
          <w:tcPr>
            <w:tcW w:w="1023" w:type="dxa"/>
            <w:tcBorders>
              <w:top w:val="nil"/>
              <w:left w:val="nil"/>
              <w:bottom w:val="nil"/>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2018</w:t>
            </w:r>
          </w:p>
        </w:tc>
        <w:tc>
          <w:tcPr>
            <w:tcW w:w="1419" w:type="dxa"/>
            <w:tcBorders>
              <w:top w:val="nil"/>
              <w:left w:val="nil"/>
              <w:bottom w:val="nil"/>
              <w:right w:val="nil"/>
            </w:tcBorders>
            <w:shd w:val="clear" w:color="auto" w:fill="auto"/>
            <w:noWrap/>
            <w:vAlign w:val="bottom"/>
            <w:hideMark/>
          </w:tcPr>
          <w:p w:rsidR="00930FD9" w:rsidRPr="00930FD9" w:rsidRDefault="00930FD9" w:rsidP="00930FD9">
            <w:pPr>
              <w:ind w:right="312"/>
              <w:jc w:val="right"/>
              <w:rPr>
                <w:color w:val="000000"/>
                <w:sz w:val="20"/>
                <w:szCs w:val="20"/>
                <w:lang w:val="es-ES_tradnl" w:eastAsia="es-ES_tradnl"/>
              </w:rPr>
            </w:pPr>
            <w:r w:rsidRPr="00930FD9">
              <w:rPr>
                <w:color w:val="000000"/>
                <w:sz w:val="20"/>
                <w:szCs w:val="20"/>
                <w:lang w:val="es-ES_tradnl" w:eastAsia="es-ES_tradnl"/>
              </w:rPr>
              <w:t>27,0%</w:t>
            </w:r>
          </w:p>
        </w:tc>
        <w:tc>
          <w:tcPr>
            <w:tcW w:w="1788" w:type="dxa"/>
            <w:tcBorders>
              <w:top w:val="nil"/>
              <w:left w:val="nil"/>
              <w:bottom w:val="nil"/>
              <w:right w:val="nil"/>
            </w:tcBorders>
            <w:shd w:val="clear" w:color="auto" w:fill="auto"/>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11.961.563.445</w:t>
            </w:r>
          </w:p>
        </w:tc>
        <w:tc>
          <w:tcPr>
            <w:tcW w:w="1175" w:type="dxa"/>
            <w:tcBorders>
              <w:top w:val="nil"/>
              <w:left w:val="nil"/>
              <w:bottom w:val="nil"/>
              <w:right w:val="nil"/>
            </w:tcBorders>
            <w:shd w:val="clear" w:color="auto" w:fill="auto"/>
            <w:noWrap/>
            <w:vAlign w:val="bottom"/>
            <w:hideMark/>
          </w:tcPr>
          <w:p w:rsidR="00930FD9" w:rsidRPr="00930FD9" w:rsidRDefault="00930FD9" w:rsidP="00930FD9">
            <w:pPr>
              <w:ind w:right="215"/>
              <w:jc w:val="right"/>
              <w:rPr>
                <w:color w:val="000000"/>
                <w:sz w:val="20"/>
                <w:szCs w:val="20"/>
                <w:lang w:val="es-ES_tradnl" w:eastAsia="es-ES_tradnl"/>
              </w:rPr>
            </w:pPr>
            <w:r w:rsidRPr="00930FD9">
              <w:rPr>
                <w:color w:val="000000"/>
                <w:sz w:val="20"/>
                <w:szCs w:val="20"/>
                <w:lang w:val="es-ES_tradnl" w:eastAsia="es-ES_tradnl"/>
              </w:rPr>
              <w:t>8,0%</w:t>
            </w:r>
          </w:p>
        </w:tc>
        <w:tc>
          <w:tcPr>
            <w:tcW w:w="1597" w:type="dxa"/>
            <w:tcBorders>
              <w:top w:val="nil"/>
              <w:left w:val="nil"/>
              <w:bottom w:val="nil"/>
              <w:right w:val="nil"/>
            </w:tcBorders>
            <w:shd w:val="clear" w:color="auto" w:fill="F2F2F2" w:themeFill="background1" w:themeFillShade="F2"/>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956.925.076</w:t>
            </w:r>
          </w:p>
        </w:tc>
      </w:tr>
      <w:tr w:rsidR="00930FD9" w:rsidRPr="009E7F7F" w:rsidTr="000F5250">
        <w:trPr>
          <w:trHeight w:val="210"/>
          <w:jc w:val="center"/>
        </w:trPr>
        <w:tc>
          <w:tcPr>
            <w:tcW w:w="1023" w:type="dxa"/>
            <w:tcBorders>
              <w:top w:val="nil"/>
              <w:left w:val="nil"/>
              <w:bottom w:val="nil"/>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2019</w:t>
            </w:r>
          </w:p>
        </w:tc>
        <w:tc>
          <w:tcPr>
            <w:tcW w:w="1419" w:type="dxa"/>
            <w:tcBorders>
              <w:top w:val="nil"/>
              <w:left w:val="nil"/>
              <w:bottom w:val="nil"/>
              <w:right w:val="nil"/>
            </w:tcBorders>
            <w:shd w:val="clear" w:color="auto" w:fill="auto"/>
            <w:noWrap/>
            <w:vAlign w:val="bottom"/>
            <w:hideMark/>
          </w:tcPr>
          <w:p w:rsidR="00930FD9" w:rsidRPr="00930FD9" w:rsidRDefault="00930FD9" w:rsidP="00930FD9">
            <w:pPr>
              <w:ind w:right="312"/>
              <w:jc w:val="right"/>
              <w:rPr>
                <w:color w:val="000000"/>
                <w:sz w:val="20"/>
                <w:szCs w:val="20"/>
                <w:lang w:val="es-ES_tradnl" w:eastAsia="es-ES_tradnl"/>
              </w:rPr>
            </w:pPr>
            <w:r w:rsidRPr="00930FD9">
              <w:rPr>
                <w:color w:val="000000"/>
                <w:sz w:val="20"/>
                <w:szCs w:val="20"/>
                <w:lang w:val="es-ES_tradnl" w:eastAsia="es-ES_tradnl"/>
              </w:rPr>
              <w:t>28,0%</w:t>
            </w:r>
          </w:p>
        </w:tc>
        <w:tc>
          <w:tcPr>
            <w:tcW w:w="1788" w:type="dxa"/>
            <w:tcBorders>
              <w:top w:val="nil"/>
              <w:left w:val="nil"/>
              <w:bottom w:val="nil"/>
              <w:right w:val="nil"/>
            </w:tcBorders>
            <w:shd w:val="clear" w:color="auto" w:fill="auto"/>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12.404.584.313</w:t>
            </w:r>
          </w:p>
        </w:tc>
        <w:tc>
          <w:tcPr>
            <w:tcW w:w="1175" w:type="dxa"/>
            <w:tcBorders>
              <w:top w:val="nil"/>
              <w:left w:val="nil"/>
              <w:bottom w:val="nil"/>
              <w:right w:val="nil"/>
            </w:tcBorders>
            <w:shd w:val="clear" w:color="auto" w:fill="auto"/>
            <w:noWrap/>
            <w:vAlign w:val="bottom"/>
            <w:hideMark/>
          </w:tcPr>
          <w:p w:rsidR="00930FD9" w:rsidRPr="00930FD9" w:rsidRDefault="00930FD9" w:rsidP="00930FD9">
            <w:pPr>
              <w:ind w:right="215"/>
              <w:jc w:val="right"/>
              <w:rPr>
                <w:color w:val="000000"/>
                <w:sz w:val="20"/>
                <w:szCs w:val="20"/>
                <w:lang w:val="es-ES_tradnl" w:eastAsia="es-ES_tradnl"/>
              </w:rPr>
            </w:pPr>
            <w:r w:rsidRPr="00930FD9">
              <w:rPr>
                <w:color w:val="000000"/>
                <w:sz w:val="20"/>
                <w:szCs w:val="20"/>
                <w:lang w:val="es-ES_tradnl" w:eastAsia="es-ES_tradnl"/>
              </w:rPr>
              <w:t>9,0%</w:t>
            </w:r>
          </w:p>
        </w:tc>
        <w:tc>
          <w:tcPr>
            <w:tcW w:w="1597" w:type="dxa"/>
            <w:tcBorders>
              <w:top w:val="nil"/>
              <w:left w:val="nil"/>
              <w:bottom w:val="nil"/>
              <w:right w:val="nil"/>
            </w:tcBorders>
            <w:shd w:val="clear" w:color="auto" w:fill="F2F2F2" w:themeFill="background1" w:themeFillShade="F2"/>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1.116.412.588</w:t>
            </w:r>
          </w:p>
        </w:tc>
      </w:tr>
      <w:tr w:rsidR="00930FD9" w:rsidRPr="009E7F7F" w:rsidTr="000F5250">
        <w:trPr>
          <w:trHeight w:val="210"/>
          <w:jc w:val="center"/>
        </w:trPr>
        <w:tc>
          <w:tcPr>
            <w:tcW w:w="1023" w:type="dxa"/>
            <w:tcBorders>
              <w:top w:val="nil"/>
              <w:left w:val="nil"/>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2020</w:t>
            </w:r>
          </w:p>
        </w:tc>
        <w:tc>
          <w:tcPr>
            <w:tcW w:w="1419" w:type="dxa"/>
            <w:tcBorders>
              <w:top w:val="nil"/>
              <w:left w:val="nil"/>
              <w:right w:val="nil"/>
            </w:tcBorders>
            <w:shd w:val="clear" w:color="auto" w:fill="auto"/>
            <w:noWrap/>
            <w:vAlign w:val="bottom"/>
            <w:hideMark/>
          </w:tcPr>
          <w:p w:rsidR="00930FD9" w:rsidRPr="00930FD9" w:rsidRDefault="00930FD9" w:rsidP="00930FD9">
            <w:pPr>
              <w:ind w:right="312"/>
              <w:jc w:val="right"/>
              <w:rPr>
                <w:color w:val="000000"/>
                <w:sz w:val="20"/>
                <w:szCs w:val="20"/>
                <w:lang w:val="es-ES_tradnl" w:eastAsia="es-ES_tradnl"/>
              </w:rPr>
            </w:pPr>
            <w:r w:rsidRPr="00930FD9">
              <w:rPr>
                <w:color w:val="000000"/>
                <w:sz w:val="20"/>
                <w:szCs w:val="20"/>
                <w:lang w:val="es-ES_tradnl" w:eastAsia="es-ES_tradnl"/>
              </w:rPr>
              <w:t>29,0%</w:t>
            </w:r>
          </w:p>
        </w:tc>
        <w:tc>
          <w:tcPr>
            <w:tcW w:w="1788" w:type="dxa"/>
            <w:tcBorders>
              <w:top w:val="nil"/>
              <w:left w:val="nil"/>
              <w:right w:val="nil"/>
            </w:tcBorders>
            <w:shd w:val="clear" w:color="auto" w:fill="auto"/>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12.847.605.181</w:t>
            </w:r>
          </w:p>
        </w:tc>
        <w:tc>
          <w:tcPr>
            <w:tcW w:w="1175" w:type="dxa"/>
            <w:tcBorders>
              <w:top w:val="nil"/>
              <w:left w:val="nil"/>
              <w:right w:val="nil"/>
            </w:tcBorders>
            <w:shd w:val="clear" w:color="auto" w:fill="auto"/>
            <w:noWrap/>
            <w:vAlign w:val="bottom"/>
            <w:hideMark/>
          </w:tcPr>
          <w:p w:rsidR="00930FD9" w:rsidRPr="00930FD9" w:rsidRDefault="00930FD9" w:rsidP="00930FD9">
            <w:pPr>
              <w:ind w:right="215"/>
              <w:jc w:val="right"/>
              <w:rPr>
                <w:color w:val="000000"/>
                <w:sz w:val="20"/>
                <w:szCs w:val="20"/>
                <w:lang w:val="es-ES_tradnl" w:eastAsia="es-ES_tradnl"/>
              </w:rPr>
            </w:pPr>
            <w:r w:rsidRPr="00930FD9">
              <w:rPr>
                <w:color w:val="000000"/>
                <w:sz w:val="20"/>
                <w:szCs w:val="20"/>
                <w:lang w:val="es-ES_tradnl" w:eastAsia="es-ES_tradnl"/>
              </w:rPr>
              <w:t>10,0%</w:t>
            </w:r>
          </w:p>
        </w:tc>
        <w:tc>
          <w:tcPr>
            <w:tcW w:w="1597" w:type="dxa"/>
            <w:tcBorders>
              <w:top w:val="nil"/>
              <w:left w:val="nil"/>
              <w:right w:val="nil"/>
            </w:tcBorders>
            <w:shd w:val="clear" w:color="auto" w:fill="F2F2F2" w:themeFill="background1" w:themeFillShade="F2"/>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1.284.760.518</w:t>
            </w:r>
          </w:p>
        </w:tc>
      </w:tr>
      <w:tr w:rsidR="00930FD9" w:rsidRPr="009E7F7F" w:rsidTr="000F5250">
        <w:trPr>
          <w:trHeight w:val="210"/>
          <w:jc w:val="center"/>
        </w:trPr>
        <w:tc>
          <w:tcPr>
            <w:tcW w:w="1023" w:type="dxa"/>
            <w:tcBorders>
              <w:top w:val="nil"/>
              <w:left w:val="nil"/>
              <w:bottom w:val="single" w:sz="4" w:space="0" w:color="auto"/>
              <w:right w:val="nil"/>
            </w:tcBorders>
            <w:shd w:val="clear" w:color="auto" w:fill="auto"/>
            <w:noWrap/>
            <w:vAlign w:val="bottom"/>
            <w:hideMark/>
          </w:tcPr>
          <w:p w:rsidR="00930FD9" w:rsidRPr="009E7F7F" w:rsidRDefault="00930FD9" w:rsidP="00215726">
            <w:pPr>
              <w:jc w:val="center"/>
              <w:rPr>
                <w:color w:val="000000"/>
                <w:sz w:val="20"/>
                <w:szCs w:val="20"/>
                <w:lang w:val="es-ES_tradnl" w:eastAsia="es-ES_tradnl"/>
              </w:rPr>
            </w:pPr>
            <w:r w:rsidRPr="009E7F7F">
              <w:rPr>
                <w:color w:val="000000"/>
                <w:sz w:val="20"/>
                <w:szCs w:val="20"/>
                <w:lang w:val="es-ES_tradnl" w:eastAsia="es-ES_tradnl"/>
              </w:rPr>
              <w:t>2021</w:t>
            </w:r>
          </w:p>
        </w:tc>
        <w:tc>
          <w:tcPr>
            <w:tcW w:w="1419" w:type="dxa"/>
            <w:tcBorders>
              <w:top w:val="nil"/>
              <w:left w:val="nil"/>
              <w:bottom w:val="single" w:sz="4" w:space="0" w:color="auto"/>
              <w:right w:val="nil"/>
            </w:tcBorders>
            <w:shd w:val="clear" w:color="auto" w:fill="auto"/>
            <w:noWrap/>
            <w:vAlign w:val="bottom"/>
            <w:hideMark/>
          </w:tcPr>
          <w:p w:rsidR="00930FD9" w:rsidRPr="00930FD9" w:rsidRDefault="00930FD9" w:rsidP="00930FD9">
            <w:pPr>
              <w:ind w:right="312"/>
              <w:jc w:val="right"/>
              <w:rPr>
                <w:color w:val="000000"/>
                <w:sz w:val="20"/>
                <w:szCs w:val="20"/>
                <w:lang w:val="es-ES_tradnl" w:eastAsia="es-ES_tradnl"/>
              </w:rPr>
            </w:pPr>
            <w:r w:rsidRPr="00930FD9">
              <w:rPr>
                <w:color w:val="000000"/>
                <w:sz w:val="20"/>
                <w:szCs w:val="20"/>
                <w:lang w:val="es-ES_tradnl" w:eastAsia="es-ES_tradnl"/>
              </w:rPr>
              <w:t>30,0%</w:t>
            </w:r>
          </w:p>
        </w:tc>
        <w:tc>
          <w:tcPr>
            <w:tcW w:w="1788" w:type="dxa"/>
            <w:tcBorders>
              <w:top w:val="nil"/>
              <w:left w:val="nil"/>
              <w:bottom w:val="single" w:sz="4" w:space="0" w:color="auto"/>
              <w:right w:val="nil"/>
            </w:tcBorders>
            <w:shd w:val="clear" w:color="auto" w:fill="auto"/>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13.290.626.050</w:t>
            </w:r>
          </w:p>
        </w:tc>
        <w:tc>
          <w:tcPr>
            <w:tcW w:w="1175" w:type="dxa"/>
            <w:tcBorders>
              <w:top w:val="nil"/>
              <w:left w:val="nil"/>
              <w:bottom w:val="single" w:sz="4" w:space="0" w:color="auto"/>
              <w:right w:val="nil"/>
            </w:tcBorders>
            <w:shd w:val="clear" w:color="auto" w:fill="auto"/>
            <w:noWrap/>
            <w:vAlign w:val="bottom"/>
            <w:hideMark/>
          </w:tcPr>
          <w:p w:rsidR="00930FD9" w:rsidRPr="00930FD9" w:rsidRDefault="00930FD9" w:rsidP="00930FD9">
            <w:pPr>
              <w:ind w:right="215"/>
              <w:jc w:val="right"/>
              <w:rPr>
                <w:color w:val="000000"/>
                <w:sz w:val="20"/>
                <w:szCs w:val="20"/>
                <w:lang w:val="es-ES_tradnl" w:eastAsia="es-ES_tradnl"/>
              </w:rPr>
            </w:pPr>
            <w:r w:rsidRPr="00930FD9">
              <w:rPr>
                <w:color w:val="000000"/>
                <w:sz w:val="20"/>
                <w:szCs w:val="20"/>
                <w:lang w:val="es-ES_tradnl" w:eastAsia="es-ES_tradnl"/>
              </w:rPr>
              <w:t>11,0%</w:t>
            </w:r>
          </w:p>
        </w:tc>
        <w:tc>
          <w:tcPr>
            <w:tcW w:w="1597" w:type="dxa"/>
            <w:tcBorders>
              <w:top w:val="nil"/>
              <w:left w:val="nil"/>
              <w:bottom w:val="single" w:sz="4" w:space="0" w:color="auto"/>
              <w:right w:val="nil"/>
            </w:tcBorders>
            <w:shd w:val="clear" w:color="auto" w:fill="F2F2F2" w:themeFill="background1" w:themeFillShade="F2"/>
            <w:noWrap/>
            <w:vAlign w:val="bottom"/>
            <w:hideMark/>
          </w:tcPr>
          <w:p w:rsidR="00930FD9" w:rsidRPr="00930FD9" w:rsidRDefault="00930FD9" w:rsidP="00215726">
            <w:pPr>
              <w:jc w:val="right"/>
              <w:rPr>
                <w:color w:val="000000"/>
                <w:sz w:val="20"/>
                <w:szCs w:val="20"/>
                <w:lang w:val="es-ES_tradnl" w:eastAsia="es-ES_tradnl"/>
              </w:rPr>
            </w:pPr>
            <w:r w:rsidRPr="00930FD9">
              <w:rPr>
                <w:color w:val="000000"/>
                <w:sz w:val="20"/>
                <w:szCs w:val="20"/>
                <w:lang w:val="es-ES_tradnl" w:eastAsia="es-ES_tradnl"/>
              </w:rPr>
              <w:t>1.461.968.865</w:t>
            </w:r>
          </w:p>
        </w:tc>
      </w:tr>
    </w:tbl>
    <w:p w:rsidR="008C2CED" w:rsidRDefault="00930FD9">
      <w:pPr>
        <w:pStyle w:val="ListParagraph"/>
        <w:ind w:left="1276" w:right="1324"/>
        <w:rPr>
          <w:sz w:val="18"/>
        </w:rPr>
      </w:pPr>
      <w:r w:rsidRPr="009E7F7F">
        <w:rPr>
          <w:sz w:val="18"/>
        </w:rPr>
        <w:t>Tasa de inscripción: deuda inscrita sobre el total de deuda identificada.</w:t>
      </w:r>
      <w:r>
        <w:rPr>
          <w:sz w:val="18"/>
        </w:rPr>
        <w:t xml:space="preserve"> </w:t>
      </w:r>
      <w:r w:rsidRPr="009E7F7F">
        <w:rPr>
          <w:sz w:val="18"/>
        </w:rPr>
        <w:t>Tasa de cobranza: deuda cobrada sobre el total de deuda inscrita.</w:t>
      </w:r>
      <w:r>
        <w:rPr>
          <w:sz w:val="18"/>
        </w:rPr>
        <w:t xml:space="preserve"> </w:t>
      </w:r>
      <w:r w:rsidRPr="009E7F7F">
        <w:rPr>
          <w:sz w:val="18"/>
        </w:rPr>
        <w:t>Montos en reales 2010.</w:t>
      </w:r>
      <w:r>
        <w:rPr>
          <w:sz w:val="18"/>
        </w:rPr>
        <w:t xml:space="preserve"> </w:t>
      </w:r>
      <w:r w:rsidRPr="009E7F7F">
        <w:rPr>
          <w:sz w:val="18"/>
        </w:rPr>
        <w:t>Fuente: PGF</w:t>
      </w:r>
      <w:r w:rsidR="00657757">
        <w:rPr>
          <w:sz w:val="18"/>
        </w:rPr>
        <w:t>/</w:t>
      </w:r>
      <w:r w:rsidR="00561F33">
        <w:rPr>
          <w:sz w:val="18"/>
        </w:rPr>
        <w:t>AGU</w:t>
      </w:r>
      <w:r w:rsidRPr="009E7F7F">
        <w:rPr>
          <w:sz w:val="18"/>
        </w:rPr>
        <w:t>.</w:t>
      </w:r>
    </w:p>
    <w:p w:rsidR="00930FD9" w:rsidRDefault="00930FD9" w:rsidP="00E80005">
      <w:pPr>
        <w:pStyle w:val="ListParagraph"/>
        <w:ind w:left="567"/>
      </w:pPr>
    </w:p>
    <w:p w:rsidR="0002462A" w:rsidRDefault="0002462A" w:rsidP="00E80005">
      <w:pPr>
        <w:pStyle w:val="ListParagraph"/>
        <w:ind w:left="567"/>
      </w:pPr>
    </w:p>
    <w:p w:rsidR="008C2CED" w:rsidRDefault="0002462A">
      <w:pPr>
        <w:pStyle w:val="Heading3"/>
        <w:rPr>
          <w:b w:val="0"/>
        </w:rPr>
      </w:pPr>
      <w:bookmarkStart w:id="41" w:name="_Toc303885516"/>
      <w:r w:rsidRPr="00CF2FEC">
        <w:t>Recuperación patrimonial</w:t>
      </w:r>
      <w:r w:rsidR="00D857C2" w:rsidRPr="00D857C2">
        <w:t xml:space="preserve"> (</w:t>
      </w:r>
      <w:r w:rsidR="00A52642" w:rsidRPr="00F022D3">
        <w:t>amb</w:t>
      </w:r>
      <w:r w:rsidR="00F022D3">
        <w:t>a</w:t>
      </w:r>
      <w:r w:rsidR="00A52642" w:rsidRPr="00F022D3">
        <w:t xml:space="preserve">s </w:t>
      </w:r>
      <w:r w:rsidR="00F022D3">
        <w:t>alternativas</w:t>
      </w:r>
      <w:r w:rsidR="00A52642" w:rsidRPr="00CF2FEC">
        <w:t>)</w:t>
      </w:r>
      <w:bookmarkEnd w:id="41"/>
    </w:p>
    <w:p w:rsidR="0002462A" w:rsidRDefault="00055F90" w:rsidP="00055F90">
      <w:pPr>
        <w:pStyle w:val="ListParagraph"/>
        <w:numPr>
          <w:ilvl w:val="0"/>
          <w:numId w:val="14"/>
        </w:numPr>
        <w:ind w:left="567" w:hanging="567"/>
      </w:pPr>
      <w:r>
        <w:t xml:space="preserve">La información existente en las bases de datos de la AGU </w:t>
      </w:r>
      <w:r w:rsidR="009F35F2">
        <w:t xml:space="preserve">acerca de las acciones de recuperación patrimonial </w:t>
      </w:r>
      <w:r w:rsidR="00561F33">
        <w:t xml:space="preserve">comenzó a sistematizarse </w:t>
      </w:r>
      <w:r w:rsidR="009F35F2">
        <w:t xml:space="preserve">desde el año 2003. Sin embargo, </w:t>
      </w:r>
      <w:r w:rsidR="00561F33">
        <w:t>la serie disponible presenta una baja</w:t>
      </w:r>
      <w:r w:rsidR="009F35F2">
        <w:t xml:space="preserve"> calidad y </w:t>
      </w:r>
      <w:r w:rsidR="00F0246C">
        <w:t>no resulta recomendable su utilización</w:t>
      </w:r>
      <w:r w:rsidR="00561F33">
        <w:t>, de acuerdo con las conversaciones mantenidas con los responsables del Departamento de Patrimonio y Probidad (en adelante DPP</w:t>
      </w:r>
      <w:r w:rsidR="00657757">
        <w:t>/</w:t>
      </w:r>
      <w:r w:rsidR="00561F33">
        <w:t>AGU)</w:t>
      </w:r>
      <w:r w:rsidR="00F0246C">
        <w:t>.</w:t>
      </w:r>
      <w:r w:rsidR="00657757">
        <w:rPr>
          <w:rStyle w:val="FootnoteReference"/>
        </w:rPr>
        <w:footnoteReference w:id="12"/>
      </w:r>
      <w:r w:rsidR="00F0246C">
        <w:t xml:space="preserve"> Por tanto, se ha considerado más conveniente partir con la información disponible del año 2010. Para ello se ha procedido de la siguiente forma:</w:t>
      </w:r>
    </w:p>
    <w:p w:rsidR="00F0246C" w:rsidRDefault="00F0246C" w:rsidP="00F0246C"/>
    <w:p w:rsidR="00B23C50" w:rsidRDefault="00F0246C" w:rsidP="007E0EE5">
      <w:pPr>
        <w:pStyle w:val="ListParagraph"/>
        <w:numPr>
          <w:ilvl w:val="0"/>
          <w:numId w:val="29"/>
        </w:numPr>
      </w:pPr>
      <w:r>
        <w:t>El DPP/</w:t>
      </w:r>
      <w:r w:rsidR="00561F33">
        <w:t>A</w:t>
      </w:r>
      <w:r>
        <w:t xml:space="preserve">GU posee información de calidad aceptable acerca de los montos involucrados en resoluciones del Tribunal de Cuentas </w:t>
      </w:r>
      <w:r w:rsidR="00561F33">
        <w:t xml:space="preserve">favorables para el Estado </w:t>
      </w:r>
      <w:r>
        <w:t>-principalmente sobre casos de corrupción e improbidad de funcionarios y servidores públicos-</w:t>
      </w:r>
      <w:r w:rsidR="00B23C50">
        <w:t xml:space="preserve">. </w:t>
      </w:r>
    </w:p>
    <w:p w:rsidR="00F0246C" w:rsidRDefault="00B23C50" w:rsidP="007E0EE5">
      <w:pPr>
        <w:pStyle w:val="ListParagraph"/>
        <w:numPr>
          <w:ilvl w:val="0"/>
          <w:numId w:val="29"/>
        </w:numPr>
      </w:pPr>
      <w:r>
        <w:t>L</w:t>
      </w:r>
      <w:r w:rsidR="00F0246C">
        <w:t xml:space="preserve">a AGU tiene la responsabilidad de ejecutar </w:t>
      </w:r>
      <w:r w:rsidR="00A52642">
        <w:t xml:space="preserve">la </w:t>
      </w:r>
      <w:r w:rsidR="00F0246C">
        <w:t xml:space="preserve">recuperación de esos </w:t>
      </w:r>
      <w:r>
        <w:t>montos</w:t>
      </w:r>
      <w:r w:rsidR="00A52642">
        <w:t xml:space="preserve"> por vía ejecutiva</w:t>
      </w:r>
      <w:r w:rsidR="00F0246C">
        <w:t xml:space="preserve">. </w:t>
      </w:r>
      <w:r>
        <w:t>Los datos disponibles muestran que en el año 2010 tan solo se recuperaron el 7,5% del total de montos involucrados</w:t>
      </w:r>
      <w:r w:rsidR="00657757">
        <w:t xml:space="preserve"> en sentencias favorables</w:t>
      </w:r>
      <w:r>
        <w:t>, equivalentes a R$</w:t>
      </w:r>
      <w:r w:rsidRPr="00B23C50">
        <w:t>530</w:t>
      </w:r>
      <w:r>
        <w:t>.</w:t>
      </w:r>
      <w:r w:rsidRPr="00B23C50">
        <w:t>001</w:t>
      </w:r>
      <w:r>
        <w:t>.</w:t>
      </w:r>
      <w:r w:rsidRPr="00B23C50">
        <w:t>323,32</w:t>
      </w:r>
      <w:r>
        <w:t>.</w:t>
      </w:r>
      <w:r>
        <w:rPr>
          <w:rStyle w:val="FootnoteReference"/>
        </w:rPr>
        <w:footnoteReference w:id="13"/>
      </w:r>
    </w:p>
    <w:p w:rsidR="0038334F" w:rsidRDefault="0038334F" w:rsidP="007E0EE5">
      <w:pPr>
        <w:pStyle w:val="ListParagraph"/>
        <w:numPr>
          <w:ilvl w:val="0"/>
          <w:numId w:val="29"/>
        </w:numPr>
      </w:pPr>
      <w:r>
        <w:t>En el marco del programa BID está previsto que la meta de la tasa de recuperación se sitúe al final de la ejecución en el 22%, con una meta intermedia en el año 20</w:t>
      </w:r>
      <w:r w:rsidR="00473E7A">
        <w:t>1</w:t>
      </w:r>
      <w:r>
        <w:t>4 del 13%. En las conversaciones mantenidas con los dirigentes del DPP/</w:t>
      </w:r>
      <w:r w:rsidR="00657757">
        <w:t>A</w:t>
      </w:r>
      <w:r>
        <w:t xml:space="preserve">GU pudo establecerse que en </w:t>
      </w:r>
      <w:r>
        <w:lastRenderedPageBreak/>
        <w:t xml:space="preserve">ausencia de programa BID, la tasa de recuperación prevista en el año 2016 con acciones emprendidas exclusivamente con recursos propios de la AGU se ubicaría en el 15%, es decir, 7 puntos porcentuales por debajo </w:t>
      </w:r>
      <w:r w:rsidR="002B3067">
        <w:t>de la alternativa BID</w:t>
      </w:r>
      <w:r>
        <w:t xml:space="preserve">. La gran diferencia entre </w:t>
      </w:r>
      <w:r w:rsidR="001D7104">
        <w:t xml:space="preserve">la alternativa </w:t>
      </w:r>
      <w:r>
        <w:t xml:space="preserve">BID y </w:t>
      </w:r>
      <w:r w:rsidR="001D7104">
        <w:t xml:space="preserve">la </w:t>
      </w:r>
      <w:r>
        <w:t xml:space="preserve">AGU estriba en que en </w:t>
      </w:r>
      <w:r w:rsidR="001D7104">
        <w:t xml:space="preserve">la </w:t>
      </w:r>
      <w:r>
        <w:t>primer</w:t>
      </w:r>
      <w:r w:rsidR="001D7104">
        <w:t>a</w:t>
      </w:r>
      <w:r>
        <w:t xml:space="preserve"> está previstas acciones orientadas a la reingeniería del proceso de recuperación patrimonial, y a una mejora sensible de las herramientas para el manejo de la información, además de una capacitación en profundidad de los funcionarios de la DPP/</w:t>
      </w:r>
      <w:r w:rsidR="002B3067">
        <w:t>A</w:t>
      </w:r>
      <w:r>
        <w:t xml:space="preserve">GU. En el cuadro 6 puede </w:t>
      </w:r>
      <w:r w:rsidR="00A73D40">
        <w:t>observarse</w:t>
      </w:r>
      <w:r>
        <w:t xml:space="preserve"> el </w:t>
      </w:r>
      <w:r w:rsidR="00A73D40">
        <w:t xml:space="preserve">comportamiento previsto </w:t>
      </w:r>
      <w:r w:rsidR="002B3067">
        <w:t xml:space="preserve">de la recuperación </w:t>
      </w:r>
      <w:r w:rsidR="00A73D40">
        <w:t>en l</w:t>
      </w:r>
      <w:r w:rsidR="00657757">
        <w:t>a</w:t>
      </w:r>
      <w:r w:rsidR="00A73D40">
        <w:t xml:space="preserve">s dos </w:t>
      </w:r>
      <w:r w:rsidR="00657757">
        <w:t>alternativas</w:t>
      </w:r>
      <w:r w:rsidR="002B3067">
        <w:t xml:space="preserve"> analizadas</w:t>
      </w:r>
      <w:r w:rsidR="00A73D40">
        <w:t xml:space="preserve">, así como su proyección hasta el año 2021. </w:t>
      </w:r>
    </w:p>
    <w:p w:rsidR="008C2CED" w:rsidRDefault="008C2CED"/>
    <w:p w:rsidR="00473E7A" w:rsidRDefault="00473E7A" w:rsidP="00473E7A">
      <w:pPr>
        <w:pStyle w:val="ListParagraph"/>
        <w:numPr>
          <w:ilvl w:val="0"/>
          <w:numId w:val="14"/>
        </w:numPr>
        <w:ind w:left="567" w:hanging="567"/>
      </w:pPr>
      <w:r>
        <w:t xml:space="preserve">A los efectos de este indicador no se han considerado los efectos </w:t>
      </w:r>
      <w:r w:rsidR="00D857C2" w:rsidRPr="00D857C2">
        <w:rPr>
          <w:i/>
        </w:rPr>
        <w:t>indirectos</w:t>
      </w:r>
      <w:r>
        <w:t xml:space="preserve"> que pudieran surgir, en especial aquellos que </w:t>
      </w:r>
      <w:r w:rsidR="00DD6A93">
        <w:t>pudieran derivarse de un incremento</w:t>
      </w:r>
      <w:r>
        <w:t xml:space="preserve"> de la percepción de riesgo</w:t>
      </w:r>
      <w:r w:rsidR="00DD6A93">
        <w:t xml:space="preserve"> como consecuencia de un aumento en la recuperación</w:t>
      </w:r>
      <w:r>
        <w:t>.</w:t>
      </w:r>
      <w:r w:rsidR="00F96BD9" w:rsidRPr="00CF2FEC">
        <w:rPr>
          <w:rStyle w:val="FootnoteReference"/>
          <w:rFonts w:ascii="Times New Roman" w:hAnsi="Times New Roman"/>
        </w:rPr>
        <w:footnoteReference w:id="14"/>
      </w:r>
      <w:r>
        <w:t xml:space="preserve"> Por tanto, los supuestos de proyección a partir del año 2016 hasta el año 2021 son muy conservadores en ambos escenarios. En </w:t>
      </w:r>
      <w:r w:rsidR="002B3067">
        <w:t xml:space="preserve">la alternativa </w:t>
      </w:r>
      <w:r>
        <w:t xml:space="preserve">BID se espera que la tasa de recuperación crezca en este periodo entre un punto y medio punto porcentual cada año, lo que implicaría que en el año 2021 alcanzaría un nivel del 25%. En </w:t>
      </w:r>
      <w:r w:rsidR="002B3067">
        <w:t>la alternativa</w:t>
      </w:r>
      <w:r>
        <w:t xml:space="preserve"> AGU se considera que la tasa alcanza el 20%, es decir, que se recorta el diferencial entre ambos escenarios de siete puntos porcentuales (2016) a cinco puntos porcentuales. </w:t>
      </w:r>
    </w:p>
    <w:p w:rsidR="0025420B" w:rsidRDefault="0025420B" w:rsidP="0025420B">
      <w:pPr>
        <w:pStyle w:val="ListParagraph"/>
        <w:ind w:left="567"/>
      </w:pPr>
    </w:p>
    <w:p w:rsidR="003661EC" w:rsidRDefault="001C45E9" w:rsidP="00B92C35">
      <w:pPr>
        <w:pStyle w:val="ListParagraph"/>
        <w:numPr>
          <w:ilvl w:val="0"/>
          <w:numId w:val="14"/>
        </w:numPr>
        <w:ind w:left="567" w:hanging="567"/>
      </w:pPr>
      <w:r>
        <w:t xml:space="preserve">Para la monetización de </w:t>
      </w:r>
      <w:r w:rsidR="0025420B">
        <w:t xml:space="preserve">la recuperación </w:t>
      </w:r>
      <w:r w:rsidR="00473E7A">
        <w:t xml:space="preserve">patrimonial </w:t>
      </w:r>
      <w:r w:rsidR="0025420B">
        <w:t>se ha supuesto que los montos involucrados son constantes durante todo el periodo</w:t>
      </w:r>
      <w:r w:rsidR="000413EA">
        <w:t xml:space="preserve">, lo que </w:t>
      </w:r>
      <w:r w:rsidR="00B92C35">
        <w:t xml:space="preserve">significa que los flujos de entrada y de salida por recuperaciones saldan el balance. Este supuesto es muy conservador, pues </w:t>
      </w:r>
      <w:r w:rsidR="002B3067">
        <w:t>cabría esperar</w:t>
      </w:r>
      <w:r w:rsidR="00B92C35">
        <w:t xml:space="preserve"> que una mejor gestión de las acciones ante el Tribunal de Cuentas deb</w:t>
      </w:r>
      <w:r w:rsidR="003661EC">
        <w:t>iera</w:t>
      </w:r>
      <w:r w:rsidR="00B92C35">
        <w:t xml:space="preserve"> generar entradas crecientes al registro de montos involucrados y, por otra parte, las salidas por recuperación son relativamente modestas como para recortar el stock acumulado. </w:t>
      </w:r>
    </w:p>
    <w:p w:rsidR="003661EC" w:rsidRDefault="003661EC" w:rsidP="003661EC">
      <w:pPr>
        <w:pStyle w:val="ListParagraph"/>
        <w:ind w:left="567"/>
      </w:pPr>
    </w:p>
    <w:p w:rsidR="00B92C35" w:rsidRDefault="00B92C35" w:rsidP="00B92C35">
      <w:pPr>
        <w:pStyle w:val="ListParagraph"/>
        <w:numPr>
          <w:ilvl w:val="0"/>
          <w:numId w:val="14"/>
        </w:numPr>
        <w:ind w:left="567" w:hanging="567"/>
      </w:pPr>
      <w:r>
        <w:t xml:space="preserve">En el cuadro 6 pueden consultarse los flujos </w:t>
      </w:r>
      <w:r w:rsidR="003661EC">
        <w:t xml:space="preserve">no descontados </w:t>
      </w:r>
      <w:r>
        <w:t>de recuperación previstos en amb</w:t>
      </w:r>
      <w:r w:rsidR="003661EC">
        <w:t>a</w:t>
      </w:r>
      <w:r>
        <w:t xml:space="preserve">s </w:t>
      </w:r>
      <w:r w:rsidR="003661EC">
        <w:t>alternativas</w:t>
      </w:r>
      <w:r>
        <w:t xml:space="preserve">. </w:t>
      </w:r>
    </w:p>
    <w:p w:rsidR="0002462A" w:rsidRDefault="0002462A" w:rsidP="00E80005">
      <w:pPr>
        <w:pStyle w:val="ListParagraph"/>
        <w:ind w:left="567"/>
      </w:pPr>
    </w:p>
    <w:p w:rsidR="002B3067" w:rsidRPr="00D177C1" w:rsidRDefault="002B3067" w:rsidP="002B3067">
      <w:pPr>
        <w:pStyle w:val="ListParagraph"/>
        <w:spacing w:after="60"/>
        <w:ind w:left="1418" w:right="1040"/>
        <w:jc w:val="center"/>
        <w:rPr>
          <w:b/>
          <w:sz w:val="20"/>
        </w:rPr>
      </w:pPr>
      <w:r>
        <w:rPr>
          <w:b/>
          <w:sz w:val="20"/>
        </w:rPr>
        <w:t>Cuadro 6</w:t>
      </w:r>
      <w:r w:rsidRPr="00D177C1">
        <w:rPr>
          <w:b/>
          <w:sz w:val="20"/>
        </w:rPr>
        <w:t xml:space="preserve">. </w:t>
      </w:r>
      <w:r>
        <w:rPr>
          <w:b/>
          <w:sz w:val="20"/>
        </w:rPr>
        <w:t>Recuperación patrimonial: beneficios previstos alternativa BID y alternativa AGU</w:t>
      </w:r>
    </w:p>
    <w:tbl>
      <w:tblPr>
        <w:tblW w:w="6945" w:type="dxa"/>
        <w:tblInd w:w="1488" w:type="dxa"/>
        <w:tblCellMar>
          <w:left w:w="70" w:type="dxa"/>
          <w:right w:w="70" w:type="dxa"/>
        </w:tblCellMar>
        <w:tblLook w:val="04A0" w:firstRow="1" w:lastRow="0" w:firstColumn="1" w:lastColumn="0" w:noHBand="0" w:noVBand="1"/>
      </w:tblPr>
      <w:tblGrid>
        <w:gridCol w:w="540"/>
        <w:gridCol w:w="1303"/>
        <w:gridCol w:w="1134"/>
        <w:gridCol w:w="1417"/>
        <w:gridCol w:w="1134"/>
        <w:gridCol w:w="1417"/>
      </w:tblGrid>
      <w:tr w:rsidR="002B3067" w:rsidRPr="00A73D40" w:rsidTr="00A46C73">
        <w:trPr>
          <w:trHeight w:val="210"/>
        </w:trPr>
        <w:tc>
          <w:tcPr>
            <w:tcW w:w="540" w:type="dxa"/>
            <w:tcBorders>
              <w:top w:val="single" w:sz="4" w:space="0" w:color="auto"/>
              <w:left w:val="nil"/>
              <w:bottom w:val="nil"/>
              <w:right w:val="nil"/>
            </w:tcBorders>
            <w:shd w:val="clear" w:color="auto" w:fill="auto"/>
            <w:noWrap/>
            <w:vAlign w:val="bottom"/>
          </w:tcPr>
          <w:p w:rsidR="002B3067" w:rsidRPr="00A73D40" w:rsidRDefault="002B3067" w:rsidP="00A46C73">
            <w:pPr>
              <w:jc w:val="left"/>
              <w:rPr>
                <w:color w:val="000000"/>
                <w:sz w:val="20"/>
                <w:szCs w:val="20"/>
                <w:lang w:val="es-ES_tradnl" w:eastAsia="es-ES_tradnl"/>
              </w:rPr>
            </w:pPr>
          </w:p>
        </w:tc>
        <w:tc>
          <w:tcPr>
            <w:tcW w:w="1303" w:type="dxa"/>
            <w:tcBorders>
              <w:top w:val="single" w:sz="4" w:space="0" w:color="auto"/>
              <w:left w:val="nil"/>
              <w:bottom w:val="nil"/>
              <w:right w:val="nil"/>
            </w:tcBorders>
            <w:shd w:val="clear" w:color="auto" w:fill="auto"/>
            <w:noWrap/>
            <w:vAlign w:val="bottom"/>
          </w:tcPr>
          <w:p w:rsidR="002B3067" w:rsidRPr="00A73D40" w:rsidRDefault="002B3067" w:rsidP="00A46C73">
            <w:pPr>
              <w:jc w:val="center"/>
              <w:rPr>
                <w:b/>
                <w:bCs/>
                <w:color w:val="000000"/>
                <w:sz w:val="20"/>
                <w:szCs w:val="20"/>
                <w:lang w:val="es-ES_tradnl" w:eastAsia="es-ES_tradnl"/>
              </w:rPr>
            </w:pPr>
          </w:p>
        </w:tc>
        <w:tc>
          <w:tcPr>
            <w:tcW w:w="2551" w:type="dxa"/>
            <w:gridSpan w:val="2"/>
            <w:tcBorders>
              <w:top w:val="single" w:sz="4" w:space="0" w:color="auto"/>
              <w:left w:val="nil"/>
              <w:bottom w:val="single" w:sz="4" w:space="0" w:color="auto"/>
              <w:right w:val="nil"/>
            </w:tcBorders>
            <w:shd w:val="clear" w:color="auto" w:fill="auto"/>
            <w:noWrap/>
            <w:vAlign w:val="bottom"/>
          </w:tcPr>
          <w:p w:rsidR="002B3067" w:rsidRPr="00A73D40" w:rsidRDefault="002B3067" w:rsidP="00A46C73">
            <w:pPr>
              <w:jc w:val="center"/>
              <w:rPr>
                <w:b/>
                <w:bCs/>
                <w:color w:val="000000"/>
                <w:sz w:val="20"/>
                <w:szCs w:val="20"/>
                <w:lang w:val="es-ES_tradnl" w:eastAsia="es-ES_tradnl"/>
              </w:rPr>
            </w:pPr>
            <w:r>
              <w:rPr>
                <w:b/>
                <w:bCs/>
                <w:color w:val="000000"/>
                <w:sz w:val="20"/>
                <w:szCs w:val="20"/>
                <w:lang w:val="es-ES_tradnl" w:eastAsia="es-ES_tradnl"/>
              </w:rPr>
              <w:t>Alternativa BID</w:t>
            </w:r>
          </w:p>
        </w:tc>
        <w:tc>
          <w:tcPr>
            <w:tcW w:w="2551" w:type="dxa"/>
            <w:gridSpan w:val="2"/>
            <w:tcBorders>
              <w:top w:val="single" w:sz="4" w:space="0" w:color="auto"/>
              <w:left w:val="nil"/>
              <w:bottom w:val="single" w:sz="4" w:space="0" w:color="auto"/>
              <w:right w:val="nil"/>
            </w:tcBorders>
            <w:shd w:val="clear" w:color="auto" w:fill="auto"/>
            <w:noWrap/>
            <w:vAlign w:val="bottom"/>
          </w:tcPr>
          <w:p w:rsidR="002B3067" w:rsidRPr="00A73D40" w:rsidRDefault="002B3067" w:rsidP="00A46C73">
            <w:pPr>
              <w:jc w:val="center"/>
              <w:rPr>
                <w:b/>
                <w:bCs/>
                <w:color w:val="000000"/>
                <w:sz w:val="20"/>
                <w:szCs w:val="20"/>
                <w:lang w:val="es-ES_tradnl" w:eastAsia="es-ES_tradnl"/>
              </w:rPr>
            </w:pPr>
            <w:r>
              <w:rPr>
                <w:b/>
                <w:bCs/>
                <w:color w:val="000000"/>
                <w:sz w:val="20"/>
                <w:szCs w:val="20"/>
                <w:lang w:val="es-ES_tradnl" w:eastAsia="es-ES_tradnl"/>
              </w:rPr>
              <w:t>Alternativa AGU</w:t>
            </w:r>
          </w:p>
        </w:tc>
      </w:tr>
      <w:tr w:rsidR="002B3067" w:rsidRPr="00A73D40" w:rsidTr="00A46C73">
        <w:trPr>
          <w:trHeight w:val="210"/>
        </w:trPr>
        <w:tc>
          <w:tcPr>
            <w:tcW w:w="540" w:type="dxa"/>
            <w:tcBorders>
              <w:top w:val="nil"/>
              <w:left w:val="nil"/>
              <w:bottom w:val="nil"/>
              <w:right w:val="nil"/>
            </w:tcBorders>
            <w:shd w:val="clear" w:color="auto" w:fill="auto"/>
            <w:noWrap/>
            <w:vAlign w:val="bottom"/>
            <w:hideMark/>
          </w:tcPr>
          <w:p w:rsidR="002B3067" w:rsidRPr="00A73D40" w:rsidRDefault="002B3067" w:rsidP="00A46C73">
            <w:pPr>
              <w:jc w:val="left"/>
              <w:rPr>
                <w:color w:val="000000"/>
                <w:sz w:val="20"/>
                <w:szCs w:val="20"/>
                <w:lang w:val="es-ES_tradnl" w:eastAsia="es-ES_tradnl"/>
              </w:rPr>
            </w:pPr>
          </w:p>
        </w:tc>
        <w:tc>
          <w:tcPr>
            <w:tcW w:w="1303" w:type="dxa"/>
            <w:tcBorders>
              <w:top w:val="nil"/>
              <w:left w:val="nil"/>
              <w:bottom w:val="single" w:sz="4" w:space="0" w:color="auto"/>
              <w:right w:val="nil"/>
            </w:tcBorders>
            <w:shd w:val="clear" w:color="auto" w:fill="auto"/>
            <w:noWrap/>
            <w:vAlign w:val="bottom"/>
            <w:hideMark/>
          </w:tcPr>
          <w:p w:rsidR="002B3067" w:rsidRPr="00A73D40" w:rsidRDefault="002B3067" w:rsidP="00A46C73">
            <w:pPr>
              <w:jc w:val="center"/>
              <w:rPr>
                <w:b/>
                <w:bCs/>
                <w:color w:val="000000"/>
                <w:sz w:val="20"/>
                <w:szCs w:val="20"/>
                <w:lang w:val="es-ES_tradnl" w:eastAsia="es-ES_tradnl"/>
              </w:rPr>
            </w:pPr>
            <w:r w:rsidRPr="00A73D40">
              <w:rPr>
                <w:b/>
                <w:bCs/>
                <w:color w:val="000000"/>
                <w:sz w:val="20"/>
                <w:szCs w:val="20"/>
                <w:lang w:val="es-ES_tradnl" w:eastAsia="es-ES_tradnl"/>
              </w:rPr>
              <w:t>Montos involucrados</w:t>
            </w:r>
          </w:p>
        </w:tc>
        <w:tc>
          <w:tcPr>
            <w:tcW w:w="1134" w:type="dxa"/>
            <w:tcBorders>
              <w:top w:val="single" w:sz="4" w:space="0" w:color="auto"/>
              <w:left w:val="nil"/>
              <w:bottom w:val="single" w:sz="4" w:space="0" w:color="auto"/>
              <w:right w:val="nil"/>
            </w:tcBorders>
            <w:shd w:val="clear" w:color="auto" w:fill="auto"/>
            <w:noWrap/>
            <w:vAlign w:val="bottom"/>
            <w:hideMark/>
          </w:tcPr>
          <w:p w:rsidR="002B3067" w:rsidRPr="00A73D40" w:rsidRDefault="002B3067" w:rsidP="00A46C73">
            <w:pPr>
              <w:jc w:val="center"/>
              <w:rPr>
                <w:b/>
                <w:bCs/>
                <w:color w:val="000000"/>
                <w:sz w:val="20"/>
                <w:szCs w:val="20"/>
                <w:lang w:val="es-ES_tradnl" w:eastAsia="es-ES_tradnl"/>
              </w:rPr>
            </w:pPr>
            <w:r w:rsidRPr="00A73D40">
              <w:rPr>
                <w:b/>
                <w:bCs/>
                <w:color w:val="000000"/>
                <w:sz w:val="20"/>
                <w:szCs w:val="20"/>
                <w:lang w:val="es-ES_tradnl" w:eastAsia="es-ES_tradnl"/>
              </w:rPr>
              <w:t xml:space="preserve">Tasa </w:t>
            </w:r>
            <w:proofErr w:type="spellStart"/>
            <w:r w:rsidRPr="00A73D40">
              <w:rPr>
                <w:b/>
                <w:bCs/>
                <w:color w:val="000000"/>
                <w:sz w:val="20"/>
                <w:szCs w:val="20"/>
                <w:lang w:val="es-ES_tradnl" w:eastAsia="es-ES_tradnl"/>
              </w:rPr>
              <w:t>recuper</w:t>
            </w:r>
            <w:proofErr w:type="spellEnd"/>
            <w:r w:rsidRPr="00A73D40">
              <w:rPr>
                <w:b/>
                <w:bCs/>
                <w:color w:val="000000"/>
                <w:sz w:val="20"/>
                <w:szCs w:val="20"/>
                <w:lang w:val="es-ES_tradnl" w:eastAsia="es-ES_tradnl"/>
              </w:rPr>
              <w:t>.</w:t>
            </w:r>
          </w:p>
        </w:tc>
        <w:tc>
          <w:tcPr>
            <w:tcW w:w="1417" w:type="dxa"/>
            <w:tcBorders>
              <w:top w:val="single" w:sz="4" w:space="0" w:color="auto"/>
              <w:left w:val="nil"/>
              <w:bottom w:val="single" w:sz="4" w:space="0" w:color="auto"/>
              <w:right w:val="nil"/>
            </w:tcBorders>
            <w:shd w:val="clear" w:color="auto" w:fill="auto"/>
            <w:noWrap/>
            <w:vAlign w:val="bottom"/>
            <w:hideMark/>
          </w:tcPr>
          <w:p w:rsidR="002B3067" w:rsidRPr="00A73D40" w:rsidRDefault="002B3067" w:rsidP="00A46C73">
            <w:pPr>
              <w:jc w:val="center"/>
              <w:rPr>
                <w:b/>
                <w:bCs/>
                <w:color w:val="000000"/>
                <w:sz w:val="20"/>
                <w:szCs w:val="20"/>
                <w:lang w:val="es-ES_tradnl" w:eastAsia="es-ES_tradnl"/>
              </w:rPr>
            </w:pPr>
            <w:r w:rsidRPr="00A73D40">
              <w:rPr>
                <w:b/>
                <w:bCs/>
                <w:color w:val="000000"/>
                <w:sz w:val="20"/>
                <w:szCs w:val="20"/>
                <w:lang w:val="es-ES_tradnl" w:eastAsia="es-ES_tradnl"/>
              </w:rPr>
              <w:t>Montos</w:t>
            </w:r>
            <w:r>
              <w:rPr>
                <w:b/>
                <w:bCs/>
                <w:color w:val="000000"/>
                <w:sz w:val="20"/>
                <w:szCs w:val="20"/>
                <w:lang w:val="es-ES_tradnl" w:eastAsia="es-ES_tradnl"/>
              </w:rPr>
              <w:t xml:space="preserve"> recuperados</w:t>
            </w:r>
          </w:p>
        </w:tc>
        <w:tc>
          <w:tcPr>
            <w:tcW w:w="1134" w:type="dxa"/>
            <w:tcBorders>
              <w:top w:val="single" w:sz="4" w:space="0" w:color="auto"/>
              <w:left w:val="nil"/>
              <w:bottom w:val="single" w:sz="4" w:space="0" w:color="auto"/>
              <w:right w:val="nil"/>
            </w:tcBorders>
            <w:shd w:val="clear" w:color="auto" w:fill="auto"/>
            <w:noWrap/>
            <w:vAlign w:val="bottom"/>
            <w:hideMark/>
          </w:tcPr>
          <w:p w:rsidR="002B3067" w:rsidRPr="00A73D40" w:rsidRDefault="002B3067" w:rsidP="00A46C73">
            <w:pPr>
              <w:jc w:val="center"/>
              <w:rPr>
                <w:b/>
                <w:bCs/>
                <w:color w:val="000000"/>
                <w:sz w:val="20"/>
                <w:szCs w:val="20"/>
                <w:lang w:val="es-ES_tradnl" w:eastAsia="es-ES_tradnl"/>
              </w:rPr>
            </w:pPr>
            <w:r w:rsidRPr="00A73D40">
              <w:rPr>
                <w:b/>
                <w:bCs/>
                <w:color w:val="000000"/>
                <w:sz w:val="20"/>
                <w:szCs w:val="20"/>
                <w:lang w:val="es-ES_tradnl" w:eastAsia="es-ES_tradnl"/>
              </w:rPr>
              <w:t xml:space="preserve">Tasa </w:t>
            </w:r>
            <w:proofErr w:type="spellStart"/>
            <w:r w:rsidRPr="00A73D40">
              <w:rPr>
                <w:b/>
                <w:bCs/>
                <w:color w:val="000000"/>
                <w:sz w:val="20"/>
                <w:szCs w:val="20"/>
                <w:lang w:val="es-ES_tradnl" w:eastAsia="es-ES_tradnl"/>
              </w:rPr>
              <w:t>recuper</w:t>
            </w:r>
            <w:proofErr w:type="spellEnd"/>
            <w:r w:rsidRPr="00A73D40">
              <w:rPr>
                <w:b/>
                <w:bCs/>
                <w:color w:val="000000"/>
                <w:sz w:val="20"/>
                <w:szCs w:val="20"/>
                <w:lang w:val="es-ES_tradnl" w:eastAsia="es-ES_tradnl"/>
              </w:rPr>
              <w:t>.</w:t>
            </w:r>
          </w:p>
        </w:tc>
        <w:tc>
          <w:tcPr>
            <w:tcW w:w="1417" w:type="dxa"/>
            <w:tcBorders>
              <w:top w:val="single" w:sz="4" w:space="0" w:color="auto"/>
              <w:left w:val="nil"/>
              <w:bottom w:val="single" w:sz="4" w:space="0" w:color="auto"/>
              <w:right w:val="nil"/>
            </w:tcBorders>
            <w:shd w:val="clear" w:color="auto" w:fill="auto"/>
            <w:noWrap/>
            <w:vAlign w:val="bottom"/>
            <w:hideMark/>
          </w:tcPr>
          <w:p w:rsidR="002B3067" w:rsidRPr="00A73D40" w:rsidRDefault="002B3067" w:rsidP="00A46C73">
            <w:pPr>
              <w:jc w:val="center"/>
              <w:rPr>
                <w:b/>
                <w:bCs/>
                <w:color w:val="000000"/>
                <w:sz w:val="20"/>
                <w:szCs w:val="20"/>
                <w:lang w:val="es-ES_tradnl" w:eastAsia="es-ES_tradnl"/>
              </w:rPr>
            </w:pPr>
            <w:r w:rsidRPr="00A73D40">
              <w:rPr>
                <w:b/>
                <w:bCs/>
                <w:color w:val="000000"/>
                <w:sz w:val="20"/>
                <w:szCs w:val="20"/>
                <w:lang w:val="es-ES_tradnl" w:eastAsia="es-ES_tradnl"/>
              </w:rPr>
              <w:t>Montos</w:t>
            </w:r>
            <w:r>
              <w:rPr>
                <w:b/>
                <w:bCs/>
                <w:color w:val="000000"/>
                <w:sz w:val="20"/>
                <w:szCs w:val="20"/>
                <w:lang w:val="es-ES_tradnl" w:eastAsia="es-ES_tradnl"/>
              </w:rPr>
              <w:t xml:space="preserve"> recuperados</w:t>
            </w:r>
          </w:p>
        </w:tc>
      </w:tr>
      <w:tr w:rsidR="002B3067" w:rsidRPr="00A73D40" w:rsidTr="003661EC">
        <w:trPr>
          <w:trHeight w:val="210"/>
        </w:trPr>
        <w:tc>
          <w:tcPr>
            <w:tcW w:w="540"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2010</w:t>
            </w:r>
          </w:p>
        </w:tc>
        <w:tc>
          <w:tcPr>
            <w:tcW w:w="1303"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shd w:val="clear" w:color="auto" w:fill="auto"/>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7,5%</w:t>
            </w:r>
          </w:p>
        </w:tc>
        <w:tc>
          <w:tcPr>
            <w:tcW w:w="1417"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530.001.323</w:t>
            </w:r>
          </w:p>
        </w:tc>
        <w:tc>
          <w:tcPr>
            <w:tcW w:w="1134"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7,5%</w:t>
            </w:r>
          </w:p>
        </w:tc>
        <w:tc>
          <w:tcPr>
            <w:tcW w:w="1417"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530.001.323</w:t>
            </w:r>
          </w:p>
        </w:tc>
      </w:tr>
      <w:tr w:rsidR="002B3067" w:rsidRPr="00A73D40" w:rsidTr="003661EC">
        <w:trPr>
          <w:trHeight w:val="210"/>
        </w:trPr>
        <w:tc>
          <w:tcPr>
            <w:tcW w:w="540"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2014</w:t>
            </w:r>
          </w:p>
        </w:tc>
        <w:tc>
          <w:tcPr>
            <w:tcW w:w="1303"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shd w:val="clear" w:color="auto" w:fill="auto"/>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13,0%</w:t>
            </w:r>
          </w:p>
        </w:tc>
        <w:tc>
          <w:tcPr>
            <w:tcW w:w="1417"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919.303.176</w:t>
            </w:r>
          </w:p>
        </w:tc>
        <w:tc>
          <w:tcPr>
            <w:tcW w:w="1134"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11,0%</w:t>
            </w:r>
          </w:p>
        </w:tc>
        <w:tc>
          <w:tcPr>
            <w:tcW w:w="1417"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777.871.918</w:t>
            </w:r>
          </w:p>
        </w:tc>
      </w:tr>
      <w:tr w:rsidR="002B3067" w:rsidRPr="00A73D40" w:rsidTr="00A46C73">
        <w:trPr>
          <w:trHeight w:val="210"/>
        </w:trPr>
        <w:tc>
          <w:tcPr>
            <w:tcW w:w="540"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2015</w:t>
            </w:r>
          </w:p>
        </w:tc>
        <w:tc>
          <w:tcPr>
            <w:tcW w:w="1303"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17,5%</w:t>
            </w:r>
          </w:p>
        </w:tc>
        <w:tc>
          <w:tcPr>
            <w:tcW w:w="1417"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1.237.523.507</w:t>
            </w:r>
          </w:p>
        </w:tc>
        <w:tc>
          <w:tcPr>
            <w:tcW w:w="1134"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13,0%</w:t>
            </w:r>
          </w:p>
        </w:tc>
        <w:tc>
          <w:tcPr>
            <w:tcW w:w="1417"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919.303.176</w:t>
            </w:r>
          </w:p>
        </w:tc>
      </w:tr>
      <w:tr w:rsidR="002B3067" w:rsidRPr="00A73D40" w:rsidTr="003661EC">
        <w:trPr>
          <w:trHeight w:val="210"/>
        </w:trPr>
        <w:tc>
          <w:tcPr>
            <w:tcW w:w="540"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2016</w:t>
            </w:r>
          </w:p>
        </w:tc>
        <w:tc>
          <w:tcPr>
            <w:tcW w:w="1303"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shd w:val="clear" w:color="auto" w:fill="auto"/>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22,0%</w:t>
            </w:r>
          </w:p>
        </w:tc>
        <w:tc>
          <w:tcPr>
            <w:tcW w:w="1417"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1.555.743.837</w:t>
            </w:r>
          </w:p>
        </w:tc>
        <w:tc>
          <w:tcPr>
            <w:tcW w:w="1134"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15,0%</w:t>
            </w:r>
          </w:p>
        </w:tc>
        <w:tc>
          <w:tcPr>
            <w:tcW w:w="1417" w:type="dxa"/>
            <w:noWrap/>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1.060.734.434</w:t>
            </w:r>
          </w:p>
        </w:tc>
      </w:tr>
      <w:tr w:rsidR="002B3067" w:rsidRPr="00A73D40" w:rsidTr="00A46C73">
        <w:trPr>
          <w:trHeight w:val="210"/>
        </w:trPr>
        <w:tc>
          <w:tcPr>
            <w:tcW w:w="540" w:type="dxa"/>
            <w:tcBorders>
              <w:top w:val="single" w:sz="4" w:space="0" w:color="auto"/>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2017</w:t>
            </w:r>
          </w:p>
        </w:tc>
        <w:tc>
          <w:tcPr>
            <w:tcW w:w="1303" w:type="dxa"/>
            <w:tcBorders>
              <w:top w:val="single" w:sz="4" w:space="0" w:color="auto"/>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tcBorders>
              <w:top w:val="single" w:sz="4" w:space="0" w:color="auto"/>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22,5%</w:t>
            </w:r>
          </w:p>
        </w:tc>
        <w:tc>
          <w:tcPr>
            <w:tcW w:w="1417" w:type="dxa"/>
            <w:tcBorders>
              <w:top w:val="single" w:sz="4" w:space="0" w:color="auto"/>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1.591.101.651</w:t>
            </w:r>
          </w:p>
        </w:tc>
        <w:tc>
          <w:tcPr>
            <w:tcW w:w="1134" w:type="dxa"/>
            <w:tcBorders>
              <w:top w:val="single" w:sz="4" w:space="0" w:color="auto"/>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16,0%</w:t>
            </w:r>
          </w:p>
        </w:tc>
        <w:tc>
          <w:tcPr>
            <w:tcW w:w="1417" w:type="dxa"/>
            <w:tcBorders>
              <w:top w:val="single" w:sz="4" w:space="0" w:color="auto"/>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1.131.450.063</w:t>
            </w:r>
          </w:p>
        </w:tc>
      </w:tr>
      <w:tr w:rsidR="002B3067" w:rsidRPr="00A73D40" w:rsidTr="00A46C73">
        <w:trPr>
          <w:trHeight w:val="210"/>
        </w:trPr>
        <w:tc>
          <w:tcPr>
            <w:tcW w:w="540"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2018</w:t>
            </w:r>
          </w:p>
        </w:tc>
        <w:tc>
          <w:tcPr>
            <w:tcW w:w="1303"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23,0%</w:t>
            </w:r>
          </w:p>
        </w:tc>
        <w:tc>
          <w:tcPr>
            <w:tcW w:w="1417"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1.626.459.466</w:t>
            </w:r>
          </w:p>
        </w:tc>
        <w:tc>
          <w:tcPr>
            <w:tcW w:w="1134"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17,0%</w:t>
            </w:r>
          </w:p>
        </w:tc>
        <w:tc>
          <w:tcPr>
            <w:tcW w:w="1417"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1.202.165.692</w:t>
            </w:r>
          </w:p>
        </w:tc>
      </w:tr>
      <w:tr w:rsidR="002B3067" w:rsidRPr="00A73D40" w:rsidTr="00A46C73">
        <w:trPr>
          <w:trHeight w:val="210"/>
        </w:trPr>
        <w:tc>
          <w:tcPr>
            <w:tcW w:w="540"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2019</w:t>
            </w:r>
          </w:p>
        </w:tc>
        <w:tc>
          <w:tcPr>
            <w:tcW w:w="1303"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23,5%</w:t>
            </w:r>
          </w:p>
        </w:tc>
        <w:tc>
          <w:tcPr>
            <w:tcW w:w="1417"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1.661.817.280</w:t>
            </w:r>
          </w:p>
        </w:tc>
        <w:tc>
          <w:tcPr>
            <w:tcW w:w="1134"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18,0%</w:t>
            </w:r>
          </w:p>
        </w:tc>
        <w:tc>
          <w:tcPr>
            <w:tcW w:w="1417" w:type="dxa"/>
            <w:tcBorders>
              <w:top w:val="nil"/>
              <w:left w:val="nil"/>
              <w:bottom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1.272.881.321</w:t>
            </w:r>
          </w:p>
        </w:tc>
      </w:tr>
      <w:tr w:rsidR="002B3067" w:rsidRPr="00A73D40" w:rsidTr="00A46C73">
        <w:trPr>
          <w:trHeight w:val="210"/>
        </w:trPr>
        <w:tc>
          <w:tcPr>
            <w:tcW w:w="540"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2020</w:t>
            </w:r>
          </w:p>
        </w:tc>
        <w:tc>
          <w:tcPr>
            <w:tcW w:w="1303"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24,0%</w:t>
            </w:r>
          </w:p>
        </w:tc>
        <w:tc>
          <w:tcPr>
            <w:tcW w:w="1417"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1.697.175.095</w:t>
            </w:r>
          </w:p>
        </w:tc>
        <w:tc>
          <w:tcPr>
            <w:tcW w:w="1134"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19,0%</w:t>
            </w:r>
          </w:p>
        </w:tc>
        <w:tc>
          <w:tcPr>
            <w:tcW w:w="1417" w:type="dxa"/>
            <w:tcBorders>
              <w:top w:val="nil"/>
              <w:left w:val="nil"/>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1.343.596.950</w:t>
            </w:r>
          </w:p>
        </w:tc>
      </w:tr>
      <w:tr w:rsidR="002B3067" w:rsidRPr="00A73D40" w:rsidTr="00A46C73">
        <w:trPr>
          <w:trHeight w:val="210"/>
        </w:trPr>
        <w:tc>
          <w:tcPr>
            <w:tcW w:w="540" w:type="dxa"/>
            <w:tcBorders>
              <w:top w:val="nil"/>
              <w:left w:val="nil"/>
              <w:bottom w:val="single" w:sz="4" w:space="0" w:color="auto"/>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2021</w:t>
            </w:r>
          </w:p>
        </w:tc>
        <w:tc>
          <w:tcPr>
            <w:tcW w:w="1303" w:type="dxa"/>
            <w:tcBorders>
              <w:top w:val="nil"/>
              <w:left w:val="nil"/>
              <w:bottom w:val="single" w:sz="4" w:space="0" w:color="auto"/>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7.071.562.895</w:t>
            </w:r>
          </w:p>
        </w:tc>
        <w:tc>
          <w:tcPr>
            <w:tcW w:w="1134" w:type="dxa"/>
            <w:tcBorders>
              <w:top w:val="nil"/>
              <w:left w:val="nil"/>
              <w:bottom w:val="single" w:sz="4" w:space="0" w:color="auto"/>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25,0%</w:t>
            </w:r>
          </w:p>
        </w:tc>
        <w:tc>
          <w:tcPr>
            <w:tcW w:w="1417" w:type="dxa"/>
            <w:tcBorders>
              <w:top w:val="nil"/>
              <w:left w:val="nil"/>
              <w:bottom w:val="single" w:sz="4" w:space="0" w:color="auto"/>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1.767.890.724</w:t>
            </w:r>
          </w:p>
        </w:tc>
        <w:tc>
          <w:tcPr>
            <w:tcW w:w="1134" w:type="dxa"/>
            <w:tcBorders>
              <w:top w:val="nil"/>
              <w:left w:val="nil"/>
              <w:bottom w:val="single" w:sz="4" w:space="0" w:color="auto"/>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20,0%</w:t>
            </w:r>
          </w:p>
        </w:tc>
        <w:tc>
          <w:tcPr>
            <w:tcW w:w="1417" w:type="dxa"/>
            <w:tcBorders>
              <w:top w:val="nil"/>
              <w:left w:val="nil"/>
              <w:bottom w:val="single" w:sz="4" w:space="0" w:color="auto"/>
              <w:right w:val="nil"/>
            </w:tcBorders>
            <w:shd w:val="clear" w:color="auto" w:fill="auto"/>
            <w:noWrap/>
            <w:vAlign w:val="bottom"/>
            <w:hideMark/>
          </w:tcPr>
          <w:p w:rsidR="002B3067" w:rsidRPr="00A73D40" w:rsidRDefault="002B3067" w:rsidP="00A46C73">
            <w:pPr>
              <w:jc w:val="right"/>
              <w:rPr>
                <w:color w:val="000000"/>
                <w:sz w:val="20"/>
                <w:szCs w:val="20"/>
                <w:lang w:val="es-ES_tradnl" w:eastAsia="es-ES_tradnl"/>
              </w:rPr>
            </w:pPr>
            <w:r w:rsidRPr="00A73D40">
              <w:rPr>
                <w:color w:val="000000"/>
                <w:sz w:val="20"/>
                <w:szCs w:val="20"/>
                <w:lang w:val="es-ES_tradnl" w:eastAsia="es-ES_tradnl"/>
              </w:rPr>
              <w:t>1.414.312.579</w:t>
            </w:r>
          </w:p>
        </w:tc>
      </w:tr>
    </w:tbl>
    <w:p w:rsidR="002B3067" w:rsidRPr="009E7F7F" w:rsidRDefault="002B3067" w:rsidP="002B3067">
      <w:pPr>
        <w:pStyle w:val="ListParagraph"/>
        <w:ind w:left="1418" w:right="1324"/>
        <w:rPr>
          <w:sz w:val="18"/>
        </w:rPr>
      </w:pPr>
      <w:r w:rsidRPr="009E7F7F">
        <w:rPr>
          <w:sz w:val="18"/>
        </w:rPr>
        <w:t xml:space="preserve">Tasa de </w:t>
      </w:r>
      <w:r>
        <w:rPr>
          <w:sz w:val="18"/>
        </w:rPr>
        <w:t>recuperación</w:t>
      </w:r>
      <w:r w:rsidRPr="009E7F7F">
        <w:rPr>
          <w:sz w:val="18"/>
        </w:rPr>
        <w:t xml:space="preserve">: </w:t>
      </w:r>
      <w:r>
        <w:rPr>
          <w:sz w:val="18"/>
        </w:rPr>
        <w:t>montos recuperados sobre total de montos involucrados</w:t>
      </w:r>
      <w:r w:rsidRPr="009E7F7F">
        <w:rPr>
          <w:sz w:val="18"/>
        </w:rPr>
        <w:t>.</w:t>
      </w:r>
      <w:r>
        <w:rPr>
          <w:sz w:val="18"/>
        </w:rPr>
        <w:t xml:space="preserve"> </w:t>
      </w:r>
      <w:r w:rsidRPr="009E7F7F">
        <w:rPr>
          <w:sz w:val="18"/>
        </w:rPr>
        <w:t>Montos en reales 2010.</w:t>
      </w:r>
      <w:r>
        <w:rPr>
          <w:sz w:val="18"/>
        </w:rPr>
        <w:t xml:space="preserve"> </w:t>
      </w:r>
      <w:r w:rsidRPr="009E7F7F">
        <w:rPr>
          <w:sz w:val="18"/>
        </w:rPr>
        <w:t xml:space="preserve">Fuente: </w:t>
      </w:r>
      <w:r>
        <w:rPr>
          <w:sz w:val="18"/>
        </w:rPr>
        <w:t>DPP/PGU</w:t>
      </w:r>
      <w:r w:rsidRPr="009E7F7F">
        <w:rPr>
          <w:sz w:val="18"/>
        </w:rPr>
        <w:t>.</w:t>
      </w:r>
    </w:p>
    <w:p w:rsidR="008C2CED" w:rsidRDefault="008C2CED">
      <w:pPr>
        <w:pStyle w:val="ListParagraph"/>
        <w:ind w:left="567"/>
      </w:pPr>
    </w:p>
    <w:p w:rsidR="00D6263A" w:rsidRDefault="00D6263A" w:rsidP="007F442B"/>
    <w:p w:rsidR="00B92C35" w:rsidRDefault="00B92C35" w:rsidP="00C05801">
      <w:pPr>
        <w:pStyle w:val="Heading1"/>
      </w:pPr>
      <w:bookmarkStart w:id="42" w:name="_Toc303885517"/>
      <w:bookmarkStart w:id="43" w:name="_Toc298005492"/>
      <w:r>
        <w:lastRenderedPageBreak/>
        <w:t xml:space="preserve">Costos </w:t>
      </w:r>
      <w:r w:rsidR="000A5801">
        <w:t>considerados</w:t>
      </w:r>
      <w:r>
        <w:t xml:space="preserve"> en el análisis costo-beneficio</w:t>
      </w:r>
      <w:bookmarkEnd w:id="42"/>
      <w:bookmarkEnd w:id="43"/>
    </w:p>
    <w:p w:rsidR="00C05801" w:rsidRDefault="00C05801" w:rsidP="00C05801">
      <w:pPr>
        <w:pStyle w:val="Heading2"/>
      </w:pPr>
      <w:bookmarkStart w:id="44" w:name="_Toc303885518"/>
      <w:bookmarkStart w:id="45" w:name="_Toc298005493"/>
      <w:r>
        <w:t xml:space="preserve">Criterios aplicados en el diseño de </w:t>
      </w:r>
      <w:r w:rsidR="004055E7">
        <w:t>alternativas</w:t>
      </w:r>
      <w:r>
        <w:t xml:space="preserve"> de costo</w:t>
      </w:r>
      <w:bookmarkEnd w:id="44"/>
      <w:bookmarkEnd w:id="45"/>
    </w:p>
    <w:p w:rsidR="00D5637F" w:rsidRDefault="009273DD" w:rsidP="00C42EB7">
      <w:pPr>
        <w:pStyle w:val="ListParagraph"/>
        <w:numPr>
          <w:ilvl w:val="0"/>
          <w:numId w:val="14"/>
        </w:numPr>
        <w:ind w:left="567" w:hanging="567"/>
      </w:pPr>
      <w:r>
        <w:t xml:space="preserve">A efectos del análisis costo-beneficio, se han </w:t>
      </w:r>
      <w:r w:rsidR="000127F7">
        <w:t xml:space="preserve">definido dos escenarios diferentes, </w:t>
      </w:r>
      <w:r w:rsidR="00AF6FB5">
        <w:t xml:space="preserve">de forma similar a como se hizo en el caso de los beneficios. </w:t>
      </w:r>
      <w:r w:rsidR="004055E7">
        <w:t xml:space="preserve">La </w:t>
      </w:r>
      <w:r w:rsidR="00AF6FB5">
        <w:t>primer</w:t>
      </w:r>
      <w:r w:rsidR="004055E7">
        <w:t>a</w:t>
      </w:r>
      <w:r w:rsidR="00AF6FB5">
        <w:t xml:space="preserve"> </w:t>
      </w:r>
      <w:r w:rsidR="004055E7">
        <w:t xml:space="preserve">alternativa </w:t>
      </w:r>
      <w:r w:rsidR="00AF6FB5">
        <w:t>es aquel</w:t>
      </w:r>
      <w:r w:rsidR="004055E7">
        <w:t>la</w:t>
      </w:r>
      <w:r w:rsidR="00AF6FB5">
        <w:t xml:space="preserve"> que se deriva del programa BID, </w:t>
      </w:r>
      <w:r w:rsidR="00D5637F">
        <w:t xml:space="preserve">con exactamente los costos reflejados en el presupuesto </w:t>
      </w:r>
      <w:r w:rsidR="004055E7">
        <w:t>del programa BR-L1277</w:t>
      </w:r>
      <w:r w:rsidR="00D5637F">
        <w:t>y el plan de adquisiciones. Los precios son de 2010 e incluyen los impuestos correspondientes.</w:t>
      </w:r>
    </w:p>
    <w:p w:rsidR="00D5637F" w:rsidRDefault="00D5637F" w:rsidP="00D5637F">
      <w:pPr>
        <w:pStyle w:val="ListParagraph"/>
        <w:ind w:left="567"/>
      </w:pPr>
    </w:p>
    <w:p w:rsidR="00C05801" w:rsidRDefault="00D5637F" w:rsidP="00473E7A">
      <w:pPr>
        <w:pStyle w:val="ListParagraph"/>
        <w:numPr>
          <w:ilvl w:val="0"/>
          <w:numId w:val="14"/>
        </w:numPr>
        <w:ind w:left="567" w:hanging="567"/>
      </w:pPr>
      <w:r>
        <w:t xml:space="preserve">En el caso </w:t>
      </w:r>
      <w:r w:rsidR="004055E7">
        <w:t>de la alternativa</w:t>
      </w:r>
      <w:r w:rsidR="001D7BBA">
        <w:t xml:space="preserve"> AGU solamente</w:t>
      </w:r>
      <w:r>
        <w:t xml:space="preserve"> se</w:t>
      </w:r>
      <w:r w:rsidR="001D7BBA">
        <w:t xml:space="preserve"> toma en consideración los gastos que realizaría la AGU</w:t>
      </w:r>
      <w:r>
        <w:t xml:space="preserve"> con recursos propios</w:t>
      </w:r>
      <w:r w:rsidR="000B55B4">
        <w:t xml:space="preserve"> provenientes de su presupuesto anual</w:t>
      </w:r>
      <w:r>
        <w:t xml:space="preserve">, para lo cual se han tenido en cuenta los costos de aquellos productos que formarían parte </w:t>
      </w:r>
      <w:r w:rsidR="000B55B4">
        <w:t xml:space="preserve">de la alternativa </w:t>
      </w:r>
      <w:r>
        <w:t>AGU. Los precios son de 2010 e incluyen los impuestos correspondientes.</w:t>
      </w:r>
      <w:r w:rsidR="00383A39">
        <w:t xml:space="preserve"> </w:t>
      </w:r>
      <w:r>
        <w:t xml:space="preserve">El detalle de los criterios utilizados en ambos escenarios es el siguiente: </w:t>
      </w:r>
    </w:p>
    <w:p w:rsidR="00473E7A" w:rsidRDefault="00473E7A" w:rsidP="00473E7A"/>
    <w:tbl>
      <w:tblPr>
        <w:tblStyle w:val="TableGrid"/>
        <w:tblW w:w="0" w:type="auto"/>
        <w:tblInd w:w="567" w:type="dxa"/>
        <w:tblLook w:val="04A0" w:firstRow="1" w:lastRow="0" w:firstColumn="1" w:lastColumn="0" w:noHBand="0" w:noVBand="1"/>
      </w:tblPr>
      <w:tblGrid>
        <w:gridCol w:w="2518"/>
        <w:gridCol w:w="3402"/>
        <w:gridCol w:w="3133"/>
      </w:tblGrid>
      <w:tr w:rsidR="001D7BBA" w:rsidRPr="001D7BBA" w:rsidTr="00D5637F">
        <w:trPr>
          <w:cantSplit/>
          <w:tblHeader/>
        </w:trPr>
        <w:tc>
          <w:tcPr>
            <w:tcW w:w="2518" w:type="dxa"/>
          </w:tcPr>
          <w:p w:rsidR="001D7BBA" w:rsidRPr="001D7BBA" w:rsidRDefault="001D7BBA" w:rsidP="00AF6FB5">
            <w:pPr>
              <w:pStyle w:val="ListParagraph"/>
              <w:ind w:left="0"/>
              <w:rPr>
                <w:b/>
                <w:sz w:val="20"/>
              </w:rPr>
            </w:pPr>
            <w:r w:rsidRPr="001D7BBA">
              <w:rPr>
                <w:b/>
                <w:sz w:val="20"/>
              </w:rPr>
              <w:t>Tipo de gasto</w:t>
            </w:r>
          </w:p>
        </w:tc>
        <w:tc>
          <w:tcPr>
            <w:tcW w:w="3402" w:type="dxa"/>
          </w:tcPr>
          <w:p w:rsidR="001D7BBA" w:rsidRPr="001D7BBA" w:rsidRDefault="000B55B4" w:rsidP="000B55B4">
            <w:pPr>
              <w:pStyle w:val="ListParagraph"/>
              <w:ind w:left="0"/>
              <w:rPr>
                <w:b/>
                <w:sz w:val="20"/>
              </w:rPr>
            </w:pPr>
            <w:r>
              <w:rPr>
                <w:b/>
                <w:sz w:val="20"/>
              </w:rPr>
              <w:t>Alternativa</w:t>
            </w:r>
            <w:r w:rsidR="001D7BBA" w:rsidRPr="001D7BBA">
              <w:rPr>
                <w:b/>
                <w:sz w:val="20"/>
              </w:rPr>
              <w:t xml:space="preserve"> BID </w:t>
            </w:r>
          </w:p>
        </w:tc>
        <w:tc>
          <w:tcPr>
            <w:tcW w:w="3133" w:type="dxa"/>
          </w:tcPr>
          <w:p w:rsidR="001D7BBA" w:rsidRPr="001D7BBA" w:rsidRDefault="000B55B4" w:rsidP="000B55B4">
            <w:pPr>
              <w:pStyle w:val="ListParagraph"/>
              <w:ind w:left="0"/>
              <w:rPr>
                <w:b/>
                <w:sz w:val="20"/>
              </w:rPr>
            </w:pPr>
            <w:r>
              <w:rPr>
                <w:b/>
                <w:sz w:val="20"/>
              </w:rPr>
              <w:t>Alternativa</w:t>
            </w:r>
            <w:r w:rsidRPr="001D7BBA">
              <w:rPr>
                <w:b/>
                <w:sz w:val="20"/>
              </w:rPr>
              <w:t xml:space="preserve"> </w:t>
            </w:r>
            <w:r w:rsidR="001D7BBA" w:rsidRPr="001D7BBA">
              <w:rPr>
                <w:b/>
                <w:sz w:val="20"/>
              </w:rPr>
              <w:t>AGU</w:t>
            </w:r>
          </w:p>
        </w:tc>
      </w:tr>
      <w:tr w:rsidR="001D7BBA" w:rsidRPr="001D7BBA" w:rsidTr="001D7BBA">
        <w:tc>
          <w:tcPr>
            <w:tcW w:w="2518" w:type="dxa"/>
          </w:tcPr>
          <w:p w:rsidR="001D7BBA" w:rsidRPr="001D7BBA" w:rsidRDefault="001D7BBA" w:rsidP="00AF6FB5">
            <w:pPr>
              <w:pStyle w:val="ListParagraph"/>
              <w:ind w:left="0"/>
              <w:rPr>
                <w:b/>
                <w:sz w:val="20"/>
              </w:rPr>
            </w:pPr>
            <w:r w:rsidRPr="001D7BBA">
              <w:rPr>
                <w:b/>
                <w:sz w:val="20"/>
              </w:rPr>
              <w:t>Gastos de inversión</w:t>
            </w:r>
          </w:p>
        </w:tc>
        <w:tc>
          <w:tcPr>
            <w:tcW w:w="3402" w:type="dxa"/>
          </w:tcPr>
          <w:p w:rsidR="001D7BBA" w:rsidRDefault="001D7BBA" w:rsidP="00AF6FB5">
            <w:pPr>
              <w:pStyle w:val="ListParagraph"/>
              <w:ind w:left="0"/>
              <w:rPr>
                <w:sz w:val="20"/>
              </w:rPr>
            </w:pPr>
            <w:r w:rsidRPr="001D7BBA">
              <w:rPr>
                <w:sz w:val="20"/>
              </w:rPr>
              <w:t xml:space="preserve">Costo de los tres componentes del programa BID, de acuerdo con lo establecido en el presupuesto y plan de adquisiciones. </w:t>
            </w:r>
          </w:p>
          <w:p w:rsidR="001D7BBA" w:rsidRDefault="001D7BBA" w:rsidP="00AF6FB5">
            <w:pPr>
              <w:pStyle w:val="ListParagraph"/>
              <w:ind w:left="0"/>
              <w:rPr>
                <w:sz w:val="20"/>
              </w:rPr>
            </w:pPr>
            <w:r w:rsidRPr="001D7BBA">
              <w:rPr>
                <w:sz w:val="20"/>
              </w:rPr>
              <w:t xml:space="preserve">En estos costos se incluyen los gastos de consultoría, gastos de inversión en equipos, gastos de inversión en licencias y gastos en capacitación. </w:t>
            </w:r>
          </w:p>
          <w:p w:rsidR="001D7BBA" w:rsidRDefault="001D7BBA" w:rsidP="00AF6FB5">
            <w:pPr>
              <w:pStyle w:val="ListParagraph"/>
              <w:ind w:left="0"/>
              <w:rPr>
                <w:sz w:val="20"/>
              </w:rPr>
            </w:pPr>
            <w:r w:rsidRPr="001D7BBA">
              <w:rPr>
                <w:sz w:val="20"/>
              </w:rPr>
              <w:t xml:space="preserve">Estos costos se han </w:t>
            </w:r>
            <w:proofErr w:type="spellStart"/>
            <w:r w:rsidRPr="001D7BBA">
              <w:rPr>
                <w:sz w:val="20"/>
              </w:rPr>
              <w:t>periodificado</w:t>
            </w:r>
            <w:proofErr w:type="spellEnd"/>
            <w:r w:rsidRPr="001D7BBA">
              <w:rPr>
                <w:sz w:val="20"/>
              </w:rPr>
              <w:t xml:space="preserve"> desde el año 2012 al año 2016, de acuerdo con lo previsto en el plan de adquisiciones y cronograma del proyecto. </w:t>
            </w:r>
          </w:p>
          <w:p w:rsidR="001D7BBA" w:rsidRPr="001D7BBA" w:rsidRDefault="001D7BBA" w:rsidP="00AF6FB5">
            <w:pPr>
              <w:pStyle w:val="ListParagraph"/>
              <w:ind w:left="0"/>
              <w:rPr>
                <w:sz w:val="20"/>
              </w:rPr>
            </w:pPr>
            <w:r w:rsidRPr="001D7BBA">
              <w:rPr>
                <w:sz w:val="20"/>
              </w:rPr>
              <w:t>Están incluidos los aportes BID y los aportes de contraparte local.</w:t>
            </w:r>
          </w:p>
        </w:tc>
        <w:tc>
          <w:tcPr>
            <w:tcW w:w="3133" w:type="dxa"/>
          </w:tcPr>
          <w:p w:rsidR="001D7BBA" w:rsidRDefault="00D5637F" w:rsidP="00AF6FB5">
            <w:pPr>
              <w:pStyle w:val="ListParagraph"/>
              <w:ind w:left="0"/>
              <w:rPr>
                <w:sz w:val="20"/>
              </w:rPr>
            </w:pPr>
            <w:r>
              <w:rPr>
                <w:sz w:val="20"/>
              </w:rPr>
              <w:t>Se toman los costos de las siguientes actividades:</w:t>
            </w:r>
          </w:p>
          <w:p w:rsidR="00D5637F" w:rsidRDefault="00D5637F" w:rsidP="00C05801">
            <w:pPr>
              <w:pStyle w:val="ListParagraph"/>
              <w:numPr>
                <w:ilvl w:val="0"/>
                <w:numId w:val="32"/>
              </w:numPr>
              <w:ind w:left="176" w:hanging="176"/>
              <w:rPr>
                <w:sz w:val="20"/>
              </w:rPr>
            </w:pPr>
            <w:r>
              <w:rPr>
                <w:sz w:val="20"/>
              </w:rPr>
              <w:t>Creación de la Oficina de Gestión de Proyectos</w:t>
            </w:r>
            <w:r w:rsidR="00250757">
              <w:rPr>
                <w:sz w:val="20"/>
              </w:rPr>
              <w:t xml:space="preserve"> (componente 1)</w:t>
            </w:r>
            <w:r>
              <w:rPr>
                <w:sz w:val="20"/>
              </w:rPr>
              <w:t>;</w:t>
            </w:r>
          </w:p>
          <w:p w:rsidR="00D5637F" w:rsidRDefault="00D5637F" w:rsidP="00C05801">
            <w:pPr>
              <w:pStyle w:val="ListParagraph"/>
              <w:numPr>
                <w:ilvl w:val="0"/>
                <w:numId w:val="32"/>
              </w:numPr>
              <w:ind w:left="176" w:hanging="176"/>
              <w:rPr>
                <w:sz w:val="20"/>
              </w:rPr>
            </w:pPr>
            <w:r>
              <w:rPr>
                <w:sz w:val="20"/>
              </w:rPr>
              <w:t>Creación de la Oficina de Gestión de Procesos</w:t>
            </w:r>
            <w:r w:rsidR="00250757">
              <w:rPr>
                <w:sz w:val="20"/>
              </w:rPr>
              <w:t xml:space="preserve"> (componente 1)</w:t>
            </w:r>
            <w:r>
              <w:rPr>
                <w:sz w:val="20"/>
              </w:rPr>
              <w:t>;</w:t>
            </w:r>
          </w:p>
          <w:p w:rsidR="00D5637F" w:rsidRPr="001D7BBA" w:rsidRDefault="00D5637F" w:rsidP="00C05801">
            <w:pPr>
              <w:pStyle w:val="ListParagraph"/>
              <w:numPr>
                <w:ilvl w:val="0"/>
                <w:numId w:val="32"/>
              </w:numPr>
              <w:ind w:left="176" w:hanging="176"/>
              <w:rPr>
                <w:sz w:val="20"/>
              </w:rPr>
            </w:pPr>
            <w:r>
              <w:rPr>
                <w:sz w:val="20"/>
              </w:rPr>
              <w:t>Sistema Integrado de Gestión Jurídica</w:t>
            </w:r>
            <w:r w:rsidR="00250757">
              <w:rPr>
                <w:sz w:val="20"/>
              </w:rPr>
              <w:t xml:space="preserve"> (componente 2)</w:t>
            </w:r>
          </w:p>
        </w:tc>
      </w:tr>
      <w:tr w:rsidR="001D7BBA" w:rsidRPr="001D7BBA" w:rsidTr="001D7BBA">
        <w:tc>
          <w:tcPr>
            <w:tcW w:w="2518" w:type="dxa"/>
          </w:tcPr>
          <w:p w:rsidR="001D7BBA" w:rsidRPr="001D7BBA" w:rsidRDefault="001D7BBA" w:rsidP="00AF6FB5">
            <w:pPr>
              <w:pStyle w:val="ListParagraph"/>
              <w:ind w:left="0"/>
              <w:rPr>
                <w:b/>
                <w:sz w:val="20"/>
              </w:rPr>
            </w:pPr>
            <w:r w:rsidRPr="001D7BBA">
              <w:rPr>
                <w:b/>
                <w:sz w:val="20"/>
              </w:rPr>
              <w:t>Gastos de administración del programa</w:t>
            </w:r>
          </w:p>
        </w:tc>
        <w:tc>
          <w:tcPr>
            <w:tcW w:w="3402" w:type="dxa"/>
          </w:tcPr>
          <w:p w:rsidR="001D7BBA" w:rsidRDefault="001D7BBA" w:rsidP="00AF6FB5">
            <w:pPr>
              <w:pStyle w:val="ListParagraph"/>
              <w:ind w:left="0"/>
              <w:rPr>
                <w:sz w:val="20"/>
              </w:rPr>
            </w:pPr>
            <w:r w:rsidRPr="001D7BBA">
              <w:rPr>
                <w:sz w:val="20"/>
              </w:rPr>
              <w:t xml:space="preserve">Bajo este concepto se han incluido todos los gastos indirectos asociados a la gestión de la unidad ejecutora y demás gastos de gestión del programa. </w:t>
            </w:r>
          </w:p>
          <w:p w:rsidR="001D7BBA" w:rsidRDefault="001D7BBA" w:rsidP="00AF6FB5">
            <w:pPr>
              <w:pStyle w:val="ListParagraph"/>
              <w:ind w:left="0"/>
              <w:rPr>
                <w:sz w:val="20"/>
              </w:rPr>
            </w:pPr>
            <w:r w:rsidRPr="001D7BBA">
              <w:rPr>
                <w:sz w:val="20"/>
              </w:rPr>
              <w:t xml:space="preserve">Se incluyen los gastos previstos por la contraparte. </w:t>
            </w:r>
          </w:p>
          <w:p w:rsidR="001D7BBA" w:rsidRPr="001D7BBA" w:rsidRDefault="001D7BBA" w:rsidP="00AF6FB5">
            <w:pPr>
              <w:pStyle w:val="ListParagraph"/>
              <w:ind w:left="0"/>
              <w:rPr>
                <w:sz w:val="20"/>
              </w:rPr>
            </w:pPr>
            <w:r w:rsidRPr="001D7BBA">
              <w:rPr>
                <w:sz w:val="20"/>
              </w:rPr>
              <w:t>Estos gastos se repartan de forma equitativa en los cinco años de ejecución del programa.</w:t>
            </w:r>
          </w:p>
        </w:tc>
        <w:tc>
          <w:tcPr>
            <w:tcW w:w="3133" w:type="dxa"/>
          </w:tcPr>
          <w:p w:rsidR="00250757" w:rsidRDefault="00A43D09" w:rsidP="00AF6FB5">
            <w:pPr>
              <w:pStyle w:val="ListParagraph"/>
              <w:ind w:left="0"/>
              <w:rPr>
                <w:sz w:val="20"/>
              </w:rPr>
            </w:pPr>
            <w:r>
              <w:rPr>
                <w:sz w:val="20"/>
              </w:rPr>
              <w:t>Para la ejecución y administración de los proyectos s</w:t>
            </w:r>
            <w:r w:rsidR="00D5637F">
              <w:rPr>
                <w:sz w:val="20"/>
              </w:rPr>
              <w:t>e considera</w:t>
            </w:r>
            <w:r w:rsidR="00250757">
              <w:rPr>
                <w:sz w:val="20"/>
              </w:rPr>
              <w:t>:</w:t>
            </w:r>
          </w:p>
          <w:p w:rsidR="00250757" w:rsidRPr="00B70AE8" w:rsidRDefault="00250757" w:rsidP="00C05801">
            <w:pPr>
              <w:pStyle w:val="ListParagraph"/>
              <w:numPr>
                <w:ilvl w:val="0"/>
                <w:numId w:val="32"/>
              </w:numPr>
              <w:ind w:left="176" w:hanging="176"/>
              <w:rPr>
                <w:sz w:val="20"/>
              </w:rPr>
            </w:pPr>
            <w:r w:rsidRPr="00B70AE8">
              <w:rPr>
                <w:sz w:val="20"/>
              </w:rPr>
              <w:t>L</w:t>
            </w:r>
            <w:r w:rsidR="00D5637F" w:rsidRPr="00B70AE8">
              <w:rPr>
                <w:sz w:val="20"/>
              </w:rPr>
              <w:t>a contratación de 15 personas, con nivel t</w:t>
            </w:r>
            <w:r w:rsidRPr="00B70AE8">
              <w:rPr>
                <w:sz w:val="20"/>
              </w:rPr>
              <w:t>écnico superior</w:t>
            </w:r>
            <w:r w:rsidR="00B70AE8" w:rsidRPr="00B70AE8">
              <w:rPr>
                <w:sz w:val="20"/>
              </w:rPr>
              <w:t xml:space="preserve">. </w:t>
            </w:r>
            <w:r w:rsidRPr="00B70AE8">
              <w:rPr>
                <w:sz w:val="20"/>
              </w:rPr>
              <w:t>A</w:t>
            </w:r>
            <w:r w:rsidR="00D5637F" w:rsidRPr="00B70AE8">
              <w:rPr>
                <w:sz w:val="20"/>
              </w:rPr>
              <w:t>sumir</w:t>
            </w:r>
            <w:r w:rsidRPr="00B70AE8">
              <w:rPr>
                <w:sz w:val="20"/>
              </w:rPr>
              <w:t>án</w:t>
            </w:r>
            <w:r w:rsidR="00D5637F" w:rsidRPr="00B70AE8">
              <w:rPr>
                <w:sz w:val="20"/>
              </w:rPr>
              <w:t xml:space="preserve"> la gestión del proyecto </w:t>
            </w:r>
            <w:r w:rsidRPr="00B70AE8">
              <w:rPr>
                <w:sz w:val="20"/>
              </w:rPr>
              <w:t>estratégica y operativa de los proyectos;</w:t>
            </w:r>
          </w:p>
          <w:p w:rsidR="001D7BBA" w:rsidRDefault="00250757" w:rsidP="00C05801">
            <w:pPr>
              <w:pStyle w:val="ListParagraph"/>
              <w:numPr>
                <w:ilvl w:val="0"/>
                <w:numId w:val="32"/>
              </w:numPr>
              <w:ind w:left="176" w:hanging="176"/>
              <w:rPr>
                <w:sz w:val="20"/>
              </w:rPr>
            </w:pPr>
            <w:r>
              <w:rPr>
                <w:sz w:val="20"/>
              </w:rPr>
              <w:t xml:space="preserve">Se contemplan los gastos de sustitución </w:t>
            </w:r>
            <w:r w:rsidR="00B70AE8">
              <w:rPr>
                <w:sz w:val="20"/>
              </w:rPr>
              <w:t>del personal de planta al dedicarse a los proyectos;</w:t>
            </w:r>
          </w:p>
          <w:p w:rsidR="00250757" w:rsidRPr="001D7BBA" w:rsidRDefault="00250757" w:rsidP="00C05801">
            <w:pPr>
              <w:pStyle w:val="ListParagraph"/>
              <w:numPr>
                <w:ilvl w:val="0"/>
                <w:numId w:val="32"/>
              </w:numPr>
              <w:ind w:left="176" w:hanging="176"/>
              <w:rPr>
                <w:sz w:val="20"/>
              </w:rPr>
            </w:pPr>
            <w:r>
              <w:rPr>
                <w:sz w:val="20"/>
              </w:rPr>
              <w:t>Se incluyen los gastos operacionales.</w:t>
            </w:r>
          </w:p>
        </w:tc>
      </w:tr>
      <w:tr w:rsidR="001D7BBA" w:rsidRPr="001D7BBA" w:rsidTr="001D7BBA">
        <w:tc>
          <w:tcPr>
            <w:tcW w:w="2518" w:type="dxa"/>
          </w:tcPr>
          <w:p w:rsidR="001D7BBA" w:rsidRPr="001D7BBA" w:rsidRDefault="001D7BBA" w:rsidP="00AF6FB5">
            <w:pPr>
              <w:pStyle w:val="ListParagraph"/>
              <w:ind w:left="0"/>
              <w:rPr>
                <w:b/>
                <w:sz w:val="20"/>
              </w:rPr>
            </w:pPr>
            <w:r w:rsidRPr="001D7BBA">
              <w:rPr>
                <w:b/>
                <w:sz w:val="20"/>
              </w:rPr>
              <w:t>Gastos imprevistos</w:t>
            </w:r>
          </w:p>
        </w:tc>
        <w:tc>
          <w:tcPr>
            <w:tcW w:w="3402" w:type="dxa"/>
          </w:tcPr>
          <w:p w:rsidR="001D7BBA" w:rsidRPr="001D7BBA" w:rsidRDefault="001D7BBA" w:rsidP="00AF6FB5">
            <w:pPr>
              <w:pStyle w:val="ListParagraph"/>
              <w:ind w:left="0"/>
              <w:rPr>
                <w:sz w:val="20"/>
              </w:rPr>
            </w:pPr>
            <w:r w:rsidRPr="001D7BBA">
              <w:rPr>
                <w:sz w:val="20"/>
              </w:rPr>
              <w:t xml:space="preserve">Se consideran </w:t>
            </w:r>
            <w:r w:rsidR="00250757">
              <w:rPr>
                <w:sz w:val="20"/>
              </w:rPr>
              <w:t>los rubros de gasto incluidos</w:t>
            </w:r>
            <w:r w:rsidRPr="001D7BBA">
              <w:rPr>
                <w:sz w:val="20"/>
              </w:rPr>
              <w:t xml:space="preserve"> en el programa BID.</w:t>
            </w:r>
          </w:p>
          <w:p w:rsidR="001D7BBA" w:rsidRPr="001D7BBA" w:rsidRDefault="001D7BBA" w:rsidP="00AF6FB5">
            <w:pPr>
              <w:pStyle w:val="ListParagraph"/>
              <w:ind w:left="0"/>
              <w:rPr>
                <w:sz w:val="20"/>
              </w:rPr>
            </w:pPr>
            <w:r w:rsidRPr="001D7BBA">
              <w:rPr>
                <w:sz w:val="20"/>
              </w:rPr>
              <w:t xml:space="preserve">Se </w:t>
            </w:r>
            <w:proofErr w:type="spellStart"/>
            <w:r w:rsidRPr="001D7BBA">
              <w:rPr>
                <w:sz w:val="20"/>
              </w:rPr>
              <w:t>periodifica</w:t>
            </w:r>
            <w:proofErr w:type="spellEnd"/>
            <w:r w:rsidRPr="001D7BBA">
              <w:rPr>
                <w:sz w:val="20"/>
              </w:rPr>
              <w:t xml:space="preserve"> de forma igual a lo largo de la duración del programa</w:t>
            </w:r>
          </w:p>
        </w:tc>
        <w:tc>
          <w:tcPr>
            <w:tcW w:w="3133" w:type="dxa"/>
          </w:tcPr>
          <w:p w:rsidR="001D7BBA" w:rsidRPr="001D7BBA" w:rsidRDefault="00250757" w:rsidP="00AF6FB5">
            <w:pPr>
              <w:pStyle w:val="ListParagraph"/>
              <w:ind w:left="0"/>
              <w:rPr>
                <w:sz w:val="20"/>
              </w:rPr>
            </w:pPr>
            <w:r>
              <w:rPr>
                <w:sz w:val="20"/>
              </w:rPr>
              <w:t>Se aplica el 7% sobre el total de los gastos propios.</w:t>
            </w:r>
            <w:r w:rsidR="00B70AE8">
              <w:rPr>
                <w:sz w:val="20"/>
              </w:rPr>
              <w:t xml:space="preserve"> </w:t>
            </w:r>
          </w:p>
        </w:tc>
      </w:tr>
      <w:tr w:rsidR="00250757" w:rsidRPr="001D7BBA" w:rsidTr="001D7BBA">
        <w:tc>
          <w:tcPr>
            <w:tcW w:w="2518" w:type="dxa"/>
          </w:tcPr>
          <w:p w:rsidR="00250757" w:rsidRPr="001D7BBA" w:rsidRDefault="00250757" w:rsidP="00AF6FB5">
            <w:pPr>
              <w:pStyle w:val="ListParagraph"/>
              <w:ind w:left="0"/>
              <w:rPr>
                <w:b/>
                <w:sz w:val="20"/>
              </w:rPr>
            </w:pPr>
            <w:r w:rsidRPr="001D7BBA">
              <w:rPr>
                <w:b/>
                <w:sz w:val="20"/>
              </w:rPr>
              <w:t>Gastos de reposición</w:t>
            </w:r>
          </w:p>
        </w:tc>
        <w:tc>
          <w:tcPr>
            <w:tcW w:w="3402" w:type="dxa"/>
          </w:tcPr>
          <w:p w:rsidR="00250757" w:rsidRDefault="00250757" w:rsidP="00AF6FB5">
            <w:pPr>
              <w:pStyle w:val="ListParagraph"/>
              <w:ind w:left="0"/>
              <w:rPr>
                <w:sz w:val="20"/>
              </w:rPr>
            </w:pPr>
            <w:r>
              <w:rPr>
                <w:sz w:val="20"/>
              </w:rPr>
              <w:t>S</w:t>
            </w:r>
            <w:r w:rsidRPr="001D7BBA">
              <w:rPr>
                <w:sz w:val="20"/>
              </w:rPr>
              <w:t xml:space="preserve">e incluyen los costos vinculados a la depreciación de los activos tecnológicos que forman parte del programa BID. </w:t>
            </w:r>
          </w:p>
          <w:p w:rsidR="00250757" w:rsidRDefault="00250757" w:rsidP="00AF6FB5">
            <w:pPr>
              <w:pStyle w:val="ListParagraph"/>
              <w:ind w:left="0"/>
              <w:rPr>
                <w:sz w:val="20"/>
              </w:rPr>
            </w:pPr>
            <w:r w:rsidRPr="001D7BBA">
              <w:rPr>
                <w:sz w:val="20"/>
              </w:rPr>
              <w:t xml:space="preserve">Se ha aplicada una tasa de depreciación del 33%, de tal manera que cada tres años se renuevan los equipos, sistemas </w:t>
            </w:r>
            <w:r w:rsidRPr="001D7BBA">
              <w:rPr>
                <w:sz w:val="20"/>
              </w:rPr>
              <w:lastRenderedPageBreak/>
              <w:t xml:space="preserve">y licencias. </w:t>
            </w:r>
          </w:p>
          <w:p w:rsidR="00250757" w:rsidRPr="001D7BBA" w:rsidRDefault="00250757" w:rsidP="00AF6FB5">
            <w:pPr>
              <w:pStyle w:val="ListParagraph"/>
              <w:ind w:left="0"/>
              <w:rPr>
                <w:sz w:val="20"/>
              </w:rPr>
            </w:pPr>
            <w:r w:rsidRPr="001D7BBA">
              <w:rPr>
                <w:sz w:val="20"/>
              </w:rPr>
              <w:t>Esta estimación sobrevalora los costos, pues aunque las prácticas contables habituales en materia de amortización de activos tecnológicos aconsejan aplicar la mencionada tasa, en la realidad de la</w:t>
            </w:r>
            <w:r w:rsidR="00E717AB">
              <w:rPr>
                <w:sz w:val="20"/>
              </w:rPr>
              <w:t>s</w:t>
            </w:r>
            <w:r w:rsidRPr="001D7BBA">
              <w:rPr>
                <w:sz w:val="20"/>
              </w:rPr>
              <w:t xml:space="preserve"> administraci</w:t>
            </w:r>
            <w:r w:rsidR="00E717AB">
              <w:rPr>
                <w:sz w:val="20"/>
              </w:rPr>
              <w:t>ones</w:t>
            </w:r>
            <w:r w:rsidRPr="001D7BBA">
              <w:rPr>
                <w:sz w:val="20"/>
              </w:rPr>
              <w:t xml:space="preserve"> pública</w:t>
            </w:r>
            <w:r w:rsidR="00E717AB">
              <w:rPr>
                <w:sz w:val="20"/>
              </w:rPr>
              <w:t>s</w:t>
            </w:r>
            <w:r w:rsidRPr="001D7BBA">
              <w:rPr>
                <w:sz w:val="20"/>
              </w:rPr>
              <w:t xml:space="preserve"> la tasa que finalmente se aplica es sensiblemente menor (cinco años podría ser un criterio alternativo).</w:t>
            </w:r>
          </w:p>
        </w:tc>
        <w:tc>
          <w:tcPr>
            <w:tcW w:w="3133" w:type="dxa"/>
          </w:tcPr>
          <w:p w:rsidR="00250757" w:rsidRDefault="00250757" w:rsidP="00E717AB">
            <w:pPr>
              <w:pStyle w:val="ListParagraph"/>
              <w:ind w:left="0"/>
              <w:rPr>
                <w:sz w:val="20"/>
              </w:rPr>
            </w:pPr>
            <w:r>
              <w:rPr>
                <w:sz w:val="20"/>
              </w:rPr>
              <w:lastRenderedPageBreak/>
              <w:t>S</w:t>
            </w:r>
            <w:r w:rsidRPr="001D7BBA">
              <w:rPr>
                <w:sz w:val="20"/>
              </w:rPr>
              <w:t xml:space="preserve">e incluyen los costos vinculados a la depreciación de los activos tecnológicos </w:t>
            </w:r>
            <w:r>
              <w:rPr>
                <w:sz w:val="20"/>
              </w:rPr>
              <w:t xml:space="preserve">vinculados </w:t>
            </w:r>
            <w:r w:rsidR="00A43D09">
              <w:rPr>
                <w:sz w:val="20"/>
              </w:rPr>
              <w:t xml:space="preserve">de forma exclusiva </w:t>
            </w:r>
            <w:r>
              <w:rPr>
                <w:sz w:val="20"/>
              </w:rPr>
              <w:t>al Sistema Integrado de Gestión Jurídica</w:t>
            </w:r>
            <w:r w:rsidR="00A43D09">
              <w:rPr>
                <w:sz w:val="20"/>
              </w:rPr>
              <w:t xml:space="preserve"> (SIGA)</w:t>
            </w:r>
            <w:r w:rsidRPr="001D7BBA">
              <w:rPr>
                <w:sz w:val="20"/>
              </w:rPr>
              <w:t xml:space="preserve">. </w:t>
            </w:r>
          </w:p>
          <w:p w:rsidR="00250757" w:rsidRDefault="00250757" w:rsidP="00E717AB">
            <w:pPr>
              <w:pStyle w:val="ListParagraph"/>
              <w:ind w:left="0"/>
              <w:rPr>
                <w:sz w:val="20"/>
              </w:rPr>
            </w:pPr>
            <w:r w:rsidRPr="001D7BBA">
              <w:rPr>
                <w:sz w:val="20"/>
              </w:rPr>
              <w:t xml:space="preserve">Se ha aplicada una tasa de depreciación del 33%, de tal manera </w:t>
            </w:r>
            <w:r w:rsidRPr="001D7BBA">
              <w:rPr>
                <w:sz w:val="20"/>
              </w:rPr>
              <w:lastRenderedPageBreak/>
              <w:t xml:space="preserve">que cada tres años se renuevan los equipos, sistemas y licencias. </w:t>
            </w:r>
          </w:p>
          <w:p w:rsidR="00250757" w:rsidRPr="001D7BBA" w:rsidRDefault="00250757" w:rsidP="00E717AB">
            <w:pPr>
              <w:pStyle w:val="ListParagraph"/>
              <w:ind w:left="0"/>
              <w:rPr>
                <w:sz w:val="20"/>
              </w:rPr>
            </w:pPr>
            <w:r w:rsidRPr="001D7BBA">
              <w:rPr>
                <w:sz w:val="20"/>
              </w:rPr>
              <w:t>Esta estimación sobrevalora los costos, pues aunque las prácticas contables habituales en materia de amortización de activos tecnológicos aconsejan aplicar la mencionada tasa, en la realidad de la</w:t>
            </w:r>
            <w:r w:rsidR="00E717AB">
              <w:rPr>
                <w:sz w:val="20"/>
              </w:rPr>
              <w:t>s</w:t>
            </w:r>
            <w:r w:rsidRPr="001D7BBA">
              <w:rPr>
                <w:sz w:val="20"/>
              </w:rPr>
              <w:t xml:space="preserve"> administraci</w:t>
            </w:r>
            <w:r w:rsidR="00E717AB">
              <w:rPr>
                <w:sz w:val="20"/>
              </w:rPr>
              <w:t>ones</w:t>
            </w:r>
            <w:r w:rsidRPr="001D7BBA">
              <w:rPr>
                <w:sz w:val="20"/>
              </w:rPr>
              <w:t xml:space="preserve"> pública</w:t>
            </w:r>
            <w:r w:rsidR="00E717AB">
              <w:rPr>
                <w:sz w:val="20"/>
              </w:rPr>
              <w:t>s</w:t>
            </w:r>
            <w:r w:rsidRPr="001D7BBA">
              <w:rPr>
                <w:sz w:val="20"/>
              </w:rPr>
              <w:t xml:space="preserve"> la tasa que finalmente se aplica es sensiblemente menor (cinco años podría ser un criterio alternativo).</w:t>
            </w:r>
          </w:p>
        </w:tc>
      </w:tr>
    </w:tbl>
    <w:p w:rsidR="001D7BBA" w:rsidRDefault="001D7BBA" w:rsidP="00AF6FB5">
      <w:pPr>
        <w:pStyle w:val="ListParagraph"/>
        <w:ind w:left="567"/>
      </w:pPr>
    </w:p>
    <w:p w:rsidR="00B92C35" w:rsidRDefault="00B92C35" w:rsidP="007F442B"/>
    <w:p w:rsidR="006A686E" w:rsidRDefault="000B55B4" w:rsidP="00250757">
      <w:pPr>
        <w:pStyle w:val="Heading2"/>
      </w:pPr>
      <w:bookmarkStart w:id="46" w:name="_Toc303885519"/>
      <w:r>
        <w:t>Costos monetizados de la alternativa</w:t>
      </w:r>
      <w:r w:rsidR="00250757">
        <w:t xml:space="preserve"> BID</w:t>
      </w:r>
      <w:bookmarkEnd w:id="46"/>
    </w:p>
    <w:p w:rsidR="006A686E" w:rsidRDefault="00B70AE8" w:rsidP="00B70AE8">
      <w:pPr>
        <w:pStyle w:val="ListParagraph"/>
        <w:numPr>
          <w:ilvl w:val="0"/>
          <w:numId w:val="14"/>
        </w:numPr>
        <w:ind w:left="567" w:hanging="567"/>
      </w:pPr>
      <w:r>
        <w:t xml:space="preserve">En el cuadro 7 pueden observarse los flujos previstos, no descontados, de los costos bajo </w:t>
      </w:r>
      <w:r w:rsidR="000B55B4">
        <w:t xml:space="preserve">la alternativa </w:t>
      </w:r>
      <w:r>
        <w:t xml:space="preserve">BID. Hasta el año 2016 la práctica totalidad de los gastos cabe imputar a los gastos de ejecución de los distintos proyectos amparados en el </w:t>
      </w:r>
      <w:r w:rsidR="000B55B4">
        <w:t xml:space="preserve">programa de préstamo </w:t>
      </w:r>
      <w:r>
        <w:t>BID. A partir del año 2016, los gastos son de reposición</w:t>
      </w:r>
      <w:r w:rsidR="000B55B4">
        <w:t xml:space="preserve"> de activos fijos</w:t>
      </w:r>
      <w:r>
        <w:t xml:space="preserve">, </w:t>
      </w:r>
      <w:r w:rsidR="000B55B4">
        <w:t xml:space="preserve">básicamente equipos informáticos, </w:t>
      </w:r>
      <w:r>
        <w:t>asumiendo por tanto que la administración de los nuevos equipamientos queda absorbida por la estructura administrativa regular de la AGU.</w:t>
      </w:r>
    </w:p>
    <w:p w:rsidR="00E60866" w:rsidRDefault="00E60866"/>
    <w:p w:rsidR="00517832" w:rsidRPr="00D177C1" w:rsidRDefault="00517832" w:rsidP="00517832">
      <w:pPr>
        <w:pStyle w:val="ListParagraph"/>
        <w:spacing w:after="60"/>
        <w:ind w:left="360"/>
        <w:jc w:val="center"/>
        <w:rPr>
          <w:b/>
          <w:sz w:val="20"/>
        </w:rPr>
      </w:pPr>
      <w:r>
        <w:rPr>
          <w:b/>
          <w:sz w:val="20"/>
        </w:rPr>
        <w:t>Cuadro 7</w:t>
      </w:r>
      <w:r w:rsidRPr="00D177C1">
        <w:rPr>
          <w:b/>
          <w:sz w:val="20"/>
        </w:rPr>
        <w:t xml:space="preserve">. </w:t>
      </w:r>
      <w:r>
        <w:rPr>
          <w:b/>
          <w:sz w:val="20"/>
        </w:rPr>
        <w:t xml:space="preserve">Costos previstos </w:t>
      </w:r>
      <w:r w:rsidR="000B55B4">
        <w:rPr>
          <w:b/>
          <w:sz w:val="20"/>
        </w:rPr>
        <w:t>en la alternativa</w:t>
      </w:r>
      <w:r>
        <w:rPr>
          <w:b/>
          <w:sz w:val="20"/>
        </w:rPr>
        <w:t xml:space="preserve"> BID</w:t>
      </w:r>
    </w:p>
    <w:tbl>
      <w:tblPr>
        <w:tblW w:w="8931" w:type="dxa"/>
        <w:tblInd w:w="637" w:type="dxa"/>
        <w:tblCellMar>
          <w:left w:w="70" w:type="dxa"/>
          <w:right w:w="70" w:type="dxa"/>
        </w:tblCellMar>
        <w:tblLook w:val="04A0" w:firstRow="1" w:lastRow="0" w:firstColumn="1" w:lastColumn="0" w:noHBand="0" w:noVBand="1"/>
      </w:tblPr>
      <w:tblGrid>
        <w:gridCol w:w="653"/>
        <w:gridCol w:w="1615"/>
        <w:gridCol w:w="2127"/>
        <w:gridCol w:w="1701"/>
        <w:gridCol w:w="1559"/>
        <w:gridCol w:w="1276"/>
      </w:tblGrid>
      <w:tr w:rsidR="00E717AB" w:rsidRPr="00E717AB" w:rsidTr="00934C93">
        <w:trPr>
          <w:trHeight w:val="225"/>
        </w:trPr>
        <w:tc>
          <w:tcPr>
            <w:tcW w:w="653" w:type="dxa"/>
            <w:tcBorders>
              <w:top w:val="single" w:sz="4" w:space="0" w:color="auto"/>
              <w:left w:val="nil"/>
              <w:bottom w:val="single" w:sz="4" w:space="0" w:color="auto"/>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615" w:type="dxa"/>
            <w:tcBorders>
              <w:top w:val="single" w:sz="4" w:space="0" w:color="auto"/>
              <w:left w:val="nil"/>
              <w:bottom w:val="single" w:sz="4" w:space="0" w:color="auto"/>
              <w:right w:val="nil"/>
            </w:tcBorders>
            <w:shd w:val="clear" w:color="auto" w:fill="auto"/>
            <w:noWrap/>
            <w:vAlign w:val="bottom"/>
            <w:hideMark/>
          </w:tcPr>
          <w:p w:rsidR="00E717AB" w:rsidRPr="00E717AB" w:rsidRDefault="00E717AB" w:rsidP="00E717AB">
            <w:pPr>
              <w:jc w:val="center"/>
              <w:rPr>
                <w:b/>
                <w:bCs/>
                <w:color w:val="000000"/>
                <w:sz w:val="20"/>
                <w:szCs w:val="20"/>
                <w:lang w:val="es-ES_tradnl" w:eastAsia="es-ES_tradnl"/>
              </w:rPr>
            </w:pPr>
            <w:r w:rsidRPr="00E717AB">
              <w:rPr>
                <w:b/>
                <w:bCs/>
                <w:color w:val="000000"/>
                <w:sz w:val="20"/>
                <w:szCs w:val="20"/>
                <w:lang w:val="es-ES_tradnl" w:eastAsia="es-ES_tradnl"/>
              </w:rPr>
              <w:t>Componentes</w:t>
            </w:r>
          </w:p>
        </w:tc>
        <w:tc>
          <w:tcPr>
            <w:tcW w:w="2127" w:type="dxa"/>
            <w:tcBorders>
              <w:top w:val="single" w:sz="4" w:space="0" w:color="auto"/>
              <w:left w:val="nil"/>
              <w:bottom w:val="single" w:sz="4" w:space="0" w:color="auto"/>
              <w:right w:val="nil"/>
            </w:tcBorders>
            <w:shd w:val="clear" w:color="auto" w:fill="auto"/>
            <w:noWrap/>
            <w:vAlign w:val="bottom"/>
            <w:hideMark/>
          </w:tcPr>
          <w:p w:rsidR="00E717AB" w:rsidRPr="00E717AB" w:rsidRDefault="00E717AB" w:rsidP="00E717AB">
            <w:pPr>
              <w:jc w:val="center"/>
              <w:rPr>
                <w:b/>
                <w:bCs/>
                <w:color w:val="000000"/>
                <w:sz w:val="20"/>
                <w:szCs w:val="20"/>
                <w:lang w:val="es-ES_tradnl" w:eastAsia="es-ES_tradnl"/>
              </w:rPr>
            </w:pPr>
            <w:r w:rsidRPr="00E717AB">
              <w:rPr>
                <w:b/>
                <w:bCs/>
                <w:color w:val="000000"/>
                <w:sz w:val="20"/>
                <w:szCs w:val="20"/>
                <w:lang w:val="es-ES_tradnl" w:eastAsia="es-ES_tradnl"/>
              </w:rPr>
              <w:t>G. de Administr</w:t>
            </w:r>
            <w:r w:rsidR="00E809B5">
              <w:rPr>
                <w:b/>
                <w:bCs/>
                <w:color w:val="000000"/>
                <w:sz w:val="20"/>
                <w:szCs w:val="20"/>
                <w:lang w:val="es-ES_tradnl" w:eastAsia="es-ES_tradnl"/>
              </w:rPr>
              <w:t>ación</w:t>
            </w:r>
          </w:p>
        </w:tc>
        <w:tc>
          <w:tcPr>
            <w:tcW w:w="1701" w:type="dxa"/>
            <w:tcBorders>
              <w:top w:val="single" w:sz="4" w:space="0" w:color="auto"/>
              <w:left w:val="nil"/>
              <w:bottom w:val="single" w:sz="4" w:space="0" w:color="auto"/>
              <w:right w:val="nil"/>
            </w:tcBorders>
            <w:shd w:val="clear" w:color="auto" w:fill="auto"/>
            <w:noWrap/>
            <w:vAlign w:val="bottom"/>
            <w:hideMark/>
          </w:tcPr>
          <w:p w:rsidR="00E717AB" w:rsidRPr="00E717AB" w:rsidRDefault="00E717AB" w:rsidP="00E717AB">
            <w:pPr>
              <w:jc w:val="center"/>
              <w:rPr>
                <w:b/>
                <w:bCs/>
                <w:color w:val="000000"/>
                <w:sz w:val="20"/>
                <w:szCs w:val="20"/>
                <w:lang w:val="es-ES_tradnl" w:eastAsia="es-ES_tradnl"/>
              </w:rPr>
            </w:pPr>
            <w:r w:rsidRPr="00E717AB">
              <w:rPr>
                <w:b/>
                <w:bCs/>
                <w:color w:val="000000"/>
                <w:sz w:val="20"/>
                <w:szCs w:val="20"/>
                <w:lang w:val="es-ES_tradnl" w:eastAsia="es-ES_tradnl"/>
              </w:rPr>
              <w:t>Imprevistos</w:t>
            </w:r>
          </w:p>
        </w:tc>
        <w:tc>
          <w:tcPr>
            <w:tcW w:w="1559" w:type="dxa"/>
            <w:tcBorders>
              <w:top w:val="single" w:sz="4" w:space="0" w:color="auto"/>
              <w:left w:val="nil"/>
              <w:bottom w:val="single" w:sz="4" w:space="0" w:color="auto"/>
              <w:right w:val="nil"/>
            </w:tcBorders>
            <w:shd w:val="clear" w:color="auto" w:fill="auto"/>
            <w:noWrap/>
            <w:vAlign w:val="bottom"/>
            <w:hideMark/>
          </w:tcPr>
          <w:p w:rsidR="00E717AB" w:rsidRPr="00E717AB" w:rsidRDefault="00E717AB" w:rsidP="00E717AB">
            <w:pPr>
              <w:jc w:val="center"/>
              <w:rPr>
                <w:b/>
                <w:bCs/>
                <w:color w:val="000000"/>
                <w:sz w:val="20"/>
                <w:szCs w:val="20"/>
                <w:lang w:val="es-ES_tradnl" w:eastAsia="es-ES_tradnl"/>
              </w:rPr>
            </w:pPr>
            <w:r w:rsidRPr="00E717AB">
              <w:rPr>
                <w:b/>
                <w:bCs/>
                <w:color w:val="000000"/>
                <w:sz w:val="20"/>
                <w:szCs w:val="20"/>
                <w:lang w:val="es-ES_tradnl" w:eastAsia="es-ES_tradnl"/>
              </w:rPr>
              <w:t>Reposición</w:t>
            </w:r>
          </w:p>
        </w:tc>
        <w:tc>
          <w:tcPr>
            <w:tcW w:w="1276" w:type="dxa"/>
            <w:tcBorders>
              <w:top w:val="single" w:sz="4" w:space="0" w:color="auto"/>
              <w:left w:val="nil"/>
              <w:bottom w:val="single" w:sz="4" w:space="0" w:color="auto"/>
              <w:right w:val="nil"/>
            </w:tcBorders>
            <w:shd w:val="clear" w:color="auto" w:fill="auto"/>
            <w:noWrap/>
            <w:vAlign w:val="bottom"/>
            <w:hideMark/>
          </w:tcPr>
          <w:p w:rsidR="00E717AB" w:rsidRPr="00E717AB" w:rsidRDefault="00E717AB" w:rsidP="00E717AB">
            <w:pPr>
              <w:jc w:val="center"/>
              <w:rPr>
                <w:b/>
                <w:bCs/>
                <w:color w:val="000000"/>
                <w:sz w:val="20"/>
                <w:szCs w:val="20"/>
                <w:lang w:val="es-ES_tradnl" w:eastAsia="es-ES_tradnl"/>
              </w:rPr>
            </w:pPr>
            <w:r w:rsidRPr="00E717AB">
              <w:rPr>
                <w:b/>
                <w:bCs/>
                <w:color w:val="000000"/>
                <w:sz w:val="20"/>
                <w:szCs w:val="20"/>
                <w:lang w:val="es-ES_tradnl" w:eastAsia="es-ES_tradnl"/>
              </w:rPr>
              <w:t>Total</w:t>
            </w:r>
          </w:p>
        </w:tc>
      </w:tr>
      <w:tr w:rsidR="00E717AB" w:rsidRPr="00E717AB" w:rsidTr="00934C93">
        <w:trPr>
          <w:trHeight w:val="225"/>
        </w:trPr>
        <w:tc>
          <w:tcPr>
            <w:tcW w:w="653"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2012</w:t>
            </w:r>
          </w:p>
        </w:tc>
        <w:tc>
          <w:tcPr>
            <w:tcW w:w="1615"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15.490.818</w:t>
            </w:r>
          </w:p>
        </w:tc>
        <w:tc>
          <w:tcPr>
            <w:tcW w:w="2127"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401.322</w:t>
            </w:r>
          </w:p>
        </w:tc>
        <w:tc>
          <w:tcPr>
            <w:tcW w:w="1701"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147.836</w:t>
            </w:r>
          </w:p>
        </w:tc>
        <w:tc>
          <w:tcPr>
            <w:tcW w:w="1559"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276"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16.039.977</w:t>
            </w:r>
          </w:p>
        </w:tc>
      </w:tr>
      <w:tr w:rsidR="00E717AB" w:rsidRPr="00E717AB" w:rsidTr="00E717AB">
        <w:trPr>
          <w:trHeight w:val="225"/>
        </w:trPr>
        <w:tc>
          <w:tcPr>
            <w:tcW w:w="653"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2013</w:t>
            </w:r>
          </w:p>
        </w:tc>
        <w:tc>
          <w:tcPr>
            <w:tcW w:w="1615"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16.767.637</w:t>
            </w:r>
          </w:p>
        </w:tc>
        <w:tc>
          <w:tcPr>
            <w:tcW w:w="2127"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401.322</w:t>
            </w:r>
          </w:p>
        </w:tc>
        <w:tc>
          <w:tcPr>
            <w:tcW w:w="1701"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147.836</w:t>
            </w:r>
          </w:p>
        </w:tc>
        <w:tc>
          <w:tcPr>
            <w:tcW w:w="1559" w:type="dxa"/>
            <w:tcBorders>
              <w:top w:val="nil"/>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276"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17.316.795</w:t>
            </w:r>
          </w:p>
        </w:tc>
      </w:tr>
      <w:tr w:rsidR="00E717AB" w:rsidRPr="00E717AB" w:rsidTr="00E717AB">
        <w:trPr>
          <w:trHeight w:val="225"/>
        </w:trPr>
        <w:tc>
          <w:tcPr>
            <w:tcW w:w="653"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2014</w:t>
            </w:r>
          </w:p>
        </w:tc>
        <w:tc>
          <w:tcPr>
            <w:tcW w:w="1615"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17.554.950</w:t>
            </w:r>
          </w:p>
        </w:tc>
        <w:tc>
          <w:tcPr>
            <w:tcW w:w="2127"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458.922</w:t>
            </w:r>
          </w:p>
        </w:tc>
        <w:tc>
          <w:tcPr>
            <w:tcW w:w="1701"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147.836</w:t>
            </w:r>
          </w:p>
        </w:tc>
        <w:tc>
          <w:tcPr>
            <w:tcW w:w="1559" w:type="dxa"/>
            <w:tcBorders>
              <w:top w:val="nil"/>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276"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18.161.708</w:t>
            </w:r>
          </w:p>
        </w:tc>
      </w:tr>
      <w:tr w:rsidR="00E717AB" w:rsidRPr="00E717AB" w:rsidTr="00934C93">
        <w:trPr>
          <w:trHeight w:val="225"/>
        </w:trPr>
        <w:tc>
          <w:tcPr>
            <w:tcW w:w="653"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2015</w:t>
            </w:r>
          </w:p>
        </w:tc>
        <w:tc>
          <w:tcPr>
            <w:tcW w:w="1615"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16.374.387</w:t>
            </w:r>
          </w:p>
        </w:tc>
        <w:tc>
          <w:tcPr>
            <w:tcW w:w="2127"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458.922</w:t>
            </w:r>
          </w:p>
        </w:tc>
        <w:tc>
          <w:tcPr>
            <w:tcW w:w="1701"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147.836</w:t>
            </w:r>
          </w:p>
        </w:tc>
        <w:tc>
          <w:tcPr>
            <w:tcW w:w="1559"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2.023.782</w:t>
            </w:r>
          </w:p>
        </w:tc>
        <w:tc>
          <w:tcPr>
            <w:tcW w:w="1276"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19.004.927</w:t>
            </w:r>
          </w:p>
        </w:tc>
      </w:tr>
      <w:tr w:rsidR="00E717AB" w:rsidRPr="00E717AB" w:rsidTr="00934C93">
        <w:trPr>
          <w:trHeight w:val="225"/>
        </w:trPr>
        <w:tc>
          <w:tcPr>
            <w:tcW w:w="653"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2016</w:t>
            </w:r>
          </w:p>
        </w:tc>
        <w:tc>
          <w:tcPr>
            <w:tcW w:w="1615"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8.623.408</w:t>
            </w:r>
          </w:p>
        </w:tc>
        <w:tc>
          <w:tcPr>
            <w:tcW w:w="2127"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129.131</w:t>
            </w:r>
          </w:p>
        </w:tc>
        <w:tc>
          <w:tcPr>
            <w:tcW w:w="1701"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147.836</w:t>
            </w:r>
          </w:p>
        </w:tc>
        <w:tc>
          <w:tcPr>
            <w:tcW w:w="1559"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4.722.158</w:t>
            </w:r>
          </w:p>
        </w:tc>
        <w:tc>
          <w:tcPr>
            <w:tcW w:w="1276"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13.622.533</w:t>
            </w:r>
          </w:p>
        </w:tc>
      </w:tr>
      <w:tr w:rsidR="00E717AB" w:rsidRPr="00E717AB" w:rsidTr="00934C93">
        <w:trPr>
          <w:trHeight w:val="225"/>
        </w:trPr>
        <w:tc>
          <w:tcPr>
            <w:tcW w:w="653"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2017</w:t>
            </w:r>
          </w:p>
        </w:tc>
        <w:tc>
          <w:tcPr>
            <w:tcW w:w="1615"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2127"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701"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559"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7.420.534</w:t>
            </w:r>
          </w:p>
        </w:tc>
        <w:tc>
          <w:tcPr>
            <w:tcW w:w="1276" w:type="dxa"/>
            <w:tcBorders>
              <w:top w:val="single" w:sz="4" w:space="0" w:color="auto"/>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7.420.534</w:t>
            </w:r>
          </w:p>
        </w:tc>
      </w:tr>
      <w:tr w:rsidR="00E717AB" w:rsidRPr="00E717AB" w:rsidTr="00E717AB">
        <w:trPr>
          <w:trHeight w:val="225"/>
        </w:trPr>
        <w:tc>
          <w:tcPr>
            <w:tcW w:w="653"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2018</w:t>
            </w:r>
          </w:p>
        </w:tc>
        <w:tc>
          <w:tcPr>
            <w:tcW w:w="1615" w:type="dxa"/>
            <w:tcBorders>
              <w:top w:val="nil"/>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2127" w:type="dxa"/>
            <w:tcBorders>
              <w:top w:val="nil"/>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701" w:type="dxa"/>
            <w:tcBorders>
              <w:top w:val="nil"/>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559"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10.118.910</w:t>
            </w:r>
          </w:p>
        </w:tc>
        <w:tc>
          <w:tcPr>
            <w:tcW w:w="1276"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10.118.910</w:t>
            </w:r>
          </w:p>
        </w:tc>
      </w:tr>
      <w:tr w:rsidR="00E717AB" w:rsidRPr="00E717AB" w:rsidTr="00E717AB">
        <w:trPr>
          <w:trHeight w:val="225"/>
        </w:trPr>
        <w:tc>
          <w:tcPr>
            <w:tcW w:w="653"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2019</w:t>
            </w:r>
          </w:p>
        </w:tc>
        <w:tc>
          <w:tcPr>
            <w:tcW w:w="1615" w:type="dxa"/>
            <w:tcBorders>
              <w:top w:val="nil"/>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2127" w:type="dxa"/>
            <w:tcBorders>
              <w:top w:val="nil"/>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701" w:type="dxa"/>
            <w:tcBorders>
              <w:top w:val="nil"/>
              <w:left w:val="nil"/>
              <w:bottom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559"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10.118.910</w:t>
            </w:r>
          </w:p>
        </w:tc>
        <w:tc>
          <w:tcPr>
            <w:tcW w:w="1276" w:type="dxa"/>
            <w:tcBorders>
              <w:top w:val="nil"/>
              <w:left w:val="nil"/>
              <w:bottom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10.118.910</w:t>
            </w:r>
          </w:p>
        </w:tc>
      </w:tr>
      <w:tr w:rsidR="00E717AB" w:rsidRPr="00E717AB" w:rsidTr="00934C93">
        <w:trPr>
          <w:trHeight w:val="225"/>
        </w:trPr>
        <w:tc>
          <w:tcPr>
            <w:tcW w:w="653"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2020</w:t>
            </w:r>
          </w:p>
        </w:tc>
        <w:tc>
          <w:tcPr>
            <w:tcW w:w="1615" w:type="dxa"/>
            <w:tcBorders>
              <w:top w:val="nil"/>
              <w:left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2127" w:type="dxa"/>
            <w:tcBorders>
              <w:top w:val="nil"/>
              <w:left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701" w:type="dxa"/>
            <w:tcBorders>
              <w:top w:val="nil"/>
              <w:left w:val="nil"/>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559"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10.118.910</w:t>
            </w:r>
          </w:p>
        </w:tc>
        <w:tc>
          <w:tcPr>
            <w:tcW w:w="1276" w:type="dxa"/>
            <w:tcBorders>
              <w:top w:val="nil"/>
              <w:left w:val="nil"/>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10.118.910</w:t>
            </w:r>
          </w:p>
        </w:tc>
      </w:tr>
      <w:tr w:rsidR="00E717AB" w:rsidRPr="00E717AB" w:rsidTr="00934C93">
        <w:trPr>
          <w:trHeight w:val="225"/>
        </w:trPr>
        <w:tc>
          <w:tcPr>
            <w:tcW w:w="653"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2021</w:t>
            </w:r>
          </w:p>
        </w:tc>
        <w:tc>
          <w:tcPr>
            <w:tcW w:w="1615"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2127"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701"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left"/>
              <w:rPr>
                <w:color w:val="000000"/>
                <w:sz w:val="20"/>
                <w:szCs w:val="20"/>
                <w:lang w:val="es-ES_tradnl" w:eastAsia="es-ES_tradnl"/>
              </w:rPr>
            </w:pPr>
          </w:p>
        </w:tc>
        <w:tc>
          <w:tcPr>
            <w:tcW w:w="1559"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10.118.910</w:t>
            </w:r>
          </w:p>
        </w:tc>
        <w:tc>
          <w:tcPr>
            <w:tcW w:w="1276" w:type="dxa"/>
            <w:tcBorders>
              <w:top w:val="nil"/>
              <w:left w:val="nil"/>
              <w:bottom w:val="single" w:sz="4" w:space="0" w:color="auto"/>
              <w:right w:val="nil"/>
            </w:tcBorders>
            <w:shd w:val="clear" w:color="auto" w:fill="auto"/>
            <w:noWrap/>
            <w:vAlign w:val="bottom"/>
            <w:hideMark/>
          </w:tcPr>
          <w:p w:rsidR="00E717AB" w:rsidRPr="00E717AB" w:rsidRDefault="00E717AB" w:rsidP="00E717AB">
            <w:pPr>
              <w:jc w:val="right"/>
              <w:rPr>
                <w:color w:val="000000"/>
                <w:sz w:val="20"/>
                <w:szCs w:val="20"/>
                <w:lang w:val="es-ES_tradnl" w:eastAsia="es-ES_tradnl"/>
              </w:rPr>
            </w:pPr>
            <w:r w:rsidRPr="00E717AB">
              <w:rPr>
                <w:color w:val="000000"/>
                <w:sz w:val="20"/>
                <w:szCs w:val="20"/>
                <w:lang w:val="es-ES_tradnl" w:eastAsia="es-ES_tradnl"/>
              </w:rPr>
              <w:t>10.118.910</w:t>
            </w:r>
          </w:p>
        </w:tc>
      </w:tr>
    </w:tbl>
    <w:p w:rsidR="00843C83" w:rsidRDefault="00517832" w:rsidP="00517832">
      <w:pPr>
        <w:ind w:left="567"/>
      </w:pPr>
      <w:r w:rsidRPr="009E7F7F">
        <w:rPr>
          <w:sz w:val="18"/>
        </w:rPr>
        <w:t>Montos en reales 2010.</w:t>
      </w:r>
    </w:p>
    <w:p w:rsidR="00843C83" w:rsidRDefault="00843C83"/>
    <w:p w:rsidR="00C05801" w:rsidRDefault="00C05801"/>
    <w:p w:rsidR="000B55B4" w:rsidRDefault="000B55B4" w:rsidP="000B55B4">
      <w:pPr>
        <w:pStyle w:val="Heading2"/>
      </w:pPr>
      <w:bookmarkStart w:id="47" w:name="_Toc303885520"/>
      <w:r>
        <w:t>Costos monetizados de la alternativa AGU</w:t>
      </w:r>
      <w:bookmarkEnd w:id="47"/>
    </w:p>
    <w:p w:rsidR="00E717AB" w:rsidRPr="000B55B4" w:rsidRDefault="0064778D" w:rsidP="0064778D">
      <w:pPr>
        <w:pStyle w:val="ListParagraph"/>
        <w:numPr>
          <w:ilvl w:val="0"/>
          <w:numId w:val="14"/>
        </w:numPr>
        <w:ind w:left="567" w:hanging="567"/>
      </w:pPr>
      <w:r w:rsidRPr="000B55B4">
        <w:t xml:space="preserve">Los costos previstos </w:t>
      </w:r>
      <w:r w:rsidR="00920056" w:rsidRPr="000B55B4">
        <w:t xml:space="preserve">no descontados </w:t>
      </w:r>
      <w:r w:rsidRPr="000B55B4">
        <w:t xml:space="preserve">en </w:t>
      </w:r>
      <w:r w:rsidR="000B55B4" w:rsidRPr="000B55B4">
        <w:t>la alternativa AGU</w:t>
      </w:r>
      <w:r w:rsidRPr="000B55B4">
        <w:t xml:space="preserve"> se presentan en el cuadro 8. </w:t>
      </w:r>
      <w:r w:rsidR="00473E7A" w:rsidRPr="000B55B4">
        <w:t xml:space="preserve">Puede observarse que el grueso de la inversión se localiza en el desarrollo e instalación del </w:t>
      </w:r>
      <w:r w:rsidR="005A474B" w:rsidRPr="000B55B4">
        <w:t>Sistema</w:t>
      </w:r>
      <w:r w:rsidR="00473E7A" w:rsidRPr="000B55B4">
        <w:t xml:space="preserve"> Integrado de Gestión Jurídica</w:t>
      </w:r>
      <w:r w:rsidR="005A474B" w:rsidRPr="000B55B4">
        <w:t xml:space="preserve"> (SIGA)</w:t>
      </w:r>
      <w:r w:rsidR="00427644" w:rsidRPr="000B55B4">
        <w:t xml:space="preserve">, incluyendo los gastos de reposición, mientras que los gastos de personal asociados se extienden durante ocho años </w:t>
      </w:r>
      <w:r w:rsidR="00BC3EF0" w:rsidRPr="000B55B4">
        <w:t>para financiar</w:t>
      </w:r>
      <w:r w:rsidR="00427644" w:rsidRPr="000B55B4">
        <w:t xml:space="preserve"> la carga de trabajo que supone la utilización de recursos propios.</w:t>
      </w:r>
      <w:r w:rsidR="00427644" w:rsidRPr="00CF2FEC">
        <w:rPr>
          <w:rStyle w:val="FootnoteReference"/>
          <w:rFonts w:ascii="Times New Roman" w:hAnsi="Times New Roman"/>
        </w:rPr>
        <w:footnoteReference w:id="15"/>
      </w:r>
      <w:r w:rsidR="00427644" w:rsidRPr="000B55B4">
        <w:t xml:space="preserve"> </w:t>
      </w:r>
    </w:p>
    <w:p w:rsidR="000250AF" w:rsidRDefault="000250AF"/>
    <w:p w:rsidR="00517832" w:rsidRPr="00D177C1" w:rsidRDefault="00517832" w:rsidP="00517832">
      <w:pPr>
        <w:pStyle w:val="ListParagraph"/>
        <w:spacing w:after="60"/>
        <w:ind w:left="360"/>
        <w:jc w:val="center"/>
        <w:rPr>
          <w:b/>
          <w:sz w:val="20"/>
        </w:rPr>
      </w:pPr>
      <w:r>
        <w:rPr>
          <w:b/>
          <w:sz w:val="20"/>
        </w:rPr>
        <w:t>Cuadro 8</w:t>
      </w:r>
      <w:r w:rsidRPr="00D177C1">
        <w:rPr>
          <w:b/>
          <w:sz w:val="20"/>
        </w:rPr>
        <w:t xml:space="preserve">. </w:t>
      </w:r>
      <w:r>
        <w:rPr>
          <w:b/>
          <w:sz w:val="20"/>
        </w:rPr>
        <w:t>Costos previstos sin el programa BID (EAGU)</w:t>
      </w:r>
    </w:p>
    <w:tbl>
      <w:tblPr>
        <w:tblW w:w="8931" w:type="dxa"/>
        <w:tblInd w:w="637" w:type="dxa"/>
        <w:tblCellMar>
          <w:left w:w="70" w:type="dxa"/>
          <w:right w:w="70" w:type="dxa"/>
        </w:tblCellMar>
        <w:tblLook w:val="04A0" w:firstRow="1" w:lastRow="0" w:firstColumn="1" w:lastColumn="0" w:noHBand="0" w:noVBand="1"/>
      </w:tblPr>
      <w:tblGrid>
        <w:gridCol w:w="653"/>
        <w:gridCol w:w="1615"/>
        <w:gridCol w:w="2127"/>
        <w:gridCol w:w="1701"/>
        <w:gridCol w:w="1559"/>
        <w:gridCol w:w="1276"/>
      </w:tblGrid>
      <w:tr w:rsidR="00E809B5" w:rsidRPr="00E717AB" w:rsidTr="00AE3B3B">
        <w:trPr>
          <w:cantSplit/>
          <w:trHeight w:val="225"/>
          <w:tblHeader/>
        </w:trPr>
        <w:tc>
          <w:tcPr>
            <w:tcW w:w="653" w:type="dxa"/>
            <w:tcBorders>
              <w:top w:val="single" w:sz="4" w:space="0" w:color="auto"/>
              <w:left w:val="nil"/>
              <w:bottom w:val="single" w:sz="4" w:space="0" w:color="auto"/>
              <w:right w:val="nil"/>
            </w:tcBorders>
            <w:shd w:val="clear" w:color="auto" w:fill="auto"/>
            <w:noWrap/>
            <w:vAlign w:val="bottom"/>
            <w:hideMark/>
          </w:tcPr>
          <w:p w:rsidR="00E809B5" w:rsidRPr="00E717AB" w:rsidRDefault="00E809B5" w:rsidP="00E717AB">
            <w:pPr>
              <w:jc w:val="left"/>
              <w:rPr>
                <w:color w:val="000000"/>
                <w:sz w:val="20"/>
                <w:szCs w:val="20"/>
                <w:lang w:val="es-ES_tradnl" w:eastAsia="es-ES_tradnl"/>
              </w:rPr>
            </w:pPr>
          </w:p>
        </w:tc>
        <w:tc>
          <w:tcPr>
            <w:tcW w:w="1615" w:type="dxa"/>
            <w:tcBorders>
              <w:top w:val="single" w:sz="4" w:space="0" w:color="auto"/>
              <w:left w:val="nil"/>
              <w:bottom w:val="single" w:sz="4" w:space="0" w:color="auto"/>
              <w:right w:val="nil"/>
            </w:tcBorders>
            <w:shd w:val="clear" w:color="auto" w:fill="auto"/>
            <w:noWrap/>
            <w:vAlign w:val="bottom"/>
            <w:hideMark/>
          </w:tcPr>
          <w:p w:rsidR="00E809B5" w:rsidRPr="00E717AB" w:rsidRDefault="00A43D09" w:rsidP="00E717AB">
            <w:pPr>
              <w:jc w:val="center"/>
              <w:rPr>
                <w:b/>
                <w:bCs/>
                <w:color w:val="000000"/>
                <w:sz w:val="20"/>
                <w:szCs w:val="20"/>
                <w:lang w:val="es-ES_tradnl" w:eastAsia="es-ES_tradnl"/>
              </w:rPr>
            </w:pPr>
            <w:r>
              <w:rPr>
                <w:b/>
                <w:bCs/>
                <w:color w:val="000000"/>
                <w:sz w:val="20"/>
                <w:szCs w:val="20"/>
                <w:lang w:val="es-ES_tradnl" w:eastAsia="es-ES_tradnl"/>
              </w:rPr>
              <w:t>SIGA</w:t>
            </w:r>
          </w:p>
        </w:tc>
        <w:tc>
          <w:tcPr>
            <w:tcW w:w="2127" w:type="dxa"/>
            <w:tcBorders>
              <w:top w:val="single" w:sz="4" w:space="0" w:color="auto"/>
              <w:left w:val="nil"/>
              <w:bottom w:val="single" w:sz="4" w:space="0" w:color="auto"/>
              <w:right w:val="nil"/>
            </w:tcBorders>
            <w:shd w:val="clear" w:color="auto" w:fill="auto"/>
            <w:noWrap/>
            <w:vAlign w:val="bottom"/>
            <w:hideMark/>
          </w:tcPr>
          <w:p w:rsidR="00E809B5" w:rsidRPr="00E717AB" w:rsidRDefault="00A43D09" w:rsidP="00B70AE8">
            <w:pPr>
              <w:jc w:val="center"/>
              <w:rPr>
                <w:b/>
                <w:bCs/>
                <w:color w:val="000000"/>
                <w:sz w:val="20"/>
                <w:szCs w:val="20"/>
                <w:lang w:val="es-ES_tradnl" w:eastAsia="es-ES_tradnl"/>
              </w:rPr>
            </w:pPr>
            <w:r>
              <w:rPr>
                <w:b/>
                <w:bCs/>
                <w:color w:val="000000"/>
                <w:sz w:val="20"/>
                <w:szCs w:val="20"/>
                <w:lang w:val="es-ES_tradnl" w:eastAsia="es-ES_tradnl"/>
              </w:rPr>
              <w:t>Personal</w:t>
            </w:r>
          </w:p>
        </w:tc>
        <w:tc>
          <w:tcPr>
            <w:tcW w:w="1701" w:type="dxa"/>
            <w:tcBorders>
              <w:top w:val="single" w:sz="4" w:space="0" w:color="auto"/>
              <w:left w:val="nil"/>
              <w:bottom w:val="single" w:sz="4" w:space="0" w:color="auto"/>
              <w:right w:val="nil"/>
            </w:tcBorders>
            <w:shd w:val="clear" w:color="auto" w:fill="auto"/>
            <w:noWrap/>
            <w:vAlign w:val="bottom"/>
            <w:hideMark/>
          </w:tcPr>
          <w:p w:rsidR="00E809B5" w:rsidRPr="00E717AB" w:rsidRDefault="00E809B5" w:rsidP="00E717AB">
            <w:pPr>
              <w:jc w:val="center"/>
              <w:rPr>
                <w:b/>
                <w:bCs/>
                <w:color w:val="000000"/>
                <w:sz w:val="20"/>
                <w:szCs w:val="20"/>
                <w:lang w:val="es-ES_tradnl" w:eastAsia="es-ES_tradnl"/>
              </w:rPr>
            </w:pPr>
            <w:r w:rsidRPr="00E717AB">
              <w:rPr>
                <w:b/>
                <w:bCs/>
                <w:color w:val="000000"/>
                <w:sz w:val="20"/>
                <w:szCs w:val="20"/>
                <w:lang w:val="es-ES_tradnl" w:eastAsia="es-ES_tradnl"/>
              </w:rPr>
              <w:t>Imprevistos</w:t>
            </w:r>
          </w:p>
        </w:tc>
        <w:tc>
          <w:tcPr>
            <w:tcW w:w="1559" w:type="dxa"/>
            <w:tcBorders>
              <w:top w:val="single" w:sz="4" w:space="0" w:color="auto"/>
              <w:left w:val="nil"/>
              <w:bottom w:val="single" w:sz="4" w:space="0" w:color="auto"/>
              <w:right w:val="nil"/>
            </w:tcBorders>
            <w:shd w:val="clear" w:color="auto" w:fill="auto"/>
            <w:noWrap/>
            <w:vAlign w:val="bottom"/>
            <w:hideMark/>
          </w:tcPr>
          <w:p w:rsidR="00E809B5" w:rsidRPr="00E717AB" w:rsidRDefault="00E809B5" w:rsidP="00E717AB">
            <w:pPr>
              <w:jc w:val="center"/>
              <w:rPr>
                <w:b/>
                <w:bCs/>
                <w:color w:val="000000"/>
                <w:sz w:val="20"/>
                <w:szCs w:val="20"/>
                <w:lang w:val="es-ES_tradnl" w:eastAsia="es-ES_tradnl"/>
              </w:rPr>
            </w:pPr>
            <w:r w:rsidRPr="00E717AB">
              <w:rPr>
                <w:b/>
                <w:bCs/>
                <w:color w:val="000000"/>
                <w:sz w:val="20"/>
                <w:szCs w:val="20"/>
                <w:lang w:val="es-ES_tradnl" w:eastAsia="es-ES_tradnl"/>
              </w:rPr>
              <w:t>Reposición</w:t>
            </w:r>
          </w:p>
        </w:tc>
        <w:tc>
          <w:tcPr>
            <w:tcW w:w="1276" w:type="dxa"/>
            <w:tcBorders>
              <w:top w:val="single" w:sz="4" w:space="0" w:color="auto"/>
              <w:left w:val="nil"/>
              <w:bottom w:val="single" w:sz="4" w:space="0" w:color="auto"/>
              <w:right w:val="nil"/>
            </w:tcBorders>
            <w:shd w:val="clear" w:color="auto" w:fill="auto"/>
            <w:noWrap/>
            <w:vAlign w:val="bottom"/>
            <w:hideMark/>
          </w:tcPr>
          <w:p w:rsidR="00E809B5" w:rsidRPr="00E717AB" w:rsidRDefault="00E809B5" w:rsidP="00E717AB">
            <w:pPr>
              <w:jc w:val="center"/>
              <w:rPr>
                <w:b/>
                <w:bCs/>
                <w:color w:val="000000"/>
                <w:sz w:val="20"/>
                <w:szCs w:val="20"/>
                <w:lang w:val="es-ES_tradnl" w:eastAsia="es-ES_tradnl"/>
              </w:rPr>
            </w:pPr>
            <w:r w:rsidRPr="00E717AB">
              <w:rPr>
                <w:b/>
                <w:bCs/>
                <w:color w:val="000000"/>
                <w:sz w:val="20"/>
                <w:szCs w:val="20"/>
                <w:lang w:val="es-ES_tradnl" w:eastAsia="es-ES_tradnl"/>
              </w:rPr>
              <w:t>Total</w:t>
            </w:r>
          </w:p>
        </w:tc>
      </w:tr>
      <w:tr w:rsidR="00E809B5" w:rsidRPr="00E717AB" w:rsidTr="00934C93">
        <w:trPr>
          <w:trHeight w:val="225"/>
        </w:trPr>
        <w:tc>
          <w:tcPr>
            <w:tcW w:w="653" w:type="dxa"/>
            <w:tcBorders>
              <w:top w:val="single" w:sz="4" w:space="0" w:color="auto"/>
              <w:left w:val="nil"/>
              <w:bottom w:val="nil"/>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2012</w:t>
            </w:r>
          </w:p>
        </w:tc>
        <w:tc>
          <w:tcPr>
            <w:tcW w:w="1615"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5.581.719</w:t>
            </w:r>
          </w:p>
        </w:tc>
        <w:tc>
          <w:tcPr>
            <w:tcW w:w="2127"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3.780.000</w:t>
            </w:r>
          </w:p>
        </w:tc>
        <w:tc>
          <w:tcPr>
            <w:tcW w:w="1701"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395.655</w:t>
            </w:r>
          </w:p>
        </w:tc>
        <w:tc>
          <w:tcPr>
            <w:tcW w:w="1559"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1276"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9.757.374</w:t>
            </w:r>
          </w:p>
        </w:tc>
      </w:tr>
      <w:tr w:rsidR="00E809B5" w:rsidRPr="00E717AB" w:rsidTr="00E717AB">
        <w:trPr>
          <w:trHeight w:val="225"/>
        </w:trPr>
        <w:tc>
          <w:tcPr>
            <w:tcW w:w="653" w:type="dxa"/>
            <w:tcBorders>
              <w:top w:val="nil"/>
              <w:left w:val="nil"/>
              <w:bottom w:val="nil"/>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2013</w:t>
            </w:r>
          </w:p>
        </w:tc>
        <w:tc>
          <w:tcPr>
            <w:tcW w:w="1615"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5.581.719</w:t>
            </w:r>
          </w:p>
        </w:tc>
        <w:tc>
          <w:tcPr>
            <w:tcW w:w="2127"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3.780.000</w:t>
            </w:r>
          </w:p>
        </w:tc>
        <w:tc>
          <w:tcPr>
            <w:tcW w:w="1701"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395.655</w:t>
            </w:r>
          </w:p>
        </w:tc>
        <w:tc>
          <w:tcPr>
            <w:tcW w:w="1559"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1276"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9.757.374</w:t>
            </w:r>
          </w:p>
        </w:tc>
      </w:tr>
      <w:tr w:rsidR="00E809B5" w:rsidRPr="00E717AB" w:rsidTr="00E717AB">
        <w:trPr>
          <w:trHeight w:val="225"/>
        </w:trPr>
        <w:tc>
          <w:tcPr>
            <w:tcW w:w="653" w:type="dxa"/>
            <w:tcBorders>
              <w:top w:val="nil"/>
              <w:left w:val="nil"/>
              <w:bottom w:val="nil"/>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2014</w:t>
            </w:r>
          </w:p>
        </w:tc>
        <w:tc>
          <w:tcPr>
            <w:tcW w:w="1615"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6.145.719</w:t>
            </w:r>
          </w:p>
        </w:tc>
        <w:tc>
          <w:tcPr>
            <w:tcW w:w="2127"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3.780.000</w:t>
            </w:r>
          </w:p>
        </w:tc>
        <w:tc>
          <w:tcPr>
            <w:tcW w:w="1701"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395.655</w:t>
            </w:r>
          </w:p>
        </w:tc>
        <w:tc>
          <w:tcPr>
            <w:tcW w:w="1559"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1276"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10.321.374</w:t>
            </w:r>
          </w:p>
        </w:tc>
      </w:tr>
      <w:tr w:rsidR="00E809B5" w:rsidRPr="00E717AB" w:rsidTr="00934C93">
        <w:trPr>
          <w:trHeight w:val="225"/>
        </w:trPr>
        <w:tc>
          <w:tcPr>
            <w:tcW w:w="653" w:type="dxa"/>
            <w:tcBorders>
              <w:top w:val="nil"/>
              <w:left w:val="nil"/>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2015</w:t>
            </w:r>
          </w:p>
        </w:tc>
        <w:tc>
          <w:tcPr>
            <w:tcW w:w="1615"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5.581.719</w:t>
            </w:r>
          </w:p>
        </w:tc>
        <w:tc>
          <w:tcPr>
            <w:tcW w:w="2127"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3.780.000</w:t>
            </w:r>
          </w:p>
        </w:tc>
        <w:tc>
          <w:tcPr>
            <w:tcW w:w="1701"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395.655</w:t>
            </w:r>
          </w:p>
        </w:tc>
        <w:tc>
          <w:tcPr>
            <w:tcW w:w="1559"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2.023.782</w:t>
            </w:r>
          </w:p>
        </w:tc>
        <w:tc>
          <w:tcPr>
            <w:tcW w:w="1276"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11.781.156</w:t>
            </w:r>
          </w:p>
        </w:tc>
      </w:tr>
      <w:tr w:rsidR="00E809B5" w:rsidRPr="00E717AB" w:rsidTr="00934C93">
        <w:trPr>
          <w:trHeight w:val="225"/>
        </w:trPr>
        <w:tc>
          <w:tcPr>
            <w:tcW w:w="653" w:type="dxa"/>
            <w:tcBorders>
              <w:top w:val="nil"/>
              <w:left w:val="nil"/>
              <w:bottom w:val="single" w:sz="4" w:space="0" w:color="auto"/>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2016</w:t>
            </w:r>
          </w:p>
        </w:tc>
        <w:tc>
          <w:tcPr>
            <w:tcW w:w="1615"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5.581.719</w:t>
            </w:r>
          </w:p>
        </w:tc>
        <w:tc>
          <w:tcPr>
            <w:tcW w:w="2127"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3.780.000</w:t>
            </w:r>
          </w:p>
        </w:tc>
        <w:tc>
          <w:tcPr>
            <w:tcW w:w="1701"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395.655</w:t>
            </w:r>
          </w:p>
        </w:tc>
        <w:tc>
          <w:tcPr>
            <w:tcW w:w="1559"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4.722.158</w:t>
            </w:r>
          </w:p>
        </w:tc>
        <w:tc>
          <w:tcPr>
            <w:tcW w:w="1276"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14.479.532</w:t>
            </w:r>
          </w:p>
        </w:tc>
      </w:tr>
      <w:tr w:rsidR="00E809B5" w:rsidRPr="00E717AB" w:rsidTr="00934C93">
        <w:trPr>
          <w:trHeight w:val="225"/>
        </w:trPr>
        <w:tc>
          <w:tcPr>
            <w:tcW w:w="653" w:type="dxa"/>
            <w:tcBorders>
              <w:top w:val="single" w:sz="4" w:space="0" w:color="auto"/>
              <w:left w:val="nil"/>
              <w:bottom w:val="nil"/>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2017</w:t>
            </w:r>
          </w:p>
        </w:tc>
        <w:tc>
          <w:tcPr>
            <w:tcW w:w="1615"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5.581.719</w:t>
            </w:r>
          </w:p>
        </w:tc>
        <w:tc>
          <w:tcPr>
            <w:tcW w:w="2127"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3.780.000</w:t>
            </w:r>
          </w:p>
        </w:tc>
        <w:tc>
          <w:tcPr>
            <w:tcW w:w="1701"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395.655</w:t>
            </w:r>
          </w:p>
        </w:tc>
        <w:tc>
          <w:tcPr>
            <w:tcW w:w="1559"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7.420.534</w:t>
            </w:r>
          </w:p>
        </w:tc>
        <w:tc>
          <w:tcPr>
            <w:tcW w:w="1276" w:type="dxa"/>
            <w:tcBorders>
              <w:top w:val="single" w:sz="4" w:space="0" w:color="auto"/>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17.177.908</w:t>
            </w:r>
          </w:p>
        </w:tc>
      </w:tr>
      <w:tr w:rsidR="00E809B5" w:rsidRPr="00E717AB" w:rsidTr="00E717AB">
        <w:trPr>
          <w:trHeight w:val="225"/>
        </w:trPr>
        <w:tc>
          <w:tcPr>
            <w:tcW w:w="653" w:type="dxa"/>
            <w:tcBorders>
              <w:top w:val="nil"/>
              <w:left w:val="nil"/>
              <w:bottom w:val="nil"/>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2018</w:t>
            </w:r>
          </w:p>
        </w:tc>
        <w:tc>
          <w:tcPr>
            <w:tcW w:w="1615"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5.581.719</w:t>
            </w:r>
          </w:p>
        </w:tc>
        <w:tc>
          <w:tcPr>
            <w:tcW w:w="2127"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3.780.000</w:t>
            </w:r>
          </w:p>
        </w:tc>
        <w:tc>
          <w:tcPr>
            <w:tcW w:w="1701"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395.655</w:t>
            </w:r>
          </w:p>
        </w:tc>
        <w:tc>
          <w:tcPr>
            <w:tcW w:w="1559"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10.118.910</w:t>
            </w:r>
          </w:p>
        </w:tc>
        <w:tc>
          <w:tcPr>
            <w:tcW w:w="1276"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19.876.284</w:t>
            </w:r>
          </w:p>
        </w:tc>
      </w:tr>
      <w:tr w:rsidR="00E809B5" w:rsidRPr="00E717AB" w:rsidTr="00E717AB">
        <w:trPr>
          <w:trHeight w:val="225"/>
        </w:trPr>
        <w:tc>
          <w:tcPr>
            <w:tcW w:w="653" w:type="dxa"/>
            <w:tcBorders>
              <w:top w:val="nil"/>
              <w:left w:val="nil"/>
              <w:bottom w:val="nil"/>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2019</w:t>
            </w:r>
          </w:p>
        </w:tc>
        <w:tc>
          <w:tcPr>
            <w:tcW w:w="1615"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5.581.719</w:t>
            </w:r>
          </w:p>
        </w:tc>
        <w:tc>
          <w:tcPr>
            <w:tcW w:w="2127"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3.780.000</w:t>
            </w:r>
          </w:p>
        </w:tc>
        <w:tc>
          <w:tcPr>
            <w:tcW w:w="1701"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395.655</w:t>
            </w:r>
          </w:p>
        </w:tc>
        <w:tc>
          <w:tcPr>
            <w:tcW w:w="1559"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10.118.910</w:t>
            </w:r>
          </w:p>
        </w:tc>
        <w:tc>
          <w:tcPr>
            <w:tcW w:w="1276" w:type="dxa"/>
            <w:tcBorders>
              <w:top w:val="nil"/>
              <w:left w:val="nil"/>
              <w:bottom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19.876.284</w:t>
            </w:r>
          </w:p>
        </w:tc>
      </w:tr>
      <w:tr w:rsidR="00E809B5" w:rsidRPr="00E717AB" w:rsidTr="00934C93">
        <w:trPr>
          <w:trHeight w:val="225"/>
        </w:trPr>
        <w:tc>
          <w:tcPr>
            <w:tcW w:w="653" w:type="dxa"/>
            <w:tcBorders>
              <w:top w:val="nil"/>
              <w:left w:val="nil"/>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2020</w:t>
            </w:r>
          </w:p>
        </w:tc>
        <w:tc>
          <w:tcPr>
            <w:tcW w:w="1615"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2127"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1701"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1559"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10.118.910</w:t>
            </w:r>
          </w:p>
        </w:tc>
        <w:tc>
          <w:tcPr>
            <w:tcW w:w="1276" w:type="dxa"/>
            <w:tcBorders>
              <w:top w:val="nil"/>
              <w:left w:val="nil"/>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10.118.910</w:t>
            </w:r>
          </w:p>
        </w:tc>
      </w:tr>
      <w:tr w:rsidR="00E809B5" w:rsidRPr="00E717AB" w:rsidTr="00934C93">
        <w:trPr>
          <w:trHeight w:val="225"/>
        </w:trPr>
        <w:tc>
          <w:tcPr>
            <w:tcW w:w="653" w:type="dxa"/>
            <w:tcBorders>
              <w:top w:val="nil"/>
              <w:left w:val="nil"/>
              <w:bottom w:val="single" w:sz="4" w:space="0" w:color="auto"/>
              <w:right w:val="nil"/>
            </w:tcBorders>
            <w:shd w:val="clear" w:color="auto" w:fill="auto"/>
            <w:noWrap/>
            <w:vAlign w:val="bottom"/>
            <w:hideMark/>
          </w:tcPr>
          <w:p w:rsidR="00E809B5" w:rsidRPr="00E717AB" w:rsidRDefault="00E809B5" w:rsidP="00E717AB">
            <w:pPr>
              <w:jc w:val="right"/>
              <w:rPr>
                <w:color w:val="000000"/>
                <w:sz w:val="20"/>
                <w:szCs w:val="20"/>
                <w:lang w:val="es-ES_tradnl" w:eastAsia="es-ES_tradnl"/>
              </w:rPr>
            </w:pPr>
            <w:r w:rsidRPr="00E717AB">
              <w:rPr>
                <w:color w:val="000000"/>
                <w:sz w:val="20"/>
                <w:szCs w:val="20"/>
                <w:lang w:val="es-ES_tradnl" w:eastAsia="es-ES_tradnl"/>
              </w:rPr>
              <w:t>2021</w:t>
            </w:r>
          </w:p>
        </w:tc>
        <w:tc>
          <w:tcPr>
            <w:tcW w:w="1615"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2127"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1701"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0</w:t>
            </w:r>
          </w:p>
        </w:tc>
        <w:tc>
          <w:tcPr>
            <w:tcW w:w="1559"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10.118.910</w:t>
            </w:r>
          </w:p>
        </w:tc>
        <w:tc>
          <w:tcPr>
            <w:tcW w:w="1276" w:type="dxa"/>
            <w:tcBorders>
              <w:top w:val="nil"/>
              <w:left w:val="nil"/>
              <w:bottom w:val="single" w:sz="4" w:space="0" w:color="auto"/>
              <w:right w:val="nil"/>
            </w:tcBorders>
            <w:shd w:val="clear" w:color="auto" w:fill="auto"/>
            <w:noWrap/>
            <w:vAlign w:val="bottom"/>
            <w:hideMark/>
          </w:tcPr>
          <w:p w:rsidR="00E809B5" w:rsidRPr="00E809B5" w:rsidRDefault="00E809B5">
            <w:pPr>
              <w:jc w:val="right"/>
              <w:rPr>
                <w:color w:val="000000"/>
                <w:sz w:val="20"/>
                <w:szCs w:val="20"/>
              </w:rPr>
            </w:pPr>
            <w:r w:rsidRPr="00E809B5">
              <w:rPr>
                <w:color w:val="000000"/>
                <w:sz w:val="20"/>
                <w:szCs w:val="20"/>
              </w:rPr>
              <w:t>10.118.910</w:t>
            </w:r>
          </w:p>
        </w:tc>
      </w:tr>
    </w:tbl>
    <w:p w:rsidR="00517832" w:rsidRDefault="00517832" w:rsidP="00517832">
      <w:pPr>
        <w:ind w:left="567"/>
      </w:pPr>
      <w:r w:rsidRPr="009E7F7F">
        <w:rPr>
          <w:sz w:val="18"/>
        </w:rPr>
        <w:t>Montos en reales 2010.</w:t>
      </w:r>
    </w:p>
    <w:p w:rsidR="00E717AB" w:rsidRDefault="00E717AB"/>
    <w:p w:rsidR="00843C83" w:rsidRPr="007517B6" w:rsidRDefault="00843C83" w:rsidP="00843C83">
      <w:pPr>
        <w:rPr>
          <w:b/>
          <w:bCs/>
          <w:lang w:val="es-ES_tradnl"/>
        </w:rPr>
      </w:pPr>
      <w:bookmarkStart w:id="48" w:name="_Toc139199306"/>
      <w:bookmarkStart w:id="49" w:name="_Toc179282705"/>
    </w:p>
    <w:p w:rsidR="00E717AB" w:rsidRDefault="00E717AB" w:rsidP="00E717AB">
      <w:pPr>
        <w:pStyle w:val="Heading1"/>
      </w:pPr>
      <w:bookmarkStart w:id="50" w:name="_Toc298005496"/>
      <w:bookmarkStart w:id="51" w:name="_Toc303885521"/>
      <w:r>
        <w:t>Resultados</w:t>
      </w:r>
      <w:bookmarkEnd w:id="50"/>
      <w:r w:rsidR="000B55B4">
        <w:t xml:space="preserve"> del análisis económico</w:t>
      </w:r>
      <w:bookmarkEnd w:id="51"/>
    </w:p>
    <w:p w:rsidR="00517832" w:rsidRDefault="000B55B4" w:rsidP="00517832">
      <w:pPr>
        <w:pStyle w:val="Heading2"/>
      </w:pPr>
      <w:bookmarkStart w:id="52" w:name="_Toc303885522"/>
      <w:bookmarkStart w:id="53" w:name="_Toc298005497"/>
      <w:r>
        <w:t xml:space="preserve">Alternativa </w:t>
      </w:r>
      <w:r w:rsidR="00517832">
        <w:t>con programa BID</w:t>
      </w:r>
      <w:bookmarkEnd w:id="52"/>
      <w:bookmarkEnd w:id="53"/>
    </w:p>
    <w:p w:rsidR="00843C83" w:rsidRPr="00427644" w:rsidRDefault="00427644" w:rsidP="00427644">
      <w:pPr>
        <w:pStyle w:val="ListParagraph"/>
        <w:numPr>
          <w:ilvl w:val="0"/>
          <w:numId w:val="14"/>
        </w:numPr>
        <w:ind w:left="567" w:hanging="567"/>
        <w:rPr>
          <w:bCs/>
          <w:lang w:val="es-ES_tradnl"/>
        </w:rPr>
      </w:pPr>
      <w:r w:rsidRPr="00427644">
        <w:rPr>
          <w:bCs/>
          <w:lang w:val="es-ES_tradnl"/>
        </w:rPr>
        <w:t xml:space="preserve">En el cuadro </w:t>
      </w:r>
      <w:r>
        <w:rPr>
          <w:bCs/>
          <w:lang w:val="es-ES_tradnl"/>
        </w:rPr>
        <w:t>9 puede observarse el flujo no descontado de beneficios y costos, as</w:t>
      </w:r>
      <w:r w:rsidR="00383A39">
        <w:rPr>
          <w:bCs/>
          <w:lang w:val="es-ES_tradnl"/>
        </w:rPr>
        <w:t xml:space="preserve">í como el saldo entre ambos, para </w:t>
      </w:r>
      <w:r w:rsidR="000B55B4">
        <w:rPr>
          <w:bCs/>
          <w:lang w:val="es-ES_tradnl"/>
        </w:rPr>
        <w:t>la alternativa</w:t>
      </w:r>
      <w:r w:rsidR="00383A39">
        <w:rPr>
          <w:bCs/>
          <w:lang w:val="es-ES_tradnl"/>
        </w:rPr>
        <w:t xml:space="preserve"> con programa BID. Salvo en los dos primeros años, en el resto los resultados </w:t>
      </w:r>
      <w:r w:rsidR="000B55B4">
        <w:rPr>
          <w:bCs/>
          <w:lang w:val="es-ES_tradnl"/>
        </w:rPr>
        <w:t xml:space="preserve">el saldo resultante </w:t>
      </w:r>
      <w:r w:rsidR="00383A39">
        <w:rPr>
          <w:bCs/>
          <w:lang w:val="es-ES_tradnl"/>
        </w:rPr>
        <w:t>muestra signo positivo.</w:t>
      </w:r>
    </w:p>
    <w:p w:rsidR="00843C83" w:rsidRPr="00383A39" w:rsidRDefault="00843C83" w:rsidP="00843C83">
      <w:pPr>
        <w:rPr>
          <w:bCs/>
          <w:lang w:val="es-ES_tradnl"/>
        </w:rPr>
      </w:pPr>
    </w:p>
    <w:p w:rsidR="00517832" w:rsidRPr="00D177C1" w:rsidRDefault="00517832" w:rsidP="00517832">
      <w:pPr>
        <w:pStyle w:val="ListParagraph"/>
        <w:spacing w:after="60"/>
        <w:ind w:left="360"/>
        <w:jc w:val="center"/>
        <w:rPr>
          <w:b/>
          <w:sz w:val="20"/>
        </w:rPr>
      </w:pPr>
      <w:r>
        <w:rPr>
          <w:b/>
          <w:sz w:val="20"/>
        </w:rPr>
        <w:t>Cuadro 9</w:t>
      </w:r>
      <w:r w:rsidRPr="00D177C1">
        <w:rPr>
          <w:b/>
          <w:sz w:val="20"/>
        </w:rPr>
        <w:t xml:space="preserve">. </w:t>
      </w:r>
      <w:r>
        <w:rPr>
          <w:b/>
          <w:sz w:val="20"/>
        </w:rPr>
        <w:t xml:space="preserve">Flujos previstos con </w:t>
      </w:r>
      <w:r w:rsidR="00204895">
        <w:rPr>
          <w:b/>
          <w:sz w:val="20"/>
        </w:rPr>
        <w:t>alternativa</w:t>
      </w:r>
      <w:r>
        <w:rPr>
          <w:b/>
          <w:sz w:val="20"/>
        </w:rPr>
        <w:t xml:space="preserve"> BID</w:t>
      </w:r>
    </w:p>
    <w:tbl>
      <w:tblPr>
        <w:tblW w:w="6377" w:type="dxa"/>
        <w:jc w:val="center"/>
        <w:tblInd w:w="637" w:type="dxa"/>
        <w:tblCellMar>
          <w:left w:w="70" w:type="dxa"/>
          <w:right w:w="70" w:type="dxa"/>
        </w:tblCellMar>
        <w:tblLook w:val="04A0" w:firstRow="1" w:lastRow="0" w:firstColumn="1" w:lastColumn="0" w:noHBand="0" w:noVBand="1"/>
      </w:tblPr>
      <w:tblGrid>
        <w:gridCol w:w="669"/>
        <w:gridCol w:w="1916"/>
        <w:gridCol w:w="1916"/>
        <w:gridCol w:w="1876"/>
      </w:tblGrid>
      <w:tr w:rsidR="00517832" w:rsidRPr="00517832" w:rsidTr="00934C93">
        <w:trPr>
          <w:trHeight w:val="225"/>
          <w:jc w:val="center"/>
        </w:trPr>
        <w:tc>
          <w:tcPr>
            <w:tcW w:w="669" w:type="dxa"/>
            <w:tcBorders>
              <w:top w:val="single" w:sz="4" w:space="0" w:color="auto"/>
              <w:left w:val="nil"/>
              <w:bottom w:val="single" w:sz="4" w:space="0" w:color="auto"/>
              <w:right w:val="nil"/>
            </w:tcBorders>
            <w:shd w:val="clear" w:color="auto" w:fill="auto"/>
            <w:noWrap/>
            <w:vAlign w:val="bottom"/>
          </w:tcPr>
          <w:p w:rsidR="00517832" w:rsidRPr="00517832" w:rsidRDefault="00517832" w:rsidP="00517832">
            <w:pPr>
              <w:jc w:val="right"/>
              <w:rPr>
                <w:b/>
                <w:color w:val="000000"/>
                <w:sz w:val="20"/>
                <w:szCs w:val="20"/>
                <w:lang w:val="es-ES_tradnl" w:eastAsia="es-ES_tradnl"/>
              </w:rPr>
            </w:pPr>
          </w:p>
        </w:tc>
        <w:tc>
          <w:tcPr>
            <w:tcW w:w="1916" w:type="dxa"/>
            <w:tcBorders>
              <w:top w:val="single" w:sz="4" w:space="0" w:color="auto"/>
              <w:left w:val="nil"/>
              <w:bottom w:val="single" w:sz="4" w:space="0" w:color="auto"/>
              <w:right w:val="nil"/>
            </w:tcBorders>
            <w:vAlign w:val="bottom"/>
          </w:tcPr>
          <w:p w:rsidR="00517832" w:rsidRPr="00517832" w:rsidRDefault="00517832" w:rsidP="00934C93">
            <w:pPr>
              <w:jc w:val="center"/>
              <w:rPr>
                <w:b/>
                <w:color w:val="000000"/>
                <w:sz w:val="20"/>
                <w:szCs w:val="20"/>
                <w:lang w:val="es-ES_tradnl" w:eastAsia="es-ES_tradnl"/>
              </w:rPr>
            </w:pPr>
            <w:r w:rsidRPr="00517832">
              <w:rPr>
                <w:b/>
                <w:color w:val="000000"/>
                <w:sz w:val="20"/>
                <w:szCs w:val="20"/>
                <w:lang w:val="es-ES_tradnl" w:eastAsia="es-ES_tradnl"/>
              </w:rPr>
              <w:t>Beneficios</w:t>
            </w:r>
          </w:p>
        </w:tc>
        <w:tc>
          <w:tcPr>
            <w:tcW w:w="1916" w:type="dxa"/>
            <w:tcBorders>
              <w:top w:val="single" w:sz="4" w:space="0" w:color="auto"/>
              <w:left w:val="nil"/>
              <w:bottom w:val="single" w:sz="4" w:space="0" w:color="auto"/>
              <w:right w:val="nil"/>
            </w:tcBorders>
            <w:shd w:val="clear" w:color="auto" w:fill="auto"/>
            <w:noWrap/>
            <w:vAlign w:val="bottom"/>
          </w:tcPr>
          <w:p w:rsidR="00517832" w:rsidRPr="00517832" w:rsidRDefault="00517832" w:rsidP="00934C93">
            <w:pPr>
              <w:jc w:val="center"/>
              <w:rPr>
                <w:b/>
                <w:color w:val="000000"/>
                <w:sz w:val="20"/>
                <w:szCs w:val="18"/>
              </w:rPr>
            </w:pPr>
            <w:r w:rsidRPr="00517832">
              <w:rPr>
                <w:b/>
                <w:color w:val="000000"/>
                <w:sz w:val="20"/>
                <w:szCs w:val="18"/>
              </w:rPr>
              <w:t>Costos</w:t>
            </w:r>
          </w:p>
        </w:tc>
        <w:tc>
          <w:tcPr>
            <w:tcW w:w="1876" w:type="dxa"/>
            <w:tcBorders>
              <w:top w:val="single" w:sz="4" w:space="0" w:color="auto"/>
              <w:left w:val="nil"/>
              <w:bottom w:val="single" w:sz="4" w:space="0" w:color="auto"/>
              <w:right w:val="nil"/>
            </w:tcBorders>
            <w:shd w:val="clear" w:color="auto" w:fill="auto"/>
            <w:noWrap/>
            <w:vAlign w:val="bottom"/>
          </w:tcPr>
          <w:p w:rsidR="00517832" w:rsidRPr="00517832" w:rsidRDefault="00517832" w:rsidP="00934C93">
            <w:pPr>
              <w:jc w:val="center"/>
              <w:rPr>
                <w:b/>
                <w:color w:val="000000"/>
                <w:sz w:val="20"/>
                <w:szCs w:val="20"/>
                <w:lang w:val="es-ES_tradnl" w:eastAsia="es-ES_tradnl"/>
              </w:rPr>
            </w:pPr>
            <w:r w:rsidRPr="00517832">
              <w:rPr>
                <w:b/>
                <w:color w:val="000000"/>
                <w:sz w:val="20"/>
                <w:szCs w:val="20"/>
                <w:lang w:val="es-ES_tradnl" w:eastAsia="es-ES_tradnl"/>
              </w:rPr>
              <w:t>Saldo</w:t>
            </w:r>
          </w:p>
        </w:tc>
      </w:tr>
      <w:tr w:rsidR="00517832" w:rsidRPr="00517832" w:rsidTr="00934C93">
        <w:trPr>
          <w:trHeight w:val="225"/>
          <w:jc w:val="center"/>
        </w:trPr>
        <w:tc>
          <w:tcPr>
            <w:tcW w:w="669" w:type="dxa"/>
            <w:tcBorders>
              <w:top w:val="single" w:sz="4" w:space="0" w:color="auto"/>
              <w:left w:val="nil"/>
              <w:bottom w:val="nil"/>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2012</w:t>
            </w:r>
          </w:p>
        </w:tc>
        <w:tc>
          <w:tcPr>
            <w:tcW w:w="1916" w:type="dxa"/>
            <w:tcBorders>
              <w:top w:val="single" w:sz="4" w:space="0" w:color="auto"/>
              <w:left w:val="nil"/>
              <w:bottom w:val="nil"/>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0</w:t>
            </w:r>
          </w:p>
        </w:tc>
        <w:tc>
          <w:tcPr>
            <w:tcW w:w="1916" w:type="dxa"/>
            <w:tcBorders>
              <w:top w:val="single" w:sz="4" w:space="0" w:color="auto"/>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16.039.977</w:t>
            </w:r>
          </w:p>
        </w:tc>
        <w:tc>
          <w:tcPr>
            <w:tcW w:w="1876" w:type="dxa"/>
            <w:tcBorders>
              <w:top w:val="single" w:sz="4" w:space="0" w:color="auto"/>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-16.039.977</w:t>
            </w:r>
          </w:p>
        </w:tc>
      </w:tr>
      <w:tr w:rsidR="00517832" w:rsidRPr="00517832" w:rsidTr="00517832">
        <w:trPr>
          <w:trHeight w:val="225"/>
          <w:jc w:val="center"/>
        </w:trPr>
        <w:tc>
          <w:tcPr>
            <w:tcW w:w="669" w:type="dxa"/>
            <w:tcBorders>
              <w:top w:val="nil"/>
              <w:left w:val="nil"/>
              <w:bottom w:val="nil"/>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2013</w:t>
            </w:r>
          </w:p>
        </w:tc>
        <w:tc>
          <w:tcPr>
            <w:tcW w:w="1916" w:type="dxa"/>
            <w:tcBorders>
              <w:top w:val="nil"/>
              <w:left w:val="nil"/>
              <w:bottom w:val="nil"/>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0</w:t>
            </w:r>
          </w:p>
        </w:tc>
        <w:tc>
          <w:tcPr>
            <w:tcW w:w="1916" w:type="dxa"/>
            <w:tcBorders>
              <w:top w:val="nil"/>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17.316.795</w:t>
            </w:r>
          </w:p>
        </w:tc>
        <w:tc>
          <w:tcPr>
            <w:tcW w:w="1876" w:type="dxa"/>
            <w:tcBorders>
              <w:top w:val="nil"/>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-17.316.795</w:t>
            </w:r>
          </w:p>
        </w:tc>
      </w:tr>
      <w:tr w:rsidR="00517832" w:rsidRPr="00517832" w:rsidTr="00517832">
        <w:trPr>
          <w:trHeight w:val="225"/>
          <w:jc w:val="center"/>
        </w:trPr>
        <w:tc>
          <w:tcPr>
            <w:tcW w:w="669" w:type="dxa"/>
            <w:tcBorders>
              <w:top w:val="nil"/>
              <w:left w:val="nil"/>
              <w:bottom w:val="nil"/>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2014</w:t>
            </w:r>
          </w:p>
        </w:tc>
        <w:tc>
          <w:tcPr>
            <w:tcW w:w="1916" w:type="dxa"/>
            <w:tcBorders>
              <w:top w:val="nil"/>
              <w:left w:val="nil"/>
              <w:bottom w:val="nil"/>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2.026.855.347</w:t>
            </w:r>
          </w:p>
        </w:tc>
        <w:tc>
          <w:tcPr>
            <w:tcW w:w="1916" w:type="dxa"/>
            <w:tcBorders>
              <w:top w:val="nil"/>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18.161.708</w:t>
            </w:r>
          </w:p>
        </w:tc>
        <w:tc>
          <w:tcPr>
            <w:tcW w:w="1876" w:type="dxa"/>
            <w:tcBorders>
              <w:top w:val="nil"/>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2.008.693.640</w:t>
            </w:r>
          </w:p>
        </w:tc>
      </w:tr>
      <w:tr w:rsidR="00517832" w:rsidRPr="00517832" w:rsidTr="00934C93">
        <w:trPr>
          <w:trHeight w:val="225"/>
          <w:jc w:val="center"/>
        </w:trPr>
        <w:tc>
          <w:tcPr>
            <w:tcW w:w="669" w:type="dxa"/>
            <w:tcBorders>
              <w:top w:val="nil"/>
              <w:left w:val="nil"/>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2015</w:t>
            </w:r>
          </w:p>
        </w:tc>
        <w:tc>
          <w:tcPr>
            <w:tcW w:w="1916" w:type="dxa"/>
            <w:tcBorders>
              <w:top w:val="nil"/>
              <w:left w:val="nil"/>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2.832.398.633</w:t>
            </w:r>
          </w:p>
        </w:tc>
        <w:tc>
          <w:tcPr>
            <w:tcW w:w="1916" w:type="dxa"/>
            <w:tcBorders>
              <w:top w:val="nil"/>
              <w:left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19.004.927</w:t>
            </w:r>
          </w:p>
        </w:tc>
        <w:tc>
          <w:tcPr>
            <w:tcW w:w="1876" w:type="dxa"/>
            <w:tcBorders>
              <w:top w:val="nil"/>
              <w:left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2.813.393.706</w:t>
            </w:r>
          </w:p>
        </w:tc>
      </w:tr>
      <w:tr w:rsidR="00517832" w:rsidRPr="00517832" w:rsidTr="00934C93">
        <w:trPr>
          <w:trHeight w:val="225"/>
          <w:jc w:val="center"/>
        </w:trPr>
        <w:tc>
          <w:tcPr>
            <w:tcW w:w="669" w:type="dxa"/>
            <w:tcBorders>
              <w:top w:val="nil"/>
              <w:left w:val="nil"/>
              <w:bottom w:val="single" w:sz="4" w:space="0" w:color="auto"/>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2016</w:t>
            </w:r>
          </w:p>
        </w:tc>
        <w:tc>
          <w:tcPr>
            <w:tcW w:w="1916" w:type="dxa"/>
            <w:tcBorders>
              <w:top w:val="nil"/>
              <w:left w:val="nil"/>
              <w:bottom w:val="single" w:sz="4" w:space="0" w:color="auto"/>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4.036.660.699</w:t>
            </w:r>
          </w:p>
        </w:tc>
        <w:tc>
          <w:tcPr>
            <w:tcW w:w="1916" w:type="dxa"/>
            <w:tcBorders>
              <w:top w:val="nil"/>
              <w:left w:val="nil"/>
              <w:bottom w:val="single" w:sz="4" w:space="0" w:color="auto"/>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13.622.533</w:t>
            </w:r>
          </w:p>
        </w:tc>
        <w:tc>
          <w:tcPr>
            <w:tcW w:w="1876" w:type="dxa"/>
            <w:tcBorders>
              <w:top w:val="nil"/>
              <w:left w:val="nil"/>
              <w:bottom w:val="single" w:sz="4" w:space="0" w:color="auto"/>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4.023.038.166</w:t>
            </w:r>
          </w:p>
        </w:tc>
      </w:tr>
      <w:tr w:rsidR="00517832" w:rsidRPr="00517832" w:rsidTr="00934C93">
        <w:trPr>
          <w:trHeight w:val="225"/>
          <w:jc w:val="center"/>
        </w:trPr>
        <w:tc>
          <w:tcPr>
            <w:tcW w:w="669" w:type="dxa"/>
            <w:tcBorders>
              <w:top w:val="single" w:sz="4" w:space="0" w:color="auto"/>
              <w:left w:val="nil"/>
              <w:bottom w:val="nil"/>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2017</w:t>
            </w:r>
          </w:p>
        </w:tc>
        <w:tc>
          <w:tcPr>
            <w:tcW w:w="1916" w:type="dxa"/>
            <w:tcBorders>
              <w:top w:val="single" w:sz="4" w:space="0" w:color="auto"/>
              <w:left w:val="nil"/>
              <w:bottom w:val="nil"/>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4.736.549.816</w:t>
            </w:r>
          </w:p>
        </w:tc>
        <w:tc>
          <w:tcPr>
            <w:tcW w:w="1916" w:type="dxa"/>
            <w:tcBorders>
              <w:top w:val="single" w:sz="4" w:space="0" w:color="auto"/>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7.420.534</w:t>
            </w:r>
          </w:p>
        </w:tc>
        <w:tc>
          <w:tcPr>
            <w:tcW w:w="1876" w:type="dxa"/>
            <w:tcBorders>
              <w:top w:val="single" w:sz="4" w:space="0" w:color="auto"/>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4.729.129.282</w:t>
            </w:r>
          </w:p>
        </w:tc>
      </w:tr>
      <w:tr w:rsidR="00517832" w:rsidRPr="00517832" w:rsidTr="00517832">
        <w:trPr>
          <w:trHeight w:val="225"/>
          <w:jc w:val="center"/>
        </w:trPr>
        <w:tc>
          <w:tcPr>
            <w:tcW w:w="669" w:type="dxa"/>
            <w:tcBorders>
              <w:top w:val="nil"/>
              <w:left w:val="nil"/>
              <w:bottom w:val="nil"/>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2018</w:t>
            </w:r>
          </w:p>
        </w:tc>
        <w:tc>
          <w:tcPr>
            <w:tcW w:w="1916" w:type="dxa"/>
            <w:tcBorders>
              <w:top w:val="nil"/>
              <w:left w:val="nil"/>
              <w:bottom w:val="nil"/>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5.135.184.743</w:t>
            </w:r>
          </w:p>
        </w:tc>
        <w:tc>
          <w:tcPr>
            <w:tcW w:w="1916" w:type="dxa"/>
            <w:tcBorders>
              <w:top w:val="nil"/>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10.118.910</w:t>
            </w:r>
          </w:p>
        </w:tc>
        <w:tc>
          <w:tcPr>
            <w:tcW w:w="1876" w:type="dxa"/>
            <w:tcBorders>
              <w:top w:val="nil"/>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5.125.065.833</w:t>
            </w:r>
          </w:p>
        </w:tc>
      </w:tr>
      <w:tr w:rsidR="00517832" w:rsidRPr="00517832" w:rsidTr="00517832">
        <w:trPr>
          <w:trHeight w:val="225"/>
          <w:jc w:val="center"/>
        </w:trPr>
        <w:tc>
          <w:tcPr>
            <w:tcW w:w="669" w:type="dxa"/>
            <w:tcBorders>
              <w:top w:val="nil"/>
              <w:left w:val="nil"/>
              <w:bottom w:val="nil"/>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2019</w:t>
            </w:r>
          </w:p>
        </w:tc>
        <w:tc>
          <w:tcPr>
            <w:tcW w:w="1916" w:type="dxa"/>
            <w:tcBorders>
              <w:top w:val="nil"/>
              <w:left w:val="nil"/>
              <w:bottom w:val="nil"/>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5.542.680.087</w:t>
            </w:r>
          </w:p>
        </w:tc>
        <w:tc>
          <w:tcPr>
            <w:tcW w:w="1916" w:type="dxa"/>
            <w:tcBorders>
              <w:top w:val="nil"/>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10.118.910</w:t>
            </w:r>
          </w:p>
        </w:tc>
        <w:tc>
          <w:tcPr>
            <w:tcW w:w="1876" w:type="dxa"/>
            <w:tcBorders>
              <w:top w:val="nil"/>
              <w:left w:val="nil"/>
              <w:bottom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5.532.561.177</w:t>
            </w:r>
          </w:p>
        </w:tc>
      </w:tr>
      <w:tr w:rsidR="00517832" w:rsidRPr="00517832" w:rsidTr="00934C93">
        <w:trPr>
          <w:trHeight w:val="225"/>
          <w:jc w:val="center"/>
        </w:trPr>
        <w:tc>
          <w:tcPr>
            <w:tcW w:w="669" w:type="dxa"/>
            <w:tcBorders>
              <w:top w:val="nil"/>
              <w:left w:val="nil"/>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2020</w:t>
            </w:r>
          </w:p>
        </w:tc>
        <w:tc>
          <w:tcPr>
            <w:tcW w:w="1916" w:type="dxa"/>
            <w:tcBorders>
              <w:top w:val="nil"/>
              <w:left w:val="nil"/>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5.959.035.848</w:t>
            </w:r>
          </w:p>
        </w:tc>
        <w:tc>
          <w:tcPr>
            <w:tcW w:w="1916" w:type="dxa"/>
            <w:tcBorders>
              <w:top w:val="nil"/>
              <w:left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10.118.910</w:t>
            </w:r>
          </w:p>
        </w:tc>
        <w:tc>
          <w:tcPr>
            <w:tcW w:w="1876" w:type="dxa"/>
            <w:tcBorders>
              <w:top w:val="nil"/>
              <w:left w:val="nil"/>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5.948.916.938</w:t>
            </w:r>
          </w:p>
        </w:tc>
      </w:tr>
      <w:tr w:rsidR="00517832" w:rsidRPr="00517832" w:rsidTr="00934C93">
        <w:trPr>
          <w:trHeight w:val="225"/>
          <w:jc w:val="center"/>
        </w:trPr>
        <w:tc>
          <w:tcPr>
            <w:tcW w:w="669" w:type="dxa"/>
            <w:tcBorders>
              <w:top w:val="nil"/>
              <w:left w:val="nil"/>
              <w:bottom w:val="single" w:sz="4" w:space="0" w:color="auto"/>
              <w:right w:val="nil"/>
            </w:tcBorders>
            <w:shd w:val="clear" w:color="auto" w:fill="auto"/>
            <w:noWrap/>
            <w:vAlign w:val="bottom"/>
            <w:hideMark/>
          </w:tcPr>
          <w:p w:rsidR="00517832" w:rsidRPr="00517832" w:rsidRDefault="00517832" w:rsidP="00517832">
            <w:pPr>
              <w:jc w:val="right"/>
              <w:rPr>
                <w:color w:val="000000"/>
                <w:sz w:val="20"/>
                <w:szCs w:val="20"/>
                <w:lang w:val="es-ES_tradnl" w:eastAsia="es-ES_tradnl"/>
              </w:rPr>
            </w:pPr>
            <w:r w:rsidRPr="00517832">
              <w:rPr>
                <w:color w:val="000000"/>
                <w:sz w:val="20"/>
                <w:szCs w:val="20"/>
                <w:lang w:val="es-ES_tradnl" w:eastAsia="es-ES_tradnl"/>
              </w:rPr>
              <w:t>2021</w:t>
            </w:r>
          </w:p>
        </w:tc>
        <w:tc>
          <w:tcPr>
            <w:tcW w:w="1916" w:type="dxa"/>
            <w:tcBorders>
              <w:top w:val="nil"/>
              <w:left w:val="nil"/>
              <w:bottom w:val="single" w:sz="4" w:space="0" w:color="auto"/>
              <w:right w:val="nil"/>
            </w:tcBorders>
            <w:vAlign w:val="bottom"/>
          </w:tcPr>
          <w:p w:rsidR="00517832" w:rsidRPr="00517832" w:rsidRDefault="00517832" w:rsidP="00B70AE8">
            <w:pPr>
              <w:jc w:val="right"/>
              <w:rPr>
                <w:color w:val="000000"/>
                <w:sz w:val="20"/>
                <w:szCs w:val="20"/>
                <w:lang w:val="es-ES_tradnl" w:eastAsia="es-ES_tradnl"/>
              </w:rPr>
            </w:pPr>
            <w:r w:rsidRPr="00517832">
              <w:rPr>
                <w:color w:val="000000"/>
                <w:sz w:val="20"/>
                <w:szCs w:val="20"/>
                <w:lang w:val="es-ES_tradnl" w:eastAsia="es-ES_tradnl"/>
              </w:rPr>
              <w:t>6.419.609.841</w:t>
            </w:r>
          </w:p>
        </w:tc>
        <w:tc>
          <w:tcPr>
            <w:tcW w:w="1916" w:type="dxa"/>
            <w:tcBorders>
              <w:top w:val="nil"/>
              <w:left w:val="nil"/>
              <w:bottom w:val="single" w:sz="4" w:space="0" w:color="auto"/>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10.118.910</w:t>
            </w:r>
          </w:p>
        </w:tc>
        <w:tc>
          <w:tcPr>
            <w:tcW w:w="1876" w:type="dxa"/>
            <w:tcBorders>
              <w:top w:val="nil"/>
              <w:left w:val="nil"/>
              <w:bottom w:val="single" w:sz="4" w:space="0" w:color="auto"/>
              <w:right w:val="nil"/>
            </w:tcBorders>
            <w:shd w:val="clear" w:color="auto" w:fill="auto"/>
            <w:noWrap/>
            <w:vAlign w:val="bottom"/>
          </w:tcPr>
          <w:p w:rsidR="00517832" w:rsidRPr="00517832" w:rsidRDefault="00517832">
            <w:pPr>
              <w:jc w:val="right"/>
              <w:rPr>
                <w:color w:val="000000"/>
                <w:sz w:val="20"/>
                <w:szCs w:val="18"/>
              </w:rPr>
            </w:pPr>
            <w:r w:rsidRPr="00517832">
              <w:rPr>
                <w:color w:val="000000"/>
                <w:sz w:val="20"/>
                <w:szCs w:val="18"/>
              </w:rPr>
              <w:t>6.409.490.931</w:t>
            </w:r>
          </w:p>
        </w:tc>
      </w:tr>
    </w:tbl>
    <w:p w:rsidR="00517832" w:rsidRDefault="00517832" w:rsidP="00517832">
      <w:pPr>
        <w:ind w:left="1560"/>
      </w:pPr>
      <w:r w:rsidRPr="009E7F7F">
        <w:rPr>
          <w:sz w:val="18"/>
        </w:rPr>
        <w:t>Montos en reales 2010.</w:t>
      </w:r>
      <w:r>
        <w:rPr>
          <w:sz w:val="18"/>
        </w:rPr>
        <w:t xml:space="preserve"> Sin descontar.</w:t>
      </w:r>
    </w:p>
    <w:p w:rsidR="00843C83" w:rsidRPr="00383A39" w:rsidRDefault="00843C83" w:rsidP="00843C83">
      <w:pPr>
        <w:rPr>
          <w:bCs/>
          <w:lang w:val="es-ES_tradnl"/>
        </w:rPr>
      </w:pPr>
    </w:p>
    <w:p w:rsidR="00383A39" w:rsidRPr="000B55B4" w:rsidRDefault="00383A39" w:rsidP="00383A39">
      <w:pPr>
        <w:pStyle w:val="ListParagraph"/>
        <w:numPr>
          <w:ilvl w:val="0"/>
          <w:numId w:val="14"/>
        </w:numPr>
        <w:ind w:left="567" w:hanging="567"/>
        <w:rPr>
          <w:bCs/>
          <w:lang w:val="es-ES_tradnl"/>
        </w:rPr>
      </w:pPr>
      <w:r w:rsidRPr="000B55B4">
        <w:t>Descontando los flujos, en el cuadro 10 se muestra que los beneficios igualan a los costos con una tasa interna de retorno del 1.041,9%, netamente superior a cualquiera de las tasas de descuento alternativas (6% y 12%). Por tanto, en relación con estas tasas de descuento</w:t>
      </w:r>
      <w:r w:rsidR="00142495">
        <w:t xml:space="preserve"> y</w:t>
      </w:r>
      <w:r w:rsidR="00142495" w:rsidRPr="00142495">
        <w:t xml:space="preserve"> </w:t>
      </w:r>
      <w:r w:rsidR="00142495" w:rsidRPr="000B55B4">
        <w:t xml:space="preserve">aplicando el criterio de </w:t>
      </w:r>
      <w:proofErr w:type="spellStart"/>
      <w:r w:rsidR="00142495" w:rsidRPr="000B55B4">
        <w:t>Kaldor-Hicks</w:t>
      </w:r>
      <w:proofErr w:type="spellEnd"/>
      <w:r w:rsidRPr="000B55B4">
        <w:t>, el proyecto bajo l</w:t>
      </w:r>
      <w:r w:rsidR="000B55B4" w:rsidRPr="000B55B4">
        <w:t>a</w:t>
      </w:r>
      <w:r w:rsidRPr="000B55B4">
        <w:t xml:space="preserve"> </w:t>
      </w:r>
      <w:r w:rsidR="000B55B4" w:rsidRPr="000B55B4">
        <w:t xml:space="preserve">alternativa </w:t>
      </w:r>
      <w:r w:rsidRPr="000B55B4">
        <w:t>BID es altamente eficiente</w:t>
      </w:r>
      <w:r w:rsidR="00142495">
        <w:t xml:space="preserve"> y superior a las tasas de descuento de referencia que puedan aplicarse</w:t>
      </w:r>
      <w:r w:rsidR="00C939AC">
        <w:t xml:space="preserve"> (6% y 12%)</w:t>
      </w:r>
      <w:r w:rsidR="00142495">
        <w:t xml:space="preserve">. Por tanto, </w:t>
      </w:r>
      <w:r w:rsidR="00C939AC">
        <w:t xml:space="preserve">la alternativa BID </w:t>
      </w:r>
      <w:r w:rsidR="00142495">
        <w:t>se justificaría independientemente de su comparación con otras alternativas</w:t>
      </w:r>
      <w:r w:rsidR="000B55B4" w:rsidRPr="000B55B4">
        <w:t>.</w:t>
      </w:r>
      <w:r w:rsidR="000B55B4" w:rsidRPr="00204895">
        <w:rPr>
          <w:rStyle w:val="FootnoteReference"/>
          <w:rFonts w:ascii="Times New Roman" w:hAnsi="Times New Roman"/>
        </w:rPr>
        <w:footnoteReference w:id="16"/>
      </w:r>
    </w:p>
    <w:p w:rsidR="00383A39" w:rsidRPr="00383A39" w:rsidRDefault="00383A39" w:rsidP="00843C83">
      <w:pPr>
        <w:rPr>
          <w:bCs/>
          <w:lang w:val="es-ES_tradnl"/>
        </w:rPr>
      </w:pPr>
    </w:p>
    <w:p w:rsidR="00934C93" w:rsidRPr="00D177C1" w:rsidRDefault="00934C93" w:rsidP="00934C93">
      <w:pPr>
        <w:pStyle w:val="ListParagraph"/>
        <w:spacing w:after="60"/>
        <w:ind w:left="360" w:right="473"/>
        <w:jc w:val="center"/>
        <w:rPr>
          <w:b/>
          <w:sz w:val="20"/>
        </w:rPr>
      </w:pPr>
      <w:r>
        <w:rPr>
          <w:b/>
          <w:sz w:val="20"/>
        </w:rPr>
        <w:t>Cuadro 10</w:t>
      </w:r>
      <w:r w:rsidRPr="00D177C1">
        <w:rPr>
          <w:b/>
          <w:sz w:val="20"/>
        </w:rPr>
        <w:t xml:space="preserve">. </w:t>
      </w:r>
      <w:r>
        <w:rPr>
          <w:b/>
          <w:sz w:val="20"/>
        </w:rPr>
        <w:t xml:space="preserve">Resultados con </w:t>
      </w:r>
      <w:r w:rsidR="00204895">
        <w:rPr>
          <w:b/>
          <w:sz w:val="20"/>
        </w:rPr>
        <w:t>alternativa</w:t>
      </w:r>
      <w:r>
        <w:rPr>
          <w:b/>
          <w:sz w:val="20"/>
        </w:rPr>
        <w:t xml:space="preserve"> BID</w:t>
      </w:r>
    </w:p>
    <w:tbl>
      <w:tblPr>
        <w:tblW w:w="6263" w:type="dxa"/>
        <w:jc w:val="center"/>
        <w:tblInd w:w="70" w:type="dxa"/>
        <w:tblCellMar>
          <w:left w:w="70" w:type="dxa"/>
          <w:right w:w="70" w:type="dxa"/>
        </w:tblCellMar>
        <w:tblLook w:val="04A0" w:firstRow="1" w:lastRow="0" w:firstColumn="1" w:lastColumn="0" w:noHBand="0" w:noVBand="1"/>
      </w:tblPr>
      <w:tblGrid>
        <w:gridCol w:w="2771"/>
        <w:gridCol w:w="1876"/>
        <w:gridCol w:w="1616"/>
      </w:tblGrid>
      <w:tr w:rsidR="00934C93" w:rsidRPr="00934C93" w:rsidTr="000F615C">
        <w:trPr>
          <w:trHeight w:val="225"/>
          <w:jc w:val="center"/>
        </w:trPr>
        <w:tc>
          <w:tcPr>
            <w:tcW w:w="2771" w:type="dxa"/>
            <w:tcBorders>
              <w:top w:val="single" w:sz="4" w:space="0" w:color="auto"/>
              <w:left w:val="nil"/>
              <w:bottom w:val="single" w:sz="4" w:space="0" w:color="auto"/>
              <w:right w:val="nil"/>
            </w:tcBorders>
            <w:shd w:val="clear" w:color="auto" w:fill="D9D9D9" w:themeFill="background1" w:themeFillShade="D9"/>
            <w:noWrap/>
            <w:vAlign w:val="bottom"/>
            <w:hideMark/>
          </w:tcPr>
          <w:p w:rsidR="00934C93" w:rsidRPr="00934C93" w:rsidRDefault="00934C93" w:rsidP="00934C93">
            <w:pPr>
              <w:jc w:val="left"/>
              <w:rPr>
                <w:b/>
                <w:bCs/>
                <w:color w:val="000000"/>
                <w:sz w:val="20"/>
                <w:szCs w:val="20"/>
                <w:lang w:val="es-ES_tradnl" w:eastAsia="es-ES_tradnl"/>
              </w:rPr>
            </w:pPr>
            <w:r w:rsidRPr="00934C93">
              <w:rPr>
                <w:b/>
                <w:bCs/>
                <w:color w:val="000000"/>
                <w:sz w:val="20"/>
                <w:szCs w:val="20"/>
                <w:lang w:val="es-ES_tradnl" w:eastAsia="es-ES_tradnl"/>
              </w:rPr>
              <w:t>TIR</w:t>
            </w:r>
          </w:p>
        </w:tc>
        <w:tc>
          <w:tcPr>
            <w:tcW w:w="3492" w:type="dxa"/>
            <w:gridSpan w:val="2"/>
            <w:tcBorders>
              <w:top w:val="single" w:sz="4" w:space="0" w:color="auto"/>
              <w:left w:val="nil"/>
              <w:bottom w:val="single" w:sz="4" w:space="0" w:color="auto"/>
              <w:right w:val="nil"/>
            </w:tcBorders>
            <w:shd w:val="clear" w:color="auto" w:fill="D9D9D9" w:themeFill="background1" w:themeFillShade="D9"/>
            <w:noWrap/>
            <w:vAlign w:val="bottom"/>
            <w:hideMark/>
          </w:tcPr>
          <w:p w:rsidR="00934C93" w:rsidRPr="00934C93" w:rsidRDefault="00934C93" w:rsidP="00934C93">
            <w:pPr>
              <w:jc w:val="center"/>
              <w:rPr>
                <w:b/>
                <w:bCs/>
                <w:color w:val="000000"/>
                <w:sz w:val="20"/>
                <w:szCs w:val="20"/>
                <w:lang w:val="es-ES_tradnl" w:eastAsia="es-ES_tradnl"/>
              </w:rPr>
            </w:pPr>
            <w:r w:rsidRPr="00934C93">
              <w:rPr>
                <w:b/>
                <w:bCs/>
                <w:color w:val="000000"/>
                <w:sz w:val="20"/>
                <w:szCs w:val="20"/>
                <w:lang w:val="es-ES_tradnl" w:eastAsia="es-ES_tradnl"/>
              </w:rPr>
              <w:t>1.041,9%</w:t>
            </w:r>
          </w:p>
        </w:tc>
      </w:tr>
      <w:tr w:rsidR="00934C93" w:rsidRPr="00934C93" w:rsidTr="000F615C">
        <w:trPr>
          <w:trHeight w:val="225"/>
          <w:jc w:val="center"/>
        </w:trPr>
        <w:tc>
          <w:tcPr>
            <w:tcW w:w="2771" w:type="dxa"/>
            <w:tcBorders>
              <w:top w:val="single" w:sz="4" w:space="0" w:color="auto"/>
              <w:left w:val="nil"/>
              <w:right w:val="nil"/>
            </w:tcBorders>
            <w:shd w:val="clear" w:color="auto" w:fill="auto"/>
            <w:noWrap/>
            <w:vAlign w:val="bottom"/>
            <w:hideMark/>
          </w:tcPr>
          <w:p w:rsidR="00934C93" w:rsidRPr="00934C93" w:rsidRDefault="00934C93" w:rsidP="00934C93">
            <w:pPr>
              <w:jc w:val="left"/>
              <w:rPr>
                <w:b/>
                <w:bCs/>
                <w:color w:val="000000"/>
                <w:sz w:val="20"/>
                <w:szCs w:val="20"/>
                <w:lang w:val="es-ES_tradnl" w:eastAsia="es-ES_tradnl"/>
              </w:rPr>
            </w:pPr>
          </w:p>
        </w:tc>
        <w:tc>
          <w:tcPr>
            <w:tcW w:w="1876" w:type="dxa"/>
            <w:tcBorders>
              <w:top w:val="single" w:sz="4" w:space="0" w:color="auto"/>
              <w:left w:val="nil"/>
              <w:right w:val="nil"/>
            </w:tcBorders>
            <w:shd w:val="clear" w:color="auto" w:fill="auto"/>
            <w:noWrap/>
            <w:vAlign w:val="bottom"/>
            <w:hideMark/>
          </w:tcPr>
          <w:p w:rsidR="00934C93" w:rsidRPr="00934C93" w:rsidRDefault="00934C93" w:rsidP="00934C93">
            <w:pPr>
              <w:jc w:val="center"/>
              <w:rPr>
                <w:b/>
                <w:bCs/>
                <w:color w:val="000000"/>
                <w:sz w:val="20"/>
                <w:szCs w:val="20"/>
                <w:lang w:val="es-ES_tradnl" w:eastAsia="es-ES_tradnl"/>
              </w:rPr>
            </w:pPr>
          </w:p>
        </w:tc>
        <w:tc>
          <w:tcPr>
            <w:tcW w:w="1616" w:type="dxa"/>
            <w:tcBorders>
              <w:top w:val="single" w:sz="4" w:space="0" w:color="auto"/>
              <w:left w:val="nil"/>
              <w:right w:val="nil"/>
            </w:tcBorders>
            <w:shd w:val="clear" w:color="auto" w:fill="auto"/>
            <w:noWrap/>
            <w:vAlign w:val="bottom"/>
            <w:hideMark/>
          </w:tcPr>
          <w:p w:rsidR="00934C93" w:rsidRPr="00934C93" w:rsidRDefault="00934C93" w:rsidP="00934C93">
            <w:pPr>
              <w:jc w:val="center"/>
              <w:rPr>
                <w:b/>
                <w:bCs/>
                <w:color w:val="000000"/>
                <w:sz w:val="20"/>
                <w:szCs w:val="20"/>
                <w:lang w:val="es-ES_tradnl" w:eastAsia="es-ES_tradnl"/>
              </w:rPr>
            </w:pPr>
          </w:p>
        </w:tc>
      </w:tr>
      <w:tr w:rsidR="00934C93" w:rsidRPr="00934C93" w:rsidTr="000F615C">
        <w:trPr>
          <w:trHeight w:val="225"/>
          <w:jc w:val="center"/>
        </w:trPr>
        <w:tc>
          <w:tcPr>
            <w:tcW w:w="2771" w:type="dxa"/>
            <w:tcBorders>
              <w:top w:val="nil"/>
              <w:left w:val="nil"/>
              <w:bottom w:val="single" w:sz="4" w:space="0" w:color="auto"/>
              <w:right w:val="nil"/>
            </w:tcBorders>
            <w:shd w:val="clear" w:color="auto" w:fill="auto"/>
            <w:noWrap/>
            <w:vAlign w:val="bottom"/>
            <w:hideMark/>
          </w:tcPr>
          <w:p w:rsidR="00934C93" w:rsidRPr="00934C93" w:rsidRDefault="00934C93" w:rsidP="00934C93">
            <w:pPr>
              <w:jc w:val="left"/>
              <w:rPr>
                <w:color w:val="000000"/>
                <w:sz w:val="20"/>
                <w:szCs w:val="20"/>
                <w:lang w:val="es-ES_tradnl" w:eastAsia="es-ES_tradnl"/>
              </w:rPr>
            </w:pPr>
            <w:r w:rsidRPr="00934C93">
              <w:rPr>
                <w:color w:val="000000"/>
                <w:sz w:val="20"/>
                <w:szCs w:val="20"/>
                <w:lang w:val="es-ES_tradnl" w:eastAsia="es-ES_tradnl"/>
              </w:rPr>
              <w:t>Tasa de descuento</w:t>
            </w:r>
          </w:p>
        </w:tc>
        <w:tc>
          <w:tcPr>
            <w:tcW w:w="1876" w:type="dxa"/>
            <w:tcBorders>
              <w:top w:val="nil"/>
              <w:left w:val="nil"/>
              <w:bottom w:val="single" w:sz="4" w:space="0" w:color="auto"/>
              <w:right w:val="nil"/>
            </w:tcBorders>
            <w:shd w:val="clear" w:color="auto" w:fill="auto"/>
            <w:noWrap/>
            <w:vAlign w:val="bottom"/>
            <w:hideMark/>
          </w:tcPr>
          <w:p w:rsidR="00934C93" w:rsidRPr="00934C93" w:rsidRDefault="00934C93" w:rsidP="00934C93">
            <w:pPr>
              <w:jc w:val="right"/>
              <w:rPr>
                <w:color w:val="000000"/>
                <w:sz w:val="20"/>
                <w:szCs w:val="20"/>
                <w:lang w:val="es-ES_tradnl" w:eastAsia="es-ES_tradnl"/>
              </w:rPr>
            </w:pPr>
            <w:r w:rsidRPr="00934C93">
              <w:rPr>
                <w:color w:val="000000"/>
                <w:sz w:val="20"/>
                <w:szCs w:val="20"/>
                <w:lang w:val="es-ES_tradnl" w:eastAsia="es-ES_tradnl"/>
              </w:rPr>
              <w:t>6,0%</w:t>
            </w:r>
          </w:p>
        </w:tc>
        <w:tc>
          <w:tcPr>
            <w:tcW w:w="1616" w:type="dxa"/>
            <w:tcBorders>
              <w:top w:val="nil"/>
              <w:left w:val="nil"/>
              <w:bottom w:val="single" w:sz="4" w:space="0" w:color="auto"/>
              <w:right w:val="nil"/>
            </w:tcBorders>
            <w:shd w:val="clear" w:color="auto" w:fill="auto"/>
            <w:noWrap/>
            <w:vAlign w:val="bottom"/>
            <w:hideMark/>
          </w:tcPr>
          <w:p w:rsidR="00934C93" w:rsidRPr="00934C93" w:rsidRDefault="00934C93" w:rsidP="00934C93">
            <w:pPr>
              <w:jc w:val="right"/>
              <w:rPr>
                <w:color w:val="000000"/>
                <w:sz w:val="20"/>
                <w:szCs w:val="20"/>
                <w:lang w:val="es-ES_tradnl" w:eastAsia="es-ES_tradnl"/>
              </w:rPr>
            </w:pPr>
            <w:r w:rsidRPr="00934C93">
              <w:rPr>
                <w:color w:val="000000"/>
                <w:sz w:val="20"/>
                <w:szCs w:val="20"/>
                <w:lang w:val="es-ES_tradnl" w:eastAsia="es-ES_tradnl"/>
              </w:rPr>
              <w:t>12%</w:t>
            </w:r>
          </w:p>
        </w:tc>
      </w:tr>
      <w:tr w:rsidR="00934C93" w:rsidRPr="00934C93" w:rsidTr="000F615C">
        <w:trPr>
          <w:trHeight w:val="225"/>
          <w:jc w:val="center"/>
        </w:trPr>
        <w:tc>
          <w:tcPr>
            <w:tcW w:w="2771" w:type="dxa"/>
            <w:tcBorders>
              <w:top w:val="single" w:sz="4" w:space="0" w:color="auto"/>
              <w:left w:val="nil"/>
              <w:bottom w:val="nil"/>
              <w:right w:val="nil"/>
            </w:tcBorders>
            <w:shd w:val="clear" w:color="auto" w:fill="auto"/>
            <w:noWrap/>
            <w:vAlign w:val="bottom"/>
            <w:hideMark/>
          </w:tcPr>
          <w:p w:rsidR="00934C93" w:rsidRPr="00934C93" w:rsidRDefault="00934C93" w:rsidP="00934C93">
            <w:pPr>
              <w:jc w:val="left"/>
              <w:rPr>
                <w:color w:val="000000"/>
                <w:sz w:val="20"/>
                <w:szCs w:val="20"/>
                <w:lang w:val="es-ES_tradnl" w:eastAsia="es-ES_tradnl"/>
              </w:rPr>
            </w:pPr>
            <w:r w:rsidRPr="00934C93">
              <w:rPr>
                <w:color w:val="000000"/>
                <w:sz w:val="20"/>
                <w:szCs w:val="20"/>
                <w:lang w:val="es-ES_tradnl" w:eastAsia="es-ES_tradnl"/>
              </w:rPr>
              <w:t>Beneficios (VA</w:t>
            </w:r>
            <w:r w:rsidR="000F615C">
              <w:rPr>
                <w:color w:val="000000"/>
                <w:sz w:val="20"/>
                <w:szCs w:val="20"/>
                <w:lang w:val="es-ES_tradnl" w:eastAsia="es-ES_tradnl"/>
              </w:rPr>
              <w:t>B</w:t>
            </w:r>
            <w:r w:rsidRPr="00934C93">
              <w:rPr>
                <w:color w:val="000000"/>
                <w:sz w:val="20"/>
                <w:szCs w:val="20"/>
                <w:lang w:val="es-ES_tradnl" w:eastAsia="es-ES_tradnl"/>
              </w:rPr>
              <w:t>)</w:t>
            </w:r>
          </w:p>
        </w:tc>
        <w:tc>
          <w:tcPr>
            <w:tcW w:w="1876" w:type="dxa"/>
            <w:tcBorders>
              <w:top w:val="single" w:sz="4" w:space="0" w:color="auto"/>
              <w:left w:val="nil"/>
              <w:bottom w:val="nil"/>
              <w:right w:val="nil"/>
            </w:tcBorders>
            <w:shd w:val="clear" w:color="auto" w:fill="auto"/>
            <w:noWrap/>
            <w:vAlign w:val="bottom"/>
            <w:hideMark/>
          </w:tcPr>
          <w:p w:rsidR="00934C93" w:rsidRPr="00934C93" w:rsidRDefault="00934C93" w:rsidP="00934C93">
            <w:pPr>
              <w:jc w:val="right"/>
              <w:rPr>
                <w:color w:val="000000"/>
                <w:sz w:val="20"/>
                <w:szCs w:val="20"/>
                <w:lang w:val="es-ES_tradnl" w:eastAsia="es-ES_tradnl"/>
              </w:rPr>
            </w:pPr>
            <w:r w:rsidRPr="00934C93">
              <w:rPr>
                <w:color w:val="000000"/>
                <w:sz w:val="20"/>
                <w:szCs w:val="20"/>
                <w:lang w:val="es-ES_tradnl" w:eastAsia="es-ES_tradnl"/>
              </w:rPr>
              <w:t>24.305.378.227</w:t>
            </w:r>
          </w:p>
        </w:tc>
        <w:tc>
          <w:tcPr>
            <w:tcW w:w="1616" w:type="dxa"/>
            <w:tcBorders>
              <w:top w:val="single" w:sz="4" w:space="0" w:color="auto"/>
              <w:left w:val="nil"/>
              <w:bottom w:val="nil"/>
              <w:right w:val="nil"/>
            </w:tcBorders>
            <w:shd w:val="clear" w:color="auto" w:fill="auto"/>
            <w:noWrap/>
            <w:vAlign w:val="bottom"/>
            <w:hideMark/>
          </w:tcPr>
          <w:p w:rsidR="00934C93" w:rsidRPr="00934C93" w:rsidRDefault="00934C93" w:rsidP="00934C93">
            <w:pPr>
              <w:jc w:val="right"/>
              <w:rPr>
                <w:color w:val="000000"/>
                <w:sz w:val="20"/>
                <w:szCs w:val="20"/>
                <w:lang w:val="es-ES_tradnl" w:eastAsia="es-ES_tradnl"/>
              </w:rPr>
            </w:pPr>
            <w:r w:rsidRPr="00934C93">
              <w:rPr>
                <w:color w:val="000000"/>
                <w:sz w:val="20"/>
                <w:szCs w:val="20"/>
                <w:lang w:val="es-ES_tradnl" w:eastAsia="es-ES_tradnl"/>
              </w:rPr>
              <w:t>16.710.232.308</w:t>
            </w:r>
          </w:p>
        </w:tc>
      </w:tr>
      <w:tr w:rsidR="00934C93" w:rsidRPr="00934C93" w:rsidTr="000F615C">
        <w:trPr>
          <w:trHeight w:val="225"/>
          <w:jc w:val="center"/>
        </w:trPr>
        <w:tc>
          <w:tcPr>
            <w:tcW w:w="2771" w:type="dxa"/>
            <w:tcBorders>
              <w:top w:val="nil"/>
              <w:left w:val="nil"/>
              <w:bottom w:val="nil"/>
              <w:right w:val="nil"/>
            </w:tcBorders>
            <w:shd w:val="clear" w:color="auto" w:fill="auto"/>
            <w:noWrap/>
            <w:vAlign w:val="bottom"/>
            <w:hideMark/>
          </w:tcPr>
          <w:p w:rsidR="00934C93" w:rsidRPr="00934C93" w:rsidRDefault="00934C93" w:rsidP="00934C93">
            <w:pPr>
              <w:jc w:val="left"/>
              <w:rPr>
                <w:color w:val="000000"/>
                <w:sz w:val="20"/>
                <w:szCs w:val="20"/>
                <w:lang w:val="es-ES_tradnl" w:eastAsia="es-ES_tradnl"/>
              </w:rPr>
            </w:pPr>
            <w:r w:rsidRPr="00934C93">
              <w:rPr>
                <w:color w:val="000000"/>
                <w:sz w:val="20"/>
                <w:szCs w:val="20"/>
                <w:lang w:val="es-ES_tradnl" w:eastAsia="es-ES_tradnl"/>
              </w:rPr>
              <w:t>Costos (VA</w:t>
            </w:r>
            <w:r w:rsidR="000F615C">
              <w:rPr>
                <w:color w:val="000000"/>
                <w:sz w:val="20"/>
                <w:szCs w:val="20"/>
                <w:lang w:val="es-ES_tradnl" w:eastAsia="es-ES_tradnl"/>
              </w:rPr>
              <w:t>C</w:t>
            </w:r>
            <w:r w:rsidRPr="00934C93">
              <w:rPr>
                <w:color w:val="000000"/>
                <w:sz w:val="20"/>
                <w:szCs w:val="20"/>
                <w:lang w:val="es-ES_tradnl" w:eastAsia="es-ES_tradnl"/>
              </w:rPr>
              <w:t>)</w:t>
            </w:r>
          </w:p>
        </w:tc>
        <w:tc>
          <w:tcPr>
            <w:tcW w:w="1876" w:type="dxa"/>
            <w:tcBorders>
              <w:top w:val="nil"/>
              <w:left w:val="nil"/>
              <w:bottom w:val="nil"/>
              <w:right w:val="nil"/>
            </w:tcBorders>
            <w:shd w:val="clear" w:color="auto" w:fill="auto"/>
            <w:noWrap/>
            <w:vAlign w:val="bottom"/>
            <w:hideMark/>
          </w:tcPr>
          <w:p w:rsidR="00934C93" w:rsidRPr="00934C93" w:rsidRDefault="00934C93" w:rsidP="00934C93">
            <w:pPr>
              <w:jc w:val="right"/>
              <w:rPr>
                <w:color w:val="000000"/>
                <w:sz w:val="20"/>
                <w:szCs w:val="20"/>
                <w:lang w:val="es-ES_tradnl" w:eastAsia="es-ES_tradnl"/>
              </w:rPr>
            </w:pPr>
            <w:r w:rsidRPr="00934C93">
              <w:rPr>
                <w:color w:val="000000"/>
                <w:sz w:val="20"/>
                <w:szCs w:val="20"/>
                <w:lang w:val="es-ES_tradnl" w:eastAsia="es-ES_tradnl"/>
              </w:rPr>
              <w:t>100.975.371</w:t>
            </w:r>
          </w:p>
        </w:tc>
        <w:tc>
          <w:tcPr>
            <w:tcW w:w="1616" w:type="dxa"/>
            <w:tcBorders>
              <w:top w:val="nil"/>
              <w:left w:val="nil"/>
              <w:bottom w:val="nil"/>
              <w:right w:val="nil"/>
            </w:tcBorders>
            <w:shd w:val="clear" w:color="auto" w:fill="auto"/>
            <w:noWrap/>
            <w:vAlign w:val="bottom"/>
            <w:hideMark/>
          </w:tcPr>
          <w:p w:rsidR="00934C93" w:rsidRPr="00934C93" w:rsidRDefault="00934C93" w:rsidP="00934C93">
            <w:pPr>
              <w:jc w:val="right"/>
              <w:rPr>
                <w:color w:val="000000"/>
                <w:sz w:val="20"/>
                <w:szCs w:val="20"/>
                <w:lang w:val="es-ES_tradnl" w:eastAsia="es-ES_tradnl"/>
              </w:rPr>
            </w:pPr>
            <w:r w:rsidRPr="00934C93">
              <w:rPr>
                <w:color w:val="000000"/>
                <w:sz w:val="20"/>
                <w:szCs w:val="20"/>
                <w:lang w:val="es-ES_tradnl" w:eastAsia="es-ES_tradnl"/>
              </w:rPr>
              <w:t>80.191.772</w:t>
            </w:r>
          </w:p>
        </w:tc>
      </w:tr>
      <w:tr w:rsidR="00934C93" w:rsidRPr="00934C93" w:rsidTr="000F615C">
        <w:trPr>
          <w:trHeight w:val="225"/>
          <w:jc w:val="center"/>
        </w:trPr>
        <w:tc>
          <w:tcPr>
            <w:tcW w:w="2771" w:type="dxa"/>
            <w:tcBorders>
              <w:top w:val="nil"/>
              <w:left w:val="nil"/>
              <w:right w:val="nil"/>
            </w:tcBorders>
            <w:shd w:val="clear" w:color="auto" w:fill="auto"/>
            <w:noWrap/>
            <w:vAlign w:val="bottom"/>
            <w:hideMark/>
          </w:tcPr>
          <w:p w:rsidR="00934C93" w:rsidRPr="00934C93" w:rsidRDefault="00934C93" w:rsidP="00934C93">
            <w:pPr>
              <w:jc w:val="left"/>
              <w:rPr>
                <w:color w:val="000000"/>
                <w:sz w:val="20"/>
                <w:szCs w:val="20"/>
                <w:lang w:val="es-ES_tradnl" w:eastAsia="es-ES_tradnl"/>
              </w:rPr>
            </w:pPr>
            <w:r w:rsidRPr="00934C93">
              <w:rPr>
                <w:color w:val="000000"/>
                <w:sz w:val="20"/>
                <w:szCs w:val="20"/>
                <w:lang w:val="es-ES_tradnl" w:eastAsia="es-ES_tradnl"/>
              </w:rPr>
              <w:t>Saldo neto (VAN)</w:t>
            </w:r>
          </w:p>
        </w:tc>
        <w:tc>
          <w:tcPr>
            <w:tcW w:w="1876" w:type="dxa"/>
            <w:tcBorders>
              <w:top w:val="nil"/>
              <w:left w:val="nil"/>
              <w:right w:val="nil"/>
            </w:tcBorders>
            <w:shd w:val="clear" w:color="auto" w:fill="auto"/>
            <w:noWrap/>
            <w:vAlign w:val="bottom"/>
            <w:hideMark/>
          </w:tcPr>
          <w:p w:rsidR="00934C93" w:rsidRPr="00934C93" w:rsidRDefault="00934C93" w:rsidP="00934C93">
            <w:pPr>
              <w:jc w:val="right"/>
              <w:rPr>
                <w:color w:val="000000"/>
                <w:sz w:val="20"/>
                <w:szCs w:val="20"/>
                <w:lang w:val="es-ES_tradnl" w:eastAsia="es-ES_tradnl"/>
              </w:rPr>
            </w:pPr>
            <w:r w:rsidRPr="00934C93">
              <w:rPr>
                <w:color w:val="000000"/>
                <w:sz w:val="20"/>
                <w:szCs w:val="20"/>
                <w:lang w:val="es-ES_tradnl" w:eastAsia="es-ES_tradnl"/>
              </w:rPr>
              <w:t>24.204.402.856</w:t>
            </w:r>
          </w:p>
        </w:tc>
        <w:tc>
          <w:tcPr>
            <w:tcW w:w="1616" w:type="dxa"/>
            <w:tcBorders>
              <w:top w:val="nil"/>
              <w:left w:val="nil"/>
              <w:right w:val="nil"/>
            </w:tcBorders>
            <w:shd w:val="clear" w:color="auto" w:fill="auto"/>
            <w:noWrap/>
            <w:vAlign w:val="bottom"/>
            <w:hideMark/>
          </w:tcPr>
          <w:p w:rsidR="00934C93" w:rsidRPr="00934C93" w:rsidRDefault="00934C93" w:rsidP="00934C93">
            <w:pPr>
              <w:jc w:val="right"/>
              <w:rPr>
                <w:color w:val="000000"/>
                <w:sz w:val="20"/>
                <w:szCs w:val="20"/>
                <w:lang w:val="es-ES_tradnl" w:eastAsia="es-ES_tradnl"/>
              </w:rPr>
            </w:pPr>
            <w:r w:rsidRPr="00934C93">
              <w:rPr>
                <w:color w:val="000000"/>
                <w:sz w:val="20"/>
                <w:szCs w:val="20"/>
                <w:lang w:val="es-ES_tradnl" w:eastAsia="es-ES_tradnl"/>
              </w:rPr>
              <w:t>16.630.040.536</w:t>
            </w:r>
          </w:p>
        </w:tc>
      </w:tr>
      <w:tr w:rsidR="000F615C" w:rsidRPr="00934C93" w:rsidTr="000F615C">
        <w:trPr>
          <w:trHeight w:val="225"/>
          <w:jc w:val="center"/>
        </w:trPr>
        <w:tc>
          <w:tcPr>
            <w:tcW w:w="2771" w:type="dxa"/>
            <w:tcBorders>
              <w:top w:val="nil"/>
              <w:left w:val="nil"/>
              <w:bottom w:val="single" w:sz="4" w:space="0" w:color="auto"/>
              <w:right w:val="nil"/>
            </w:tcBorders>
            <w:shd w:val="clear" w:color="auto" w:fill="auto"/>
            <w:noWrap/>
            <w:vAlign w:val="bottom"/>
            <w:hideMark/>
          </w:tcPr>
          <w:p w:rsidR="000F615C" w:rsidRPr="00934C93" w:rsidRDefault="000F615C" w:rsidP="00934C93">
            <w:pPr>
              <w:jc w:val="left"/>
              <w:rPr>
                <w:color w:val="000000"/>
                <w:sz w:val="20"/>
                <w:szCs w:val="20"/>
                <w:lang w:val="es-ES_tradnl" w:eastAsia="es-ES_tradnl"/>
              </w:rPr>
            </w:pPr>
            <w:r>
              <w:rPr>
                <w:color w:val="000000"/>
                <w:sz w:val="20"/>
                <w:szCs w:val="20"/>
                <w:lang w:val="es-ES_tradnl" w:eastAsia="es-ES_tradnl"/>
              </w:rPr>
              <w:lastRenderedPageBreak/>
              <w:t>Beneficios</w:t>
            </w:r>
            <w:r w:rsidRPr="00934C93">
              <w:rPr>
                <w:color w:val="000000"/>
                <w:sz w:val="20"/>
                <w:szCs w:val="20"/>
                <w:lang w:val="es-ES_tradnl" w:eastAsia="es-ES_tradnl"/>
              </w:rPr>
              <w:t>/Costos</w:t>
            </w:r>
            <w:r>
              <w:rPr>
                <w:color w:val="000000"/>
                <w:sz w:val="20"/>
                <w:szCs w:val="20"/>
                <w:lang w:val="es-ES_tradnl" w:eastAsia="es-ES_tradnl"/>
              </w:rPr>
              <w:t xml:space="preserve"> (VAB/VAC)</w:t>
            </w:r>
          </w:p>
        </w:tc>
        <w:tc>
          <w:tcPr>
            <w:tcW w:w="1876" w:type="dxa"/>
            <w:tcBorders>
              <w:top w:val="nil"/>
              <w:left w:val="nil"/>
              <w:bottom w:val="single" w:sz="4" w:space="0" w:color="auto"/>
              <w:right w:val="nil"/>
            </w:tcBorders>
            <w:shd w:val="clear" w:color="auto" w:fill="auto"/>
            <w:noWrap/>
            <w:vAlign w:val="bottom"/>
            <w:hideMark/>
          </w:tcPr>
          <w:p w:rsidR="000F615C" w:rsidRPr="000F615C" w:rsidRDefault="000F615C">
            <w:pPr>
              <w:jc w:val="right"/>
              <w:rPr>
                <w:color w:val="000000"/>
                <w:sz w:val="20"/>
                <w:szCs w:val="20"/>
                <w:lang w:val="es-ES_tradnl" w:eastAsia="es-ES_tradnl"/>
              </w:rPr>
            </w:pPr>
            <w:r w:rsidRPr="000F615C">
              <w:rPr>
                <w:color w:val="000000"/>
                <w:sz w:val="20"/>
                <w:szCs w:val="20"/>
                <w:lang w:val="es-ES_tradnl" w:eastAsia="es-ES_tradnl"/>
              </w:rPr>
              <w:t>24.070,6%</w:t>
            </w:r>
          </w:p>
        </w:tc>
        <w:tc>
          <w:tcPr>
            <w:tcW w:w="1616" w:type="dxa"/>
            <w:tcBorders>
              <w:top w:val="nil"/>
              <w:left w:val="nil"/>
              <w:bottom w:val="single" w:sz="4" w:space="0" w:color="auto"/>
              <w:right w:val="nil"/>
            </w:tcBorders>
            <w:shd w:val="clear" w:color="auto" w:fill="auto"/>
            <w:noWrap/>
            <w:vAlign w:val="bottom"/>
            <w:hideMark/>
          </w:tcPr>
          <w:p w:rsidR="000F615C" w:rsidRPr="000F615C" w:rsidRDefault="000F615C">
            <w:pPr>
              <w:jc w:val="right"/>
              <w:rPr>
                <w:color w:val="000000"/>
                <w:sz w:val="20"/>
                <w:szCs w:val="20"/>
                <w:lang w:val="es-ES_tradnl" w:eastAsia="es-ES_tradnl"/>
              </w:rPr>
            </w:pPr>
            <w:r w:rsidRPr="000F615C">
              <w:rPr>
                <w:color w:val="000000"/>
                <w:sz w:val="20"/>
                <w:szCs w:val="20"/>
                <w:lang w:val="es-ES_tradnl" w:eastAsia="es-ES_tradnl"/>
              </w:rPr>
              <w:t>20.837,8%</w:t>
            </w:r>
          </w:p>
        </w:tc>
      </w:tr>
    </w:tbl>
    <w:p w:rsidR="00843C83" w:rsidRDefault="00070A2F" w:rsidP="00B462D2">
      <w:pPr>
        <w:ind w:left="1701"/>
        <w:rPr>
          <w:bCs/>
          <w:lang w:val="es-ES_tradnl"/>
        </w:rPr>
      </w:pPr>
      <w:r w:rsidRPr="009E7F7F">
        <w:rPr>
          <w:sz w:val="18"/>
        </w:rPr>
        <w:t>Montos en reales 2010.</w:t>
      </w:r>
    </w:p>
    <w:p w:rsidR="00070A2F" w:rsidRPr="00383A39" w:rsidRDefault="00070A2F" w:rsidP="00843C83">
      <w:pPr>
        <w:rPr>
          <w:bCs/>
          <w:lang w:val="es-ES_tradnl"/>
        </w:rPr>
      </w:pPr>
    </w:p>
    <w:p w:rsidR="00843C83" w:rsidRPr="00383A39" w:rsidRDefault="00383A39" w:rsidP="00383A39">
      <w:pPr>
        <w:pStyle w:val="ListParagraph"/>
        <w:numPr>
          <w:ilvl w:val="0"/>
          <w:numId w:val="14"/>
        </w:numPr>
        <w:ind w:left="567" w:hanging="567"/>
        <w:rPr>
          <w:bCs/>
          <w:lang w:val="es-ES_tradnl"/>
        </w:rPr>
      </w:pPr>
      <w:r>
        <w:rPr>
          <w:bCs/>
          <w:lang w:val="es-ES_tradnl"/>
        </w:rPr>
        <w:t xml:space="preserve">La principal </w:t>
      </w:r>
      <w:r w:rsidRPr="00383A39">
        <w:t>explicación</w:t>
      </w:r>
      <w:r>
        <w:rPr>
          <w:bCs/>
          <w:lang w:val="es-ES_tradnl"/>
        </w:rPr>
        <w:t xml:space="preserve"> de </w:t>
      </w:r>
      <w:r w:rsidR="00415A19">
        <w:rPr>
          <w:bCs/>
          <w:lang w:val="es-ES_tradnl"/>
        </w:rPr>
        <w:t>este resultad</w:t>
      </w:r>
      <w:r w:rsidR="00BF17E3">
        <w:rPr>
          <w:bCs/>
          <w:lang w:val="es-ES_tradnl"/>
        </w:rPr>
        <w:t>o</w:t>
      </w:r>
      <w:r>
        <w:rPr>
          <w:bCs/>
          <w:lang w:val="es-ES_tradnl"/>
        </w:rPr>
        <w:t xml:space="preserve"> se encuentra en que </w:t>
      </w:r>
      <w:r w:rsidR="000B5686">
        <w:rPr>
          <w:bCs/>
          <w:lang w:val="es-ES_tradnl"/>
        </w:rPr>
        <w:t xml:space="preserve">los esfuerzos que </w:t>
      </w:r>
      <w:r>
        <w:rPr>
          <w:bCs/>
          <w:lang w:val="es-ES_tradnl"/>
        </w:rPr>
        <w:t xml:space="preserve">en la actualidad realiza la AGU en materia de cobranza y recuperación patrimonial son muy escasos a pesar del potencial recaudador que tienen. </w:t>
      </w:r>
      <w:r w:rsidR="00204895">
        <w:rPr>
          <w:bCs/>
          <w:lang w:val="es-ES_tradnl"/>
        </w:rPr>
        <w:t xml:space="preserve">Por tanto, se parte de un nivel muy bajo y las ganancias pueden ser muy rápidas, como ha podido argumentarse en la sección </w:t>
      </w:r>
      <w:r w:rsidR="00D857C2">
        <w:rPr>
          <w:bCs/>
          <w:lang w:val="es-ES_tradnl"/>
        </w:rPr>
        <w:fldChar w:fldCharType="begin"/>
      </w:r>
      <w:r w:rsidR="00070A2F">
        <w:rPr>
          <w:bCs/>
          <w:lang w:val="es-ES_tradnl"/>
        </w:rPr>
        <w:instrText xml:space="preserve"> REF _Ref303769243 \r \h </w:instrText>
      </w:r>
      <w:r w:rsidR="00D857C2">
        <w:rPr>
          <w:bCs/>
          <w:lang w:val="es-ES_tradnl"/>
        </w:rPr>
      </w:r>
      <w:r w:rsidR="00D857C2">
        <w:rPr>
          <w:bCs/>
          <w:lang w:val="es-ES_tradnl"/>
        </w:rPr>
        <w:fldChar w:fldCharType="separate"/>
      </w:r>
      <w:r w:rsidR="00070A2F">
        <w:rPr>
          <w:bCs/>
          <w:lang w:val="es-ES_tradnl"/>
        </w:rPr>
        <w:t>3.2.1</w:t>
      </w:r>
      <w:r w:rsidR="00D857C2">
        <w:rPr>
          <w:bCs/>
          <w:lang w:val="es-ES_tradnl"/>
        </w:rPr>
        <w:fldChar w:fldCharType="end"/>
      </w:r>
      <w:r w:rsidR="00070A2F">
        <w:rPr>
          <w:bCs/>
          <w:lang w:val="es-ES_tradnl"/>
        </w:rPr>
        <w:t xml:space="preserve">. </w:t>
      </w:r>
      <w:r w:rsidR="00415A19">
        <w:rPr>
          <w:bCs/>
          <w:lang w:val="es-ES_tradnl"/>
        </w:rPr>
        <w:t xml:space="preserve">La puesta en marcha del programa BID supone </w:t>
      </w:r>
      <w:r w:rsidR="00415A19" w:rsidRPr="00415A19">
        <w:rPr>
          <w:bCs/>
          <w:i/>
          <w:lang w:val="es-ES_tradnl"/>
        </w:rPr>
        <w:t>de facto</w:t>
      </w:r>
      <w:r w:rsidR="00415A19">
        <w:rPr>
          <w:bCs/>
          <w:lang w:val="es-ES_tradnl"/>
        </w:rPr>
        <w:t xml:space="preserve"> un impulso </w:t>
      </w:r>
      <w:r w:rsidR="00070A2F">
        <w:rPr>
          <w:bCs/>
          <w:lang w:val="es-ES_tradnl"/>
        </w:rPr>
        <w:t xml:space="preserve">decisivo </w:t>
      </w:r>
      <w:r w:rsidR="00415A19">
        <w:rPr>
          <w:bCs/>
          <w:lang w:val="es-ES_tradnl"/>
        </w:rPr>
        <w:t xml:space="preserve">a la estrategia de potenciar estas dos </w:t>
      </w:r>
      <w:proofErr w:type="spellStart"/>
      <w:r w:rsidR="00415A19">
        <w:rPr>
          <w:bCs/>
          <w:lang w:val="es-ES_tradnl"/>
        </w:rPr>
        <w:t>macrofunciones</w:t>
      </w:r>
      <w:proofErr w:type="spellEnd"/>
      <w:r w:rsidR="00415A19">
        <w:rPr>
          <w:bCs/>
          <w:lang w:val="es-ES_tradnl"/>
        </w:rPr>
        <w:t xml:space="preserve"> de la AGU. Sin duda, é</w:t>
      </w:r>
      <w:r>
        <w:rPr>
          <w:bCs/>
          <w:lang w:val="es-ES_tradnl"/>
        </w:rPr>
        <w:t xml:space="preserve">sta es una poderosa razón para recomendar que se realicen los trabajos necesarios </w:t>
      </w:r>
      <w:r w:rsidR="00415A19">
        <w:rPr>
          <w:bCs/>
          <w:lang w:val="es-ES_tradnl"/>
        </w:rPr>
        <w:t>cuanto antes.</w:t>
      </w:r>
      <w:r>
        <w:rPr>
          <w:bCs/>
          <w:lang w:val="es-ES_tradnl"/>
        </w:rPr>
        <w:t xml:space="preserve"> </w:t>
      </w:r>
    </w:p>
    <w:p w:rsidR="00843C83" w:rsidRDefault="00843C83" w:rsidP="00843C83">
      <w:pPr>
        <w:rPr>
          <w:bCs/>
          <w:lang w:val="es-ES_tradnl"/>
        </w:rPr>
      </w:pPr>
    </w:p>
    <w:p w:rsidR="00383A39" w:rsidRPr="00383A39" w:rsidRDefault="00383A39" w:rsidP="00843C83">
      <w:pPr>
        <w:rPr>
          <w:bCs/>
          <w:lang w:val="es-ES_tradnl"/>
        </w:rPr>
      </w:pPr>
    </w:p>
    <w:p w:rsidR="00517832" w:rsidRDefault="00070A2F" w:rsidP="00517832">
      <w:pPr>
        <w:pStyle w:val="Heading2"/>
      </w:pPr>
      <w:bookmarkStart w:id="54" w:name="_Toc303885523"/>
      <w:r>
        <w:t xml:space="preserve">Alternativa </w:t>
      </w:r>
      <w:r w:rsidR="00A46C73">
        <w:t xml:space="preserve">con recursos </w:t>
      </w:r>
      <w:r w:rsidR="00BC3EF0">
        <w:t>AGU</w:t>
      </w:r>
      <w:bookmarkEnd w:id="54"/>
    </w:p>
    <w:p w:rsidR="00843C83" w:rsidRPr="00383A39" w:rsidRDefault="00415A19" w:rsidP="00415A19">
      <w:pPr>
        <w:pStyle w:val="ListParagraph"/>
        <w:numPr>
          <w:ilvl w:val="0"/>
          <w:numId w:val="14"/>
        </w:numPr>
        <w:ind w:left="567" w:hanging="567"/>
        <w:rPr>
          <w:bCs/>
          <w:lang w:val="es-ES_tradnl"/>
        </w:rPr>
      </w:pPr>
      <w:r>
        <w:rPr>
          <w:bCs/>
          <w:lang w:val="es-ES_tradnl"/>
        </w:rPr>
        <w:t xml:space="preserve">Tomando ahora en consideración </w:t>
      </w:r>
      <w:r w:rsidR="00070A2F">
        <w:rPr>
          <w:bCs/>
          <w:lang w:val="es-ES_tradnl"/>
        </w:rPr>
        <w:t>la alternativa AGU</w:t>
      </w:r>
      <w:r>
        <w:rPr>
          <w:bCs/>
          <w:lang w:val="es-ES_tradnl"/>
        </w:rPr>
        <w:t>, el cuadro 11 muestra los flujos sin descontar de los beneficios, costos y el saldo entre ambos, de acuerdo con los criterios expresados en las secciones anteriores. En los dos primeros años del análisis, el saldo presenta valores negativos, cambiando de signo en los años siguientes hasta el final del periodo considerado en el análisis (2021).</w:t>
      </w:r>
    </w:p>
    <w:p w:rsidR="00843C83" w:rsidRPr="00383A39" w:rsidRDefault="00843C83" w:rsidP="00843C83">
      <w:pPr>
        <w:rPr>
          <w:bCs/>
          <w:lang w:val="es-ES_tradnl"/>
        </w:rPr>
      </w:pPr>
    </w:p>
    <w:p w:rsidR="00517832" w:rsidRPr="00383A39" w:rsidRDefault="00517832" w:rsidP="00517832">
      <w:pPr>
        <w:rPr>
          <w:bCs/>
          <w:lang w:val="es-ES_tradnl"/>
        </w:rPr>
      </w:pPr>
    </w:p>
    <w:p w:rsidR="00517832" w:rsidRPr="00D177C1" w:rsidRDefault="00517832" w:rsidP="00517832">
      <w:pPr>
        <w:pStyle w:val="ListParagraph"/>
        <w:spacing w:after="60"/>
        <w:ind w:left="360"/>
        <w:jc w:val="center"/>
        <w:rPr>
          <w:b/>
          <w:sz w:val="20"/>
        </w:rPr>
      </w:pPr>
      <w:r>
        <w:rPr>
          <w:b/>
          <w:sz w:val="20"/>
        </w:rPr>
        <w:t xml:space="preserve">Cuadro </w:t>
      </w:r>
      <w:r w:rsidR="00934C93">
        <w:rPr>
          <w:b/>
          <w:sz w:val="20"/>
        </w:rPr>
        <w:t>11</w:t>
      </w:r>
      <w:r w:rsidRPr="00D177C1">
        <w:rPr>
          <w:b/>
          <w:sz w:val="20"/>
        </w:rPr>
        <w:t xml:space="preserve">. </w:t>
      </w:r>
      <w:r>
        <w:rPr>
          <w:b/>
          <w:sz w:val="20"/>
        </w:rPr>
        <w:t xml:space="preserve">Flujos previstos </w:t>
      </w:r>
      <w:r w:rsidR="00070A2F">
        <w:rPr>
          <w:b/>
          <w:sz w:val="20"/>
        </w:rPr>
        <w:t xml:space="preserve">en la alternativa </w:t>
      </w:r>
      <w:r>
        <w:rPr>
          <w:b/>
          <w:sz w:val="20"/>
        </w:rPr>
        <w:t>AGU</w:t>
      </w:r>
    </w:p>
    <w:tbl>
      <w:tblPr>
        <w:tblW w:w="6377" w:type="dxa"/>
        <w:jc w:val="center"/>
        <w:tblInd w:w="637" w:type="dxa"/>
        <w:tblCellMar>
          <w:left w:w="70" w:type="dxa"/>
          <w:right w:w="70" w:type="dxa"/>
        </w:tblCellMar>
        <w:tblLook w:val="04A0" w:firstRow="1" w:lastRow="0" w:firstColumn="1" w:lastColumn="0" w:noHBand="0" w:noVBand="1"/>
      </w:tblPr>
      <w:tblGrid>
        <w:gridCol w:w="669"/>
        <w:gridCol w:w="1916"/>
        <w:gridCol w:w="1916"/>
        <w:gridCol w:w="1876"/>
      </w:tblGrid>
      <w:tr w:rsidR="00517832" w:rsidRPr="00517832" w:rsidTr="00B70AE8">
        <w:trPr>
          <w:trHeight w:val="225"/>
          <w:jc w:val="center"/>
        </w:trPr>
        <w:tc>
          <w:tcPr>
            <w:tcW w:w="669" w:type="dxa"/>
            <w:tcBorders>
              <w:top w:val="nil"/>
              <w:left w:val="nil"/>
              <w:bottom w:val="nil"/>
              <w:right w:val="nil"/>
            </w:tcBorders>
            <w:shd w:val="clear" w:color="auto" w:fill="auto"/>
            <w:noWrap/>
            <w:vAlign w:val="bottom"/>
          </w:tcPr>
          <w:p w:rsidR="00517832" w:rsidRPr="00517832" w:rsidRDefault="00517832" w:rsidP="00B70AE8">
            <w:pPr>
              <w:jc w:val="right"/>
              <w:rPr>
                <w:b/>
                <w:color w:val="000000"/>
                <w:sz w:val="20"/>
                <w:szCs w:val="20"/>
                <w:lang w:val="es-ES_tradnl" w:eastAsia="es-ES_tradnl"/>
              </w:rPr>
            </w:pPr>
          </w:p>
        </w:tc>
        <w:tc>
          <w:tcPr>
            <w:tcW w:w="1916" w:type="dxa"/>
            <w:tcBorders>
              <w:top w:val="nil"/>
              <w:left w:val="nil"/>
              <w:bottom w:val="nil"/>
              <w:right w:val="nil"/>
            </w:tcBorders>
            <w:vAlign w:val="bottom"/>
          </w:tcPr>
          <w:p w:rsidR="00517832" w:rsidRPr="00517832" w:rsidRDefault="00517832" w:rsidP="00934C93">
            <w:pPr>
              <w:jc w:val="center"/>
              <w:rPr>
                <w:b/>
                <w:color w:val="000000"/>
                <w:sz w:val="20"/>
                <w:szCs w:val="20"/>
                <w:lang w:val="es-ES_tradnl" w:eastAsia="es-ES_tradnl"/>
              </w:rPr>
            </w:pPr>
            <w:r w:rsidRPr="00517832">
              <w:rPr>
                <w:b/>
                <w:color w:val="000000"/>
                <w:sz w:val="20"/>
                <w:szCs w:val="20"/>
                <w:lang w:val="es-ES_tradnl" w:eastAsia="es-ES_tradnl"/>
              </w:rPr>
              <w:t>Beneficios</w:t>
            </w:r>
          </w:p>
        </w:tc>
        <w:tc>
          <w:tcPr>
            <w:tcW w:w="1916" w:type="dxa"/>
            <w:tcBorders>
              <w:top w:val="nil"/>
              <w:left w:val="nil"/>
              <w:bottom w:val="nil"/>
              <w:right w:val="nil"/>
            </w:tcBorders>
            <w:shd w:val="clear" w:color="auto" w:fill="auto"/>
            <w:noWrap/>
            <w:vAlign w:val="bottom"/>
          </w:tcPr>
          <w:p w:rsidR="00517832" w:rsidRPr="00517832" w:rsidRDefault="00517832" w:rsidP="00934C93">
            <w:pPr>
              <w:jc w:val="center"/>
              <w:rPr>
                <w:b/>
                <w:color w:val="000000"/>
                <w:sz w:val="20"/>
                <w:szCs w:val="18"/>
              </w:rPr>
            </w:pPr>
            <w:r w:rsidRPr="00517832">
              <w:rPr>
                <w:b/>
                <w:color w:val="000000"/>
                <w:sz w:val="20"/>
                <w:szCs w:val="18"/>
              </w:rPr>
              <w:t>Costos</w:t>
            </w:r>
          </w:p>
        </w:tc>
        <w:tc>
          <w:tcPr>
            <w:tcW w:w="1876" w:type="dxa"/>
            <w:tcBorders>
              <w:top w:val="nil"/>
              <w:left w:val="nil"/>
              <w:bottom w:val="nil"/>
              <w:right w:val="nil"/>
            </w:tcBorders>
            <w:shd w:val="clear" w:color="auto" w:fill="auto"/>
            <w:noWrap/>
            <w:vAlign w:val="bottom"/>
          </w:tcPr>
          <w:p w:rsidR="00517832" w:rsidRPr="00517832" w:rsidRDefault="00517832" w:rsidP="00934C93">
            <w:pPr>
              <w:jc w:val="center"/>
              <w:rPr>
                <w:b/>
                <w:color w:val="000000"/>
                <w:sz w:val="20"/>
                <w:szCs w:val="20"/>
                <w:lang w:val="es-ES_tradnl" w:eastAsia="es-ES_tradnl"/>
              </w:rPr>
            </w:pPr>
            <w:r w:rsidRPr="00517832">
              <w:rPr>
                <w:b/>
                <w:color w:val="000000"/>
                <w:sz w:val="20"/>
                <w:szCs w:val="20"/>
                <w:lang w:val="es-ES_tradnl" w:eastAsia="es-ES_tradnl"/>
              </w:rPr>
              <w:t>Saldo</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2012</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0</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9.757.374</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-9.757.374</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2013</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0</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9.757.374</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-9.757.374</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2014</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1.238.613.621</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10.321.374</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1.228.292.247</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2015</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1.558.914.555</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11.781.156</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1.547.133.399</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2016</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1.765.137.615</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14.479.532</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1.750.658.083</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2017</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1.961.006.639</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17.177.908</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1.943.828.731</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2018</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2.159.090.768</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19.876.284</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2.139.214.484</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2019</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2.389.293.909</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19.876.284</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2.369.417.625</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2020</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2.628.357.468</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10.118.910</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2.618.238.558</w:t>
            </w:r>
          </w:p>
        </w:tc>
      </w:tr>
      <w:tr w:rsidR="00934C93" w:rsidRPr="00517832" w:rsidTr="00B70AE8">
        <w:trPr>
          <w:trHeight w:val="225"/>
          <w:jc w:val="center"/>
        </w:trPr>
        <w:tc>
          <w:tcPr>
            <w:tcW w:w="669" w:type="dxa"/>
            <w:tcBorders>
              <w:top w:val="nil"/>
              <w:left w:val="nil"/>
              <w:bottom w:val="nil"/>
              <w:right w:val="nil"/>
            </w:tcBorders>
            <w:shd w:val="clear" w:color="auto" w:fill="auto"/>
            <w:noWrap/>
            <w:vAlign w:val="bottom"/>
            <w:hideMark/>
          </w:tcPr>
          <w:p w:rsidR="00934C93" w:rsidRPr="00517832" w:rsidRDefault="00934C93" w:rsidP="00B70AE8">
            <w:pPr>
              <w:jc w:val="right"/>
              <w:rPr>
                <w:color w:val="000000"/>
                <w:sz w:val="20"/>
                <w:szCs w:val="20"/>
                <w:lang w:val="es-ES_tradnl" w:eastAsia="es-ES_tradnl"/>
              </w:rPr>
            </w:pPr>
            <w:r w:rsidRPr="00517832">
              <w:rPr>
                <w:color w:val="000000"/>
                <w:sz w:val="20"/>
                <w:szCs w:val="20"/>
                <w:lang w:val="es-ES_tradnl" w:eastAsia="es-ES_tradnl"/>
              </w:rPr>
              <w:t>2021</w:t>
            </w:r>
          </w:p>
        </w:tc>
        <w:tc>
          <w:tcPr>
            <w:tcW w:w="1916" w:type="dxa"/>
            <w:tcBorders>
              <w:top w:val="nil"/>
              <w:left w:val="nil"/>
              <w:bottom w:val="nil"/>
              <w:right w:val="nil"/>
            </w:tcBorders>
            <w:vAlign w:val="bottom"/>
          </w:tcPr>
          <w:p w:rsidR="00934C93" w:rsidRPr="00517832" w:rsidRDefault="00934C93">
            <w:pPr>
              <w:jc w:val="right"/>
              <w:rPr>
                <w:color w:val="000000"/>
                <w:sz w:val="20"/>
                <w:szCs w:val="20"/>
              </w:rPr>
            </w:pPr>
            <w:r w:rsidRPr="00517832">
              <w:rPr>
                <w:color w:val="000000"/>
                <w:sz w:val="20"/>
                <w:szCs w:val="20"/>
              </w:rPr>
              <w:t>2.876.281.444</w:t>
            </w:r>
          </w:p>
        </w:tc>
        <w:tc>
          <w:tcPr>
            <w:tcW w:w="191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20"/>
              </w:rPr>
            </w:pPr>
            <w:r w:rsidRPr="00934C93">
              <w:rPr>
                <w:color w:val="000000"/>
                <w:sz w:val="20"/>
                <w:szCs w:val="20"/>
              </w:rPr>
              <w:t>10.118.910</w:t>
            </w:r>
          </w:p>
        </w:tc>
        <w:tc>
          <w:tcPr>
            <w:tcW w:w="1876" w:type="dxa"/>
            <w:tcBorders>
              <w:top w:val="nil"/>
              <w:left w:val="nil"/>
              <w:bottom w:val="nil"/>
              <w:right w:val="nil"/>
            </w:tcBorders>
            <w:shd w:val="clear" w:color="auto" w:fill="auto"/>
            <w:noWrap/>
            <w:vAlign w:val="bottom"/>
          </w:tcPr>
          <w:p w:rsidR="00934C93" w:rsidRPr="00934C93" w:rsidRDefault="00934C93">
            <w:pPr>
              <w:jc w:val="right"/>
              <w:rPr>
                <w:color w:val="000000"/>
                <w:sz w:val="20"/>
                <w:szCs w:val="18"/>
              </w:rPr>
            </w:pPr>
            <w:r w:rsidRPr="00934C93">
              <w:rPr>
                <w:color w:val="000000"/>
                <w:sz w:val="20"/>
                <w:szCs w:val="18"/>
              </w:rPr>
              <w:t>2.866.162.534</w:t>
            </w:r>
          </w:p>
        </w:tc>
      </w:tr>
    </w:tbl>
    <w:p w:rsidR="00517832" w:rsidRDefault="00517832" w:rsidP="00517832">
      <w:pPr>
        <w:ind w:left="1560"/>
      </w:pPr>
      <w:r w:rsidRPr="009E7F7F">
        <w:rPr>
          <w:sz w:val="18"/>
        </w:rPr>
        <w:t>Montos en reales 2010.</w:t>
      </w:r>
      <w:r>
        <w:rPr>
          <w:sz w:val="18"/>
        </w:rPr>
        <w:t xml:space="preserve"> Sin descontar.</w:t>
      </w:r>
    </w:p>
    <w:p w:rsidR="00843C83" w:rsidRPr="00415A19" w:rsidRDefault="00843C83" w:rsidP="00843C83">
      <w:pPr>
        <w:rPr>
          <w:bCs/>
        </w:rPr>
      </w:pPr>
    </w:p>
    <w:p w:rsidR="00843C83" w:rsidRPr="00415A19" w:rsidRDefault="00415A19" w:rsidP="00415A19">
      <w:pPr>
        <w:pStyle w:val="ListParagraph"/>
        <w:numPr>
          <w:ilvl w:val="0"/>
          <w:numId w:val="14"/>
        </w:numPr>
        <w:ind w:left="567" w:hanging="567"/>
        <w:rPr>
          <w:bCs/>
          <w:lang w:val="es-ES_tradnl"/>
        </w:rPr>
      </w:pPr>
      <w:r w:rsidRPr="00415A19">
        <w:rPr>
          <w:bCs/>
          <w:lang w:val="es-ES_tradnl"/>
        </w:rPr>
        <w:t xml:space="preserve">En el cuadro 12 </w:t>
      </w:r>
      <w:r>
        <w:rPr>
          <w:bCs/>
          <w:lang w:val="es-ES_tradnl"/>
        </w:rPr>
        <w:t>se presentan los resultados tras descontar los flujos. La tasa interna de retorno para est</w:t>
      </w:r>
      <w:r w:rsidR="00070A2F">
        <w:rPr>
          <w:bCs/>
          <w:lang w:val="es-ES_tradnl"/>
        </w:rPr>
        <w:t>a</w:t>
      </w:r>
      <w:r>
        <w:rPr>
          <w:bCs/>
          <w:lang w:val="es-ES_tradnl"/>
        </w:rPr>
        <w:t xml:space="preserve"> </w:t>
      </w:r>
      <w:r w:rsidR="00070A2F">
        <w:rPr>
          <w:bCs/>
          <w:lang w:val="es-ES_tradnl"/>
        </w:rPr>
        <w:t xml:space="preserve">alternativa </w:t>
      </w:r>
      <w:r>
        <w:rPr>
          <w:bCs/>
          <w:lang w:val="es-ES_tradnl"/>
        </w:rPr>
        <w:t xml:space="preserve">es del 1.039,8%, </w:t>
      </w:r>
      <w:r w:rsidR="00070A2F">
        <w:rPr>
          <w:bCs/>
          <w:lang w:val="es-ES_tradnl"/>
        </w:rPr>
        <w:t>inferior a</w:t>
      </w:r>
      <w:r>
        <w:rPr>
          <w:bCs/>
          <w:lang w:val="es-ES_tradnl"/>
        </w:rPr>
        <w:t xml:space="preserve"> la </w:t>
      </w:r>
      <w:r w:rsidR="00070A2F">
        <w:rPr>
          <w:bCs/>
          <w:lang w:val="es-ES_tradnl"/>
        </w:rPr>
        <w:t>de la alternativa</w:t>
      </w:r>
      <w:r>
        <w:rPr>
          <w:bCs/>
          <w:lang w:val="es-ES_tradnl"/>
        </w:rPr>
        <w:t xml:space="preserve"> BID, netamente superior a cualquiera de las tasas de descuento (6% y 12%) para el cálculo de los valores actuales de los costos y beneficios. Por tanto, también bajo est</w:t>
      </w:r>
      <w:r w:rsidR="00070A2F">
        <w:rPr>
          <w:bCs/>
          <w:lang w:val="es-ES_tradnl"/>
        </w:rPr>
        <w:t>a</w:t>
      </w:r>
      <w:r>
        <w:rPr>
          <w:bCs/>
          <w:lang w:val="es-ES_tradnl"/>
        </w:rPr>
        <w:t xml:space="preserve"> </w:t>
      </w:r>
      <w:r w:rsidR="00070A2F">
        <w:rPr>
          <w:bCs/>
          <w:lang w:val="es-ES_tradnl"/>
        </w:rPr>
        <w:t>alternativa AGU el</w:t>
      </w:r>
      <w:r w:rsidR="00E435C8">
        <w:rPr>
          <w:bCs/>
          <w:lang w:val="es-ES_tradnl"/>
        </w:rPr>
        <w:t xml:space="preserve"> resultado </w:t>
      </w:r>
      <w:r w:rsidR="00070A2F">
        <w:rPr>
          <w:bCs/>
          <w:lang w:val="es-ES_tradnl"/>
        </w:rPr>
        <w:t>es eficiente, pero tanto como la alternativa BID</w:t>
      </w:r>
      <w:r w:rsidR="00E435C8">
        <w:rPr>
          <w:bCs/>
          <w:lang w:val="es-ES_tradnl"/>
        </w:rPr>
        <w:t>.</w:t>
      </w:r>
    </w:p>
    <w:p w:rsidR="00934C93" w:rsidRPr="00415A19" w:rsidRDefault="00934C93" w:rsidP="00843C83">
      <w:pPr>
        <w:rPr>
          <w:bCs/>
          <w:lang w:val="es-ES_tradnl"/>
        </w:rPr>
      </w:pPr>
    </w:p>
    <w:p w:rsidR="00934C93" w:rsidRPr="00D177C1" w:rsidRDefault="00934C93" w:rsidP="00934C93">
      <w:pPr>
        <w:pStyle w:val="ListParagraph"/>
        <w:spacing w:after="60"/>
        <w:ind w:left="360" w:right="473"/>
        <w:jc w:val="center"/>
        <w:rPr>
          <w:b/>
          <w:sz w:val="20"/>
        </w:rPr>
      </w:pPr>
      <w:r>
        <w:rPr>
          <w:b/>
          <w:sz w:val="20"/>
        </w:rPr>
        <w:t>Cuadro 12</w:t>
      </w:r>
      <w:r w:rsidRPr="00D177C1">
        <w:rPr>
          <w:b/>
          <w:sz w:val="20"/>
        </w:rPr>
        <w:t xml:space="preserve">. </w:t>
      </w:r>
      <w:r>
        <w:rPr>
          <w:b/>
          <w:sz w:val="20"/>
        </w:rPr>
        <w:t xml:space="preserve">Resultados </w:t>
      </w:r>
      <w:r w:rsidR="00070A2F">
        <w:rPr>
          <w:b/>
          <w:sz w:val="20"/>
        </w:rPr>
        <w:t>en la alternativa AGU</w:t>
      </w:r>
    </w:p>
    <w:tbl>
      <w:tblPr>
        <w:tblW w:w="6219" w:type="dxa"/>
        <w:jc w:val="center"/>
        <w:tblInd w:w="70" w:type="dxa"/>
        <w:tblCellMar>
          <w:left w:w="70" w:type="dxa"/>
          <w:right w:w="70" w:type="dxa"/>
        </w:tblCellMar>
        <w:tblLook w:val="04A0" w:firstRow="1" w:lastRow="0" w:firstColumn="1" w:lastColumn="0" w:noHBand="0" w:noVBand="1"/>
      </w:tblPr>
      <w:tblGrid>
        <w:gridCol w:w="2727"/>
        <w:gridCol w:w="1876"/>
        <w:gridCol w:w="1616"/>
      </w:tblGrid>
      <w:tr w:rsidR="00934C93" w:rsidRPr="00934C93" w:rsidTr="000F615C">
        <w:trPr>
          <w:trHeight w:val="225"/>
          <w:jc w:val="center"/>
        </w:trPr>
        <w:tc>
          <w:tcPr>
            <w:tcW w:w="2727" w:type="dxa"/>
            <w:tcBorders>
              <w:top w:val="single" w:sz="4" w:space="0" w:color="auto"/>
              <w:left w:val="nil"/>
              <w:bottom w:val="single" w:sz="4" w:space="0" w:color="auto"/>
              <w:right w:val="nil"/>
            </w:tcBorders>
            <w:shd w:val="clear" w:color="auto" w:fill="D9D9D9" w:themeFill="background1" w:themeFillShade="D9"/>
            <w:noWrap/>
            <w:vAlign w:val="bottom"/>
            <w:hideMark/>
          </w:tcPr>
          <w:p w:rsidR="00934C93" w:rsidRPr="00934C93" w:rsidRDefault="00934C93" w:rsidP="00B70AE8">
            <w:pPr>
              <w:jc w:val="left"/>
              <w:rPr>
                <w:b/>
                <w:bCs/>
                <w:color w:val="000000"/>
                <w:sz w:val="20"/>
                <w:szCs w:val="20"/>
                <w:lang w:val="es-ES_tradnl" w:eastAsia="es-ES_tradnl"/>
              </w:rPr>
            </w:pPr>
            <w:r w:rsidRPr="00934C93">
              <w:rPr>
                <w:b/>
                <w:bCs/>
                <w:color w:val="000000"/>
                <w:sz w:val="20"/>
                <w:szCs w:val="20"/>
                <w:lang w:val="es-ES_tradnl" w:eastAsia="es-ES_tradnl"/>
              </w:rPr>
              <w:t>TIR</w:t>
            </w:r>
          </w:p>
        </w:tc>
        <w:tc>
          <w:tcPr>
            <w:tcW w:w="3492" w:type="dxa"/>
            <w:gridSpan w:val="2"/>
            <w:tcBorders>
              <w:top w:val="single" w:sz="4" w:space="0" w:color="auto"/>
              <w:left w:val="nil"/>
              <w:bottom w:val="single" w:sz="4" w:space="0" w:color="auto"/>
              <w:right w:val="nil"/>
            </w:tcBorders>
            <w:shd w:val="clear" w:color="auto" w:fill="D9D9D9" w:themeFill="background1" w:themeFillShade="D9"/>
            <w:noWrap/>
            <w:vAlign w:val="bottom"/>
            <w:hideMark/>
          </w:tcPr>
          <w:p w:rsidR="00934C93" w:rsidRPr="00934C93" w:rsidRDefault="00934C93" w:rsidP="00B70AE8">
            <w:pPr>
              <w:jc w:val="center"/>
              <w:rPr>
                <w:b/>
                <w:bCs/>
                <w:color w:val="000000"/>
                <w:sz w:val="20"/>
                <w:szCs w:val="20"/>
                <w:lang w:val="es-ES_tradnl" w:eastAsia="es-ES_tradnl"/>
              </w:rPr>
            </w:pPr>
            <w:r w:rsidRPr="00934C93">
              <w:rPr>
                <w:b/>
                <w:bCs/>
                <w:color w:val="000000"/>
                <w:sz w:val="20"/>
                <w:szCs w:val="20"/>
                <w:lang w:val="es-ES_tradnl" w:eastAsia="es-ES_tradnl"/>
              </w:rPr>
              <w:t>1.039,8%</w:t>
            </w:r>
          </w:p>
        </w:tc>
      </w:tr>
      <w:tr w:rsidR="00934C93" w:rsidRPr="00934C93" w:rsidTr="000F615C">
        <w:trPr>
          <w:trHeight w:val="225"/>
          <w:jc w:val="center"/>
        </w:trPr>
        <w:tc>
          <w:tcPr>
            <w:tcW w:w="2727" w:type="dxa"/>
            <w:tcBorders>
              <w:top w:val="single" w:sz="4" w:space="0" w:color="auto"/>
              <w:left w:val="nil"/>
              <w:right w:val="nil"/>
            </w:tcBorders>
            <w:shd w:val="clear" w:color="auto" w:fill="auto"/>
            <w:noWrap/>
            <w:vAlign w:val="bottom"/>
            <w:hideMark/>
          </w:tcPr>
          <w:p w:rsidR="00934C93" w:rsidRPr="00934C93" w:rsidRDefault="00934C93" w:rsidP="00B70AE8">
            <w:pPr>
              <w:jc w:val="left"/>
              <w:rPr>
                <w:b/>
                <w:bCs/>
                <w:color w:val="000000"/>
                <w:sz w:val="20"/>
                <w:szCs w:val="20"/>
                <w:lang w:val="es-ES_tradnl" w:eastAsia="es-ES_tradnl"/>
              </w:rPr>
            </w:pPr>
          </w:p>
        </w:tc>
        <w:tc>
          <w:tcPr>
            <w:tcW w:w="1876" w:type="dxa"/>
            <w:tcBorders>
              <w:top w:val="single" w:sz="4" w:space="0" w:color="auto"/>
              <w:left w:val="nil"/>
              <w:right w:val="nil"/>
            </w:tcBorders>
            <w:shd w:val="clear" w:color="auto" w:fill="auto"/>
            <w:noWrap/>
            <w:vAlign w:val="bottom"/>
            <w:hideMark/>
          </w:tcPr>
          <w:p w:rsidR="00934C93" w:rsidRPr="00934C93" w:rsidRDefault="00934C93" w:rsidP="00B70AE8">
            <w:pPr>
              <w:jc w:val="center"/>
              <w:rPr>
                <w:b/>
                <w:bCs/>
                <w:color w:val="000000"/>
                <w:sz w:val="20"/>
                <w:szCs w:val="20"/>
                <w:lang w:val="es-ES_tradnl" w:eastAsia="es-ES_tradnl"/>
              </w:rPr>
            </w:pPr>
          </w:p>
        </w:tc>
        <w:tc>
          <w:tcPr>
            <w:tcW w:w="1616" w:type="dxa"/>
            <w:tcBorders>
              <w:top w:val="single" w:sz="4" w:space="0" w:color="auto"/>
              <w:left w:val="nil"/>
              <w:right w:val="nil"/>
            </w:tcBorders>
            <w:shd w:val="clear" w:color="auto" w:fill="auto"/>
            <w:noWrap/>
            <w:vAlign w:val="bottom"/>
            <w:hideMark/>
          </w:tcPr>
          <w:p w:rsidR="00934C93" w:rsidRPr="00934C93" w:rsidRDefault="00934C93" w:rsidP="00B70AE8">
            <w:pPr>
              <w:jc w:val="center"/>
              <w:rPr>
                <w:b/>
                <w:bCs/>
                <w:color w:val="000000"/>
                <w:sz w:val="20"/>
                <w:szCs w:val="20"/>
                <w:lang w:val="es-ES_tradnl" w:eastAsia="es-ES_tradnl"/>
              </w:rPr>
            </w:pPr>
          </w:p>
        </w:tc>
      </w:tr>
      <w:tr w:rsidR="00934C93" w:rsidRPr="00934C93" w:rsidTr="000F615C">
        <w:trPr>
          <w:trHeight w:val="225"/>
          <w:jc w:val="center"/>
        </w:trPr>
        <w:tc>
          <w:tcPr>
            <w:tcW w:w="2727" w:type="dxa"/>
            <w:tcBorders>
              <w:top w:val="nil"/>
              <w:left w:val="nil"/>
              <w:bottom w:val="single" w:sz="4" w:space="0" w:color="auto"/>
              <w:right w:val="nil"/>
            </w:tcBorders>
            <w:shd w:val="clear" w:color="auto" w:fill="auto"/>
            <w:noWrap/>
            <w:vAlign w:val="bottom"/>
            <w:hideMark/>
          </w:tcPr>
          <w:p w:rsidR="00934C93" w:rsidRPr="00934C93" w:rsidRDefault="00934C93" w:rsidP="00B70AE8">
            <w:pPr>
              <w:jc w:val="left"/>
              <w:rPr>
                <w:color w:val="000000"/>
                <w:sz w:val="20"/>
                <w:szCs w:val="20"/>
                <w:lang w:val="es-ES_tradnl" w:eastAsia="es-ES_tradnl"/>
              </w:rPr>
            </w:pPr>
            <w:r w:rsidRPr="00934C93">
              <w:rPr>
                <w:color w:val="000000"/>
                <w:sz w:val="20"/>
                <w:szCs w:val="20"/>
                <w:lang w:val="es-ES_tradnl" w:eastAsia="es-ES_tradnl"/>
              </w:rPr>
              <w:t>Tasa de descuento</w:t>
            </w:r>
          </w:p>
        </w:tc>
        <w:tc>
          <w:tcPr>
            <w:tcW w:w="1876" w:type="dxa"/>
            <w:tcBorders>
              <w:top w:val="nil"/>
              <w:left w:val="nil"/>
              <w:bottom w:val="single" w:sz="4" w:space="0" w:color="auto"/>
              <w:right w:val="nil"/>
            </w:tcBorders>
            <w:shd w:val="clear" w:color="auto" w:fill="auto"/>
            <w:noWrap/>
            <w:vAlign w:val="bottom"/>
            <w:hideMark/>
          </w:tcPr>
          <w:p w:rsidR="00934C93" w:rsidRPr="00934C93" w:rsidRDefault="00934C93" w:rsidP="00B70AE8">
            <w:pPr>
              <w:jc w:val="right"/>
              <w:rPr>
                <w:color w:val="000000"/>
                <w:sz w:val="20"/>
                <w:szCs w:val="20"/>
                <w:lang w:val="es-ES_tradnl" w:eastAsia="es-ES_tradnl"/>
              </w:rPr>
            </w:pPr>
            <w:r w:rsidRPr="00934C93">
              <w:rPr>
                <w:color w:val="000000"/>
                <w:sz w:val="20"/>
                <w:szCs w:val="20"/>
                <w:lang w:val="es-ES_tradnl" w:eastAsia="es-ES_tradnl"/>
              </w:rPr>
              <w:t>6,0%</w:t>
            </w:r>
          </w:p>
        </w:tc>
        <w:tc>
          <w:tcPr>
            <w:tcW w:w="1616" w:type="dxa"/>
            <w:tcBorders>
              <w:top w:val="nil"/>
              <w:left w:val="nil"/>
              <w:bottom w:val="single" w:sz="4" w:space="0" w:color="auto"/>
              <w:right w:val="nil"/>
            </w:tcBorders>
            <w:shd w:val="clear" w:color="auto" w:fill="auto"/>
            <w:noWrap/>
            <w:vAlign w:val="bottom"/>
            <w:hideMark/>
          </w:tcPr>
          <w:p w:rsidR="00934C93" w:rsidRPr="00934C93" w:rsidRDefault="00934C93" w:rsidP="00B70AE8">
            <w:pPr>
              <w:jc w:val="right"/>
              <w:rPr>
                <w:color w:val="000000"/>
                <w:sz w:val="20"/>
                <w:szCs w:val="20"/>
                <w:lang w:val="es-ES_tradnl" w:eastAsia="es-ES_tradnl"/>
              </w:rPr>
            </w:pPr>
            <w:r w:rsidRPr="00934C93">
              <w:rPr>
                <w:color w:val="000000"/>
                <w:sz w:val="20"/>
                <w:szCs w:val="20"/>
                <w:lang w:val="es-ES_tradnl" w:eastAsia="es-ES_tradnl"/>
              </w:rPr>
              <w:t>12%</w:t>
            </w:r>
          </w:p>
        </w:tc>
      </w:tr>
      <w:tr w:rsidR="00934C93" w:rsidRPr="00934C93" w:rsidTr="000F615C">
        <w:trPr>
          <w:trHeight w:val="225"/>
          <w:jc w:val="center"/>
        </w:trPr>
        <w:tc>
          <w:tcPr>
            <w:tcW w:w="2727" w:type="dxa"/>
            <w:tcBorders>
              <w:top w:val="single" w:sz="4" w:space="0" w:color="auto"/>
              <w:left w:val="nil"/>
              <w:bottom w:val="nil"/>
              <w:right w:val="nil"/>
            </w:tcBorders>
            <w:shd w:val="clear" w:color="auto" w:fill="auto"/>
            <w:noWrap/>
            <w:vAlign w:val="bottom"/>
            <w:hideMark/>
          </w:tcPr>
          <w:p w:rsidR="00934C93" w:rsidRPr="00934C93" w:rsidRDefault="00934C93" w:rsidP="00B70AE8">
            <w:pPr>
              <w:jc w:val="left"/>
              <w:rPr>
                <w:color w:val="000000"/>
                <w:sz w:val="20"/>
                <w:szCs w:val="20"/>
                <w:lang w:val="es-ES_tradnl" w:eastAsia="es-ES_tradnl"/>
              </w:rPr>
            </w:pPr>
            <w:r w:rsidRPr="00934C93">
              <w:rPr>
                <w:color w:val="000000"/>
                <w:sz w:val="20"/>
                <w:szCs w:val="20"/>
                <w:lang w:val="es-ES_tradnl" w:eastAsia="es-ES_tradnl"/>
              </w:rPr>
              <w:t>Beneficios (VA)</w:t>
            </w:r>
          </w:p>
        </w:tc>
        <w:tc>
          <w:tcPr>
            <w:tcW w:w="1876" w:type="dxa"/>
            <w:tcBorders>
              <w:top w:val="single" w:sz="4" w:space="0" w:color="auto"/>
              <w:left w:val="nil"/>
              <w:bottom w:val="nil"/>
              <w:right w:val="nil"/>
            </w:tcBorders>
            <w:shd w:val="clear" w:color="auto" w:fill="auto"/>
            <w:noWrap/>
            <w:vAlign w:val="bottom"/>
            <w:hideMark/>
          </w:tcPr>
          <w:p w:rsidR="00934C93" w:rsidRPr="00934C93" w:rsidRDefault="00934C93" w:rsidP="00B70AE8">
            <w:pPr>
              <w:jc w:val="right"/>
              <w:rPr>
                <w:color w:val="000000"/>
                <w:sz w:val="20"/>
                <w:szCs w:val="20"/>
                <w:lang w:val="es-ES_tradnl" w:eastAsia="es-ES_tradnl"/>
              </w:rPr>
            </w:pPr>
            <w:r w:rsidRPr="00934C93">
              <w:rPr>
                <w:color w:val="000000"/>
                <w:sz w:val="20"/>
                <w:szCs w:val="20"/>
                <w:lang w:val="es-ES_tradnl" w:eastAsia="es-ES_tradnl"/>
              </w:rPr>
              <w:t>11.073.028.544</w:t>
            </w:r>
          </w:p>
        </w:tc>
        <w:tc>
          <w:tcPr>
            <w:tcW w:w="1616" w:type="dxa"/>
            <w:tcBorders>
              <w:top w:val="single" w:sz="4" w:space="0" w:color="auto"/>
              <w:left w:val="nil"/>
              <w:bottom w:val="nil"/>
              <w:right w:val="nil"/>
            </w:tcBorders>
            <w:shd w:val="clear" w:color="auto" w:fill="auto"/>
            <w:noWrap/>
            <w:vAlign w:val="bottom"/>
            <w:hideMark/>
          </w:tcPr>
          <w:p w:rsidR="00934C93" w:rsidRPr="00934C93" w:rsidRDefault="00934C93" w:rsidP="00B70AE8">
            <w:pPr>
              <w:jc w:val="right"/>
              <w:rPr>
                <w:color w:val="000000"/>
                <w:sz w:val="20"/>
                <w:szCs w:val="20"/>
                <w:lang w:val="es-ES_tradnl" w:eastAsia="es-ES_tradnl"/>
              </w:rPr>
            </w:pPr>
            <w:r w:rsidRPr="00934C93">
              <w:rPr>
                <w:color w:val="000000"/>
                <w:sz w:val="20"/>
                <w:szCs w:val="20"/>
                <w:lang w:val="es-ES_tradnl" w:eastAsia="es-ES_tradnl"/>
              </w:rPr>
              <w:t>7.682.989.021</w:t>
            </w:r>
          </w:p>
        </w:tc>
      </w:tr>
      <w:tr w:rsidR="00934C93" w:rsidRPr="00934C93" w:rsidTr="000F615C">
        <w:trPr>
          <w:trHeight w:val="225"/>
          <w:jc w:val="center"/>
        </w:trPr>
        <w:tc>
          <w:tcPr>
            <w:tcW w:w="2727" w:type="dxa"/>
            <w:tcBorders>
              <w:top w:val="nil"/>
              <w:left w:val="nil"/>
              <w:bottom w:val="nil"/>
              <w:right w:val="nil"/>
            </w:tcBorders>
            <w:shd w:val="clear" w:color="auto" w:fill="auto"/>
            <w:noWrap/>
            <w:vAlign w:val="bottom"/>
            <w:hideMark/>
          </w:tcPr>
          <w:p w:rsidR="00934C93" w:rsidRPr="00934C93" w:rsidRDefault="00934C93" w:rsidP="00B70AE8">
            <w:pPr>
              <w:jc w:val="left"/>
              <w:rPr>
                <w:color w:val="000000"/>
                <w:sz w:val="20"/>
                <w:szCs w:val="20"/>
                <w:lang w:val="es-ES_tradnl" w:eastAsia="es-ES_tradnl"/>
              </w:rPr>
            </w:pPr>
            <w:r w:rsidRPr="00934C93">
              <w:rPr>
                <w:color w:val="000000"/>
                <w:sz w:val="20"/>
                <w:szCs w:val="20"/>
                <w:lang w:val="es-ES_tradnl" w:eastAsia="es-ES_tradnl"/>
              </w:rPr>
              <w:t>Costos (VA)</w:t>
            </w:r>
          </w:p>
        </w:tc>
        <w:tc>
          <w:tcPr>
            <w:tcW w:w="1876" w:type="dxa"/>
            <w:tcBorders>
              <w:top w:val="nil"/>
              <w:left w:val="nil"/>
              <w:bottom w:val="nil"/>
              <w:right w:val="nil"/>
            </w:tcBorders>
            <w:shd w:val="clear" w:color="auto" w:fill="auto"/>
            <w:noWrap/>
            <w:vAlign w:val="bottom"/>
            <w:hideMark/>
          </w:tcPr>
          <w:p w:rsidR="00934C93" w:rsidRPr="00934C93" w:rsidRDefault="00934C93" w:rsidP="00B70AE8">
            <w:pPr>
              <w:jc w:val="right"/>
              <w:rPr>
                <w:color w:val="000000"/>
                <w:sz w:val="20"/>
                <w:szCs w:val="20"/>
                <w:lang w:val="es-ES_tradnl" w:eastAsia="es-ES_tradnl"/>
              </w:rPr>
            </w:pPr>
            <w:r w:rsidRPr="00934C93">
              <w:rPr>
                <w:color w:val="000000"/>
                <w:sz w:val="20"/>
                <w:szCs w:val="20"/>
                <w:lang w:val="es-ES_tradnl" w:eastAsia="es-ES_tradnl"/>
              </w:rPr>
              <w:t>96.145.802</w:t>
            </w:r>
          </w:p>
        </w:tc>
        <w:tc>
          <w:tcPr>
            <w:tcW w:w="1616" w:type="dxa"/>
            <w:tcBorders>
              <w:top w:val="nil"/>
              <w:left w:val="nil"/>
              <w:bottom w:val="nil"/>
              <w:right w:val="nil"/>
            </w:tcBorders>
            <w:shd w:val="clear" w:color="auto" w:fill="auto"/>
            <w:noWrap/>
            <w:vAlign w:val="bottom"/>
            <w:hideMark/>
          </w:tcPr>
          <w:p w:rsidR="00934C93" w:rsidRPr="00934C93" w:rsidRDefault="00934C93" w:rsidP="00B70AE8">
            <w:pPr>
              <w:jc w:val="right"/>
              <w:rPr>
                <w:color w:val="000000"/>
                <w:sz w:val="20"/>
                <w:szCs w:val="20"/>
                <w:lang w:val="es-ES_tradnl" w:eastAsia="es-ES_tradnl"/>
              </w:rPr>
            </w:pPr>
            <w:r w:rsidRPr="00934C93">
              <w:rPr>
                <w:color w:val="000000"/>
                <w:sz w:val="20"/>
                <w:szCs w:val="20"/>
                <w:lang w:val="es-ES_tradnl" w:eastAsia="es-ES_tradnl"/>
              </w:rPr>
              <w:t>72.168.804</w:t>
            </w:r>
          </w:p>
        </w:tc>
      </w:tr>
      <w:tr w:rsidR="000F615C" w:rsidRPr="00934C93" w:rsidTr="000F615C">
        <w:trPr>
          <w:trHeight w:val="225"/>
          <w:jc w:val="center"/>
        </w:trPr>
        <w:tc>
          <w:tcPr>
            <w:tcW w:w="2727" w:type="dxa"/>
            <w:tcBorders>
              <w:top w:val="nil"/>
              <w:left w:val="nil"/>
              <w:right w:val="nil"/>
            </w:tcBorders>
            <w:shd w:val="clear" w:color="auto" w:fill="auto"/>
            <w:noWrap/>
            <w:vAlign w:val="bottom"/>
            <w:hideMark/>
          </w:tcPr>
          <w:p w:rsidR="000F615C" w:rsidRPr="00934C93" w:rsidRDefault="000F615C" w:rsidP="000F615C">
            <w:pPr>
              <w:jc w:val="left"/>
              <w:rPr>
                <w:color w:val="000000"/>
                <w:sz w:val="20"/>
                <w:szCs w:val="20"/>
                <w:lang w:val="es-ES_tradnl" w:eastAsia="es-ES_tradnl"/>
              </w:rPr>
            </w:pPr>
            <w:r w:rsidRPr="00934C93">
              <w:rPr>
                <w:color w:val="000000"/>
                <w:sz w:val="20"/>
                <w:szCs w:val="20"/>
                <w:lang w:val="es-ES_tradnl" w:eastAsia="es-ES_tradnl"/>
              </w:rPr>
              <w:t>Saldo neto (VAN)</w:t>
            </w:r>
          </w:p>
        </w:tc>
        <w:tc>
          <w:tcPr>
            <w:tcW w:w="1876" w:type="dxa"/>
            <w:tcBorders>
              <w:top w:val="nil"/>
              <w:left w:val="nil"/>
              <w:right w:val="nil"/>
            </w:tcBorders>
            <w:shd w:val="clear" w:color="auto" w:fill="auto"/>
            <w:noWrap/>
            <w:vAlign w:val="bottom"/>
            <w:hideMark/>
          </w:tcPr>
          <w:p w:rsidR="000F615C" w:rsidRPr="00934C93" w:rsidRDefault="000F615C" w:rsidP="00B70AE8">
            <w:pPr>
              <w:jc w:val="right"/>
              <w:rPr>
                <w:color w:val="000000"/>
                <w:sz w:val="20"/>
                <w:szCs w:val="20"/>
                <w:lang w:val="es-ES_tradnl" w:eastAsia="es-ES_tradnl"/>
              </w:rPr>
            </w:pPr>
            <w:r w:rsidRPr="00934C93">
              <w:rPr>
                <w:color w:val="000000"/>
                <w:sz w:val="20"/>
                <w:szCs w:val="20"/>
                <w:lang w:val="es-ES_tradnl" w:eastAsia="es-ES_tradnl"/>
              </w:rPr>
              <w:t>10.976.882.742</w:t>
            </w:r>
          </w:p>
        </w:tc>
        <w:tc>
          <w:tcPr>
            <w:tcW w:w="1616" w:type="dxa"/>
            <w:tcBorders>
              <w:top w:val="nil"/>
              <w:left w:val="nil"/>
              <w:right w:val="nil"/>
            </w:tcBorders>
            <w:shd w:val="clear" w:color="auto" w:fill="auto"/>
            <w:noWrap/>
            <w:vAlign w:val="bottom"/>
            <w:hideMark/>
          </w:tcPr>
          <w:p w:rsidR="000F615C" w:rsidRPr="00934C93" w:rsidRDefault="000F615C" w:rsidP="00B70AE8">
            <w:pPr>
              <w:jc w:val="right"/>
              <w:rPr>
                <w:color w:val="000000"/>
                <w:sz w:val="20"/>
                <w:szCs w:val="20"/>
                <w:lang w:val="es-ES_tradnl" w:eastAsia="es-ES_tradnl"/>
              </w:rPr>
            </w:pPr>
            <w:r w:rsidRPr="00934C93">
              <w:rPr>
                <w:color w:val="000000"/>
                <w:sz w:val="20"/>
                <w:szCs w:val="20"/>
                <w:lang w:val="es-ES_tradnl" w:eastAsia="es-ES_tradnl"/>
              </w:rPr>
              <w:t>7.610.820.218</w:t>
            </w:r>
          </w:p>
        </w:tc>
      </w:tr>
      <w:tr w:rsidR="000F615C" w:rsidRPr="00934C93" w:rsidTr="000F615C">
        <w:trPr>
          <w:trHeight w:val="225"/>
          <w:jc w:val="center"/>
        </w:trPr>
        <w:tc>
          <w:tcPr>
            <w:tcW w:w="2727" w:type="dxa"/>
            <w:tcBorders>
              <w:top w:val="nil"/>
              <w:left w:val="nil"/>
              <w:bottom w:val="single" w:sz="4" w:space="0" w:color="auto"/>
              <w:right w:val="nil"/>
            </w:tcBorders>
            <w:shd w:val="clear" w:color="auto" w:fill="auto"/>
            <w:noWrap/>
            <w:vAlign w:val="bottom"/>
            <w:hideMark/>
          </w:tcPr>
          <w:p w:rsidR="000F615C" w:rsidRPr="00934C93" w:rsidRDefault="000F615C" w:rsidP="000F615C">
            <w:pPr>
              <w:jc w:val="left"/>
              <w:rPr>
                <w:color w:val="000000"/>
                <w:sz w:val="20"/>
                <w:szCs w:val="20"/>
                <w:lang w:val="es-ES_tradnl" w:eastAsia="es-ES_tradnl"/>
              </w:rPr>
            </w:pPr>
            <w:r>
              <w:rPr>
                <w:color w:val="000000"/>
                <w:sz w:val="20"/>
                <w:szCs w:val="20"/>
                <w:lang w:val="es-ES_tradnl" w:eastAsia="es-ES_tradnl"/>
              </w:rPr>
              <w:t>Beneficios</w:t>
            </w:r>
            <w:r w:rsidRPr="00934C93">
              <w:rPr>
                <w:color w:val="000000"/>
                <w:sz w:val="20"/>
                <w:szCs w:val="20"/>
                <w:lang w:val="es-ES_tradnl" w:eastAsia="es-ES_tradnl"/>
              </w:rPr>
              <w:t>/Costos</w:t>
            </w:r>
            <w:r>
              <w:rPr>
                <w:color w:val="000000"/>
                <w:sz w:val="20"/>
                <w:szCs w:val="20"/>
                <w:lang w:val="es-ES_tradnl" w:eastAsia="es-ES_tradnl"/>
              </w:rPr>
              <w:t xml:space="preserve"> (VAB/VAC)</w:t>
            </w:r>
          </w:p>
        </w:tc>
        <w:tc>
          <w:tcPr>
            <w:tcW w:w="1876" w:type="dxa"/>
            <w:tcBorders>
              <w:top w:val="nil"/>
              <w:left w:val="nil"/>
              <w:bottom w:val="single" w:sz="4" w:space="0" w:color="auto"/>
              <w:right w:val="nil"/>
            </w:tcBorders>
            <w:shd w:val="clear" w:color="auto" w:fill="auto"/>
            <w:noWrap/>
            <w:vAlign w:val="bottom"/>
            <w:hideMark/>
          </w:tcPr>
          <w:p w:rsidR="000F615C" w:rsidRPr="000F615C" w:rsidRDefault="000F615C">
            <w:pPr>
              <w:jc w:val="right"/>
              <w:rPr>
                <w:color w:val="000000"/>
                <w:sz w:val="20"/>
                <w:szCs w:val="20"/>
                <w:lang w:val="es-ES_tradnl" w:eastAsia="es-ES_tradnl"/>
              </w:rPr>
            </w:pPr>
            <w:r w:rsidRPr="000F615C">
              <w:rPr>
                <w:color w:val="000000"/>
                <w:sz w:val="20"/>
                <w:szCs w:val="20"/>
                <w:lang w:val="es-ES_tradnl" w:eastAsia="es-ES_tradnl"/>
              </w:rPr>
              <w:t>11.516,9%</w:t>
            </w:r>
          </w:p>
        </w:tc>
        <w:tc>
          <w:tcPr>
            <w:tcW w:w="1616" w:type="dxa"/>
            <w:tcBorders>
              <w:top w:val="nil"/>
              <w:left w:val="nil"/>
              <w:bottom w:val="single" w:sz="4" w:space="0" w:color="auto"/>
              <w:right w:val="nil"/>
            </w:tcBorders>
            <w:shd w:val="clear" w:color="auto" w:fill="auto"/>
            <w:noWrap/>
            <w:vAlign w:val="bottom"/>
            <w:hideMark/>
          </w:tcPr>
          <w:p w:rsidR="000F615C" w:rsidRPr="000F615C" w:rsidRDefault="000F615C">
            <w:pPr>
              <w:jc w:val="right"/>
              <w:rPr>
                <w:color w:val="000000"/>
                <w:sz w:val="20"/>
                <w:szCs w:val="20"/>
                <w:lang w:val="es-ES_tradnl" w:eastAsia="es-ES_tradnl"/>
              </w:rPr>
            </w:pPr>
            <w:r w:rsidRPr="000F615C">
              <w:rPr>
                <w:color w:val="000000"/>
                <w:sz w:val="20"/>
                <w:szCs w:val="20"/>
                <w:lang w:val="es-ES_tradnl" w:eastAsia="es-ES_tradnl"/>
              </w:rPr>
              <w:t>10.645,9%</w:t>
            </w:r>
          </w:p>
        </w:tc>
      </w:tr>
    </w:tbl>
    <w:p w:rsidR="00070A2F" w:rsidRDefault="00070A2F" w:rsidP="00070A2F">
      <w:pPr>
        <w:ind w:left="1701"/>
        <w:rPr>
          <w:bCs/>
          <w:lang w:val="es-ES_tradnl"/>
        </w:rPr>
      </w:pPr>
      <w:r w:rsidRPr="009E7F7F">
        <w:rPr>
          <w:sz w:val="18"/>
        </w:rPr>
        <w:t>Montos en reales 2010.</w:t>
      </w:r>
    </w:p>
    <w:p w:rsidR="00934C93" w:rsidRPr="00415A19" w:rsidRDefault="00934C93" w:rsidP="00843C83">
      <w:pPr>
        <w:rPr>
          <w:bCs/>
          <w:lang w:val="es-ES_tradnl"/>
        </w:rPr>
      </w:pPr>
    </w:p>
    <w:p w:rsidR="00843C83" w:rsidRPr="00415A19" w:rsidRDefault="00843C83" w:rsidP="00843C83">
      <w:pPr>
        <w:rPr>
          <w:bCs/>
          <w:lang w:val="es-ES_tradnl"/>
        </w:rPr>
      </w:pPr>
    </w:p>
    <w:p w:rsidR="00843C83" w:rsidRPr="00934C93" w:rsidRDefault="00934C93" w:rsidP="00934C93">
      <w:pPr>
        <w:pStyle w:val="Heading1"/>
      </w:pPr>
      <w:bookmarkStart w:id="55" w:name="_Toc303885524"/>
      <w:bookmarkStart w:id="56" w:name="_Toc298005499"/>
      <w:r w:rsidRPr="00934C93">
        <w:lastRenderedPageBreak/>
        <w:t>Análisis de sensibilidad</w:t>
      </w:r>
      <w:bookmarkEnd w:id="55"/>
      <w:bookmarkEnd w:id="56"/>
    </w:p>
    <w:p w:rsidR="00AD46F0" w:rsidRPr="00B462D2" w:rsidRDefault="00A46C73" w:rsidP="00245893">
      <w:pPr>
        <w:pStyle w:val="ListParagraph"/>
        <w:numPr>
          <w:ilvl w:val="0"/>
          <w:numId w:val="14"/>
        </w:numPr>
        <w:ind w:left="567" w:hanging="567"/>
        <w:rPr>
          <w:bCs/>
          <w:lang w:val="es-ES_tradnl"/>
        </w:rPr>
      </w:pPr>
      <w:r w:rsidRPr="00245893">
        <w:rPr>
          <w:bCs/>
          <w:lang w:val="es-ES_tradnl"/>
        </w:rPr>
        <w:t xml:space="preserve">Para la realización del análisis de sensibilidad, se han realizado dos ejercicios diferentes tomando como base la alternativa BID. </w:t>
      </w:r>
      <w:r w:rsidRPr="0042098D">
        <w:rPr>
          <w:bCs/>
          <w:lang w:val="es-ES_tradnl"/>
        </w:rPr>
        <w:t xml:space="preserve">Estos dos ejercicios suponen en esencia dos enfoques distintos, siguiendo </w:t>
      </w:r>
      <w:r w:rsidRPr="003A6301">
        <w:rPr>
          <w:bCs/>
          <w:lang w:val="es-ES_tradnl"/>
        </w:rPr>
        <w:t>dos de los</w:t>
      </w:r>
      <w:r w:rsidRPr="00363B72">
        <w:rPr>
          <w:bCs/>
          <w:lang w:val="es-ES_tradnl"/>
        </w:rPr>
        <w:t xml:space="preserve"> criterios</w:t>
      </w:r>
      <w:r w:rsidRPr="0029515A">
        <w:rPr>
          <w:bCs/>
          <w:lang w:val="es-ES_tradnl"/>
        </w:rPr>
        <w:t xml:space="preserve"> que se establecen en </w:t>
      </w:r>
      <w:proofErr w:type="spellStart"/>
      <w:r w:rsidRPr="0029515A">
        <w:rPr>
          <w:bCs/>
          <w:lang w:val="es-ES_tradnl"/>
        </w:rPr>
        <w:t>Drummond</w:t>
      </w:r>
      <w:proofErr w:type="spellEnd"/>
      <w:r w:rsidRPr="0029515A">
        <w:rPr>
          <w:bCs/>
          <w:lang w:val="es-ES_tradnl"/>
        </w:rPr>
        <w:t xml:space="preserve"> </w:t>
      </w:r>
      <w:r w:rsidRPr="00B462D2">
        <w:rPr>
          <w:bCs/>
          <w:i/>
          <w:lang w:val="es-ES_tradnl"/>
        </w:rPr>
        <w:t xml:space="preserve">et </w:t>
      </w:r>
      <w:proofErr w:type="spellStart"/>
      <w:r w:rsidRPr="00B462D2">
        <w:rPr>
          <w:bCs/>
          <w:i/>
          <w:lang w:val="es-ES_tradnl"/>
        </w:rPr>
        <w:t>alia</w:t>
      </w:r>
      <w:proofErr w:type="spellEnd"/>
      <w:r w:rsidRPr="00245893">
        <w:rPr>
          <w:bCs/>
          <w:lang w:val="es-ES_tradnl"/>
        </w:rPr>
        <w:t xml:space="preserve"> (</w:t>
      </w:r>
      <w:r w:rsidRPr="0042098D">
        <w:rPr>
          <w:bCs/>
          <w:lang w:val="es-ES_tradnl"/>
        </w:rPr>
        <w:t>2005: 42</w:t>
      </w:r>
      <w:r w:rsidR="006077EA" w:rsidRPr="0042098D">
        <w:rPr>
          <w:bCs/>
          <w:lang w:val="es-ES_tradnl"/>
        </w:rPr>
        <w:t xml:space="preserve"> en adelante</w:t>
      </w:r>
      <w:r w:rsidRPr="003A6301">
        <w:rPr>
          <w:bCs/>
          <w:lang w:val="es-ES_tradnl"/>
        </w:rPr>
        <w:t>).</w:t>
      </w:r>
      <w:r w:rsidR="00245893" w:rsidRPr="00363B72">
        <w:rPr>
          <w:bCs/>
          <w:lang w:val="es-ES_tradnl"/>
        </w:rPr>
        <w:t xml:space="preserve"> </w:t>
      </w:r>
      <w:r w:rsidRPr="00363B72">
        <w:rPr>
          <w:bCs/>
          <w:lang w:val="es-ES_tradnl"/>
        </w:rPr>
        <w:t>El primer enfoque</w:t>
      </w:r>
      <w:r w:rsidR="00B8275A" w:rsidRPr="0029515A">
        <w:rPr>
          <w:bCs/>
          <w:lang w:val="es-ES_tradnl"/>
        </w:rPr>
        <w:t xml:space="preserve"> trata </w:t>
      </w:r>
      <w:r w:rsidR="00B8275A" w:rsidRPr="00B462D2">
        <w:rPr>
          <w:bCs/>
          <w:lang w:val="es-ES_tradnl"/>
        </w:rPr>
        <w:t>básicamente de conocer la robustez del análisis</w:t>
      </w:r>
      <w:r w:rsidR="004A2025" w:rsidRPr="00B462D2">
        <w:rPr>
          <w:bCs/>
          <w:lang w:val="es-ES_tradnl"/>
        </w:rPr>
        <w:t xml:space="preserve"> económico</w:t>
      </w:r>
      <w:r w:rsidR="00B8275A" w:rsidRPr="00B462D2">
        <w:rPr>
          <w:bCs/>
          <w:lang w:val="es-ES_tradnl"/>
        </w:rPr>
        <w:t xml:space="preserve"> realizado. P</w:t>
      </w:r>
      <w:r w:rsidR="004A2025" w:rsidRPr="00B462D2">
        <w:rPr>
          <w:bCs/>
          <w:lang w:val="es-ES_tradnl"/>
        </w:rPr>
        <w:t>ara ello</w:t>
      </w:r>
      <w:r w:rsidR="00B8275A" w:rsidRPr="00B462D2">
        <w:rPr>
          <w:bCs/>
          <w:lang w:val="es-ES_tradnl"/>
        </w:rPr>
        <w:t xml:space="preserve"> </w:t>
      </w:r>
      <w:r w:rsidR="004A2025" w:rsidRPr="00B462D2">
        <w:rPr>
          <w:bCs/>
          <w:lang w:val="es-ES_tradnl"/>
        </w:rPr>
        <w:t xml:space="preserve">los resultados de la alternativa BID </w:t>
      </w:r>
      <w:r w:rsidR="00B8275A" w:rsidRPr="00B462D2">
        <w:rPr>
          <w:bCs/>
          <w:lang w:val="es-ES_tradnl"/>
        </w:rPr>
        <w:t xml:space="preserve">se han sometido </w:t>
      </w:r>
      <w:r w:rsidR="00F6059C" w:rsidRPr="00B462D2">
        <w:rPr>
          <w:bCs/>
          <w:lang w:val="es-ES_tradnl"/>
        </w:rPr>
        <w:t>a un análisis de sensibilidad muy estricto, consistente en que los beneficios descienden un 50% y los costos aumentan otro 50%</w:t>
      </w:r>
      <w:r w:rsidR="0051798D" w:rsidRPr="00B462D2">
        <w:rPr>
          <w:bCs/>
          <w:lang w:val="es-ES_tradnl"/>
        </w:rPr>
        <w:t>, independientemente</w:t>
      </w:r>
      <w:r w:rsidR="004A2025" w:rsidRPr="00B462D2">
        <w:rPr>
          <w:bCs/>
          <w:lang w:val="es-ES_tradnl"/>
        </w:rPr>
        <w:t xml:space="preserve"> de la razonabilidad de los supuestos implícitos y explícitos.</w:t>
      </w:r>
    </w:p>
    <w:p w:rsidR="00AD46F0" w:rsidRDefault="00AD46F0" w:rsidP="00B462D2">
      <w:pPr>
        <w:pStyle w:val="ListParagraph"/>
        <w:ind w:left="567"/>
        <w:rPr>
          <w:bCs/>
          <w:lang w:val="es-ES_tradnl"/>
        </w:rPr>
      </w:pPr>
    </w:p>
    <w:p w:rsidR="00843C83" w:rsidRDefault="00F6059C" w:rsidP="003F41B8">
      <w:pPr>
        <w:pStyle w:val="ListParagraph"/>
        <w:numPr>
          <w:ilvl w:val="0"/>
          <w:numId w:val="14"/>
        </w:numPr>
        <w:ind w:left="567" w:hanging="567"/>
        <w:rPr>
          <w:bCs/>
          <w:lang w:val="es-ES_tradnl"/>
        </w:rPr>
      </w:pPr>
      <w:r>
        <w:rPr>
          <w:bCs/>
          <w:lang w:val="es-ES_tradnl"/>
        </w:rPr>
        <w:t>En el cuadro 13 se presentan los resultados y puede observarse como en la práctica los resultados siguen mostrando valores altamente positivos, aunque como es obvio, menores.</w:t>
      </w:r>
      <w:r w:rsidR="00BC3EF0">
        <w:rPr>
          <w:bCs/>
          <w:lang w:val="es-ES_tradnl"/>
        </w:rPr>
        <w:t xml:space="preserve"> De este análisis de sensibilidad puede concluirse que en </w:t>
      </w:r>
      <w:r w:rsidR="00862B28">
        <w:rPr>
          <w:bCs/>
          <w:lang w:val="es-ES_tradnl"/>
        </w:rPr>
        <w:t>la alternativa BID</w:t>
      </w:r>
      <w:r w:rsidR="00BC3EF0">
        <w:rPr>
          <w:bCs/>
          <w:lang w:val="es-ES_tradnl"/>
        </w:rPr>
        <w:t xml:space="preserve"> no existen riesgos de pérdida de rentabilidad, lo que indica en todo caso el gran potencial que tiene iniciar acciones con determinación en materia de cobranza</w:t>
      </w:r>
      <w:r w:rsidR="00862B28">
        <w:rPr>
          <w:bCs/>
          <w:lang w:val="es-ES_tradnl"/>
        </w:rPr>
        <w:t xml:space="preserve"> de deuda activa y recuperación patrimonial</w:t>
      </w:r>
      <w:r w:rsidR="00BC3EF0">
        <w:rPr>
          <w:bCs/>
          <w:lang w:val="es-ES_tradnl"/>
        </w:rPr>
        <w:t>.</w:t>
      </w:r>
    </w:p>
    <w:p w:rsidR="003F41B8" w:rsidRPr="00415A19" w:rsidRDefault="003F41B8" w:rsidP="003F41B8">
      <w:pPr>
        <w:pStyle w:val="ListParagraph"/>
        <w:ind w:left="567"/>
        <w:rPr>
          <w:bCs/>
          <w:lang w:val="es-ES_tradnl"/>
        </w:rPr>
      </w:pPr>
    </w:p>
    <w:p w:rsidR="00934C93" w:rsidRPr="003F41B8" w:rsidRDefault="003F41B8" w:rsidP="003F41B8">
      <w:pPr>
        <w:pStyle w:val="ListParagraph"/>
        <w:spacing w:after="60"/>
        <w:ind w:left="360" w:right="473"/>
        <w:jc w:val="center"/>
        <w:rPr>
          <w:b/>
          <w:sz w:val="20"/>
        </w:rPr>
      </w:pPr>
      <w:r w:rsidRPr="003F41B8">
        <w:rPr>
          <w:b/>
          <w:sz w:val="20"/>
        </w:rPr>
        <w:t>Cuadro 13. Resultados del análisis de sensibilidad</w:t>
      </w:r>
    </w:p>
    <w:tbl>
      <w:tblPr>
        <w:tblW w:w="5670" w:type="dxa"/>
        <w:jc w:val="center"/>
        <w:tblLook w:val="04A0" w:firstRow="1" w:lastRow="0" w:firstColumn="1" w:lastColumn="0" w:noHBand="0" w:noVBand="1"/>
      </w:tblPr>
      <w:tblGrid>
        <w:gridCol w:w="2694"/>
        <w:gridCol w:w="1559"/>
        <w:gridCol w:w="1417"/>
      </w:tblGrid>
      <w:tr w:rsidR="00EC13FA" w:rsidRPr="003F41B8" w:rsidTr="00AA3D30">
        <w:trPr>
          <w:trHeight w:val="225"/>
          <w:jc w:val="center"/>
        </w:trPr>
        <w:tc>
          <w:tcPr>
            <w:tcW w:w="2694" w:type="dxa"/>
            <w:noWrap/>
            <w:hideMark/>
          </w:tcPr>
          <w:p w:rsidR="00EC13FA" w:rsidRPr="00E435C8" w:rsidRDefault="00EC13FA" w:rsidP="003F41B8">
            <w:pPr>
              <w:jc w:val="center"/>
              <w:rPr>
                <w:b/>
                <w:bCs/>
                <w:color w:val="000000"/>
                <w:sz w:val="20"/>
                <w:szCs w:val="20"/>
                <w:lang w:val="es-ES_tradnl" w:eastAsia="es-ES_tradnl"/>
              </w:rPr>
            </w:pPr>
          </w:p>
        </w:tc>
        <w:tc>
          <w:tcPr>
            <w:tcW w:w="2976" w:type="dxa"/>
            <w:gridSpan w:val="2"/>
            <w:noWrap/>
          </w:tcPr>
          <w:p w:rsidR="00EC13FA" w:rsidRPr="00E435C8" w:rsidRDefault="00EC13FA" w:rsidP="003F41B8">
            <w:pPr>
              <w:jc w:val="center"/>
              <w:rPr>
                <w:b/>
                <w:color w:val="000000"/>
                <w:sz w:val="20"/>
                <w:szCs w:val="20"/>
                <w:lang w:val="es-ES_tradnl" w:eastAsia="es-ES_tradnl"/>
              </w:rPr>
            </w:pPr>
            <w:r>
              <w:rPr>
                <w:b/>
                <w:color w:val="000000"/>
                <w:sz w:val="20"/>
                <w:szCs w:val="20"/>
                <w:lang w:val="es-ES_tradnl" w:eastAsia="es-ES_tradnl"/>
              </w:rPr>
              <w:t>Alternativa</w:t>
            </w:r>
            <w:r w:rsidRPr="003F41B8">
              <w:rPr>
                <w:b/>
                <w:color w:val="000000"/>
                <w:sz w:val="20"/>
                <w:szCs w:val="20"/>
                <w:lang w:val="es-ES_tradnl" w:eastAsia="es-ES_tradnl"/>
              </w:rPr>
              <w:t xml:space="preserve"> BID</w:t>
            </w:r>
          </w:p>
        </w:tc>
      </w:tr>
      <w:tr w:rsidR="00EC13FA" w:rsidRPr="00E435C8" w:rsidTr="0067086D">
        <w:trPr>
          <w:trHeight w:val="225"/>
          <w:jc w:val="center"/>
        </w:trPr>
        <w:tc>
          <w:tcPr>
            <w:tcW w:w="2694" w:type="dxa"/>
            <w:noWrap/>
            <w:hideMark/>
          </w:tcPr>
          <w:p w:rsidR="00EC13FA" w:rsidRPr="00E435C8" w:rsidRDefault="00EC13FA" w:rsidP="00E435C8">
            <w:pPr>
              <w:jc w:val="left"/>
              <w:rPr>
                <w:b/>
                <w:bCs/>
                <w:color w:val="000000"/>
                <w:sz w:val="20"/>
                <w:szCs w:val="20"/>
                <w:lang w:val="es-ES_tradnl" w:eastAsia="es-ES_tradnl"/>
              </w:rPr>
            </w:pPr>
            <w:r w:rsidRPr="00E435C8">
              <w:rPr>
                <w:b/>
                <w:bCs/>
                <w:color w:val="000000"/>
                <w:sz w:val="20"/>
                <w:szCs w:val="20"/>
                <w:lang w:val="es-ES_tradnl" w:eastAsia="es-ES_tradnl"/>
              </w:rPr>
              <w:t>TIR</w:t>
            </w:r>
          </w:p>
        </w:tc>
        <w:tc>
          <w:tcPr>
            <w:tcW w:w="2976" w:type="dxa"/>
            <w:gridSpan w:val="2"/>
            <w:noWrap/>
            <w:hideMark/>
          </w:tcPr>
          <w:p w:rsidR="00EC13FA" w:rsidRPr="00E435C8" w:rsidRDefault="00EC13FA" w:rsidP="00E435C8">
            <w:pPr>
              <w:jc w:val="center"/>
              <w:rPr>
                <w:b/>
                <w:bCs/>
                <w:color w:val="000000"/>
                <w:sz w:val="20"/>
                <w:szCs w:val="20"/>
                <w:lang w:val="es-ES_tradnl" w:eastAsia="es-ES_tradnl"/>
              </w:rPr>
            </w:pPr>
            <w:r w:rsidRPr="00E435C8">
              <w:rPr>
                <w:b/>
                <w:bCs/>
                <w:color w:val="000000"/>
                <w:sz w:val="20"/>
                <w:szCs w:val="20"/>
                <w:lang w:val="es-ES_tradnl" w:eastAsia="es-ES_tradnl"/>
              </w:rPr>
              <w:t>568,3%</w:t>
            </w:r>
          </w:p>
        </w:tc>
      </w:tr>
      <w:tr w:rsidR="00EC13FA" w:rsidRPr="00E435C8" w:rsidTr="005B698A">
        <w:trPr>
          <w:trHeight w:val="225"/>
          <w:jc w:val="center"/>
        </w:trPr>
        <w:tc>
          <w:tcPr>
            <w:tcW w:w="2694" w:type="dxa"/>
            <w:noWrap/>
            <w:hideMark/>
          </w:tcPr>
          <w:p w:rsidR="00EC13FA" w:rsidRPr="00E435C8" w:rsidRDefault="00EC13FA" w:rsidP="00E435C8">
            <w:pPr>
              <w:jc w:val="left"/>
              <w:rPr>
                <w:b/>
                <w:bCs/>
                <w:color w:val="000000"/>
                <w:sz w:val="20"/>
                <w:szCs w:val="20"/>
                <w:lang w:val="es-ES_tradnl" w:eastAsia="es-ES_tradnl"/>
              </w:rPr>
            </w:pPr>
          </w:p>
        </w:tc>
        <w:tc>
          <w:tcPr>
            <w:tcW w:w="1559" w:type="dxa"/>
            <w:noWrap/>
            <w:hideMark/>
          </w:tcPr>
          <w:p w:rsidR="00EC13FA" w:rsidRPr="00E435C8" w:rsidRDefault="00EC13FA" w:rsidP="00E435C8">
            <w:pPr>
              <w:jc w:val="center"/>
              <w:rPr>
                <w:b/>
                <w:bCs/>
                <w:color w:val="000000"/>
                <w:sz w:val="20"/>
                <w:szCs w:val="20"/>
                <w:lang w:val="es-ES_tradnl" w:eastAsia="es-ES_tradnl"/>
              </w:rPr>
            </w:pPr>
          </w:p>
        </w:tc>
        <w:tc>
          <w:tcPr>
            <w:tcW w:w="1417" w:type="dxa"/>
            <w:noWrap/>
            <w:hideMark/>
          </w:tcPr>
          <w:p w:rsidR="00EC13FA" w:rsidRPr="00E435C8" w:rsidRDefault="00EC13FA" w:rsidP="00E435C8">
            <w:pPr>
              <w:jc w:val="center"/>
              <w:rPr>
                <w:b/>
                <w:bCs/>
                <w:color w:val="000000"/>
                <w:sz w:val="20"/>
                <w:szCs w:val="20"/>
                <w:lang w:val="es-ES_tradnl" w:eastAsia="es-ES_tradnl"/>
              </w:rPr>
            </w:pPr>
          </w:p>
        </w:tc>
      </w:tr>
      <w:tr w:rsidR="00EC13FA" w:rsidRPr="00E435C8" w:rsidTr="00DB6AD2">
        <w:trPr>
          <w:trHeight w:val="225"/>
          <w:jc w:val="center"/>
        </w:trPr>
        <w:tc>
          <w:tcPr>
            <w:tcW w:w="2694" w:type="dxa"/>
            <w:noWrap/>
            <w:hideMark/>
          </w:tcPr>
          <w:p w:rsidR="00EC13FA" w:rsidRPr="00E435C8" w:rsidRDefault="00EC13FA" w:rsidP="00E435C8">
            <w:pPr>
              <w:jc w:val="left"/>
              <w:rPr>
                <w:color w:val="000000"/>
                <w:sz w:val="20"/>
                <w:szCs w:val="20"/>
                <w:lang w:val="es-ES_tradnl" w:eastAsia="es-ES_tradnl"/>
              </w:rPr>
            </w:pPr>
            <w:r w:rsidRPr="00E435C8">
              <w:rPr>
                <w:color w:val="000000"/>
                <w:sz w:val="20"/>
                <w:szCs w:val="20"/>
                <w:lang w:val="es-ES_tradnl" w:eastAsia="es-ES_tradnl"/>
              </w:rPr>
              <w:t>Tasa de descuento</w:t>
            </w:r>
          </w:p>
        </w:tc>
        <w:tc>
          <w:tcPr>
            <w:tcW w:w="1559" w:type="dxa"/>
            <w:noWrap/>
            <w:hideMark/>
          </w:tcPr>
          <w:p w:rsidR="00EC13FA" w:rsidRPr="00E435C8" w:rsidRDefault="00EC13FA" w:rsidP="00E435C8">
            <w:pPr>
              <w:jc w:val="right"/>
              <w:rPr>
                <w:color w:val="000000"/>
                <w:sz w:val="20"/>
                <w:szCs w:val="20"/>
                <w:lang w:val="es-ES_tradnl" w:eastAsia="es-ES_tradnl"/>
              </w:rPr>
            </w:pPr>
            <w:r w:rsidRPr="00E435C8">
              <w:rPr>
                <w:color w:val="000000"/>
                <w:sz w:val="20"/>
                <w:szCs w:val="20"/>
                <w:lang w:val="es-ES_tradnl" w:eastAsia="es-ES_tradnl"/>
              </w:rPr>
              <w:t>6,0%</w:t>
            </w:r>
          </w:p>
        </w:tc>
        <w:tc>
          <w:tcPr>
            <w:tcW w:w="1417" w:type="dxa"/>
            <w:noWrap/>
            <w:hideMark/>
          </w:tcPr>
          <w:p w:rsidR="00EC13FA" w:rsidRPr="00E435C8" w:rsidRDefault="00EC13FA" w:rsidP="00E435C8">
            <w:pPr>
              <w:jc w:val="right"/>
              <w:rPr>
                <w:color w:val="000000"/>
                <w:sz w:val="20"/>
                <w:szCs w:val="20"/>
                <w:lang w:val="es-ES_tradnl" w:eastAsia="es-ES_tradnl"/>
              </w:rPr>
            </w:pPr>
            <w:r w:rsidRPr="00E435C8">
              <w:rPr>
                <w:color w:val="000000"/>
                <w:sz w:val="20"/>
                <w:szCs w:val="20"/>
                <w:lang w:val="es-ES_tradnl" w:eastAsia="es-ES_tradnl"/>
              </w:rPr>
              <w:t>12%</w:t>
            </w:r>
          </w:p>
        </w:tc>
      </w:tr>
      <w:tr w:rsidR="00EC13FA" w:rsidRPr="00E435C8" w:rsidTr="0070185E">
        <w:trPr>
          <w:trHeight w:val="225"/>
          <w:jc w:val="center"/>
        </w:trPr>
        <w:tc>
          <w:tcPr>
            <w:tcW w:w="2694" w:type="dxa"/>
            <w:noWrap/>
            <w:hideMark/>
          </w:tcPr>
          <w:p w:rsidR="00EC13FA" w:rsidRPr="00E435C8" w:rsidRDefault="00EC13FA" w:rsidP="00E435C8">
            <w:pPr>
              <w:jc w:val="left"/>
              <w:rPr>
                <w:color w:val="000000"/>
                <w:sz w:val="20"/>
                <w:szCs w:val="20"/>
                <w:lang w:val="es-ES_tradnl" w:eastAsia="es-ES_tradnl"/>
              </w:rPr>
            </w:pPr>
            <w:r w:rsidRPr="00E435C8">
              <w:rPr>
                <w:color w:val="000000"/>
                <w:sz w:val="20"/>
                <w:szCs w:val="20"/>
                <w:lang w:val="es-ES_tradnl" w:eastAsia="es-ES_tradnl"/>
              </w:rPr>
              <w:t>Beneficios (VA)</w:t>
            </w:r>
          </w:p>
        </w:tc>
        <w:tc>
          <w:tcPr>
            <w:tcW w:w="1559" w:type="dxa"/>
            <w:noWrap/>
            <w:hideMark/>
          </w:tcPr>
          <w:p w:rsidR="00EC13FA" w:rsidRPr="00E435C8" w:rsidRDefault="00EC13FA" w:rsidP="00E435C8">
            <w:pPr>
              <w:jc w:val="right"/>
              <w:rPr>
                <w:color w:val="000000"/>
                <w:sz w:val="20"/>
                <w:szCs w:val="20"/>
                <w:lang w:val="es-ES_tradnl" w:eastAsia="es-ES_tradnl"/>
              </w:rPr>
            </w:pPr>
            <w:r w:rsidRPr="00E435C8">
              <w:rPr>
                <w:color w:val="000000"/>
                <w:sz w:val="20"/>
                <w:szCs w:val="20"/>
                <w:lang w:val="es-ES_tradnl" w:eastAsia="es-ES_tradnl"/>
              </w:rPr>
              <w:t>12.152.689.113</w:t>
            </w:r>
          </w:p>
        </w:tc>
        <w:tc>
          <w:tcPr>
            <w:tcW w:w="1417" w:type="dxa"/>
            <w:noWrap/>
            <w:hideMark/>
          </w:tcPr>
          <w:p w:rsidR="00EC13FA" w:rsidRPr="00E435C8" w:rsidRDefault="00EC13FA" w:rsidP="00E435C8">
            <w:pPr>
              <w:jc w:val="right"/>
              <w:rPr>
                <w:color w:val="000000"/>
                <w:sz w:val="20"/>
                <w:szCs w:val="20"/>
                <w:lang w:val="es-ES_tradnl" w:eastAsia="es-ES_tradnl"/>
              </w:rPr>
            </w:pPr>
            <w:r w:rsidRPr="00E435C8">
              <w:rPr>
                <w:color w:val="000000"/>
                <w:sz w:val="20"/>
                <w:szCs w:val="20"/>
                <w:lang w:val="es-ES_tradnl" w:eastAsia="es-ES_tradnl"/>
              </w:rPr>
              <w:t>8.355.116.154</w:t>
            </w:r>
          </w:p>
        </w:tc>
      </w:tr>
      <w:tr w:rsidR="00EC13FA" w:rsidRPr="00E435C8" w:rsidTr="006B2E36">
        <w:trPr>
          <w:trHeight w:val="225"/>
          <w:jc w:val="center"/>
        </w:trPr>
        <w:tc>
          <w:tcPr>
            <w:tcW w:w="2694" w:type="dxa"/>
            <w:noWrap/>
            <w:hideMark/>
          </w:tcPr>
          <w:p w:rsidR="00EC13FA" w:rsidRPr="00E435C8" w:rsidRDefault="00EC13FA" w:rsidP="00E435C8">
            <w:pPr>
              <w:jc w:val="left"/>
              <w:rPr>
                <w:color w:val="000000"/>
                <w:sz w:val="20"/>
                <w:szCs w:val="20"/>
                <w:lang w:val="es-ES_tradnl" w:eastAsia="es-ES_tradnl"/>
              </w:rPr>
            </w:pPr>
            <w:r w:rsidRPr="00E435C8">
              <w:rPr>
                <w:color w:val="000000"/>
                <w:sz w:val="20"/>
                <w:szCs w:val="20"/>
                <w:lang w:val="es-ES_tradnl" w:eastAsia="es-ES_tradnl"/>
              </w:rPr>
              <w:t>Costos (VA)</w:t>
            </w:r>
          </w:p>
        </w:tc>
        <w:tc>
          <w:tcPr>
            <w:tcW w:w="1559" w:type="dxa"/>
            <w:noWrap/>
            <w:hideMark/>
          </w:tcPr>
          <w:p w:rsidR="00EC13FA" w:rsidRPr="00E435C8" w:rsidRDefault="00EC13FA" w:rsidP="00E435C8">
            <w:pPr>
              <w:jc w:val="right"/>
              <w:rPr>
                <w:color w:val="000000"/>
                <w:sz w:val="20"/>
                <w:szCs w:val="20"/>
                <w:lang w:val="es-ES_tradnl" w:eastAsia="es-ES_tradnl"/>
              </w:rPr>
            </w:pPr>
            <w:r w:rsidRPr="00E435C8">
              <w:rPr>
                <w:color w:val="000000"/>
                <w:sz w:val="20"/>
                <w:szCs w:val="20"/>
                <w:lang w:val="es-ES_tradnl" w:eastAsia="es-ES_tradnl"/>
              </w:rPr>
              <w:t>118.705.134</w:t>
            </w:r>
          </w:p>
        </w:tc>
        <w:tc>
          <w:tcPr>
            <w:tcW w:w="1417" w:type="dxa"/>
            <w:noWrap/>
            <w:hideMark/>
          </w:tcPr>
          <w:p w:rsidR="00EC13FA" w:rsidRPr="00E435C8" w:rsidRDefault="00EC13FA" w:rsidP="00E435C8">
            <w:pPr>
              <w:jc w:val="right"/>
              <w:rPr>
                <w:color w:val="000000"/>
                <w:sz w:val="20"/>
                <w:szCs w:val="20"/>
                <w:lang w:val="es-ES_tradnl" w:eastAsia="es-ES_tradnl"/>
              </w:rPr>
            </w:pPr>
            <w:r w:rsidRPr="00E435C8">
              <w:rPr>
                <w:color w:val="000000"/>
                <w:sz w:val="20"/>
                <w:szCs w:val="20"/>
                <w:lang w:val="es-ES_tradnl" w:eastAsia="es-ES_tradnl"/>
              </w:rPr>
              <w:t>97.966.486</w:t>
            </w:r>
          </w:p>
        </w:tc>
      </w:tr>
      <w:tr w:rsidR="00EC13FA" w:rsidRPr="00E435C8" w:rsidTr="0005113B">
        <w:trPr>
          <w:trHeight w:val="225"/>
          <w:jc w:val="center"/>
        </w:trPr>
        <w:tc>
          <w:tcPr>
            <w:tcW w:w="2694" w:type="dxa"/>
            <w:noWrap/>
            <w:hideMark/>
          </w:tcPr>
          <w:p w:rsidR="00EC13FA" w:rsidRPr="00934C93" w:rsidRDefault="00EC13FA" w:rsidP="000F615C">
            <w:pPr>
              <w:jc w:val="left"/>
              <w:rPr>
                <w:color w:val="000000"/>
                <w:sz w:val="20"/>
                <w:szCs w:val="20"/>
                <w:lang w:val="es-ES_tradnl" w:eastAsia="es-ES_tradnl"/>
              </w:rPr>
            </w:pPr>
            <w:r w:rsidRPr="00934C93">
              <w:rPr>
                <w:color w:val="000000"/>
                <w:sz w:val="20"/>
                <w:szCs w:val="20"/>
                <w:lang w:val="es-ES_tradnl" w:eastAsia="es-ES_tradnl"/>
              </w:rPr>
              <w:t>Saldo neto (VAN)</w:t>
            </w:r>
          </w:p>
        </w:tc>
        <w:tc>
          <w:tcPr>
            <w:tcW w:w="1559" w:type="dxa"/>
            <w:noWrap/>
            <w:hideMark/>
          </w:tcPr>
          <w:p w:rsidR="00EC13FA" w:rsidRPr="00E435C8" w:rsidRDefault="00EC13FA" w:rsidP="00E435C8">
            <w:pPr>
              <w:jc w:val="right"/>
              <w:rPr>
                <w:color w:val="000000"/>
                <w:sz w:val="20"/>
                <w:szCs w:val="20"/>
                <w:lang w:val="es-ES_tradnl" w:eastAsia="es-ES_tradnl"/>
              </w:rPr>
            </w:pPr>
            <w:r w:rsidRPr="00E435C8">
              <w:rPr>
                <w:color w:val="000000"/>
                <w:sz w:val="20"/>
                <w:szCs w:val="20"/>
                <w:lang w:val="es-ES_tradnl" w:eastAsia="es-ES_tradnl"/>
              </w:rPr>
              <w:t>12.001.226.058</w:t>
            </w:r>
          </w:p>
        </w:tc>
        <w:tc>
          <w:tcPr>
            <w:tcW w:w="1417" w:type="dxa"/>
            <w:noWrap/>
            <w:hideMark/>
          </w:tcPr>
          <w:p w:rsidR="00EC13FA" w:rsidRPr="00E435C8" w:rsidRDefault="00EC13FA" w:rsidP="00E435C8">
            <w:pPr>
              <w:jc w:val="right"/>
              <w:rPr>
                <w:color w:val="000000"/>
                <w:sz w:val="20"/>
                <w:szCs w:val="20"/>
                <w:lang w:val="es-ES_tradnl" w:eastAsia="es-ES_tradnl"/>
              </w:rPr>
            </w:pPr>
            <w:r w:rsidRPr="00E435C8">
              <w:rPr>
                <w:color w:val="000000"/>
                <w:sz w:val="20"/>
                <w:szCs w:val="20"/>
                <w:lang w:val="es-ES_tradnl" w:eastAsia="es-ES_tradnl"/>
              </w:rPr>
              <w:t>8.234.828.496</w:t>
            </w:r>
          </w:p>
        </w:tc>
      </w:tr>
      <w:tr w:rsidR="00EC13FA" w:rsidRPr="00E435C8" w:rsidTr="00615FEB">
        <w:trPr>
          <w:trHeight w:val="225"/>
          <w:jc w:val="center"/>
        </w:trPr>
        <w:tc>
          <w:tcPr>
            <w:tcW w:w="2694" w:type="dxa"/>
            <w:noWrap/>
            <w:hideMark/>
          </w:tcPr>
          <w:p w:rsidR="00EC13FA" w:rsidRPr="00934C93" w:rsidRDefault="00EC13FA" w:rsidP="000F615C">
            <w:pPr>
              <w:jc w:val="left"/>
              <w:rPr>
                <w:color w:val="000000"/>
                <w:sz w:val="20"/>
                <w:szCs w:val="20"/>
                <w:lang w:val="es-ES_tradnl" w:eastAsia="es-ES_tradnl"/>
              </w:rPr>
            </w:pPr>
            <w:r>
              <w:rPr>
                <w:color w:val="000000"/>
                <w:sz w:val="20"/>
                <w:szCs w:val="20"/>
                <w:lang w:val="es-ES_tradnl" w:eastAsia="es-ES_tradnl"/>
              </w:rPr>
              <w:t>Beneficios</w:t>
            </w:r>
            <w:r w:rsidRPr="00934C93">
              <w:rPr>
                <w:color w:val="000000"/>
                <w:sz w:val="20"/>
                <w:szCs w:val="20"/>
                <w:lang w:val="es-ES_tradnl" w:eastAsia="es-ES_tradnl"/>
              </w:rPr>
              <w:t>/Costos</w:t>
            </w:r>
            <w:r>
              <w:rPr>
                <w:color w:val="000000"/>
                <w:sz w:val="20"/>
                <w:szCs w:val="20"/>
                <w:lang w:val="es-ES_tradnl" w:eastAsia="es-ES_tradnl"/>
              </w:rPr>
              <w:t xml:space="preserve"> (VAB/VAC)</w:t>
            </w:r>
          </w:p>
        </w:tc>
        <w:tc>
          <w:tcPr>
            <w:tcW w:w="1559" w:type="dxa"/>
            <w:noWrap/>
            <w:hideMark/>
          </w:tcPr>
          <w:p w:rsidR="00EC13FA" w:rsidRPr="000F615C" w:rsidRDefault="00EC13FA">
            <w:pPr>
              <w:jc w:val="right"/>
              <w:rPr>
                <w:color w:val="000000"/>
                <w:sz w:val="20"/>
                <w:szCs w:val="20"/>
                <w:lang w:val="es-ES_tradnl" w:eastAsia="es-ES_tradnl"/>
              </w:rPr>
            </w:pPr>
            <w:r w:rsidRPr="000F615C">
              <w:rPr>
                <w:color w:val="000000"/>
                <w:sz w:val="20"/>
                <w:szCs w:val="20"/>
                <w:lang w:val="es-ES_tradnl" w:eastAsia="es-ES_tradnl"/>
              </w:rPr>
              <w:t>10.237,7%</w:t>
            </w:r>
          </w:p>
        </w:tc>
        <w:tc>
          <w:tcPr>
            <w:tcW w:w="1417" w:type="dxa"/>
            <w:noWrap/>
            <w:hideMark/>
          </w:tcPr>
          <w:p w:rsidR="00EC13FA" w:rsidRPr="000F615C" w:rsidRDefault="00EC13FA">
            <w:pPr>
              <w:jc w:val="right"/>
              <w:rPr>
                <w:color w:val="000000"/>
                <w:sz w:val="20"/>
                <w:szCs w:val="20"/>
                <w:lang w:val="es-ES_tradnl" w:eastAsia="es-ES_tradnl"/>
              </w:rPr>
            </w:pPr>
            <w:r w:rsidRPr="000F615C">
              <w:rPr>
                <w:color w:val="000000"/>
                <w:sz w:val="20"/>
                <w:szCs w:val="20"/>
                <w:lang w:val="es-ES_tradnl" w:eastAsia="es-ES_tradnl"/>
              </w:rPr>
              <w:t>8.528,5%</w:t>
            </w:r>
          </w:p>
        </w:tc>
      </w:tr>
    </w:tbl>
    <w:p w:rsidR="00934C93" w:rsidRPr="00415A19" w:rsidRDefault="00934C93" w:rsidP="00843C83">
      <w:pPr>
        <w:rPr>
          <w:bCs/>
          <w:lang w:val="es-ES_tradnl"/>
        </w:rPr>
      </w:pPr>
    </w:p>
    <w:p w:rsidR="00C33C05" w:rsidRDefault="004A2025" w:rsidP="00A22EBA">
      <w:pPr>
        <w:pStyle w:val="ListParagraph"/>
        <w:numPr>
          <w:ilvl w:val="0"/>
          <w:numId w:val="14"/>
        </w:numPr>
        <w:ind w:left="567" w:hanging="567"/>
        <w:rPr>
          <w:bCs/>
          <w:lang w:val="es-ES_tradnl"/>
        </w:rPr>
      </w:pPr>
      <w:r w:rsidRPr="00C33C05">
        <w:rPr>
          <w:bCs/>
          <w:lang w:val="es-ES_tradnl"/>
        </w:rPr>
        <w:t xml:space="preserve">El otro enfoque </w:t>
      </w:r>
      <w:r w:rsidR="003A6D66" w:rsidRPr="00C33C05">
        <w:rPr>
          <w:bCs/>
          <w:lang w:val="es-ES_tradnl"/>
        </w:rPr>
        <w:t xml:space="preserve">trata de establecer </w:t>
      </w:r>
      <w:r w:rsidR="009C7191">
        <w:rPr>
          <w:bCs/>
          <w:lang w:val="es-ES_tradnl"/>
        </w:rPr>
        <w:t>dos</w:t>
      </w:r>
      <w:r w:rsidR="00C33C05" w:rsidRPr="00C33C05">
        <w:rPr>
          <w:bCs/>
          <w:lang w:val="es-ES_tradnl"/>
        </w:rPr>
        <w:t xml:space="preserve"> escenarios </w:t>
      </w:r>
      <w:r w:rsidR="009C7191">
        <w:rPr>
          <w:bCs/>
          <w:lang w:val="es-ES_tradnl"/>
        </w:rPr>
        <w:t xml:space="preserve">de la alternativa BID </w:t>
      </w:r>
      <w:r w:rsidR="00C33C05" w:rsidRPr="00C33C05">
        <w:rPr>
          <w:bCs/>
          <w:lang w:val="es-ES_tradnl"/>
        </w:rPr>
        <w:t>que puede</w:t>
      </w:r>
      <w:r w:rsidR="00C33C05">
        <w:rPr>
          <w:bCs/>
          <w:lang w:val="es-ES_tradnl"/>
        </w:rPr>
        <w:t>n</w:t>
      </w:r>
      <w:r w:rsidR="00C33C05" w:rsidRPr="00C33C05">
        <w:rPr>
          <w:bCs/>
          <w:lang w:val="es-ES_tradnl"/>
        </w:rPr>
        <w:t xml:space="preserve"> tener alguna probabilidad de ocurrencia, aunque</w:t>
      </w:r>
      <w:r w:rsidR="009C7191">
        <w:rPr>
          <w:bCs/>
          <w:lang w:val="es-ES_tradnl"/>
        </w:rPr>
        <w:t xml:space="preserve"> en todos los casos es</w:t>
      </w:r>
      <w:r w:rsidR="00C33C05" w:rsidRPr="00C33C05">
        <w:rPr>
          <w:bCs/>
          <w:lang w:val="es-ES_tradnl"/>
        </w:rPr>
        <w:t xml:space="preserve"> muy reducida.</w:t>
      </w:r>
      <w:r w:rsidR="00C33C05" w:rsidRPr="00C33C05">
        <w:rPr>
          <w:rStyle w:val="FootnoteReference"/>
          <w:rFonts w:ascii="Times New Roman" w:hAnsi="Times New Roman"/>
          <w:bCs/>
          <w:lang w:val="es-ES_tradnl"/>
        </w:rPr>
        <w:footnoteReference w:id="17"/>
      </w:r>
      <w:r w:rsidR="00C33C05" w:rsidRPr="00C33C05">
        <w:rPr>
          <w:bCs/>
          <w:lang w:val="es-ES_tradnl"/>
        </w:rPr>
        <w:t xml:space="preserve"> El primer</w:t>
      </w:r>
      <w:r w:rsidR="00C33C05">
        <w:rPr>
          <w:bCs/>
          <w:lang w:val="es-ES_tradnl"/>
        </w:rPr>
        <w:t xml:space="preserve"> escenario</w:t>
      </w:r>
      <w:r w:rsidR="00211A6F">
        <w:rPr>
          <w:bCs/>
          <w:lang w:val="es-ES_tradnl"/>
        </w:rPr>
        <w:t xml:space="preserve"> muy extremo</w:t>
      </w:r>
      <w:r w:rsidR="00C33C05">
        <w:rPr>
          <w:bCs/>
          <w:lang w:val="es-ES_tradnl"/>
        </w:rPr>
        <w:t xml:space="preserve">, denominado escenario A, consiste </w:t>
      </w:r>
      <w:r w:rsidR="003A6D66" w:rsidRPr="00C33C05">
        <w:rPr>
          <w:bCs/>
          <w:lang w:val="es-ES_tradnl"/>
        </w:rPr>
        <w:t>en que pese al esfuerzo inversor mediante e</w:t>
      </w:r>
      <w:r w:rsidR="00C33C05">
        <w:rPr>
          <w:bCs/>
          <w:lang w:val="es-ES_tradnl"/>
        </w:rPr>
        <w:t>l programa BID, al finalizar la ejecución del programa (año 2021) no se han producido las mejoras previstas en las tres variables más significativas</w:t>
      </w:r>
      <w:r w:rsidR="00211A6F">
        <w:rPr>
          <w:bCs/>
          <w:lang w:val="es-ES_tradnl"/>
        </w:rPr>
        <w:t xml:space="preserve"> (ver cuadro 14)</w:t>
      </w:r>
      <w:r w:rsidR="00C33C05">
        <w:rPr>
          <w:bCs/>
          <w:lang w:val="es-ES_tradnl"/>
        </w:rPr>
        <w:t xml:space="preserve">: </w:t>
      </w:r>
    </w:p>
    <w:p w:rsidR="00C33C05" w:rsidRDefault="00C33C05" w:rsidP="00A22EBA">
      <w:pPr>
        <w:pStyle w:val="ListParagraph"/>
        <w:ind w:left="567"/>
        <w:rPr>
          <w:bCs/>
          <w:lang w:val="es-ES_tradnl"/>
        </w:rPr>
      </w:pPr>
    </w:p>
    <w:p w:rsidR="004A2025" w:rsidRDefault="00C33C05" w:rsidP="00A22EBA">
      <w:pPr>
        <w:pStyle w:val="ListParagraph"/>
        <w:numPr>
          <w:ilvl w:val="0"/>
          <w:numId w:val="39"/>
        </w:numPr>
        <w:rPr>
          <w:bCs/>
          <w:lang w:val="es-ES_tradnl"/>
        </w:rPr>
      </w:pPr>
      <w:r>
        <w:rPr>
          <w:bCs/>
          <w:lang w:val="es-ES_tradnl"/>
        </w:rPr>
        <w:t xml:space="preserve">Tasa de inscripción, que permanece invariable en el 24,5% de la deuda activa </w:t>
      </w:r>
      <w:r w:rsidR="00211A6F">
        <w:rPr>
          <w:bCs/>
          <w:lang w:val="es-ES_tradnl"/>
        </w:rPr>
        <w:t>identificada ya observada en el año 2010.</w:t>
      </w:r>
    </w:p>
    <w:p w:rsidR="00211A6F" w:rsidRDefault="00211A6F" w:rsidP="00A22EBA">
      <w:pPr>
        <w:pStyle w:val="ListParagraph"/>
        <w:numPr>
          <w:ilvl w:val="0"/>
          <w:numId w:val="39"/>
        </w:numPr>
        <w:rPr>
          <w:bCs/>
          <w:lang w:val="es-ES_tradnl"/>
        </w:rPr>
      </w:pPr>
      <w:r>
        <w:rPr>
          <w:bCs/>
          <w:lang w:val="es-ES_tradnl"/>
        </w:rPr>
        <w:t xml:space="preserve">Tasa de cobranza de deuda activa, que continúa en el 3,1% </w:t>
      </w:r>
      <w:r w:rsidR="00245893">
        <w:rPr>
          <w:bCs/>
          <w:lang w:val="es-ES_tradnl"/>
        </w:rPr>
        <w:t xml:space="preserve">de la deuda activa inscrita </w:t>
      </w:r>
      <w:r>
        <w:rPr>
          <w:bCs/>
          <w:lang w:val="es-ES_tradnl"/>
        </w:rPr>
        <w:t>del año 2010.</w:t>
      </w:r>
    </w:p>
    <w:p w:rsidR="00211A6F" w:rsidRPr="00C33C05" w:rsidRDefault="00211A6F" w:rsidP="00A22EBA">
      <w:pPr>
        <w:pStyle w:val="ListParagraph"/>
        <w:numPr>
          <w:ilvl w:val="0"/>
          <w:numId w:val="39"/>
        </w:numPr>
        <w:rPr>
          <w:bCs/>
          <w:lang w:val="es-ES_tradnl"/>
        </w:rPr>
      </w:pPr>
      <w:r>
        <w:rPr>
          <w:bCs/>
          <w:lang w:val="es-ES_tradnl"/>
        </w:rPr>
        <w:t>Tasa de recuperación patrimonial, que sigue en el 7,5% de los montos involucrados observados en el año 2010.</w:t>
      </w:r>
    </w:p>
    <w:p w:rsidR="004A2025" w:rsidRDefault="004A2025" w:rsidP="00843C83">
      <w:pPr>
        <w:rPr>
          <w:bCs/>
          <w:lang w:val="es-ES_tradnl"/>
        </w:rPr>
      </w:pPr>
    </w:p>
    <w:p w:rsidR="009C7191" w:rsidRPr="003F41B8" w:rsidRDefault="009C7191" w:rsidP="009C7191">
      <w:pPr>
        <w:pStyle w:val="ListParagraph"/>
        <w:spacing w:after="60"/>
        <w:ind w:left="360" w:right="473"/>
        <w:jc w:val="center"/>
        <w:rPr>
          <w:b/>
          <w:sz w:val="20"/>
        </w:rPr>
      </w:pPr>
      <w:r w:rsidRPr="003F41B8">
        <w:rPr>
          <w:b/>
          <w:sz w:val="20"/>
        </w:rPr>
        <w:t xml:space="preserve">Cuadro </w:t>
      </w:r>
      <w:r>
        <w:rPr>
          <w:b/>
          <w:sz w:val="20"/>
        </w:rPr>
        <w:t>14</w:t>
      </w:r>
      <w:r w:rsidRPr="003F41B8">
        <w:rPr>
          <w:b/>
          <w:sz w:val="20"/>
        </w:rPr>
        <w:t xml:space="preserve">. </w:t>
      </w:r>
      <w:r>
        <w:rPr>
          <w:b/>
          <w:sz w:val="20"/>
        </w:rPr>
        <w:t>Análisis de sensibilidad: escenario A</w:t>
      </w:r>
    </w:p>
    <w:tbl>
      <w:tblPr>
        <w:tblW w:w="8647" w:type="dxa"/>
        <w:tblInd w:w="779" w:type="dxa"/>
        <w:tblCellMar>
          <w:left w:w="70" w:type="dxa"/>
          <w:right w:w="70" w:type="dxa"/>
        </w:tblCellMar>
        <w:tblLook w:val="04A0" w:firstRow="1" w:lastRow="0" w:firstColumn="1" w:lastColumn="0" w:noHBand="0" w:noVBand="1"/>
      </w:tblPr>
      <w:tblGrid>
        <w:gridCol w:w="709"/>
        <w:gridCol w:w="1276"/>
        <w:gridCol w:w="1559"/>
        <w:gridCol w:w="1276"/>
        <w:gridCol w:w="1417"/>
        <w:gridCol w:w="1276"/>
        <w:gridCol w:w="1134"/>
      </w:tblGrid>
      <w:tr w:rsidR="00B462D2" w:rsidRPr="00B462D2" w:rsidTr="009C7191">
        <w:trPr>
          <w:trHeight w:val="225"/>
        </w:trPr>
        <w:tc>
          <w:tcPr>
            <w:tcW w:w="709" w:type="dxa"/>
            <w:tcBorders>
              <w:top w:val="single" w:sz="4" w:space="0" w:color="auto"/>
              <w:left w:val="nil"/>
              <w:bottom w:val="single" w:sz="4" w:space="0" w:color="auto"/>
              <w:right w:val="nil"/>
            </w:tcBorders>
            <w:shd w:val="clear" w:color="auto" w:fill="auto"/>
            <w:noWrap/>
            <w:vAlign w:val="bottom"/>
            <w:hideMark/>
          </w:tcPr>
          <w:p w:rsidR="009C7191" w:rsidRPr="009C7191" w:rsidRDefault="009C7191" w:rsidP="009C7191">
            <w:pPr>
              <w:jc w:val="left"/>
              <w:rPr>
                <w:color w:val="000000"/>
                <w:sz w:val="18"/>
                <w:szCs w:val="18"/>
                <w:lang w:val="es-ES_tradnl" w:eastAsia="es-ES_tradnl"/>
              </w:rPr>
            </w:pPr>
          </w:p>
        </w:tc>
        <w:tc>
          <w:tcPr>
            <w:tcW w:w="1276" w:type="dxa"/>
            <w:tcBorders>
              <w:top w:val="single" w:sz="4" w:space="0" w:color="auto"/>
              <w:left w:val="nil"/>
              <w:bottom w:val="single" w:sz="4" w:space="0" w:color="auto"/>
              <w:right w:val="nil"/>
            </w:tcBorders>
            <w:shd w:val="clear" w:color="auto" w:fill="auto"/>
            <w:noWrap/>
            <w:vAlign w:val="bottom"/>
            <w:hideMark/>
          </w:tcPr>
          <w:p w:rsidR="009C7191" w:rsidRPr="009C7191" w:rsidRDefault="009C7191" w:rsidP="009C7191">
            <w:pPr>
              <w:jc w:val="center"/>
              <w:rPr>
                <w:b/>
                <w:bCs/>
                <w:color w:val="000000"/>
                <w:sz w:val="18"/>
                <w:szCs w:val="18"/>
                <w:lang w:val="es-ES_tradnl" w:eastAsia="es-ES_tradnl"/>
              </w:rPr>
            </w:pPr>
            <w:r w:rsidRPr="009C7191">
              <w:rPr>
                <w:b/>
                <w:bCs/>
                <w:color w:val="000000"/>
                <w:sz w:val="18"/>
                <w:szCs w:val="18"/>
                <w:lang w:val="es-ES_tradnl" w:eastAsia="es-ES_tradnl"/>
              </w:rPr>
              <w:t>Tasa de inscripción</w:t>
            </w:r>
          </w:p>
        </w:tc>
        <w:tc>
          <w:tcPr>
            <w:tcW w:w="1559" w:type="dxa"/>
            <w:tcBorders>
              <w:top w:val="single" w:sz="4" w:space="0" w:color="auto"/>
              <w:left w:val="nil"/>
              <w:bottom w:val="single" w:sz="4" w:space="0" w:color="auto"/>
              <w:right w:val="nil"/>
            </w:tcBorders>
            <w:shd w:val="clear" w:color="auto" w:fill="auto"/>
            <w:noWrap/>
            <w:vAlign w:val="bottom"/>
            <w:hideMark/>
          </w:tcPr>
          <w:p w:rsidR="009C7191" w:rsidRPr="009C7191" w:rsidRDefault="009C7191" w:rsidP="009C7191">
            <w:pPr>
              <w:jc w:val="center"/>
              <w:rPr>
                <w:b/>
                <w:bCs/>
                <w:color w:val="000000"/>
                <w:sz w:val="18"/>
                <w:szCs w:val="18"/>
                <w:lang w:val="es-ES_tradnl" w:eastAsia="es-ES_tradnl"/>
              </w:rPr>
            </w:pPr>
            <w:r w:rsidRPr="009C7191">
              <w:rPr>
                <w:b/>
                <w:bCs/>
                <w:color w:val="000000"/>
                <w:sz w:val="18"/>
                <w:szCs w:val="18"/>
                <w:lang w:val="es-ES_tradnl" w:eastAsia="es-ES_tradnl"/>
              </w:rPr>
              <w:t>Stock deuda activa</w:t>
            </w:r>
          </w:p>
        </w:tc>
        <w:tc>
          <w:tcPr>
            <w:tcW w:w="1276" w:type="dxa"/>
            <w:tcBorders>
              <w:top w:val="single" w:sz="4" w:space="0" w:color="auto"/>
              <w:left w:val="nil"/>
              <w:bottom w:val="single" w:sz="4" w:space="0" w:color="auto"/>
              <w:right w:val="nil"/>
            </w:tcBorders>
            <w:shd w:val="clear" w:color="auto" w:fill="auto"/>
            <w:noWrap/>
            <w:vAlign w:val="bottom"/>
            <w:hideMark/>
          </w:tcPr>
          <w:p w:rsidR="009C7191" w:rsidRPr="009C7191" w:rsidRDefault="009C7191" w:rsidP="009C7191">
            <w:pPr>
              <w:jc w:val="center"/>
              <w:rPr>
                <w:b/>
                <w:bCs/>
                <w:color w:val="000000"/>
                <w:sz w:val="18"/>
                <w:szCs w:val="18"/>
                <w:lang w:val="es-ES_tradnl" w:eastAsia="es-ES_tradnl"/>
              </w:rPr>
            </w:pPr>
            <w:r w:rsidRPr="009C7191">
              <w:rPr>
                <w:b/>
                <w:bCs/>
                <w:color w:val="000000"/>
                <w:sz w:val="18"/>
                <w:szCs w:val="18"/>
                <w:lang w:val="es-ES_tradnl" w:eastAsia="es-ES_tradnl"/>
              </w:rPr>
              <w:t>Tasa cobranza</w:t>
            </w:r>
          </w:p>
        </w:tc>
        <w:tc>
          <w:tcPr>
            <w:tcW w:w="1417" w:type="dxa"/>
            <w:tcBorders>
              <w:top w:val="single" w:sz="4" w:space="0" w:color="auto"/>
              <w:left w:val="nil"/>
              <w:bottom w:val="single" w:sz="4" w:space="0" w:color="auto"/>
              <w:right w:val="nil"/>
            </w:tcBorders>
            <w:shd w:val="clear" w:color="auto" w:fill="auto"/>
            <w:noWrap/>
            <w:vAlign w:val="bottom"/>
            <w:hideMark/>
          </w:tcPr>
          <w:p w:rsidR="009C7191" w:rsidRPr="009C7191" w:rsidRDefault="009C7191" w:rsidP="009C7191">
            <w:pPr>
              <w:jc w:val="center"/>
              <w:rPr>
                <w:b/>
                <w:bCs/>
                <w:color w:val="000000"/>
                <w:sz w:val="18"/>
                <w:szCs w:val="18"/>
                <w:lang w:val="es-ES_tradnl" w:eastAsia="es-ES_tradnl"/>
              </w:rPr>
            </w:pPr>
            <w:r w:rsidRPr="009C7191">
              <w:rPr>
                <w:b/>
                <w:bCs/>
                <w:color w:val="000000"/>
                <w:sz w:val="18"/>
                <w:szCs w:val="18"/>
                <w:lang w:val="es-ES_tradnl" w:eastAsia="es-ES_tradnl"/>
              </w:rPr>
              <w:t>Montos</w:t>
            </w:r>
          </w:p>
        </w:tc>
        <w:tc>
          <w:tcPr>
            <w:tcW w:w="1276" w:type="dxa"/>
            <w:tcBorders>
              <w:top w:val="single" w:sz="4" w:space="0" w:color="auto"/>
              <w:left w:val="nil"/>
              <w:bottom w:val="single" w:sz="4" w:space="0" w:color="auto"/>
              <w:right w:val="nil"/>
            </w:tcBorders>
            <w:shd w:val="clear" w:color="auto" w:fill="auto"/>
            <w:noWrap/>
            <w:vAlign w:val="bottom"/>
            <w:hideMark/>
          </w:tcPr>
          <w:p w:rsidR="009C7191" w:rsidRPr="009C7191" w:rsidRDefault="009C7191" w:rsidP="009C7191">
            <w:pPr>
              <w:jc w:val="right"/>
              <w:rPr>
                <w:b/>
                <w:bCs/>
                <w:color w:val="000000"/>
                <w:sz w:val="18"/>
                <w:szCs w:val="18"/>
                <w:lang w:val="es-ES_tradnl" w:eastAsia="es-ES_tradnl"/>
              </w:rPr>
            </w:pPr>
            <w:r w:rsidRPr="009C7191">
              <w:rPr>
                <w:b/>
                <w:bCs/>
                <w:color w:val="000000"/>
                <w:sz w:val="18"/>
                <w:szCs w:val="18"/>
                <w:lang w:val="es-ES_tradnl" w:eastAsia="es-ES_tradnl"/>
              </w:rPr>
              <w:t xml:space="preserve">Tasa </w:t>
            </w:r>
            <w:proofErr w:type="spellStart"/>
            <w:r w:rsidRPr="009C7191">
              <w:rPr>
                <w:b/>
                <w:bCs/>
                <w:color w:val="000000"/>
                <w:sz w:val="18"/>
                <w:szCs w:val="18"/>
                <w:lang w:val="es-ES_tradnl" w:eastAsia="es-ES_tradnl"/>
              </w:rPr>
              <w:t>recuper</w:t>
            </w:r>
            <w:proofErr w:type="spellEnd"/>
            <w:r w:rsidRPr="009C7191">
              <w:rPr>
                <w:b/>
                <w:bCs/>
                <w:color w:val="000000"/>
                <w:sz w:val="18"/>
                <w:szCs w:val="18"/>
                <w:lang w:val="es-ES_tradnl" w:eastAsia="es-ES_tradnl"/>
              </w:rPr>
              <w:t>.</w:t>
            </w:r>
          </w:p>
        </w:tc>
        <w:tc>
          <w:tcPr>
            <w:tcW w:w="1134" w:type="dxa"/>
            <w:tcBorders>
              <w:top w:val="single" w:sz="4" w:space="0" w:color="auto"/>
              <w:left w:val="nil"/>
              <w:bottom w:val="single" w:sz="4" w:space="0" w:color="auto"/>
              <w:right w:val="nil"/>
            </w:tcBorders>
            <w:shd w:val="clear" w:color="auto" w:fill="auto"/>
            <w:noWrap/>
            <w:vAlign w:val="bottom"/>
            <w:hideMark/>
          </w:tcPr>
          <w:p w:rsidR="009C7191" w:rsidRPr="009C7191" w:rsidRDefault="009C7191" w:rsidP="009C7191">
            <w:pPr>
              <w:jc w:val="right"/>
              <w:rPr>
                <w:b/>
                <w:bCs/>
                <w:color w:val="000000"/>
                <w:sz w:val="18"/>
                <w:szCs w:val="18"/>
                <w:lang w:val="es-ES_tradnl" w:eastAsia="es-ES_tradnl"/>
              </w:rPr>
            </w:pPr>
            <w:r w:rsidRPr="009C7191">
              <w:rPr>
                <w:b/>
                <w:bCs/>
                <w:color w:val="000000"/>
                <w:sz w:val="18"/>
                <w:szCs w:val="18"/>
                <w:lang w:val="es-ES_tradnl" w:eastAsia="es-ES_tradnl"/>
              </w:rPr>
              <w:t>Montos</w:t>
            </w:r>
          </w:p>
        </w:tc>
      </w:tr>
      <w:tr w:rsidR="00B462D2" w:rsidRPr="00B462D2" w:rsidTr="009C7191">
        <w:trPr>
          <w:trHeight w:val="210"/>
        </w:trPr>
        <w:tc>
          <w:tcPr>
            <w:tcW w:w="709" w:type="dxa"/>
            <w:tcBorders>
              <w:top w:val="single" w:sz="4" w:space="0" w:color="auto"/>
              <w:left w:val="nil"/>
              <w:bottom w:val="nil"/>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t>2010</w:t>
            </w:r>
          </w:p>
        </w:tc>
        <w:tc>
          <w:tcPr>
            <w:tcW w:w="1276" w:type="dxa"/>
            <w:tcBorders>
              <w:top w:val="single" w:sz="4" w:space="0" w:color="auto"/>
              <w:left w:val="nil"/>
              <w:bottom w:val="nil"/>
              <w:right w:val="nil"/>
            </w:tcBorders>
            <w:shd w:val="clear" w:color="000000" w:fill="C5D9F1"/>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single" w:sz="4" w:space="0" w:color="auto"/>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single" w:sz="4" w:space="0" w:color="auto"/>
              <w:left w:val="nil"/>
              <w:bottom w:val="nil"/>
              <w:right w:val="nil"/>
            </w:tcBorders>
            <w:shd w:val="clear" w:color="000000" w:fill="C5D9F1"/>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single" w:sz="4" w:space="0" w:color="auto"/>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single" w:sz="4" w:space="0" w:color="auto"/>
              <w:left w:val="nil"/>
              <w:bottom w:val="nil"/>
              <w:right w:val="nil"/>
            </w:tcBorders>
            <w:shd w:val="clear" w:color="000000" w:fill="C5D9F1"/>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single" w:sz="4" w:space="0" w:color="auto"/>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r w:rsidR="00B462D2" w:rsidRPr="00B462D2" w:rsidTr="009C7191">
        <w:trPr>
          <w:trHeight w:val="210"/>
        </w:trPr>
        <w:tc>
          <w:tcPr>
            <w:tcW w:w="709" w:type="dxa"/>
            <w:tcBorders>
              <w:top w:val="nil"/>
              <w:left w:val="nil"/>
              <w:bottom w:val="nil"/>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t>2014</w:t>
            </w:r>
          </w:p>
        </w:tc>
        <w:tc>
          <w:tcPr>
            <w:tcW w:w="1276" w:type="dxa"/>
            <w:tcBorders>
              <w:top w:val="nil"/>
              <w:left w:val="nil"/>
              <w:bottom w:val="nil"/>
              <w:right w:val="nil"/>
            </w:tcBorders>
            <w:shd w:val="clear" w:color="000000" w:fill="C5D9F1"/>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nil"/>
              <w:left w:val="nil"/>
              <w:bottom w:val="nil"/>
              <w:right w:val="nil"/>
            </w:tcBorders>
            <w:shd w:val="clear" w:color="000000" w:fill="C5D9F1"/>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nil"/>
              <w:left w:val="nil"/>
              <w:bottom w:val="nil"/>
              <w:right w:val="nil"/>
            </w:tcBorders>
            <w:shd w:val="clear" w:color="000000" w:fill="C5D9F1"/>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r w:rsidR="00B462D2" w:rsidRPr="00B462D2" w:rsidTr="009C7191">
        <w:trPr>
          <w:trHeight w:val="210"/>
        </w:trPr>
        <w:tc>
          <w:tcPr>
            <w:tcW w:w="709" w:type="dxa"/>
            <w:tcBorders>
              <w:top w:val="nil"/>
              <w:left w:val="nil"/>
              <w:bottom w:val="nil"/>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t>2015</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r w:rsidR="00B462D2" w:rsidRPr="00B462D2" w:rsidTr="009C7191">
        <w:trPr>
          <w:trHeight w:val="210"/>
        </w:trPr>
        <w:tc>
          <w:tcPr>
            <w:tcW w:w="709" w:type="dxa"/>
            <w:tcBorders>
              <w:top w:val="nil"/>
              <w:left w:val="nil"/>
              <w:bottom w:val="nil"/>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t>2016</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r w:rsidR="00B462D2" w:rsidRPr="00B462D2" w:rsidTr="009C7191">
        <w:trPr>
          <w:trHeight w:val="210"/>
        </w:trPr>
        <w:tc>
          <w:tcPr>
            <w:tcW w:w="709" w:type="dxa"/>
            <w:tcBorders>
              <w:top w:val="nil"/>
              <w:left w:val="nil"/>
              <w:bottom w:val="nil"/>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t>2017</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r w:rsidR="00B462D2" w:rsidRPr="00B462D2" w:rsidTr="009C7191">
        <w:trPr>
          <w:trHeight w:val="210"/>
        </w:trPr>
        <w:tc>
          <w:tcPr>
            <w:tcW w:w="709" w:type="dxa"/>
            <w:tcBorders>
              <w:top w:val="nil"/>
              <w:left w:val="nil"/>
              <w:bottom w:val="nil"/>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t>2018</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r w:rsidR="00B462D2" w:rsidRPr="00B462D2" w:rsidTr="009C7191">
        <w:trPr>
          <w:trHeight w:val="210"/>
        </w:trPr>
        <w:tc>
          <w:tcPr>
            <w:tcW w:w="709" w:type="dxa"/>
            <w:tcBorders>
              <w:top w:val="nil"/>
              <w:left w:val="nil"/>
              <w:bottom w:val="nil"/>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t>2019</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nil"/>
              <w:left w:val="nil"/>
              <w:bottom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r w:rsidR="00B462D2" w:rsidRPr="00B462D2" w:rsidTr="009C7191">
        <w:trPr>
          <w:trHeight w:val="210"/>
        </w:trPr>
        <w:tc>
          <w:tcPr>
            <w:tcW w:w="709" w:type="dxa"/>
            <w:tcBorders>
              <w:top w:val="nil"/>
              <w:left w:val="nil"/>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lastRenderedPageBreak/>
              <w:t>2020</w:t>
            </w:r>
          </w:p>
        </w:tc>
        <w:tc>
          <w:tcPr>
            <w:tcW w:w="1276" w:type="dxa"/>
            <w:tcBorders>
              <w:top w:val="nil"/>
              <w:left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nil"/>
              <w:left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nil"/>
              <w:left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nil"/>
              <w:left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nil"/>
              <w:left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nil"/>
              <w:left w:val="nil"/>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r w:rsidR="00B462D2" w:rsidRPr="00B462D2" w:rsidTr="009C7191">
        <w:trPr>
          <w:trHeight w:val="210"/>
        </w:trPr>
        <w:tc>
          <w:tcPr>
            <w:tcW w:w="709" w:type="dxa"/>
            <w:tcBorders>
              <w:top w:val="nil"/>
              <w:left w:val="nil"/>
              <w:bottom w:val="single" w:sz="4" w:space="0" w:color="auto"/>
              <w:right w:val="nil"/>
            </w:tcBorders>
            <w:shd w:val="clear" w:color="auto" w:fill="auto"/>
            <w:noWrap/>
            <w:vAlign w:val="bottom"/>
            <w:hideMark/>
          </w:tcPr>
          <w:p w:rsidR="009C7191" w:rsidRPr="009C7191" w:rsidRDefault="009C7191" w:rsidP="009C7191">
            <w:pPr>
              <w:jc w:val="right"/>
              <w:rPr>
                <w:color w:val="000000"/>
                <w:sz w:val="18"/>
                <w:szCs w:val="18"/>
                <w:lang w:val="es-ES_tradnl" w:eastAsia="es-ES_tradnl"/>
              </w:rPr>
            </w:pPr>
            <w:r w:rsidRPr="009C7191">
              <w:rPr>
                <w:color w:val="000000"/>
                <w:sz w:val="18"/>
                <w:szCs w:val="18"/>
                <w:lang w:val="es-ES_tradnl" w:eastAsia="es-ES_tradnl"/>
              </w:rPr>
              <w:t>2021</w:t>
            </w:r>
          </w:p>
        </w:tc>
        <w:tc>
          <w:tcPr>
            <w:tcW w:w="1276" w:type="dxa"/>
            <w:tcBorders>
              <w:top w:val="nil"/>
              <w:left w:val="nil"/>
              <w:bottom w:val="single" w:sz="4" w:space="0" w:color="auto"/>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24,5%</w:t>
            </w:r>
          </w:p>
        </w:tc>
        <w:tc>
          <w:tcPr>
            <w:tcW w:w="1559" w:type="dxa"/>
            <w:tcBorders>
              <w:top w:val="nil"/>
              <w:left w:val="nil"/>
              <w:bottom w:val="single" w:sz="4" w:space="0" w:color="auto"/>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10.854.011.274</w:t>
            </w:r>
          </w:p>
        </w:tc>
        <w:tc>
          <w:tcPr>
            <w:tcW w:w="1276" w:type="dxa"/>
            <w:tcBorders>
              <w:top w:val="nil"/>
              <w:left w:val="nil"/>
              <w:bottom w:val="single" w:sz="4" w:space="0" w:color="auto"/>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3,1%</w:t>
            </w:r>
          </w:p>
        </w:tc>
        <w:tc>
          <w:tcPr>
            <w:tcW w:w="1417" w:type="dxa"/>
            <w:tcBorders>
              <w:top w:val="nil"/>
              <w:left w:val="nil"/>
              <w:bottom w:val="single" w:sz="4" w:space="0" w:color="auto"/>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336.474.349</w:t>
            </w:r>
          </w:p>
        </w:tc>
        <w:tc>
          <w:tcPr>
            <w:tcW w:w="1276" w:type="dxa"/>
            <w:tcBorders>
              <w:top w:val="nil"/>
              <w:left w:val="nil"/>
              <w:bottom w:val="single" w:sz="4" w:space="0" w:color="auto"/>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7,5%</w:t>
            </w:r>
          </w:p>
        </w:tc>
        <w:tc>
          <w:tcPr>
            <w:tcW w:w="1134" w:type="dxa"/>
            <w:tcBorders>
              <w:top w:val="nil"/>
              <w:left w:val="nil"/>
              <w:bottom w:val="single" w:sz="4" w:space="0" w:color="auto"/>
              <w:right w:val="nil"/>
            </w:tcBorders>
            <w:shd w:val="clear" w:color="auto" w:fill="auto"/>
            <w:noWrap/>
            <w:vAlign w:val="bottom"/>
            <w:hideMark/>
          </w:tcPr>
          <w:p w:rsidR="009C7191" w:rsidRPr="009C7191" w:rsidRDefault="009C7191" w:rsidP="009C7191">
            <w:pPr>
              <w:ind w:right="72"/>
              <w:jc w:val="right"/>
              <w:rPr>
                <w:color w:val="000000"/>
                <w:sz w:val="18"/>
                <w:szCs w:val="18"/>
                <w:lang w:val="es-ES_tradnl" w:eastAsia="es-ES_tradnl"/>
              </w:rPr>
            </w:pPr>
            <w:r w:rsidRPr="009C7191">
              <w:rPr>
                <w:color w:val="000000"/>
                <w:sz w:val="18"/>
                <w:szCs w:val="18"/>
                <w:lang w:val="es-ES_tradnl" w:eastAsia="es-ES_tradnl"/>
              </w:rPr>
              <w:t>530.001.323</w:t>
            </w:r>
          </w:p>
        </w:tc>
      </w:tr>
    </w:tbl>
    <w:p w:rsidR="009C7191" w:rsidRDefault="009C7191" w:rsidP="009C7191">
      <w:pPr>
        <w:ind w:left="709"/>
        <w:rPr>
          <w:bCs/>
          <w:lang w:val="es-ES_tradnl"/>
        </w:rPr>
      </w:pPr>
      <w:r w:rsidRPr="009E7F7F">
        <w:rPr>
          <w:sz w:val="18"/>
        </w:rPr>
        <w:t>Montos en reales 2010.</w:t>
      </w:r>
    </w:p>
    <w:p w:rsidR="00211A6F" w:rsidRDefault="00211A6F" w:rsidP="00843C83">
      <w:pPr>
        <w:rPr>
          <w:bCs/>
          <w:lang w:val="es-ES_tradnl"/>
        </w:rPr>
      </w:pPr>
    </w:p>
    <w:p w:rsidR="004A2025" w:rsidRDefault="00211A6F" w:rsidP="009C7191">
      <w:pPr>
        <w:pStyle w:val="ListParagraph"/>
        <w:numPr>
          <w:ilvl w:val="0"/>
          <w:numId w:val="14"/>
        </w:numPr>
        <w:ind w:left="567" w:hanging="567"/>
        <w:rPr>
          <w:bCs/>
          <w:lang w:val="es-ES_tradnl"/>
        </w:rPr>
      </w:pPr>
      <w:r>
        <w:rPr>
          <w:bCs/>
          <w:lang w:val="es-ES_tradnl"/>
        </w:rPr>
        <w:t xml:space="preserve">Los resultados </w:t>
      </w:r>
      <w:r w:rsidR="009C7191">
        <w:rPr>
          <w:bCs/>
          <w:lang w:val="es-ES_tradnl"/>
        </w:rPr>
        <w:t xml:space="preserve">en términos del resultado económico </w:t>
      </w:r>
      <w:r>
        <w:rPr>
          <w:bCs/>
          <w:lang w:val="es-ES_tradnl"/>
        </w:rPr>
        <w:t>pueden observarse en el cuadro 15.</w:t>
      </w:r>
      <w:r w:rsidR="009C7191">
        <w:rPr>
          <w:bCs/>
          <w:lang w:val="es-ES_tradnl"/>
        </w:rPr>
        <w:t xml:space="preserve"> </w:t>
      </w:r>
    </w:p>
    <w:p w:rsidR="004A2025" w:rsidRDefault="004A2025" w:rsidP="00843C83">
      <w:pPr>
        <w:rPr>
          <w:bCs/>
          <w:lang w:val="es-ES_tradnl"/>
        </w:rPr>
      </w:pPr>
    </w:p>
    <w:p w:rsidR="009C7191" w:rsidRPr="003F41B8" w:rsidRDefault="009C7191" w:rsidP="009C7191">
      <w:pPr>
        <w:pStyle w:val="ListParagraph"/>
        <w:spacing w:after="60"/>
        <w:ind w:left="360" w:right="473"/>
        <w:jc w:val="center"/>
        <w:rPr>
          <w:b/>
          <w:sz w:val="20"/>
        </w:rPr>
      </w:pPr>
      <w:r w:rsidRPr="003F41B8">
        <w:rPr>
          <w:b/>
          <w:sz w:val="20"/>
        </w:rPr>
        <w:t xml:space="preserve">Cuadro </w:t>
      </w:r>
      <w:r>
        <w:rPr>
          <w:b/>
          <w:sz w:val="20"/>
        </w:rPr>
        <w:t>15</w:t>
      </w:r>
      <w:r w:rsidRPr="003F41B8">
        <w:rPr>
          <w:b/>
          <w:sz w:val="20"/>
        </w:rPr>
        <w:t xml:space="preserve">. Resultados del </w:t>
      </w:r>
      <w:r>
        <w:rPr>
          <w:b/>
          <w:sz w:val="20"/>
        </w:rPr>
        <w:t>escenario A</w:t>
      </w:r>
    </w:p>
    <w:tbl>
      <w:tblPr>
        <w:tblW w:w="5670" w:type="dxa"/>
        <w:jc w:val="center"/>
        <w:tblInd w:w="637" w:type="dxa"/>
        <w:tblCellMar>
          <w:left w:w="70" w:type="dxa"/>
          <w:right w:w="70" w:type="dxa"/>
        </w:tblCellMar>
        <w:tblLook w:val="04A0" w:firstRow="1" w:lastRow="0" w:firstColumn="1" w:lastColumn="0" w:noHBand="0" w:noVBand="1"/>
      </w:tblPr>
      <w:tblGrid>
        <w:gridCol w:w="2694"/>
        <w:gridCol w:w="1559"/>
        <w:gridCol w:w="1417"/>
      </w:tblGrid>
      <w:tr w:rsidR="009C7191" w:rsidRPr="003F41B8" w:rsidTr="00B462D2">
        <w:trPr>
          <w:trHeight w:val="225"/>
          <w:jc w:val="center"/>
        </w:trPr>
        <w:tc>
          <w:tcPr>
            <w:tcW w:w="2694" w:type="dxa"/>
            <w:tcBorders>
              <w:top w:val="single" w:sz="4" w:space="0" w:color="auto"/>
              <w:left w:val="nil"/>
              <w:bottom w:val="single" w:sz="4" w:space="0" w:color="auto"/>
              <w:right w:val="nil"/>
            </w:tcBorders>
            <w:shd w:val="clear" w:color="auto" w:fill="auto"/>
            <w:noWrap/>
            <w:vAlign w:val="bottom"/>
            <w:hideMark/>
          </w:tcPr>
          <w:p w:rsidR="009C7191" w:rsidRPr="00E435C8" w:rsidRDefault="009C7191" w:rsidP="00B462D2">
            <w:pPr>
              <w:jc w:val="center"/>
              <w:rPr>
                <w:b/>
                <w:bCs/>
                <w:color w:val="000000"/>
                <w:sz w:val="20"/>
                <w:szCs w:val="20"/>
                <w:lang w:val="es-ES_tradnl" w:eastAsia="es-ES_tradnl"/>
              </w:rPr>
            </w:pPr>
          </w:p>
        </w:tc>
        <w:tc>
          <w:tcPr>
            <w:tcW w:w="2976" w:type="dxa"/>
            <w:gridSpan w:val="2"/>
            <w:tcBorders>
              <w:top w:val="single" w:sz="4" w:space="0" w:color="auto"/>
              <w:left w:val="nil"/>
              <w:bottom w:val="single" w:sz="4" w:space="0" w:color="auto"/>
              <w:right w:val="nil"/>
            </w:tcBorders>
            <w:shd w:val="clear" w:color="auto" w:fill="auto"/>
            <w:noWrap/>
            <w:vAlign w:val="bottom"/>
          </w:tcPr>
          <w:p w:rsidR="009C7191" w:rsidRPr="00E435C8" w:rsidRDefault="009C7191" w:rsidP="00B462D2">
            <w:pPr>
              <w:jc w:val="center"/>
              <w:rPr>
                <w:b/>
                <w:color w:val="000000"/>
                <w:sz w:val="20"/>
                <w:szCs w:val="20"/>
                <w:lang w:val="es-ES_tradnl" w:eastAsia="es-ES_tradnl"/>
              </w:rPr>
            </w:pPr>
            <w:r>
              <w:rPr>
                <w:b/>
                <w:color w:val="000000"/>
                <w:sz w:val="20"/>
                <w:szCs w:val="20"/>
                <w:lang w:val="es-ES_tradnl" w:eastAsia="es-ES_tradnl"/>
              </w:rPr>
              <w:t>Alternativa</w:t>
            </w:r>
            <w:r w:rsidRPr="003F41B8">
              <w:rPr>
                <w:b/>
                <w:color w:val="000000"/>
                <w:sz w:val="20"/>
                <w:szCs w:val="20"/>
                <w:lang w:val="es-ES_tradnl" w:eastAsia="es-ES_tradnl"/>
              </w:rPr>
              <w:t xml:space="preserve"> BID</w:t>
            </w:r>
          </w:p>
        </w:tc>
      </w:tr>
      <w:tr w:rsidR="009C7191" w:rsidRPr="00E435C8" w:rsidTr="00A22EBA">
        <w:trPr>
          <w:trHeight w:val="225"/>
          <w:jc w:val="center"/>
        </w:trPr>
        <w:tc>
          <w:tcPr>
            <w:tcW w:w="2694" w:type="dxa"/>
            <w:tcBorders>
              <w:top w:val="single" w:sz="4" w:space="0" w:color="auto"/>
              <w:left w:val="nil"/>
              <w:right w:val="nil"/>
            </w:tcBorders>
            <w:shd w:val="clear" w:color="auto" w:fill="auto"/>
            <w:noWrap/>
            <w:vAlign w:val="bottom"/>
            <w:hideMark/>
          </w:tcPr>
          <w:p w:rsidR="009C7191" w:rsidRPr="00E435C8" w:rsidRDefault="009C7191" w:rsidP="00B462D2">
            <w:pPr>
              <w:jc w:val="left"/>
              <w:rPr>
                <w:b/>
                <w:bCs/>
                <w:color w:val="000000"/>
                <w:sz w:val="20"/>
                <w:szCs w:val="20"/>
                <w:lang w:val="es-ES_tradnl" w:eastAsia="es-ES_tradnl"/>
              </w:rPr>
            </w:pPr>
            <w:r w:rsidRPr="00E435C8">
              <w:rPr>
                <w:b/>
                <w:bCs/>
                <w:color w:val="000000"/>
                <w:sz w:val="20"/>
                <w:szCs w:val="20"/>
                <w:lang w:val="es-ES_tradnl" w:eastAsia="es-ES_tradnl"/>
              </w:rPr>
              <w:t>TIR</w:t>
            </w:r>
          </w:p>
        </w:tc>
        <w:tc>
          <w:tcPr>
            <w:tcW w:w="2976" w:type="dxa"/>
            <w:gridSpan w:val="2"/>
            <w:tcBorders>
              <w:top w:val="single" w:sz="4" w:space="0" w:color="auto"/>
              <w:left w:val="nil"/>
              <w:right w:val="nil"/>
            </w:tcBorders>
            <w:shd w:val="clear" w:color="auto" w:fill="auto"/>
            <w:noWrap/>
            <w:vAlign w:val="bottom"/>
            <w:hideMark/>
          </w:tcPr>
          <w:p w:rsidR="009C7191" w:rsidRPr="009C7191" w:rsidRDefault="009C7191" w:rsidP="009C7191">
            <w:pPr>
              <w:jc w:val="center"/>
              <w:rPr>
                <w:rFonts w:ascii="Verdana" w:hAnsi="Verdana" w:cs="Calibri"/>
                <w:b/>
                <w:bCs/>
                <w:color w:val="000000"/>
                <w:sz w:val="18"/>
                <w:szCs w:val="18"/>
              </w:rPr>
            </w:pPr>
            <w:r w:rsidRPr="009C7191">
              <w:rPr>
                <w:b/>
                <w:bCs/>
                <w:color w:val="000000"/>
                <w:sz w:val="20"/>
                <w:szCs w:val="20"/>
                <w:lang w:val="es-ES_tradnl" w:eastAsia="es-ES_tradnl"/>
              </w:rPr>
              <w:t>630,7%</w:t>
            </w:r>
          </w:p>
        </w:tc>
      </w:tr>
      <w:tr w:rsidR="00245893" w:rsidRPr="00E435C8" w:rsidTr="00A22EBA">
        <w:trPr>
          <w:trHeight w:val="225"/>
          <w:jc w:val="center"/>
        </w:trPr>
        <w:tc>
          <w:tcPr>
            <w:tcW w:w="2694" w:type="dxa"/>
            <w:tcBorders>
              <w:top w:val="nil"/>
              <w:left w:val="nil"/>
              <w:right w:val="nil"/>
            </w:tcBorders>
            <w:shd w:val="clear" w:color="auto" w:fill="auto"/>
            <w:noWrap/>
            <w:vAlign w:val="bottom"/>
          </w:tcPr>
          <w:p w:rsidR="00245893" w:rsidRPr="00E435C8" w:rsidRDefault="00245893" w:rsidP="00B462D2">
            <w:pPr>
              <w:jc w:val="left"/>
              <w:rPr>
                <w:color w:val="000000"/>
                <w:sz w:val="20"/>
                <w:szCs w:val="20"/>
                <w:lang w:val="es-ES_tradnl" w:eastAsia="es-ES_tradnl"/>
              </w:rPr>
            </w:pPr>
          </w:p>
        </w:tc>
        <w:tc>
          <w:tcPr>
            <w:tcW w:w="1559" w:type="dxa"/>
            <w:tcBorders>
              <w:top w:val="nil"/>
              <w:left w:val="nil"/>
              <w:right w:val="nil"/>
            </w:tcBorders>
            <w:shd w:val="clear" w:color="auto" w:fill="auto"/>
            <w:noWrap/>
            <w:vAlign w:val="bottom"/>
          </w:tcPr>
          <w:p w:rsidR="00245893" w:rsidRPr="00E435C8" w:rsidRDefault="00245893" w:rsidP="00B462D2">
            <w:pPr>
              <w:jc w:val="right"/>
              <w:rPr>
                <w:color w:val="000000"/>
                <w:sz w:val="20"/>
                <w:szCs w:val="20"/>
                <w:lang w:val="es-ES_tradnl" w:eastAsia="es-ES_tradnl"/>
              </w:rPr>
            </w:pPr>
          </w:p>
        </w:tc>
        <w:tc>
          <w:tcPr>
            <w:tcW w:w="1417" w:type="dxa"/>
            <w:tcBorders>
              <w:top w:val="nil"/>
              <w:left w:val="nil"/>
              <w:right w:val="nil"/>
            </w:tcBorders>
            <w:shd w:val="clear" w:color="auto" w:fill="auto"/>
            <w:noWrap/>
            <w:vAlign w:val="bottom"/>
          </w:tcPr>
          <w:p w:rsidR="00245893" w:rsidRPr="00E435C8" w:rsidRDefault="00245893" w:rsidP="00B462D2">
            <w:pPr>
              <w:jc w:val="right"/>
              <w:rPr>
                <w:color w:val="000000"/>
                <w:sz w:val="20"/>
                <w:szCs w:val="20"/>
                <w:lang w:val="es-ES_tradnl" w:eastAsia="es-ES_tradnl"/>
              </w:rPr>
            </w:pPr>
          </w:p>
        </w:tc>
      </w:tr>
      <w:tr w:rsidR="009C7191" w:rsidRPr="00E435C8" w:rsidTr="00A22EBA">
        <w:trPr>
          <w:trHeight w:val="225"/>
          <w:jc w:val="center"/>
        </w:trPr>
        <w:tc>
          <w:tcPr>
            <w:tcW w:w="2694" w:type="dxa"/>
            <w:tcBorders>
              <w:left w:val="nil"/>
              <w:bottom w:val="single" w:sz="4" w:space="0" w:color="auto"/>
              <w:right w:val="nil"/>
            </w:tcBorders>
            <w:shd w:val="clear" w:color="auto" w:fill="auto"/>
            <w:noWrap/>
            <w:vAlign w:val="bottom"/>
            <w:hideMark/>
          </w:tcPr>
          <w:p w:rsidR="009C7191" w:rsidRPr="00E435C8" w:rsidRDefault="009C7191" w:rsidP="00B462D2">
            <w:pPr>
              <w:jc w:val="left"/>
              <w:rPr>
                <w:color w:val="000000"/>
                <w:sz w:val="20"/>
                <w:szCs w:val="20"/>
                <w:lang w:val="es-ES_tradnl" w:eastAsia="es-ES_tradnl"/>
              </w:rPr>
            </w:pPr>
            <w:r w:rsidRPr="00E435C8">
              <w:rPr>
                <w:color w:val="000000"/>
                <w:sz w:val="20"/>
                <w:szCs w:val="20"/>
                <w:lang w:val="es-ES_tradnl" w:eastAsia="es-ES_tradnl"/>
              </w:rPr>
              <w:t>Tasa de descuento</w:t>
            </w:r>
          </w:p>
        </w:tc>
        <w:tc>
          <w:tcPr>
            <w:tcW w:w="1559" w:type="dxa"/>
            <w:tcBorders>
              <w:left w:val="nil"/>
              <w:bottom w:val="single" w:sz="4" w:space="0" w:color="auto"/>
              <w:right w:val="nil"/>
            </w:tcBorders>
            <w:shd w:val="clear" w:color="auto" w:fill="auto"/>
            <w:noWrap/>
            <w:vAlign w:val="bottom"/>
            <w:hideMark/>
          </w:tcPr>
          <w:p w:rsidR="009C7191" w:rsidRPr="00E435C8" w:rsidRDefault="009C7191" w:rsidP="00B462D2">
            <w:pPr>
              <w:jc w:val="right"/>
              <w:rPr>
                <w:color w:val="000000"/>
                <w:sz w:val="20"/>
                <w:szCs w:val="20"/>
                <w:lang w:val="es-ES_tradnl" w:eastAsia="es-ES_tradnl"/>
              </w:rPr>
            </w:pPr>
            <w:r w:rsidRPr="00E435C8">
              <w:rPr>
                <w:color w:val="000000"/>
                <w:sz w:val="20"/>
                <w:szCs w:val="20"/>
                <w:lang w:val="es-ES_tradnl" w:eastAsia="es-ES_tradnl"/>
              </w:rPr>
              <w:t>6,0%</w:t>
            </w:r>
          </w:p>
        </w:tc>
        <w:tc>
          <w:tcPr>
            <w:tcW w:w="1417" w:type="dxa"/>
            <w:tcBorders>
              <w:left w:val="nil"/>
              <w:bottom w:val="single" w:sz="4" w:space="0" w:color="auto"/>
              <w:right w:val="nil"/>
            </w:tcBorders>
            <w:shd w:val="clear" w:color="auto" w:fill="auto"/>
            <w:noWrap/>
            <w:vAlign w:val="bottom"/>
            <w:hideMark/>
          </w:tcPr>
          <w:p w:rsidR="009C7191" w:rsidRPr="00E435C8" w:rsidRDefault="009C7191" w:rsidP="00B462D2">
            <w:pPr>
              <w:jc w:val="right"/>
              <w:rPr>
                <w:color w:val="000000"/>
                <w:sz w:val="20"/>
                <w:szCs w:val="20"/>
                <w:lang w:val="es-ES_tradnl" w:eastAsia="es-ES_tradnl"/>
              </w:rPr>
            </w:pPr>
            <w:r w:rsidRPr="00E435C8">
              <w:rPr>
                <w:color w:val="000000"/>
                <w:sz w:val="20"/>
                <w:szCs w:val="20"/>
                <w:lang w:val="es-ES_tradnl" w:eastAsia="es-ES_tradnl"/>
              </w:rPr>
              <w:t>12%</w:t>
            </w:r>
          </w:p>
        </w:tc>
      </w:tr>
      <w:tr w:rsidR="009C7191" w:rsidRPr="00E435C8" w:rsidTr="00B462D2">
        <w:trPr>
          <w:trHeight w:val="225"/>
          <w:jc w:val="center"/>
        </w:trPr>
        <w:tc>
          <w:tcPr>
            <w:tcW w:w="2694" w:type="dxa"/>
            <w:tcBorders>
              <w:top w:val="single" w:sz="4" w:space="0" w:color="auto"/>
              <w:left w:val="nil"/>
              <w:bottom w:val="nil"/>
              <w:right w:val="nil"/>
            </w:tcBorders>
            <w:shd w:val="clear" w:color="auto" w:fill="auto"/>
            <w:noWrap/>
            <w:vAlign w:val="bottom"/>
            <w:hideMark/>
          </w:tcPr>
          <w:p w:rsidR="009C7191" w:rsidRPr="00E435C8" w:rsidRDefault="009C7191" w:rsidP="00B462D2">
            <w:pPr>
              <w:jc w:val="left"/>
              <w:rPr>
                <w:color w:val="000000"/>
                <w:sz w:val="20"/>
                <w:szCs w:val="20"/>
                <w:lang w:val="es-ES_tradnl" w:eastAsia="es-ES_tradnl"/>
              </w:rPr>
            </w:pPr>
            <w:r w:rsidRPr="00E435C8">
              <w:rPr>
                <w:color w:val="000000"/>
                <w:sz w:val="20"/>
                <w:szCs w:val="20"/>
                <w:lang w:val="es-ES_tradnl" w:eastAsia="es-ES_tradnl"/>
              </w:rPr>
              <w:t>Beneficios (VA)</w:t>
            </w:r>
          </w:p>
        </w:tc>
        <w:tc>
          <w:tcPr>
            <w:tcW w:w="1559" w:type="dxa"/>
            <w:tcBorders>
              <w:top w:val="single" w:sz="4" w:space="0" w:color="auto"/>
              <w:left w:val="nil"/>
              <w:bottom w:val="nil"/>
              <w:right w:val="nil"/>
            </w:tcBorders>
            <w:shd w:val="clear" w:color="auto" w:fill="auto"/>
            <w:noWrap/>
            <w:vAlign w:val="bottom"/>
            <w:hideMark/>
          </w:tcPr>
          <w:p w:rsidR="009C7191" w:rsidRPr="009C7191" w:rsidRDefault="009C7191" w:rsidP="009C7191">
            <w:pPr>
              <w:jc w:val="right"/>
              <w:rPr>
                <w:bCs/>
                <w:color w:val="000000"/>
                <w:sz w:val="20"/>
                <w:szCs w:val="20"/>
                <w:lang w:val="es-ES_tradnl" w:eastAsia="es-ES_tradnl"/>
              </w:rPr>
            </w:pPr>
            <w:r w:rsidRPr="009C7191">
              <w:rPr>
                <w:bCs/>
                <w:color w:val="000000"/>
                <w:sz w:val="20"/>
                <w:szCs w:val="20"/>
                <w:lang w:val="es-ES_tradnl" w:eastAsia="es-ES_tradnl"/>
              </w:rPr>
              <w:t>4.788.746.236</w:t>
            </w:r>
          </w:p>
        </w:tc>
        <w:tc>
          <w:tcPr>
            <w:tcW w:w="1417" w:type="dxa"/>
            <w:tcBorders>
              <w:top w:val="single" w:sz="4" w:space="0" w:color="auto"/>
              <w:left w:val="nil"/>
              <w:bottom w:val="nil"/>
              <w:right w:val="nil"/>
            </w:tcBorders>
            <w:shd w:val="clear" w:color="auto" w:fill="auto"/>
            <w:noWrap/>
            <w:vAlign w:val="bottom"/>
            <w:hideMark/>
          </w:tcPr>
          <w:p w:rsidR="009C7191" w:rsidRPr="009C7191" w:rsidRDefault="009C7191" w:rsidP="009C7191">
            <w:pPr>
              <w:jc w:val="right"/>
              <w:rPr>
                <w:bCs/>
                <w:color w:val="000000"/>
                <w:sz w:val="20"/>
                <w:szCs w:val="20"/>
                <w:lang w:val="es-ES_tradnl" w:eastAsia="es-ES_tradnl"/>
              </w:rPr>
            </w:pPr>
            <w:r w:rsidRPr="009C7191">
              <w:rPr>
                <w:bCs/>
                <w:color w:val="000000"/>
                <w:sz w:val="20"/>
                <w:szCs w:val="20"/>
                <w:lang w:val="es-ES_tradnl" w:eastAsia="es-ES_tradnl"/>
              </w:rPr>
              <w:t>3.431.392.705</w:t>
            </w:r>
          </w:p>
        </w:tc>
      </w:tr>
      <w:tr w:rsidR="009C7191" w:rsidRPr="00E435C8" w:rsidTr="00B462D2">
        <w:trPr>
          <w:trHeight w:val="225"/>
          <w:jc w:val="center"/>
        </w:trPr>
        <w:tc>
          <w:tcPr>
            <w:tcW w:w="2694" w:type="dxa"/>
            <w:tcBorders>
              <w:top w:val="nil"/>
              <w:left w:val="nil"/>
              <w:bottom w:val="nil"/>
              <w:right w:val="nil"/>
            </w:tcBorders>
            <w:shd w:val="clear" w:color="auto" w:fill="auto"/>
            <w:noWrap/>
            <w:vAlign w:val="bottom"/>
            <w:hideMark/>
          </w:tcPr>
          <w:p w:rsidR="009C7191" w:rsidRPr="00E435C8" w:rsidRDefault="009C7191" w:rsidP="00B462D2">
            <w:pPr>
              <w:jc w:val="left"/>
              <w:rPr>
                <w:color w:val="000000"/>
                <w:sz w:val="20"/>
                <w:szCs w:val="20"/>
                <w:lang w:val="es-ES_tradnl" w:eastAsia="es-ES_tradnl"/>
              </w:rPr>
            </w:pPr>
            <w:r w:rsidRPr="00E435C8">
              <w:rPr>
                <w:color w:val="000000"/>
                <w:sz w:val="20"/>
                <w:szCs w:val="20"/>
                <w:lang w:val="es-ES_tradnl" w:eastAsia="es-ES_tradnl"/>
              </w:rPr>
              <w:t>Costos (VA)</w:t>
            </w:r>
          </w:p>
        </w:tc>
        <w:tc>
          <w:tcPr>
            <w:tcW w:w="1559" w:type="dxa"/>
            <w:tcBorders>
              <w:top w:val="nil"/>
              <w:left w:val="nil"/>
              <w:bottom w:val="nil"/>
              <w:right w:val="nil"/>
            </w:tcBorders>
            <w:shd w:val="clear" w:color="auto" w:fill="auto"/>
            <w:noWrap/>
            <w:vAlign w:val="bottom"/>
            <w:hideMark/>
          </w:tcPr>
          <w:p w:rsidR="009C7191" w:rsidRPr="009C7191" w:rsidRDefault="009C7191" w:rsidP="009C7191">
            <w:pPr>
              <w:jc w:val="right"/>
              <w:rPr>
                <w:bCs/>
                <w:color w:val="000000"/>
                <w:sz w:val="20"/>
                <w:szCs w:val="20"/>
                <w:lang w:val="es-ES_tradnl" w:eastAsia="es-ES_tradnl"/>
              </w:rPr>
            </w:pPr>
            <w:r w:rsidRPr="009C7191">
              <w:rPr>
                <w:bCs/>
                <w:color w:val="000000"/>
                <w:sz w:val="20"/>
                <w:szCs w:val="20"/>
                <w:lang w:val="es-ES_tradnl" w:eastAsia="es-ES_tradnl"/>
              </w:rPr>
              <w:t>100.975.371</w:t>
            </w:r>
          </w:p>
        </w:tc>
        <w:tc>
          <w:tcPr>
            <w:tcW w:w="1417" w:type="dxa"/>
            <w:tcBorders>
              <w:top w:val="nil"/>
              <w:left w:val="nil"/>
              <w:bottom w:val="nil"/>
              <w:right w:val="nil"/>
            </w:tcBorders>
            <w:shd w:val="clear" w:color="auto" w:fill="auto"/>
            <w:noWrap/>
            <w:vAlign w:val="bottom"/>
            <w:hideMark/>
          </w:tcPr>
          <w:p w:rsidR="009C7191" w:rsidRPr="009C7191" w:rsidRDefault="009C7191" w:rsidP="009C7191">
            <w:pPr>
              <w:jc w:val="right"/>
              <w:rPr>
                <w:bCs/>
                <w:color w:val="000000"/>
                <w:sz w:val="20"/>
                <w:szCs w:val="20"/>
                <w:lang w:val="es-ES_tradnl" w:eastAsia="es-ES_tradnl"/>
              </w:rPr>
            </w:pPr>
            <w:r w:rsidRPr="009C7191">
              <w:rPr>
                <w:bCs/>
                <w:color w:val="000000"/>
                <w:sz w:val="20"/>
                <w:szCs w:val="20"/>
                <w:lang w:val="es-ES_tradnl" w:eastAsia="es-ES_tradnl"/>
              </w:rPr>
              <w:t>80.191.772</w:t>
            </w:r>
          </w:p>
        </w:tc>
      </w:tr>
      <w:tr w:rsidR="009C7191" w:rsidRPr="00E435C8" w:rsidTr="00B462D2">
        <w:trPr>
          <w:trHeight w:val="225"/>
          <w:jc w:val="center"/>
        </w:trPr>
        <w:tc>
          <w:tcPr>
            <w:tcW w:w="2694" w:type="dxa"/>
            <w:tcBorders>
              <w:top w:val="nil"/>
              <w:left w:val="nil"/>
              <w:right w:val="nil"/>
            </w:tcBorders>
            <w:shd w:val="clear" w:color="auto" w:fill="auto"/>
            <w:noWrap/>
            <w:vAlign w:val="bottom"/>
            <w:hideMark/>
          </w:tcPr>
          <w:p w:rsidR="009C7191" w:rsidRPr="00934C93" w:rsidRDefault="009C7191" w:rsidP="00B462D2">
            <w:pPr>
              <w:jc w:val="left"/>
              <w:rPr>
                <w:color w:val="000000"/>
                <w:sz w:val="20"/>
                <w:szCs w:val="20"/>
                <w:lang w:val="es-ES_tradnl" w:eastAsia="es-ES_tradnl"/>
              </w:rPr>
            </w:pPr>
            <w:r w:rsidRPr="00934C93">
              <w:rPr>
                <w:color w:val="000000"/>
                <w:sz w:val="20"/>
                <w:szCs w:val="20"/>
                <w:lang w:val="es-ES_tradnl" w:eastAsia="es-ES_tradnl"/>
              </w:rPr>
              <w:t>Saldo neto (VAN)</w:t>
            </w:r>
          </w:p>
        </w:tc>
        <w:tc>
          <w:tcPr>
            <w:tcW w:w="1559" w:type="dxa"/>
            <w:tcBorders>
              <w:top w:val="nil"/>
              <w:left w:val="nil"/>
              <w:right w:val="nil"/>
            </w:tcBorders>
            <w:shd w:val="clear" w:color="auto" w:fill="auto"/>
            <w:noWrap/>
            <w:vAlign w:val="bottom"/>
            <w:hideMark/>
          </w:tcPr>
          <w:p w:rsidR="009C7191" w:rsidRPr="009C7191" w:rsidRDefault="009C7191" w:rsidP="009C7191">
            <w:pPr>
              <w:jc w:val="right"/>
              <w:rPr>
                <w:bCs/>
                <w:color w:val="000000"/>
                <w:sz w:val="20"/>
                <w:szCs w:val="20"/>
                <w:lang w:val="es-ES_tradnl" w:eastAsia="es-ES_tradnl"/>
              </w:rPr>
            </w:pPr>
            <w:r w:rsidRPr="009C7191">
              <w:rPr>
                <w:bCs/>
                <w:color w:val="000000"/>
                <w:sz w:val="20"/>
                <w:szCs w:val="20"/>
                <w:lang w:val="es-ES_tradnl" w:eastAsia="es-ES_tradnl"/>
              </w:rPr>
              <w:t>4.687.770.865</w:t>
            </w:r>
          </w:p>
        </w:tc>
        <w:tc>
          <w:tcPr>
            <w:tcW w:w="1417" w:type="dxa"/>
            <w:tcBorders>
              <w:top w:val="nil"/>
              <w:left w:val="nil"/>
              <w:right w:val="nil"/>
            </w:tcBorders>
            <w:shd w:val="clear" w:color="auto" w:fill="auto"/>
            <w:noWrap/>
            <w:vAlign w:val="bottom"/>
            <w:hideMark/>
          </w:tcPr>
          <w:p w:rsidR="009C7191" w:rsidRPr="009C7191" w:rsidRDefault="009C7191" w:rsidP="009C7191">
            <w:pPr>
              <w:jc w:val="right"/>
              <w:rPr>
                <w:bCs/>
                <w:color w:val="000000"/>
                <w:sz w:val="20"/>
                <w:szCs w:val="20"/>
                <w:lang w:val="es-ES_tradnl" w:eastAsia="es-ES_tradnl"/>
              </w:rPr>
            </w:pPr>
            <w:r w:rsidRPr="009C7191">
              <w:rPr>
                <w:bCs/>
                <w:color w:val="000000"/>
                <w:sz w:val="20"/>
                <w:szCs w:val="20"/>
                <w:lang w:val="es-ES_tradnl" w:eastAsia="es-ES_tradnl"/>
              </w:rPr>
              <w:t>3.351.200.933</w:t>
            </w:r>
          </w:p>
        </w:tc>
      </w:tr>
      <w:tr w:rsidR="009C7191" w:rsidRPr="00E435C8" w:rsidTr="00B462D2">
        <w:trPr>
          <w:trHeight w:val="225"/>
          <w:jc w:val="center"/>
        </w:trPr>
        <w:tc>
          <w:tcPr>
            <w:tcW w:w="2694" w:type="dxa"/>
            <w:tcBorders>
              <w:top w:val="nil"/>
              <w:left w:val="nil"/>
              <w:bottom w:val="single" w:sz="4" w:space="0" w:color="auto"/>
              <w:right w:val="nil"/>
            </w:tcBorders>
            <w:shd w:val="clear" w:color="auto" w:fill="auto"/>
            <w:noWrap/>
            <w:vAlign w:val="bottom"/>
            <w:hideMark/>
          </w:tcPr>
          <w:p w:rsidR="009C7191" w:rsidRPr="00934C93" w:rsidRDefault="009C7191" w:rsidP="00B462D2">
            <w:pPr>
              <w:jc w:val="left"/>
              <w:rPr>
                <w:color w:val="000000"/>
                <w:sz w:val="20"/>
                <w:szCs w:val="20"/>
                <w:lang w:val="es-ES_tradnl" w:eastAsia="es-ES_tradnl"/>
              </w:rPr>
            </w:pPr>
            <w:r>
              <w:rPr>
                <w:color w:val="000000"/>
                <w:sz w:val="20"/>
                <w:szCs w:val="20"/>
                <w:lang w:val="es-ES_tradnl" w:eastAsia="es-ES_tradnl"/>
              </w:rPr>
              <w:t>Beneficios</w:t>
            </w:r>
            <w:r w:rsidRPr="00934C93">
              <w:rPr>
                <w:color w:val="000000"/>
                <w:sz w:val="20"/>
                <w:szCs w:val="20"/>
                <w:lang w:val="es-ES_tradnl" w:eastAsia="es-ES_tradnl"/>
              </w:rPr>
              <w:t>/Costos</w:t>
            </w:r>
            <w:r>
              <w:rPr>
                <w:color w:val="000000"/>
                <w:sz w:val="20"/>
                <w:szCs w:val="20"/>
                <w:lang w:val="es-ES_tradnl" w:eastAsia="es-ES_tradnl"/>
              </w:rPr>
              <w:t xml:space="preserve"> (VAB/VAC)</w:t>
            </w:r>
          </w:p>
        </w:tc>
        <w:tc>
          <w:tcPr>
            <w:tcW w:w="1559" w:type="dxa"/>
            <w:tcBorders>
              <w:top w:val="nil"/>
              <w:left w:val="nil"/>
              <w:bottom w:val="single" w:sz="4" w:space="0" w:color="auto"/>
              <w:right w:val="nil"/>
            </w:tcBorders>
            <w:shd w:val="clear" w:color="auto" w:fill="auto"/>
            <w:noWrap/>
            <w:vAlign w:val="bottom"/>
            <w:hideMark/>
          </w:tcPr>
          <w:p w:rsidR="009C7191" w:rsidRPr="009C7191" w:rsidRDefault="009C7191" w:rsidP="009C7191">
            <w:pPr>
              <w:jc w:val="right"/>
              <w:rPr>
                <w:bCs/>
                <w:color w:val="000000"/>
                <w:sz w:val="20"/>
                <w:szCs w:val="20"/>
                <w:lang w:val="es-ES_tradnl" w:eastAsia="es-ES_tradnl"/>
              </w:rPr>
            </w:pPr>
            <w:r w:rsidRPr="00245893">
              <w:rPr>
                <w:bCs/>
                <w:color w:val="000000"/>
                <w:sz w:val="20"/>
                <w:szCs w:val="20"/>
                <w:lang w:val="es-ES_tradnl" w:eastAsia="es-ES_tradnl"/>
              </w:rPr>
              <w:t>4.742,5%</w:t>
            </w:r>
          </w:p>
        </w:tc>
        <w:tc>
          <w:tcPr>
            <w:tcW w:w="1417" w:type="dxa"/>
            <w:tcBorders>
              <w:top w:val="nil"/>
              <w:left w:val="nil"/>
              <w:bottom w:val="single" w:sz="4" w:space="0" w:color="auto"/>
              <w:right w:val="nil"/>
            </w:tcBorders>
            <w:shd w:val="clear" w:color="auto" w:fill="auto"/>
            <w:noWrap/>
            <w:vAlign w:val="bottom"/>
            <w:hideMark/>
          </w:tcPr>
          <w:p w:rsidR="009C7191" w:rsidRPr="009C7191" w:rsidRDefault="009C7191" w:rsidP="009C7191">
            <w:pPr>
              <w:jc w:val="right"/>
              <w:rPr>
                <w:bCs/>
                <w:color w:val="000000"/>
                <w:sz w:val="20"/>
                <w:szCs w:val="20"/>
                <w:lang w:val="es-ES_tradnl" w:eastAsia="es-ES_tradnl"/>
              </w:rPr>
            </w:pPr>
            <w:r w:rsidRPr="00245893">
              <w:rPr>
                <w:bCs/>
                <w:color w:val="000000"/>
                <w:sz w:val="20"/>
                <w:szCs w:val="20"/>
                <w:lang w:val="es-ES_tradnl" w:eastAsia="es-ES_tradnl"/>
              </w:rPr>
              <w:t>4.279,0%</w:t>
            </w:r>
          </w:p>
        </w:tc>
      </w:tr>
    </w:tbl>
    <w:p w:rsidR="00211A6F" w:rsidRDefault="00211A6F" w:rsidP="00843C83">
      <w:pPr>
        <w:rPr>
          <w:bCs/>
          <w:lang w:val="es-ES_tradnl"/>
        </w:rPr>
      </w:pPr>
    </w:p>
    <w:p w:rsidR="00211A6F" w:rsidRDefault="00B71A6F" w:rsidP="00245893">
      <w:pPr>
        <w:pStyle w:val="ListParagraph"/>
        <w:numPr>
          <w:ilvl w:val="0"/>
          <w:numId w:val="14"/>
        </w:numPr>
        <w:ind w:left="567" w:hanging="567"/>
        <w:rPr>
          <w:bCs/>
          <w:lang w:val="es-ES_tradnl"/>
        </w:rPr>
      </w:pPr>
      <w:r>
        <w:rPr>
          <w:bCs/>
          <w:lang w:val="es-ES_tradnl"/>
        </w:rPr>
        <w:t xml:space="preserve">El otro escenario </w:t>
      </w:r>
      <w:r w:rsidR="00245893">
        <w:rPr>
          <w:bCs/>
          <w:lang w:val="es-ES_tradnl"/>
        </w:rPr>
        <w:t>considerado en el análisis de sensibilidad trata de poner tensión sobre los datos semilla observados en el año 2010, planteando los siguientes supuestos sobre las variables más críticas</w:t>
      </w:r>
      <w:r w:rsidR="00A22EBA">
        <w:rPr>
          <w:bCs/>
          <w:lang w:val="es-ES_tradnl"/>
        </w:rPr>
        <w:t xml:space="preserve"> (ver cuadro 16)</w:t>
      </w:r>
      <w:r w:rsidR="00245893">
        <w:rPr>
          <w:bCs/>
          <w:lang w:val="es-ES_tradnl"/>
        </w:rPr>
        <w:t xml:space="preserve">: </w:t>
      </w:r>
    </w:p>
    <w:p w:rsidR="00211A6F" w:rsidRDefault="00211A6F" w:rsidP="00843C83">
      <w:pPr>
        <w:rPr>
          <w:bCs/>
          <w:lang w:val="es-ES_tradnl"/>
        </w:rPr>
      </w:pPr>
    </w:p>
    <w:p w:rsidR="00245893" w:rsidRDefault="00A22EBA" w:rsidP="00245893">
      <w:pPr>
        <w:pStyle w:val="ListParagraph"/>
        <w:numPr>
          <w:ilvl w:val="0"/>
          <w:numId w:val="40"/>
        </w:numPr>
        <w:rPr>
          <w:bCs/>
          <w:lang w:val="es-ES_tradnl"/>
        </w:rPr>
      </w:pPr>
      <w:r>
        <w:rPr>
          <w:bCs/>
          <w:lang w:val="es-ES_tradnl"/>
        </w:rPr>
        <w:t>La t</w:t>
      </w:r>
      <w:r w:rsidR="00245893">
        <w:rPr>
          <w:bCs/>
          <w:lang w:val="es-ES_tradnl"/>
        </w:rPr>
        <w:t>asa de inscripción</w:t>
      </w:r>
      <w:r>
        <w:rPr>
          <w:bCs/>
          <w:lang w:val="es-ES_tradnl"/>
        </w:rPr>
        <w:t xml:space="preserve"> crece de acuerdo con las metas previstas en la matriz de resultados y en el ejercicio básico del análisis económico</w:t>
      </w:r>
      <w:r w:rsidR="00245893">
        <w:rPr>
          <w:bCs/>
          <w:lang w:val="es-ES_tradnl"/>
        </w:rPr>
        <w:t>.</w:t>
      </w:r>
    </w:p>
    <w:p w:rsidR="00245893" w:rsidRDefault="00A22EBA" w:rsidP="00245893">
      <w:pPr>
        <w:pStyle w:val="ListParagraph"/>
        <w:numPr>
          <w:ilvl w:val="0"/>
          <w:numId w:val="40"/>
        </w:numPr>
        <w:rPr>
          <w:bCs/>
          <w:lang w:val="es-ES_tradnl"/>
        </w:rPr>
      </w:pPr>
      <w:r>
        <w:rPr>
          <w:bCs/>
          <w:lang w:val="es-ES_tradnl"/>
        </w:rPr>
        <w:t>La t</w:t>
      </w:r>
      <w:r w:rsidR="00245893">
        <w:rPr>
          <w:bCs/>
          <w:lang w:val="es-ES_tradnl"/>
        </w:rPr>
        <w:t>asa de cobranza de deuda activa</w:t>
      </w:r>
      <w:r>
        <w:rPr>
          <w:bCs/>
          <w:lang w:val="es-ES_tradnl"/>
        </w:rPr>
        <w:t xml:space="preserve"> parte de la mitad del nivel observado en el año 2010, y durante todo el periodo de ejecución del programa BID no sufre variación</w:t>
      </w:r>
      <w:r w:rsidR="00245893">
        <w:rPr>
          <w:bCs/>
          <w:lang w:val="es-ES_tradnl"/>
        </w:rPr>
        <w:t>.</w:t>
      </w:r>
    </w:p>
    <w:p w:rsidR="00245893" w:rsidRPr="00C33C05" w:rsidRDefault="00A22EBA" w:rsidP="00245893">
      <w:pPr>
        <w:pStyle w:val="ListParagraph"/>
        <w:numPr>
          <w:ilvl w:val="0"/>
          <w:numId w:val="40"/>
        </w:numPr>
        <w:rPr>
          <w:bCs/>
          <w:lang w:val="es-ES_tradnl"/>
        </w:rPr>
      </w:pPr>
      <w:r>
        <w:rPr>
          <w:bCs/>
          <w:lang w:val="es-ES_tradnl"/>
        </w:rPr>
        <w:t>La t</w:t>
      </w:r>
      <w:r w:rsidR="00245893">
        <w:rPr>
          <w:bCs/>
          <w:lang w:val="es-ES_tradnl"/>
        </w:rPr>
        <w:t xml:space="preserve">asa de recuperación patrimonial, que sigue </w:t>
      </w:r>
      <w:r>
        <w:rPr>
          <w:bCs/>
          <w:lang w:val="es-ES_tradnl"/>
        </w:rPr>
        <w:t>arranca en el 2010 con un valor que es la mitad del observado realmente en el año 2010, y no mejora durante todo el periodo de ejecución del programa BID.</w:t>
      </w:r>
    </w:p>
    <w:p w:rsidR="00245893" w:rsidRDefault="00245893" w:rsidP="00843C83">
      <w:pPr>
        <w:rPr>
          <w:bCs/>
          <w:lang w:val="es-ES_tradnl"/>
        </w:rPr>
      </w:pPr>
    </w:p>
    <w:p w:rsidR="003A6301" w:rsidRPr="003F41B8" w:rsidRDefault="003A6301" w:rsidP="003A6301">
      <w:pPr>
        <w:pStyle w:val="ListParagraph"/>
        <w:spacing w:after="60"/>
        <w:ind w:left="360" w:right="473"/>
        <w:jc w:val="center"/>
        <w:rPr>
          <w:b/>
          <w:sz w:val="20"/>
        </w:rPr>
      </w:pPr>
      <w:r w:rsidRPr="003F41B8">
        <w:rPr>
          <w:b/>
          <w:sz w:val="20"/>
        </w:rPr>
        <w:t xml:space="preserve">Cuadro </w:t>
      </w:r>
      <w:r>
        <w:rPr>
          <w:b/>
          <w:sz w:val="20"/>
        </w:rPr>
        <w:t>16</w:t>
      </w:r>
      <w:r w:rsidRPr="003F41B8">
        <w:rPr>
          <w:b/>
          <w:sz w:val="20"/>
        </w:rPr>
        <w:t xml:space="preserve">. Resultados del </w:t>
      </w:r>
      <w:r>
        <w:rPr>
          <w:b/>
          <w:sz w:val="20"/>
        </w:rPr>
        <w:t>escenario B</w:t>
      </w:r>
    </w:p>
    <w:tbl>
      <w:tblPr>
        <w:tblW w:w="8931" w:type="dxa"/>
        <w:tblInd w:w="637" w:type="dxa"/>
        <w:tblCellMar>
          <w:left w:w="70" w:type="dxa"/>
          <w:right w:w="70" w:type="dxa"/>
        </w:tblCellMar>
        <w:tblLook w:val="04A0" w:firstRow="1" w:lastRow="0" w:firstColumn="1" w:lastColumn="0" w:noHBand="0" w:noVBand="1"/>
      </w:tblPr>
      <w:tblGrid>
        <w:gridCol w:w="547"/>
        <w:gridCol w:w="1580"/>
        <w:gridCol w:w="1533"/>
        <w:gridCol w:w="1302"/>
        <w:gridCol w:w="1275"/>
        <w:gridCol w:w="1418"/>
        <w:gridCol w:w="1276"/>
      </w:tblGrid>
      <w:tr w:rsidR="0042098D" w:rsidRPr="00B462D2" w:rsidTr="004C49ED">
        <w:trPr>
          <w:trHeight w:val="225"/>
        </w:trPr>
        <w:tc>
          <w:tcPr>
            <w:tcW w:w="547" w:type="dxa"/>
            <w:tcBorders>
              <w:top w:val="single" w:sz="4" w:space="0" w:color="auto"/>
              <w:left w:val="nil"/>
              <w:bottom w:val="single" w:sz="4" w:space="0" w:color="auto"/>
              <w:right w:val="nil"/>
            </w:tcBorders>
            <w:shd w:val="clear" w:color="auto" w:fill="auto"/>
            <w:noWrap/>
            <w:vAlign w:val="bottom"/>
            <w:hideMark/>
          </w:tcPr>
          <w:p w:rsidR="0042098D" w:rsidRPr="003A6301" w:rsidRDefault="0042098D" w:rsidP="0042098D">
            <w:pPr>
              <w:jc w:val="left"/>
              <w:rPr>
                <w:color w:val="000000"/>
                <w:sz w:val="18"/>
                <w:szCs w:val="18"/>
                <w:lang w:val="es-ES_tradnl" w:eastAsia="es-ES_tradnl"/>
              </w:rPr>
            </w:pPr>
          </w:p>
        </w:tc>
        <w:tc>
          <w:tcPr>
            <w:tcW w:w="1580" w:type="dxa"/>
            <w:tcBorders>
              <w:top w:val="single" w:sz="4" w:space="0" w:color="auto"/>
              <w:left w:val="nil"/>
              <w:bottom w:val="single" w:sz="4" w:space="0" w:color="auto"/>
              <w:right w:val="nil"/>
            </w:tcBorders>
            <w:shd w:val="clear" w:color="auto" w:fill="auto"/>
            <w:noWrap/>
            <w:vAlign w:val="bottom"/>
            <w:hideMark/>
          </w:tcPr>
          <w:p w:rsidR="0042098D" w:rsidRPr="003A6301" w:rsidRDefault="0042098D" w:rsidP="0042098D">
            <w:pPr>
              <w:jc w:val="center"/>
              <w:rPr>
                <w:b/>
                <w:bCs/>
                <w:color w:val="000000"/>
                <w:sz w:val="18"/>
                <w:szCs w:val="18"/>
                <w:lang w:val="es-ES_tradnl" w:eastAsia="es-ES_tradnl"/>
              </w:rPr>
            </w:pPr>
            <w:r w:rsidRPr="003A6301">
              <w:rPr>
                <w:b/>
                <w:bCs/>
                <w:color w:val="000000"/>
                <w:sz w:val="18"/>
                <w:szCs w:val="18"/>
                <w:lang w:val="es-ES_tradnl" w:eastAsia="es-ES_tradnl"/>
              </w:rPr>
              <w:t>Tasa de inscripción</w:t>
            </w:r>
          </w:p>
        </w:tc>
        <w:tc>
          <w:tcPr>
            <w:tcW w:w="1533" w:type="dxa"/>
            <w:tcBorders>
              <w:top w:val="single" w:sz="4" w:space="0" w:color="auto"/>
              <w:left w:val="nil"/>
              <w:bottom w:val="single" w:sz="4" w:space="0" w:color="auto"/>
              <w:right w:val="nil"/>
            </w:tcBorders>
            <w:shd w:val="clear" w:color="auto" w:fill="auto"/>
            <w:noWrap/>
            <w:vAlign w:val="bottom"/>
            <w:hideMark/>
          </w:tcPr>
          <w:p w:rsidR="0042098D" w:rsidRPr="003A6301" w:rsidRDefault="0042098D" w:rsidP="0042098D">
            <w:pPr>
              <w:jc w:val="center"/>
              <w:rPr>
                <w:b/>
                <w:bCs/>
                <w:color w:val="000000"/>
                <w:sz w:val="18"/>
                <w:szCs w:val="18"/>
                <w:lang w:val="es-ES_tradnl" w:eastAsia="es-ES_tradnl"/>
              </w:rPr>
            </w:pPr>
            <w:r w:rsidRPr="003A6301">
              <w:rPr>
                <w:b/>
                <w:bCs/>
                <w:color w:val="000000"/>
                <w:sz w:val="18"/>
                <w:szCs w:val="18"/>
                <w:lang w:val="es-ES_tradnl" w:eastAsia="es-ES_tradnl"/>
              </w:rPr>
              <w:t>Stock deuda activa</w:t>
            </w:r>
          </w:p>
        </w:tc>
        <w:tc>
          <w:tcPr>
            <w:tcW w:w="1302" w:type="dxa"/>
            <w:tcBorders>
              <w:top w:val="single" w:sz="4" w:space="0" w:color="auto"/>
              <w:left w:val="nil"/>
              <w:bottom w:val="single" w:sz="4" w:space="0" w:color="auto"/>
              <w:right w:val="nil"/>
            </w:tcBorders>
            <w:shd w:val="clear" w:color="auto" w:fill="auto"/>
            <w:noWrap/>
            <w:vAlign w:val="bottom"/>
            <w:hideMark/>
          </w:tcPr>
          <w:p w:rsidR="0042098D" w:rsidRPr="003A6301" w:rsidRDefault="0042098D" w:rsidP="0042098D">
            <w:pPr>
              <w:jc w:val="center"/>
              <w:rPr>
                <w:b/>
                <w:bCs/>
                <w:color w:val="000000"/>
                <w:sz w:val="18"/>
                <w:szCs w:val="18"/>
                <w:lang w:val="es-ES_tradnl" w:eastAsia="es-ES_tradnl"/>
              </w:rPr>
            </w:pPr>
            <w:r w:rsidRPr="003A6301">
              <w:rPr>
                <w:b/>
                <w:bCs/>
                <w:color w:val="000000"/>
                <w:sz w:val="18"/>
                <w:szCs w:val="18"/>
                <w:lang w:val="es-ES_tradnl" w:eastAsia="es-ES_tradnl"/>
              </w:rPr>
              <w:t>Tasa cobranza</w:t>
            </w:r>
          </w:p>
        </w:tc>
        <w:tc>
          <w:tcPr>
            <w:tcW w:w="1275" w:type="dxa"/>
            <w:tcBorders>
              <w:top w:val="single" w:sz="4" w:space="0" w:color="auto"/>
              <w:left w:val="nil"/>
              <w:bottom w:val="single" w:sz="4" w:space="0" w:color="auto"/>
              <w:right w:val="nil"/>
            </w:tcBorders>
            <w:shd w:val="clear" w:color="auto" w:fill="auto"/>
            <w:noWrap/>
            <w:vAlign w:val="bottom"/>
            <w:hideMark/>
          </w:tcPr>
          <w:p w:rsidR="0042098D" w:rsidRPr="003A6301" w:rsidRDefault="0042098D" w:rsidP="0042098D">
            <w:pPr>
              <w:jc w:val="center"/>
              <w:rPr>
                <w:b/>
                <w:bCs/>
                <w:color w:val="000000"/>
                <w:sz w:val="18"/>
                <w:szCs w:val="18"/>
                <w:lang w:val="es-ES_tradnl" w:eastAsia="es-ES_tradnl"/>
              </w:rPr>
            </w:pPr>
            <w:r w:rsidRPr="003A6301">
              <w:rPr>
                <w:b/>
                <w:bCs/>
                <w:color w:val="000000"/>
                <w:sz w:val="18"/>
                <w:szCs w:val="18"/>
                <w:lang w:val="es-ES_tradnl" w:eastAsia="es-ES_tradnl"/>
              </w:rPr>
              <w:t>Montos</w:t>
            </w:r>
          </w:p>
        </w:tc>
        <w:tc>
          <w:tcPr>
            <w:tcW w:w="1418" w:type="dxa"/>
            <w:tcBorders>
              <w:top w:val="single" w:sz="4" w:space="0" w:color="auto"/>
              <w:left w:val="nil"/>
              <w:bottom w:val="single" w:sz="4" w:space="0" w:color="auto"/>
              <w:right w:val="nil"/>
            </w:tcBorders>
            <w:shd w:val="clear" w:color="auto" w:fill="auto"/>
            <w:noWrap/>
            <w:vAlign w:val="bottom"/>
            <w:hideMark/>
          </w:tcPr>
          <w:p w:rsidR="0042098D" w:rsidRPr="003A6301" w:rsidRDefault="0042098D" w:rsidP="0042098D">
            <w:pPr>
              <w:jc w:val="right"/>
              <w:rPr>
                <w:b/>
                <w:bCs/>
                <w:color w:val="000000"/>
                <w:sz w:val="18"/>
                <w:szCs w:val="18"/>
                <w:lang w:val="es-ES_tradnl" w:eastAsia="es-ES_tradnl"/>
              </w:rPr>
            </w:pPr>
            <w:r w:rsidRPr="003A6301">
              <w:rPr>
                <w:b/>
                <w:bCs/>
                <w:color w:val="000000"/>
                <w:sz w:val="18"/>
                <w:szCs w:val="18"/>
                <w:lang w:val="es-ES_tradnl" w:eastAsia="es-ES_tradnl"/>
              </w:rPr>
              <w:t xml:space="preserve">Tasa </w:t>
            </w:r>
            <w:proofErr w:type="spellStart"/>
            <w:r w:rsidRPr="003A6301">
              <w:rPr>
                <w:b/>
                <w:bCs/>
                <w:color w:val="000000"/>
                <w:sz w:val="18"/>
                <w:szCs w:val="18"/>
                <w:lang w:val="es-ES_tradnl" w:eastAsia="es-ES_tradnl"/>
              </w:rPr>
              <w:t>recuper</w:t>
            </w:r>
            <w:proofErr w:type="spellEnd"/>
            <w:r w:rsidRPr="003A6301">
              <w:rPr>
                <w:b/>
                <w:bCs/>
                <w:color w:val="000000"/>
                <w:sz w:val="18"/>
                <w:szCs w:val="18"/>
                <w:lang w:val="es-ES_tradnl" w:eastAsia="es-ES_tradnl"/>
              </w:rPr>
              <w:t>.</w:t>
            </w:r>
          </w:p>
        </w:tc>
        <w:tc>
          <w:tcPr>
            <w:tcW w:w="1276" w:type="dxa"/>
            <w:tcBorders>
              <w:top w:val="single" w:sz="4" w:space="0" w:color="auto"/>
              <w:left w:val="nil"/>
              <w:bottom w:val="single" w:sz="4" w:space="0" w:color="auto"/>
              <w:right w:val="nil"/>
            </w:tcBorders>
            <w:shd w:val="clear" w:color="auto" w:fill="auto"/>
            <w:noWrap/>
            <w:vAlign w:val="bottom"/>
            <w:hideMark/>
          </w:tcPr>
          <w:p w:rsidR="0042098D" w:rsidRPr="003A6301" w:rsidRDefault="0042098D" w:rsidP="0042098D">
            <w:pPr>
              <w:jc w:val="right"/>
              <w:rPr>
                <w:b/>
                <w:bCs/>
                <w:color w:val="000000"/>
                <w:sz w:val="18"/>
                <w:szCs w:val="18"/>
                <w:lang w:val="es-ES_tradnl" w:eastAsia="es-ES_tradnl"/>
              </w:rPr>
            </w:pPr>
            <w:r w:rsidRPr="003A6301">
              <w:rPr>
                <w:b/>
                <w:bCs/>
                <w:color w:val="000000"/>
                <w:sz w:val="18"/>
                <w:szCs w:val="18"/>
                <w:lang w:val="es-ES_tradnl" w:eastAsia="es-ES_tradnl"/>
              </w:rPr>
              <w:t>Montos</w:t>
            </w:r>
          </w:p>
        </w:tc>
      </w:tr>
      <w:tr w:rsidR="0042098D" w:rsidRPr="00B462D2" w:rsidTr="004C49ED">
        <w:trPr>
          <w:trHeight w:val="210"/>
        </w:trPr>
        <w:tc>
          <w:tcPr>
            <w:tcW w:w="547" w:type="dxa"/>
            <w:tcBorders>
              <w:top w:val="single" w:sz="4" w:space="0" w:color="auto"/>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2010</w:t>
            </w:r>
          </w:p>
        </w:tc>
        <w:tc>
          <w:tcPr>
            <w:tcW w:w="1580" w:type="dxa"/>
            <w:tcBorders>
              <w:top w:val="single" w:sz="4" w:space="0" w:color="auto"/>
              <w:left w:val="nil"/>
              <w:bottom w:val="nil"/>
              <w:right w:val="nil"/>
            </w:tcBorders>
            <w:shd w:val="clear" w:color="000000" w:fill="C5D9F1"/>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24,5%</w:t>
            </w:r>
          </w:p>
        </w:tc>
        <w:tc>
          <w:tcPr>
            <w:tcW w:w="1533" w:type="dxa"/>
            <w:tcBorders>
              <w:top w:val="single" w:sz="4" w:space="0" w:color="auto"/>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10.854.011.274</w:t>
            </w:r>
          </w:p>
        </w:tc>
        <w:tc>
          <w:tcPr>
            <w:tcW w:w="1302" w:type="dxa"/>
            <w:tcBorders>
              <w:top w:val="single" w:sz="4" w:space="0" w:color="auto"/>
              <w:left w:val="nil"/>
              <w:bottom w:val="nil"/>
              <w:right w:val="nil"/>
            </w:tcBorders>
            <w:shd w:val="clear" w:color="000000" w:fill="C5D9F1"/>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single" w:sz="4" w:space="0" w:color="auto"/>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168.237.175</w:t>
            </w:r>
          </w:p>
        </w:tc>
        <w:tc>
          <w:tcPr>
            <w:tcW w:w="1418" w:type="dxa"/>
            <w:tcBorders>
              <w:top w:val="single" w:sz="4" w:space="0" w:color="auto"/>
              <w:left w:val="nil"/>
              <w:bottom w:val="nil"/>
              <w:right w:val="nil"/>
            </w:tcBorders>
            <w:shd w:val="clear" w:color="000000" w:fill="C5D9F1"/>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single" w:sz="4" w:space="0" w:color="auto"/>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530.001.323</w:t>
            </w:r>
          </w:p>
        </w:tc>
      </w:tr>
      <w:tr w:rsidR="0042098D" w:rsidRPr="00B462D2" w:rsidTr="003A6301">
        <w:trPr>
          <w:trHeight w:val="210"/>
        </w:trPr>
        <w:tc>
          <w:tcPr>
            <w:tcW w:w="547"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2014</w:t>
            </w:r>
          </w:p>
        </w:tc>
        <w:tc>
          <w:tcPr>
            <w:tcW w:w="1580" w:type="dxa"/>
            <w:tcBorders>
              <w:top w:val="nil"/>
              <w:left w:val="nil"/>
              <w:bottom w:val="nil"/>
              <w:right w:val="nil"/>
            </w:tcBorders>
            <w:shd w:val="clear" w:color="000000" w:fill="C5D9F1"/>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50,0%</w:t>
            </w:r>
          </w:p>
        </w:tc>
        <w:tc>
          <w:tcPr>
            <w:tcW w:w="1533"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22.151.043.416</w:t>
            </w:r>
          </w:p>
        </w:tc>
        <w:tc>
          <w:tcPr>
            <w:tcW w:w="1302" w:type="dxa"/>
            <w:tcBorders>
              <w:top w:val="nil"/>
              <w:left w:val="nil"/>
              <w:bottom w:val="nil"/>
              <w:right w:val="nil"/>
            </w:tcBorders>
            <w:shd w:val="clear" w:color="000000" w:fill="C5D9F1"/>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343.341.173</w:t>
            </w:r>
          </w:p>
        </w:tc>
        <w:tc>
          <w:tcPr>
            <w:tcW w:w="1418" w:type="dxa"/>
            <w:tcBorders>
              <w:top w:val="nil"/>
              <w:left w:val="nil"/>
              <w:bottom w:val="nil"/>
              <w:right w:val="nil"/>
            </w:tcBorders>
            <w:shd w:val="clear" w:color="000000" w:fill="C5D9F1"/>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265.000.662</w:t>
            </w:r>
          </w:p>
        </w:tc>
      </w:tr>
      <w:tr w:rsidR="0042098D" w:rsidRPr="00B462D2" w:rsidTr="003A6301">
        <w:trPr>
          <w:trHeight w:val="210"/>
        </w:trPr>
        <w:tc>
          <w:tcPr>
            <w:tcW w:w="547"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2015</w:t>
            </w:r>
          </w:p>
        </w:tc>
        <w:tc>
          <w:tcPr>
            <w:tcW w:w="1580"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60,0%</w:t>
            </w:r>
          </w:p>
        </w:tc>
        <w:tc>
          <w:tcPr>
            <w:tcW w:w="1533"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26.581.252.099</w:t>
            </w:r>
          </w:p>
        </w:tc>
        <w:tc>
          <w:tcPr>
            <w:tcW w:w="1302"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412.009.408</w:t>
            </w:r>
          </w:p>
        </w:tc>
        <w:tc>
          <w:tcPr>
            <w:tcW w:w="1418"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265.000.662</w:t>
            </w:r>
          </w:p>
        </w:tc>
      </w:tr>
      <w:tr w:rsidR="0042098D" w:rsidRPr="00B462D2" w:rsidTr="003A6301">
        <w:trPr>
          <w:trHeight w:val="210"/>
        </w:trPr>
        <w:tc>
          <w:tcPr>
            <w:tcW w:w="547"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2016</w:t>
            </w:r>
          </w:p>
        </w:tc>
        <w:tc>
          <w:tcPr>
            <w:tcW w:w="1580" w:type="dxa"/>
            <w:tcBorders>
              <w:top w:val="nil"/>
              <w:left w:val="nil"/>
              <w:bottom w:val="nil"/>
              <w:right w:val="nil"/>
            </w:tcBorders>
            <w:shd w:val="clear" w:color="000000" w:fill="C5D9F1"/>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70,0%</w:t>
            </w:r>
          </w:p>
        </w:tc>
        <w:tc>
          <w:tcPr>
            <w:tcW w:w="1533"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31.011.460.782</w:t>
            </w:r>
          </w:p>
        </w:tc>
        <w:tc>
          <w:tcPr>
            <w:tcW w:w="1302"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480.677.642</w:t>
            </w:r>
          </w:p>
        </w:tc>
        <w:tc>
          <w:tcPr>
            <w:tcW w:w="1418"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265.000.662</w:t>
            </w:r>
          </w:p>
        </w:tc>
      </w:tr>
      <w:tr w:rsidR="0042098D" w:rsidRPr="00B462D2" w:rsidTr="003A6301">
        <w:trPr>
          <w:trHeight w:val="210"/>
        </w:trPr>
        <w:tc>
          <w:tcPr>
            <w:tcW w:w="547"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2017</w:t>
            </w:r>
          </w:p>
        </w:tc>
        <w:tc>
          <w:tcPr>
            <w:tcW w:w="1580"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71,0%</w:t>
            </w:r>
          </w:p>
        </w:tc>
        <w:tc>
          <w:tcPr>
            <w:tcW w:w="1533"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31.454.481.651</w:t>
            </w:r>
          </w:p>
        </w:tc>
        <w:tc>
          <w:tcPr>
            <w:tcW w:w="1302"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487.544.466</w:t>
            </w:r>
          </w:p>
        </w:tc>
        <w:tc>
          <w:tcPr>
            <w:tcW w:w="1418"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265.000.662</w:t>
            </w:r>
          </w:p>
        </w:tc>
      </w:tr>
      <w:tr w:rsidR="0042098D" w:rsidRPr="00B462D2" w:rsidTr="003A6301">
        <w:trPr>
          <w:trHeight w:val="210"/>
        </w:trPr>
        <w:tc>
          <w:tcPr>
            <w:tcW w:w="547"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2018</w:t>
            </w:r>
          </w:p>
        </w:tc>
        <w:tc>
          <w:tcPr>
            <w:tcW w:w="1580"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72,0%</w:t>
            </w:r>
          </w:p>
        </w:tc>
        <w:tc>
          <w:tcPr>
            <w:tcW w:w="1533"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31.897.502.519</w:t>
            </w:r>
          </w:p>
        </w:tc>
        <w:tc>
          <w:tcPr>
            <w:tcW w:w="1302"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494.411.289</w:t>
            </w:r>
          </w:p>
        </w:tc>
        <w:tc>
          <w:tcPr>
            <w:tcW w:w="1418"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265.000.662</w:t>
            </w:r>
          </w:p>
        </w:tc>
      </w:tr>
      <w:tr w:rsidR="0042098D" w:rsidRPr="00B462D2" w:rsidTr="003A6301">
        <w:trPr>
          <w:trHeight w:val="210"/>
        </w:trPr>
        <w:tc>
          <w:tcPr>
            <w:tcW w:w="547"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2019</w:t>
            </w:r>
          </w:p>
        </w:tc>
        <w:tc>
          <w:tcPr>
            <w:tcW w:w="1580"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73,0%</w:t>
            </w:r>
          </w:p>
        </w:tc>
        <w:tc>
          <w:tcPr>
            <w:tcW w:w="1533"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32.340.523.387</w:t>
            </w:r>
          </w:p>
        </w:tc>
        <w:tc>
          <w:tcPr>
            <w:tcW w:w="1302"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501.278.113</w:t>
            </w:r>
          </w:p>
        </w:tc>
        <w:tc>
          <w:tcPr>
            <w:tcW w:w="1418"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nil"/>
              <w:left w:val="nil"/>
              <w:bottom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265.000.662</w:t>
            </w:r>
          </w:p>
        </w:tc>
      </w:tr>
      <w:tr w:rsidR="0042098D" w:rsidRPr="00B462D2" w:rsidTr="004C49ED">
        <w:trPr>
          <w:trHeight w:val="210"/>
        </w:trPr>
        <w:tc>
          <w:tcPr>
            <w:tcW w:w="547" w:type="dxa"/>
            <w:tcBorders>
              <w:top w:val="nil"/>
              <w:left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2020</w:t>
            </w:r>
          </w:p>
        </w:tc>
        <w:tc>
          <w:tcPr>
            <w:tcW w:w="1580" w:type="dxa"/>
            <w:tcBorders>
              <w:top w:val="nil"/>
              <w:left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74,0%</w:t>
            </w:r>
          </w:p>
        </w:tc>
        <w:tc>
          <w:tcPr>
            <w:tcW w:w="1533" w:type="dxa"/>
            <w:tcBorders>
              <w:top w:val="nil"/>
              <w:left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32.783.544.256</w:t>
            </w:r>
          </w:p>
        </w:tc>
        <w:tc>
          <w:tcPr>
            <w:tcW w:w="1302" w:type="dxa"/>
            <w:tcBorders>
              <w:top w:val="nil"/>
              <w:left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nil"/>
              <w:left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508.144.936</w:t>
            </w:r>
          </w:p>
        </w:tc>
        <w:tc>
          <w:tcPr>
            <w:tcW w:w="1418" w:type="dxa"/>
            <w:tcBorders>
              <w:top w:val="nil"/>
              <w:left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nil"/>
              <w:left w:val="nil"/>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265.000.662</w:t>
            </w:r>
          </w:p>
        </w:tc>
      </w:tr>
      <w:tr w:rsidR="0042098D" w:rsidRPr="00B462D2" w:rsidTr="004C49ED">
        <w:trPr>
          <w:trHeight w:val="210"/>
        </w:trPr>
        <w:tc>
          <w:tcPr>
            <w:tcW w:w="547" w:type="dxa"/>
            <w:tcBorders>
              <w:top w:val="nil"/>
              <w:left w:val="nil"/>
              <w:bottom w:val="single" w:sz="4" w:space="0" w:color="auto"/>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2021</w:t>
            </w:r>
          </w:p>
        </w:tc>
        <w:tc>
          <w:tcPr>
            <w:tcW w:w="1580" w:type="dxa"/>
            <w:tcBorders>
              <w:top w:val="nil"/>
              <w:left w:val="nil"/>
              <w:bottom w:val="single" w:sz="4" w:space="0" w:color="auto"/>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75,0%</w:t>
            </w:r>
          </w:p>
        </w:tc>
        <w:tc>
          <w:tcPr>
            <w:tcW w:w="1533" w:type="dxa"/>
            <w:tcBorders>
              <w:top w:val="nil"/>
              <w:left w:val="nil"/>
              <w:bottom w:val="single" w:sz="4" w:space="0" w:color="auto"/>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33.226.565.124</w:t>
            </w:r>
          </w:p>
        </w:tc>
        <w:tc>
          <w:tcPr>
            <w:tcW w:w="1302" w:type="dxa"/>
            <w:tcBorders>
              <w:top w:val="nil"/>
              <w:left w:val="nil"/>
              <w:bottom w:val="single" w:sz="4" w:space="0" w:color="auto"/>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1,6%</w:t>
            </w:r>
          </w:p>
        </w:tc>
        <w:tc>
          <w:tcPr>
            <w:tcW w:w="1275" w:type="dxa"/>
            <w:tcBorders>
              <w:top w:val="nil"/>
              <w:left w:val="nil"/>
              <w:bottom w:val="single" w:sz="4" w:space="0" w:color="auto"/>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515.011.759</w:t>
            </w:r>
          </w:p>
        </w:tc>
        <w:tc>
          <w:tcPr>
            <w:tcW w:w="1418" w:type="dxa"/>
            <w:tcBorders>
              <w:top w:val="nil"/>
              <w:left w:val="nil"/>
              <w:bottom w:val="single" w:sz="4" w:space="0" w:color="auto"/>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3,7%</w:t>
            </w:r>
          </w:p>
        </w:tc>
        <w:tc>
          <w:tcPr>
            <w:tcW w:w="1276" w:type="dxa"/>
            <w:tcBorders>
              <w:top w:val="nil"/>
              <w:left w:val="nil"/>
              <w:bottom w:val="single" w:sz="4" w:space="0" w:color="auto"/>
              <w:right w:val="nil"/>
            </w:tcBorders>
            <w:shd w:val="clear" w:color="auto" w:fill="auto"/>
            <w:noWrap/>
            <w:vAlign w:val="bottom"/>
            <w:hideMark/>
          </w:tcPr>
          <w:p w:rsidR="0042098D" w:rsidRPr="003A6301" w:rsidRDefault="0042098D" w:rsidP="0042098D">
            <w:pPr>
              <w:jc w:val="right"/>
              <w:rPr>
                <w:color w:val="000000"/>
                <w:sz w:val="18"/>
                <w:szCs w:val="18"/>
                <w:lang w:val="es-ES_tradnl" w:eastAsia="es-ES_tradnl"/>
              </w:rPr>
            </w:pPr>
            <w:r w:rsidRPr="003A6301">
              <w:rPr>
                <w:color w:val="000000"/>
                <w:sz w:val="18"/>
                <w:szCs w:val="18"/>
                <w:lang w:val="es-ES_tradnl" w:eastAsia="es-ES_tradnl"/>
              </w:rPr>
              <w:t>265.000.662</w:t>
            </w:r>
          </w:p>
        </w:tc>
      </w:tr>
    </w:tbl>
    <w:p w:rsidR="003A6301" w:rsidRDefault="003A6301" w:rsidP="003A6301">
      <w:pPr>
        <w:ind w:left="709"/>
        <w:rPr>
          <w:bCs/>
          <w:lang w:val="es-ES_tradnl"/>
        </w:rPr>
      </w:pPr>
      <w:r w:rsidRPr="009E7F7F">
        <w:rPr>
          <w:sz w:val="18"/>
        </w:rPr>
        <w:t>Montos en reales 2010.</w:t>
      </w:r>
    </w:p>
    <w:p w:rsidR="00245893" w:rsidRDefault="00245893" w:rsidP="00843C83">
      <w:pPr>
        <w:rPr>
          <w:bCs/>
          <w:lang w:val="es-ES_tradnl"/>
        </w:rPr>
      </w:pPr>
    </w:p>
    <w:p w:rsidR="00245893" w:rsidRDefault="003A6301" w:rsidP="003A6301">
      <w:pPr>
        <w:pStyle w:val="ListParagraph"/>
        <w:numPr>
          <w:ilvl w:val="0"/>
          <w:numId w:val="14"/>
        </w:numPr>
        <w:ind w:left="567" w:hanging="567"/>
        <w:rPr>
          <w:bCs/>
          <w:lang w:val="es-ES_tradnl"/>
        </w:rPr>
      </w:pPr>
      <w:r>
        <w:rPr>
          <w:bCs/>
          <w:lang w:val="es-ES_tradnl"/>
        </w:rPr>
        <w:t>Bajo este escenario, los resultados económicos son los siguientes (ver cuadro 17):</w:t>
      </w:r>
    </w:p>
    <w:p w:rsidR="004A2025" w:rsidRDefault="004A2025" w:rsidP="00843C83">
      <w:pPr>
        <w:rPr>
          <w:bCs/>
          <w:lang w:val="es-ES_tradnl"/>
        </w:rPr>
      </w:pPr>
    </w:p>
    <w:p w:rsidR="003A6301" w:rsidRPr="003F41B8" w:rsidRDefault="003A6301" w:rsidP="003A6301">
      <w:pPr>
        <w:pStyle w:val="ListParagraph"/>
        <w:spacing w:after="60"/>
        <w:ind w:left="360" w:right="473"/>
        <w:jc w:val="center"/>
        <w:rPr>
          <w:b/>
          <w:sz w:val="20"/>
        </w:rPr>
      </w:pPr>
      <w:r w:rsidRPr="003F41B8">
        <w:rPr>
          <w:b/>
          <w:sz w:val="20"/>
        </w:rPr>
        <w:t xml:space="preserve">Cuadro </w:t>
      </w:r>
      <w:r w:rsidR="004C49ED">
        <w:rPr>
          <w:b/>
          <w:sz w:val="20"/>
        </w:rPr>
        <w:t>17</w:t>
      </w:r>
      <w:r w:rsidRPr="003F41B8">
        <w:rPr>
          <w:b/>
          <w:sz w:val="20"/>
        </w:rPr>
        <w:t xml:space="preserve">. Resultados del </w:t>
      </w:r>
      <w:r>
        <w:rPr>
          <w:b/>
          <w:sz w:val="20"/>
        </w:rPr>
        <w:t>escenario A</w:t>
      </w:r>
    </w:p>
    <w:tbl>
      <w:tblPr>
        <w:tblW w:w="5670" w:type="dxa"/>
        <w:jc w:val="center"/>
        <w:tblInd w:w="637" w:type="dxa"/>
        <w:tblCellMar>
          <w:left w:w="70" w:type="dxa"/>
          <w:right w:w="70" w:type="dxa"/>
        </w:tblCellMar>
        <w:tblLook w:val="04A0" w:firstRow="1" w:lastRow="0" w:firstColumn="1" w:lastColumn="0" w:noHBand="0" w:noVBand="1"/>
      </w:tblPr>
      <w:tblGrid>
        <w:gridCol w:w="2694"/>
        <w:gridCol w:w="1559"/>
        <w:gridCol w:w="1417"/>
      </w:tblGrid>
      <w:tr w:rsidR="003A6301" w:rsidRPr="003F41B8" w:rsidTr="00B462D2">
        <w:trPr>
          <w:trHeight w:val="225"/>
          <w:jc w:val="center"/>
        </w:trPr>
        <w:tc>
          <w:tcPr>
            <w:tcW w:w="2694" w:type="dxa"/>
            <w:tcBorders>
              <w:top w:val="single" w:sz="4" w:space="0" w:color="auto"/>
              <w:left w:val="nil"/>
              <w:bottom w:val="single" w:sz="4" w:space="0" w:color="auto"/>
              <w:right w:val="nil"/>
            </w:tcBorders>
            <w:shd w:val="clear" w:color="auto" w:fill="auto"/>
            <w:noWrap/>
            <w:vAlign w:val="bottom"/>
            <w:hideMark/>
          </w:tcPr>
          <w:p w:rsidR="003A6301" w:rsidRPr="00E435C8" w:rsidRDefault="003A6301" w:rsidP="00B462D2">
            <w:pPr>
              <w:jc w:val="center"/>
              <w:rPr>
                <w:b/>
                <w:bCs/>
                <w:color w:val="000000"/>
                <w:sz w:val="20"/>
                <w:szCs w:val="20"/>
                <w:lang w:val="es-ES_tradnl" w:eastAsia="es-ES_tradnl"/>
              </w:rPr>
            </w:pPr>
          </w:p>
        </w:tc>
        <w:tc>
          <w:tcPr>
            <w:tcW w:w="2976" w:type="dxa"/>
            <w:gridSpan w:val="2"/>
            <w:tcBorders>
              <w:top w:val="single" w:sz="4" w:space="0" w:color="auto"/>
              <w:left w:val="nil"/>
              <w:bottom w:val="single" w:sz="4" w:space="0" w:color="auto"/>
              <w:right w:val="nil"/>
            </w:tcBorders>
            <w:shd w:val="clear" w:color="auto" w:fill="auto"/>
            <w:noWrap/>
            <w:vAlign w:val="bottom"/>
          </w:tcPr>
          <w:p w:rsidR="003A6301" w:rsidRPr="00E435C8" w:rsidRDefault="003A6301" w:rsidP="00B462D2">
            <w:pPr>
              <w:jc w:val="center"/>
              <w:rPr>
                <w:b/>
                <w:color w:val="000000"/>
                <w:sz w:val="20"/>
                <w:szCs w:val="20"/>
                <w:lang w:val="es-ES_tradnl" w:eastAsia="es-ES_tradnl"/>
              </w:rPr>
            </w:pPr>
            <w:r>
              <w:rPr>
                <w:b/>
                <w:color w:val="000000"/>
                <w:sz w:val="20"/>
                <w:szCs w:val="20"/>
                <w:lang w:val="es-ES_tradnl" w:eastAsia="es-ES_tradnl"/>
              </w:rPr>
              <w:t>Alternativa</w:t>
            </w:r>
            <w:r w:rsidRPr="003F41B8">
              <w:rPr>
                <w:b/>
                <w:color w:val="000000"/>
                <w:sz w:val="20"/>
                <w:szCs w:val="20"/>
                <w:lang w:val="es-ES_tradnl" w:eastAsia="es-ES_tradnl"/>
              </w:rPr>
              <w:t xml:space="preserve"> BID</w:t>
            </w:r>
          </w:p>
        </w:tc>
      </w:tr>
      <w:tr w:rsidR="003A6301" w:rsidRPr="00E435C8" w:rsidTr="00B462D2">
        <w:trPr>
          <w:trHeight w:val="225"/>
          <w:jc w:val="center"/>
        </w:trPr>
        <w:tc>
          <w:tcPr>
            <w:tcW w:w="2694" w:type="dxa"/>
            <w:tcBorders>
              <w:top w:val="single" w:sz="4" w:space="0" w:color="auto"/>
              <w:left w:val="nil"/>
              <w:right w:val="nil"/>
            </w:tcBorders>
            <w:shd w:val="clear" w:color="auto" w:fill="auto"/>
            <w:noWrap/>
            <w:vAlign w:val="bottom"/>
            <w:hideMark/>
          </w:tcPr>
          <w:p w:rsidR="003A6301" w:rsidRPr="00E435C8" w:rsidRDefault="003A6301" w:rsidP="00B462D2">
            <w:pPr>
              <w:jc w:val="left"/>
              <w:rPr>
                <w:b/>
                <w:bCs/>
                <w:color w:val="000000"/>
                <w:sz w:val="20"/>
                <w:szCs w:val="20"/>
                <w:lang w:val="es-ES_tradnl" w:eastAsia="es-ES_tradnl"/>
              </w:rPr>
            </w:pPr>
            <w:r w:rsidRPr="00E435C8">
              <w:rPr>
                <w:b/>
                <w:bCs/>
                <w:color w:val="000000"/>
                <w:sz w:val="20"/>
                <w:szCs w:val="20"/>
                <w:lang w:val="es-ES_tradnl" w:eastAsia="es-ES_tradnl"/>
              </w:rPr>
              <w:t>TIR</w:t>
            </w:r>
          </w:p>
        </w:tc>
        <w:tc>
          <w:tcPr>
            <w:tcW w:w="2976" w:type="dxa"/>
            <w:gridSpan w:val="2"/>
            <w:tcBorders>
              <w:top w:val="single" w:sz="4" w:space="0" w:color="auto"/>
              <w:left w:val="nil"/>
              <w:right w:val="nil"/>
            </w:tcBorders>
            <w:shd w:val="clear" w:color="auto" w:fill="auto"/>
            <w:noWrap/>
            <w:vAlign w:val="bottom"/>
            <w:hideMark/>
          </w:tcPr>
          <w:p w:rsidR="003A6301" w:rsidRPr="009C7191" w:rsidRDefault="003A6301" w:rsidP="00B462D2">
            <w:pPr>
              <w:jc w:val="center"/>
              <w:rPr>
                <w:rFonts w:ascii="Verdana" w:hAnsi="Verdana" w:cs="Calibri"/>
                <w:b/>
                <w:bCs/>
                <w:color w:val="000000"/>
                <w:sz w:val="18"/>
                <w:szCs w:val="18"/>
              </w:rPr>
            </w:pPr>
            <w:r>
              <w:rPr>
                <w:b/>
                <w:bCs/>
                <w:color w:val="000000"/>
                <w:sz w:val="20"/>
                <w:szCs w:val="20"/>
                <w:lang w:val="es-ES_tradnl" w:eastAsia="es-ES_tradnl"/>
              </w:rPr>
              <w:t>518,0</w:t>
            </w:r>
            <w:r w:rsidRPr="00E435C8">
              <w:rPr>
                <w:b/>
                <w:bCs/>
                <w:color w:val="000000"/>
                <w:sz w:val="20"/>
                <w:szCs w:val="20"/>
                <w:lang w:val="es-ES_tradnl" w:eastAsia="es-ES_tradnl"/>
              </w:rPr>
              <w:t>%</w:t>
            </w:r>
          </w:p>
        </w:tc>
      </w:tr>
      <w:tr w:rsidR="003A6301" w:rsidRPr="00E435C8" w:rsidTr="00B462D2">
        <w:trPr>
          <w:trHeight w:val="225"/>
          <w:jc w:val="center"/>
        </w:trPr>
        <w:tc>
          <w:tcPr>
            <w:tcW w:w="2694" w:type="dxa"/>
            <w:tcBorders>
              <w:top w:val="nil"/>
              <w:left w:val="nil"/>
              <w:right w:val="nil"/>
            </w:tcBorders>
            <w:shd w:val="clear" w:color="auto" w:fill="auto"/>
            <w:noWrap/>
            <w:vAlign w:val="bottom"/>
          </w:tcPr>
          <w:p w:rsidR="003A6301" w:rsidRPr="00E435C8" w:rsidRDefault="003A6301" w:rsidP="00B462D2">
            <w:pPr>
              <w:jc w:val="left"/>
              <w:rPr>
                <w:color w:val="000000"/>
                <w:sz w:val="20"/>
                <w:szCs w:val="20"/>
                <w:lang w:val="es-ES_tradnl" w:eastAsia="es-ES_tradnl"/>
              </w:rPr>
            </w:pPr>
          </w:p>
        </w:tc>
        <w:tc>
          <w:tcPr>
            <w:tcW w:w="1559" w:type="dxa"/>
            <w:tcBorders>
              <w:top w:val="nil"/>
              <w:left w:val="nil"/>
              <w:right w:val="nil"/>
            </w:tcBorders>
            <w:shd w:val="clear" w:color="auto" w:fill="auto"/>
            <w:noWrap/>
            <w:vAlign w:val="bottom"/>
          </w:tcPr>
          <w:p w:rsidR="003A6301" w:rsidRPr="00E435C8" w:rsidRDefault="003A6301" w:rsidP="00B462D2">
            <w:pPr>
              <w:jc w:val="right"/>
              <w:rPr>
                <w:color w:val="000000"/>
                <w:sz w:val="20"/>
                <w:szCs w:val="20"/>
                <w:lang w:val="es-ES_tradnl" w:eastAsia="es-ES_tradnl"/>
              </w:rPr>
            </w:pPr>
          </w:p>
        </w:tc>
        <w:tc>
          <w:tcPr>
            <w:tcW w:w="1417" w:type="dxa"/>
            <w:tcBorders>
              <w:top w:val="nil"/>
              <w:left w:val="nil"/>
              <w:right w:val="nil"/>
            </w:tcBorders>
            <w:shd w:val="clear" w:color="auto" w:fill="auto"/>
            <w:noWrap/>
            <w:vAlign w:val="bottom"/>
          </w:tcPr>
          <w:p w:rsidR="003A6301" w:rsidRPr="00E435C8" w:rsidRDefault="003A6301" w:rsidP="00B462D2">
            <w:pPr>
              <w:jc w:val="right"/>
              <w:rPr>
                <w:color w:val="000000"/>
                <w:sz w:val="20"/>
                <w:szCs w:val="20"/>
                <w:lang w:val="es-ES_tradnl" w:eastAsia="es-ES_tradnl"/>
              </w:rPr>
            </w:pPr>
          </w:p>
        </w:tc>
      </w:tr>
      <w:tr w:rsidR="003A6301" w:rsidRPr="00E435C8" w:rsidTr="00B462D2">
        <w:trPr>
          <w:trHeight w:val="225"/>
          <w:jc w:val="center"/>
        </w:trPr>
        <w:tc>
          <w:tcPr>
            <w:tcW w:w="2694" w:type="dxa"/>
            <w:tcBorders>
              <w:left w:val="nil"/>
              <w:bottom w:val="single" w:sz="4" w:space="0" w:color="auto"/>
              <w:right w:val="nil"/>
            </w:tcBorders>
            <w:shd w:val="clear" w:color="auto" w:fill="auto"/>
            <w:noWrap/>
            <w:vAlign w:val="bottom"/>
            <w:hideMark/>
          </w:tcPr>
          <w:p w:rsidR="003A6301" w:rsidRPr="00E435C8" w:rsidRDefault="003A6301" w:rsidP="00B462D2">
            <w:pPr>
              <w:jc w:val="left"/>
              <w:rPr>
                <w:color w:val="000000"/>
                <w:sz w:val="20"/>
                <w:szCs w:val="20"/>
                <w:lang w:val="es-ES_tradnl" w:eastAsia="es-ES_tradnl"/>
              </w:rPr>
            </w:pPr>
            <w:r w:rsidRPr="00E435C8">
              <w:rPr>
                <w:color w:val="000000"/>
                <w:sz w:val="20"/>
                <w:szCs w:val="20"/>
                <w:lang w:val="es-ES_tradnl" w:eastAsia="es-ES_tradnl"/>
              </w:rPr>
              <w:t>Tasa de descuento</w:t>
            </w:r>
          </w:p>
        </w:tc>
        <w:tc>
          <w:tcPr>
            <w:tcW w:w="1559" w:type="dxa"/>
            <w:tcBorders>
              <w:left w:val="nil"/>
              <w:bottom w:val="single" w:sz="4" w:space="0" w:color="auto"/>
              <w:right w:val="nil"/>
            </w:tcBorders>
            <w:shd w:val="clear" w:color="auto" w:fill="auto"/>
            <w:noWrap/>
            <w:vAlign w:val="bottom"/>
            <w:hideMark/>
          </w:tcPr>
          <w:p w:rsidR="003A6301" w:rsidRPr="00E435C8" w:rsidRDefault="003A6301" w:rsidP="00B462D2">
            <w:pPr>
              <w:jc w:val="right"/>
              <w:rPr>
                <w:color w:val="000000"/>
                <w:sz w:val="20"/>
                <w:szCs w:val="20"/>
                <w:lang w:val="es-ES_tradnl" w:eastAsia="es-ES_tradnl"/>
              </w:rPr>
            </w:pPr>
            <w:r w:rsidRPr="00E435C8">
              <w:rPr>
                <w:color w:val="000000"/>
                <w:sz w:val="20"/>
                <w:szCs w:val="20"/>
                <w:lang w:val="es-ES_tradnl" w:eastAsia="es-ES_tradnl"/>
              </w:rPr>
              <w:t>6,0%</w:t>
            </w:r>
          </w:p>
        </w:tc>
        <w:tc>
          <w:tcPr>
            <w:tcW w:w="1417" w:type="dxa"/>
            <w:tcBorders>
              <w:left w:val="nil"/>
              <w:bottom w:val="single" w:sz="4" w:space="0" w:color="auto"/>
              <w:right w:val="nil"/>
            </w:tcBorders>
            <w:shd w:val="clear" w:color="auto" w:fill="auto"/>
            <w:noWrap/>
            <w:vAlign w:val="bottom"/>
            <w:hideMark/>
          </w:tcPr>
          <w:p w:rsidR="003A6301" w:rsidRPr="00E435C8" w:rsidRDefault="003A6301" w:rsidP="00B462D2">
            <w:pPr>
              <w:jc w:val="right"/>
              <w:rPr>
                <w:color w:val="000000"/>
                <w:sz w:val="20"/>
                <w:szCs w:val="20"/>
                <w:lang w:val="es-ES_tradnl" w:eastAsia="es-ES_tradnl"/>
              </w:rPr>
            </w:pPr>
            <w:r w:rsidRPr="00E435C8">
              <w:rPr>
                <w:color w:val="000000"/>
                <w:sz w:val="20"/>
                <w:szCs w:val="20"/>
                <w:lang w:val="es-ES_tradnl" w:eastAsia="es-ES_tradnl"/>
              </w:rPr>
              <w:t>12%</w:t>
            </w:r>
          </w:p>
        </w:tc>
      </w:tr>
      <w:tr w:rsidR="003A6301" w:rsidRPr="00E435C8" w:rsidTr="00B462D2">
        <w:trPr>
          <w:trHeight w:val="225"/>
          <w:jc w:val="center"/>
        </w:trPr>
        <w:tc>
          <w:tcPr>
            <w:tcW w:w="2694" w:type="dxa"/>
            <w:tcBorders>
              <w:top w:val="single" w:sz="4" w:space="0" w:color="auto"/>
              <w:left w:val="nil"/>
              <w:bottom w:val="nil"/>
              <w:right w:val="nil"/>
            </w:tcBorders>
            <w:shd w:val="clear" w:color="auto" w:fill="auto"/>
            <w:noWrap/>
            <w:vAlign w:val="bottom"/>
            <w:hideMark/>
          </w:tcPr>
          <w:p w:rsidR="003A6301" w:rsidRPr="00E435C8" w:rsidRDefault="003A6301" w:rsidP="00B462D2">
            <w:pPr>
              <w:jc w:val="left"/>
              <w:rPr>
                <w:color w:val="000000"/>
                <w:sz w:val="20"/>
                <w:szCs w:val="20"/>
                <w:lang w:val="es-ES_tradnl" w:eastAsia="es-ES_tradnl"/>
              </w:rPr>
            </w:pPr>
            <w:r w:rsidRPr="00E435C8">
              <w:rPr>
                <w:color w:val="000000"/>
                <w:sz w:val="20"/>
                <w:szCs w:val="20"/>
                <w:lang w:val="es-ES_tradnl" w:eastAsia="es-ES_tradnl"/>
              </w:rPr>
              <w:t>Beneficios (VA)</w:t>
            </w:r>
          </w:p>
        </w:tc>
        <w:tc>
          <w:tcPr>
            <w:tcW w:w="1559" w:type="dxa"/>
            <w:tcBorders>
              <w:top w:val="single" w:sz="4" w:space="0" w:color="auto"/>
              <w:left w:val="nil"/>
              <w:bottom w:val="nil"/>
              <w:right w:val="nil"/>
            </w:tcBorders>
            <w:shd w:val="clear" w:color="auto" w:fill="auto"/>
            <w:noWrap/>
            <w:vAlign w:val="bottom"/>
            <w:hideMark/>
          </w:tcPr>
          <w:p w:rsidR="003A6301" w:rsidRPr="003A6301" w:rsidRDefault="003A6301" w:rsidP="00B462D2">
            <w:pPr>
              <w:jc w:val="right"/>
              <w:rPr>
                <w:bCs/>
                <w:color w:val="000000"/>
                <w:sz w:val="20"/>
                <w:szCs w:val="20"/>
                <w:lang w:val="es-ES_tradnl" w:eastAsia="es-ES_tradnl"/>
              </w:rPr>
            </w:pPr>
            <w:r w:rsidRPr="003A6301">
              <w:rPr>
                <w:color w:val="000000"/>
                <w:sz w:val="18"/>
                <w:szCs w:val="18"/>
              </w:rPr>
              <w:t>4.013.763.403</w:t>
            </w:r>
          </w:p>
        </w:tc>
        <w:tc>
          <w:tcPr>
            <w:tcW w:w="1417" w:type="dxa"/>
            <w:tcBorders>
              <w:top w:val="single" w:sz="4" w:space="0" w:color="auto"/>
              <w:left w:val="nil"/>
              <w:bottom w:val="nil"/>
              <w:right w:val="nil"/>
            </w:tcBorders>
            <w:shd w:val="clear" w:color="auto" w:fill="auto"/>
            <w:noWrap/>
            <w:vAlign w:val="bottom"/>
            <w:hideMark/>
          </w:tcPr>
          <w:p w:rsidR="003A6301" w:rsidRPr="003A6301" w:rsidRDefault="003A6301" w:rsidP="00B462D2">
            <w:pPr>
              <w:jc w:val="right"/>
              <w:rPr>
                <w:bCs/>
                <w:color w:val="000000"/>
                <w:sz w:val="20"/>
                <w:szCs w:val="20"/>
                <w:lang w:val="es-ES_tradnl" w:eastAsia="es-ES_tradnl"/>
              </w:rPr>
            </w:pPr>
            <w:r w:rsidRPr="003A6301">
              <w:rPr>
                <w:color w:val="000000"/>
                <w:sz w:val="18"/>
                <w:szCs w:val="18"/>
              </w:rPr>
              <w:t>2.850.592.239</w:t>
            </w:r>
          </w:p>
        </w:tc>
      </w:tr>
      <w:tr w:rsidR="003A6301" w:rsidRPr="00E435C8" w:rsidTr="00B462D2">
        <w:trPr>
          <w:trHeight w:val="225"/>
          <w:jc w:val="center"/>
        </w:trPr>
        <w:tc>
          <w:tcPr>
            <w:tcW w:w="2694" w:type="dxa"/>
            <w:tcBorders>
              <w:top w:val="nil"/>
              <w:left w:val="nil"/>
              <w:bottom w:val="nil"/>
              <w:right w:val="nil"/>
            </w:tcBorders>
            <w:shd w:val="clear" w:color="auto" w:fill="auto"/>
            <w:noWrap/>
            <w:vAlign w:val="bottom"/>
            <w:hideMark/>
          </w:tcPr>
          <w:p w:rsidR="003A6301" w:rsidRPr="00E435C8" w:rsidRDefault="003A6301" w:rsidP="00B462D2">
            <w:pPr>
              <w:jc w:val="left"/>
              <w:rPr>
                <w:color w:val="000000"/>
                <w:sz w:val="20"/>
                <w:szCs w:val="20"/>
                <w:lang w:val="es-ES_tradnl" w:eastAsia="es-ES_tradnl"/>
              </w:rPr>
            </w:pPr>
            <w:r w:rsidRPr="00E435C8">
              <w:rPr>
                <w:color w:val="000000"/>
                <w:sz w:val="20"/>
                <w:szCs w:val="20"/>
                <w:lang w:val="es-ES_tradnl" w:eastAsia="es-ES_tradnl"/>
              </w:rPr>
              <w:t>Costos (VA)</w:t>
            </w:r>
          </w:p>
        </w:tc>
        <w:tc>
          <w:tcPr>
            <w:tcW w:w="1559" w:type="dxa"/>
            <w:tcBorders>
              <w:top w:val="nil"/>
              <w:left w:val="nil"/>
              <w:bottom w:val="nil"/>
              <w:right w:val="nil"/>
            </w:tcBorders>
            <w:shd w:val="clear" w:color="auto" w:fill="auto"/>
            <w:noWrap/>
            <w:vAlign w:val="bottom"/>
            <w:hideMark/>
          </w:tcPr>
          <w:p w:rsidR="003A6301" w:rsidRPr="003A6301" w:rsidRDefault="003A6301" w:rsidP="00B462D2">
            <w:pPr>
              <w:jc w:val="right"/>
              <w:rPr>
                <w:bCs/>
                <w:color w:val="000000"/>
                <w:sz w:val="20"/>
                <w:szCs w:val="20"/>
                <w:lang w:val="es-ES_tradnl" w:eastAsia="es-ES_tradnl"/>
              </w:rPr>
            </w:pPr>
            <w:r w:rsidRPr="003A6301">
              <w:rPr>
                <w:color w:val="000000"/>
                <w:sz w:val="18"/>
                <w:szCs w:val="18"/>
              </w:rPr>
              <w:t>100.975.371</w:t>
            </w:r>
          </w:p>
        </w:tc>
        <w:tc>
          <w:tcPr>
            <w:tcW w:w="1417" w:type="dxa"/>
            <w:tcBorders>
              <w:top w:val="nil"/>
              <w:left w:val="nil"/>
              <w:bottom w:val="nil"/>
              <w:right w:val="nil"/>
            </w:tcBorders>
            <w:shd w:val="clear" w:color="auto" w:fill="auto"/>
            <w:noWrap/>
            <w:vAlign w:val="bottom"/>
            <w:hideMark/>
          </w:tcPr>
          <w:p w:rsidR="003A6301" w:rsidRPr="003A6301" w:rsidRDefault="003A6301" w:rsidP="00B462D2">
            <w:pPr>
              <w:jc w:val="right"/>
              <w:rPr>
                <w:bCs/>
                <w:color w:val="000000"/>
                <w:sz w:val="20"/>
                <w:szCs w:val="20"/>
                <w:lang w:val="es-ES_tradnl" w:eastAsia="es-ES_tradnl"/>
              </w:rPr>
            </w:pPr>
            <w:r w:rsidRPr="003A6301">
              <w:rPr>
                <w:color w:val="000000"/>
                <w:sz w:val="18"/>
                <w:szCs w:val="18"/>
              </w:rPr>
              <w:t>80.191.772</w:t>
            </w:r>
          </w:p>
        </w:tc>
      </w:tr>
      <w:tr w:rsidR="003A6301" w:rsidRPr="00E435C8" w:rsidTr="00B462D2">
        <w:trPr>
          <w:trHeight w:val="225"/>
          <w:jc w:val="center"/>
        </w:trPr>
        <w:tc>
          <w:tcPr>
            <w:tcW w:w="2694" w:type="dxa"/>
            <w:tcBorders>
              <w:top w:val="nil"/>
              <w:left w:val="nil"/>
              <w:right w:val="nil"/>
            </w:tcBorders>
            <w:shd w:val="clear" w:color="auto" w:fill="auto"/>
            <w:noWrap/>
            <w:vAlign w:val="bottom"/>
            <w:hideMark/>
          </w:tcPr>
          <w:p w:rsidR="003A6301" w:rsidRPr="00934C93" w:rsidRDefault="003A6301" w:rsidP="00B462D2">
            <w:pPr>
              <w:jc w:val="left"/>
              <w:rPr>
                <w:color w:val="000000"/>
                <w:sz w:val="20"/>
                <w:szCs w:val="20"/>
                <w:lang w:val="es-ES_tradnl" w:eastAsia="es-ES_tradnl"/>
              </w:rPr>
            </w:pPr>
            <w:r w:rsidRPr="00934C93">
              <w:rPr>
                <w:color w:val="000000"/>
                <w:sz w:val="20"/>
                <w:szCs w:val="20"/>
                <w:lang w:val="es-ES_tradnl" w:eastAsia="es-ES_tradnl"/>
              </w:rPr>
              <w:t>Saldo neto (VAN)</w:t>
            </w:r>
          </w:p>
        </w:tc>
        <w:tc>
          <w:tcPr>
            <w:tcW w:w="1559" w:type="dxa"/>
            <w:tcBorders>
              <w:top w:val="nil"/>
              <w:left w:val="nil"/>
              <w:right w:val="nil"/>
            </w:tcBorders>
            <w:shd w:val="clear" w:color="auto" w:fill="auto"/>
            <w:noWrap/>
            <w:vAlign w:val="bottom"/>
            <w:hideMark/>
          </w:tcPr>
          <w:p w:rsidR="003A6301" w:rsidRPr="003A6301" w:rsidRDefault="003A6301" w:rsidP="00B462D2">
            <w:pPr>
              <w:jc w:val="right"/>
              <w:rPr>
                <w:bCs/>
                <w:color w:val="000000"/>
                <w:sz w:val="20"/>
                <w:szCs w:val="20"/>
                <w:lang w:val="es-ES_tradnl" w:eastAsia="es-ES_tradnl"/>
              </w:rPr>
            </w:pPr>
            <w:r w:rsidRPr="003A6301">
              <w:rPr>
                <w:color w:val="000000"/>
                <w:sz w:val="18"/>
                <w:szCs w:val="18"/>
              </w:rPr>
              <w:t>3.912.788.033</w:t>
            </w:r>
          </w:p>
        </w:tc>
        <w:tc>
          <w:tcPr>
            <w:tcW w:w="1417" w:type="dxa"/>
            <w:tcBorders>
              <w:top w:val="nil"/>
              <w:left w:val="nil"/>
              <w:right w:val="nil"/>
            </w:tcBorders>
            <w:shd w:val="clear" w:color="auto" w:fill="auto"/>
            <w:noWrap/>
            <w:vAlign w:val="bottom"/>
            <w:hideMark/>
          </w:tcPr>
          <w:p w:rsidR="003A6301" w:rsidRPr="003A6301" w:rsidRDefault="003A6301" w:rsidP="00B462D2">
            <w:pPr>
              <w:jc w:val="right"/>
              <w:rPr>
                <w:bCs/>
                <w:color w:val="000000"/>
                <w:sz w:val="20"/>
                <w:szCs w:val="20"/>
                <w:lang w:val="es-ES_tradnl" w:eastAsia="es-ES_tradnl"/>
              </w:rPr>
            </w:pPr>
            <w:r w:rsidRPr="003A6301">
              <w:rPr>
                <w:color w:val="000000"/>
                <w:sz w:val="18"/>
                <w:szCs w:val="18"/>
              </w:rPr>
              <w:t>2.770.400.467</w:t>
            </w:r>
          </w:p>
        </w:tc>
      </w:tr>
      <w:tr w:rsidR="003A6301" w:rsidRPr="00E435C8" w:rsidTr="00B462D2">
        <w:trPr>
          <w:trHeight w:val="225"/>
          <w:jc w:val="center"/>
        </w:trPr>
        <w:tc>
          <w:tcPr>
            <w:tcW w:w="2694" w:type="dxa"/>
            <w:tcBorders>
              <w:top w:val="nil"/>
              <w:left w:val="nil"/>
              <w:bottom w:val="single" w:sz="4" w:space="0" w:color="auto"/>
              <w:right w:val="nil"/>
            </w:tcBorders>
            <w:shd w:val="clear" w:color="auto" w:fill="auto"/>
            <w:noWrap/>
            <w:vAlign w:val="bottom"/>
            <w:hideMark/>
          </w:tcPr>
          <w:p w:rsidR="003A6301" w:rsidRPr="00934C93" w:rsidRDefault="003A6301" w:rsidP="00B462D2">
            <w:pPr>
              <w:jc w:val="left"/>
              <w:rPr>
                <w:color w:val="000000"/>
                <w:sz w:val="20"/>
                <w:szCs w:val="20"/>
                <w:lang w:val="es-ES_tradnl" w:eastAsia="es-ES_tradnl"/>
              </w:rPr>
            </w:pPr>
            <w:r>
              <w:rPr>
                <w:color w:val="000000"/>
                <w:sz w:val="20"/>
                <w:szCs w:val="20"/>
                <w:lang w:val="es-ES_tradnl" w:eastAsia="es-ES_tradnl"/>
              </w:rPr>
              <w:t>Beneficios</w:t>
            </w:r>
            <w:r w:rsidRPr="00934C93">
              <w:rPr>
                <w:color w:val="000000"/>
                <w:sz w:val="20"/>
                <w:szCs w:val="20"/>
                <w:lang w:val="es-ES_tradnl" w:eastAsia="es-ES_tradnl"/>
              </w:rPr>
              <w:t>/Costos</w:t>
            </w:r>
            <w:r>
              <w:rPr>
                <w:color w:val="000000"/>
                <w:sz w:val="20"/>
                <w:szCs w:val="20"/>
                <w:lang w:val="es-ES_tradnl" w:eastAsia="es-ES_tradnl"/>
              </w:rPr>
              <w:t xml:space="preserve"> (VAB/VAC)</w:t>
            </w:r>
          </w:p>
        </w:tc>
        <w:tc>
          <w:tcPr>
            <w:tcW w:w="1559" w:type="dxa"/>
            <w:tcBorders>
              <w:top w:val="nil"/>
              <w:left w:val="nil"/>
              <w:bottom w:val="single" w:sz="4" w:space="0" w:color="auto"/>
              <w:right w:val="nil"/>
            </w:tcBorders>
            <w:shd w:val="clear" w:color="auto" w:fill="auto"/>
            <w:noWrap/>
            <w:vAlign w:val="bottom"/>
            <w:hideMark/>
          </w:tcPr>
          <w:p w:rsidR="003A6301" w:rsidRPr="003A6301" w:rsidRDefault="003A6301" w:rsidP="00B462D2">
            <w:pPr>
              <w:jc w:val="right"/>
              <w:rPr>
                <w:bCs/>
                <w:color w:val="000000"/>
                <w:sz w:val="20"/>
                <w:szCs w:val="20"/>
                <w:lang w:val="es-ES_tradnl" w:eastAsia="es-ES_tradnl"/>
              </w:rPr>
            </w:pPr>
            <w:r w:rsidRPr="003A6301">
              <w:rPr>
                <w:color w:val="000000"/>
                <w:sz w:val="18"/>
                <w:szCs w:val="18"/>
              </w:rPr>
              <w:t>3.975,0%</w:t>
            </w:r>
          </w:p>
        </w:tc>
        <w:tc>
          <w:tcPr>
            <w:tcW w:w="1417" w:type="dxa"/>
            <w:tcBorders>
              <w:top w:val="nil"/>
              <w:left w:val="nil"/>
              <w:bottom w:val="single" w:sz="4" w:space="0" w:color="auto"/>
              <w:right w:val="nil"/>
            </w:tcBorders>
            <w:shd w:val="clear" w:color="auto" w:fill="auto"/>
            <w:noWrap/>
            <w:vAlign w:val="bottom"/>
            <w:hideMark/>
          </w:tcPr>
          <w:p w:rsidR="003A6301" w:rsidRPr="003A6301" w:rsidRDefault="003A6301" w:rsidP="00B462D2">
            <w:pPr>
              <w:jc w:val="right"/>
              <w:rPr>
                <w:bCs/>
                <w:color w:val="000000"/>
                <w:sz w:val="20"/>
                <w:szCs w:val="20"/>
                <w:lang w:val="es-ES_tradnl" w:eastAsia="es-ES_tradnl"/>
              </w:rPr>
            </w:pPr>
            <w:r w:rsidRPr="003A6301">
              <w:rPr>
                <w:color w:val="000000"/>
                <w:sz w:val="18"/>
                <w:szCs w:val="18"/>
              </w:rPr>
              <w:t>3.554,7%</w:t>
            </w:r>
          </w:p>
        </w:tc>
      </w:tr>
    </w:tbl>
    <w:p w:rsidR="003A6301" w:rsidRDefault="003A6301" w:rsidP="00843C83">
      <w:pPr>
        <w:rPr>
          <w:bCs/>
          <w:lang w:val="es-ES_tradnl"/>
        </w:rPr>
      </w:pPr>
    </w:p>
    <w:p w:rsidR="003A6301" w:rsidRPr="00415A19" w:rsidRDefault="003A6301" w:rsidP="00843C83">
      <w:pPr>
        <w:rPr>
          <w:bCs/>
          <w:lang w:val="es-ES_tradnl"/>
        </w:rPr>
      </w:pPr>
    </w:p>
    <w:p w:rsidR="00934C93" w:rsidRPr="00934C93" w:rsidRDefault="00934C93" w:rsidP="00934C93">
      <w:pPr>
        <w:pStyle w:val="Heading1"/>
      </w:pPr>
      <w:bookmarkStart w:id="57" w:name="_Toc303885525"/>
      <w:bookmarkStart w:id="58" w:name="_Toc298005500"/>
      <w:r w:rsidRPr="00934C93">
        <w:t>Conclusiones</w:t>
      </w:r>
      <w:bookmarkEnd w:id="57"/>
      <w:bookmarkEnd w:id="58"/>
    </w:p>
    <w:p w:rsidR="00543BCD" w:rsidRDefault="00FE47F4" w:rsidP="00FE47F4">
      <w:pPr>
        <w:pStyle w:val="ListParagraph"/>
        <w:numPr>
          <w:ilvl w:val="0"/>
          <w:numId w:val="14"/>
        </w:numPr>
        <w:ind w:left="567" w:hanging="567"/>
        <w:rPr>
          <w:bCs/>
          <w:lang w:val="es-ES_tradnl"/>
        </w:rPr>
      </w:pPr>
      <w:r>
        <w:rPr>
          <w:bCs/>
          <w:lang w:val="es-ES_tradnl"/>
        </w:rPr>
        <w:t xml:space="preserve">Los resultados del análisis costo-beneficio no ofrecen dudas acerca de la contundencia de los beneficios </w:t>
      </w:r>
      <w:r w:rsidR="00354DFB">
        <w:rPr>
          <w:bCs/>
          <w:lang w:val="es-ES_tradnl"/>
        </w:rPr>
        <w:t xml:space="preserve">a obtener </w:t>
      </w:r>
      <w:r>
        <w:rPr>
          <w:bCs/>
          <w:lang w:val="es-ES_tradnl"/>
        </w:rPr>
        <w:t>en relación con los costos estimados</w:t>
      </w:r>
      <w:r w:rsidR="00AD46F0">
        <w:rPr>
          <w:bCs/>
          <w:lang w:val="es-ES_tradnl"/>
        </w:rPr>
        <w:t xml:space="preserve"> en la alternativa</w:t>
      </w:r>
      <w:r>
        <w:rPr>
          <w:bCs/>
          <w:lang w:val="es-ES_tradnl"/>
        </w:rPr>
        <w:t xml:space="preserve"> BID</w:t>
      </w:r>
      <w:r w:rsidR="00AD46F0">
        <w:rPr>
          <w:bCs/>
          <w:lang w:val="es-ES_tradnl"/>
        </w:rPr>
        <w:t>, superiores a la alternativa AGU</w:t>
      </w:r>
      <w:r>
        <w:rPr>
          <w:bCs/>
          <w:lang w:val="es-ES_tradnl"/>
        </w:rPr>
        <w:t xml:space="preserve">. Desde este punto de vista, </w:t>
      </w:r>
      <w:r w:rsidR="00543BCD">
        <w:rPr>
          <w:bCs/>
          <w:lang w:val="es-ES_tradnl"/>
        </w:rPr>
        <w:t xml:space="preserve">siguiendo el criterio de </w:t>
      </w:r>
      <w:proofErr w:type="spellStart"/>
      <w:r w:rsidR="00543BCD">
        <w:rPr>
          <w:bCs/>
          <w:lang w:val="es-ES_tradnl"/>
        </w:rPr>
        <w:t>Kaldor-Hicks</w:t>
      </w:r>
      <w:proofErr w:type="spellEnd"/>
      <w:r w:rsidR="00354DFB">
        <w:rPr>
          <w:bCs/>
          <w:lang w:val="es-ES_tradnl"/>
        </w:rPr>
        <w:t xml:space="preserve"> de eficiencia </w:t>
      </w:r>
      <w:r w:rsidR="00147C5B">
        <w:rPr>
          <w:bCs/>
          <w:lang w:val="es-ES_tradnl"/>
        </w:rPr>
        <w:t>absoluta</w:t>
      </w:r>
      <w:r w:rsidR="00142495">
        <w:rPr>
          <w:bCs/>
          <w:lang w:val="es-ES_tradnl"/>
        </w:rPr>
        <w:t>,</w:t>
      </w:r>
      <w:r w:rsidR="00543BCD">
        <w:rPr>
          <w:bCs/>
          <w:lang w:val="es-ES_tradnl"/>
        </w:rPr>
        <w:t xml:space="preserve"> </w:t>
      </w:r>
      <w:r>
        <w:rPr>
          <w:bCs/>
          <w:lang w:val="es-ES_tradnl"/>
        </w:rPr>
        <w:t xml:space="preserve">quedaría justificada la inversión prevista dentro del marco del programa BID. </w:t>
      </w:r>
    </w:p>
    <w:p w:rsidR="008C2CED" w:rsidRDefault="008C2CED">
      <w:pPr>
        <w:pStyle w:val="ListParagraph"/>
        <w:ind w:left="567"/>
        <w:rPr>
          <w:bCs/>
          <w:lang w:val="es-ES_tradnl"/>
        </w:rPr>
      </w:pPr>
    </w:p>
    <w:p w:rsidR="00B428AA" w:rsidRDefault="00D76567" w:rsidP="000F7FA8">
      <w:pPr>
        <w:pStyle w:val="ListParagraph"/>
        <w:numPr>
          <w:ilvl w:val="0"/>
          <w:numId w:val="14"/>
        </w:numPr>
        <w:ind w:left="567" w:hanging="567"/>
        <w:rPr>
          <w:bCs/>
          <w:lang w:val="es-ES_tradnl"/>
        </w:rPr>
      </w:pPr>
      <w:r w:rsidRPr="00354DFB">
        <w:rPr>
          <w:bCs/>
          <w:lang w:val="es-ES_tradnl"/>
        </w:rPr>
        <w:t xml:space="preserve">Pero además de </w:t>
      </w:r>
      <w:r w:rsidR="00354DFB" w:rsidRPr="00354DFB">
        <w:rPr>
          <w:bCs/>
          <w:lang w:val="es-ES_tradnl"/>
        </w:rPr>
        <w:t>est</w:t>
      </w:r>
      <w:r w:rsidR="00354DFB">
        <w:rPr>
          <w:bCs/>
          <w:lang w:val="es-ES_tradnl"/>
        </w:rPr>
        <w:t>e</w:t>
      </w:r>
      <w:r w:rsidR="00354DFB" w:rsidRPr="00354DFB">
        <w:rPr>
          <w:bCs/>
          <w:lang w:val="es-ES_tradnl"/>
        </w:rPr>
        <w:t xml:space="preserve"> </w:t>
      </w:r>
      <w:r w:rsidR="00354DFB">
        <w:rPr>
          <w:bCs/>
          <w:lang w:val="es-ES_tradnl"/>
        </w:rPr>
        <w:t>resultado de eficiencia de la alternativa BID,</w:t>
      </w:r>
      <w:r w:rsidR="00354DFB" w:rsidRPr="00354DFB">
        <w:rPr>
          <w:bCs/>
          <w:lang w:val="es-ES_tradnl"/>
        </w:rPr>
        <w:t xml:space="preserve"> </w:t>
      </w:r>
      <w:r w:rsidR="00354DFB">
        <w:rPr>
          <w:bCs/>
          <w:lang w:val="es-ES_tradnl"/>
        </w:rPr>
        <w:t>en contraposición a la otra alternativa AGU e</w:t>
      </w:r>
      <w:r w:rsidR="000F7FA8">
        <w:rPr>
          <w:bCs/>
          <w:lang w:val="es-ES_tradnl"/>
        </w:rPr>
        <w:t xml:space="preserve">xisten dos respuestas que aconsejan optar por </w:t>
      </w:r>
      <w:r w:rsidR="00354DFB">
        <w:rPr>
          <w:bCs/>
          <w:lang w:val="es-ES_tradnl"/>
        </w:rPr>
        <w:t>el programa</w:t>
      </w:r>
      <w:r w:rsidR="000F7FA8">
        <w:rPr>
          <w:bCs/>
          <w:lang w:val="es-ES_tradnl"/>
        </w:rPr>
        <w:t xml:space="preserve"> </w:t>
      </w:r>
      <w:r w:rsidR="003001A4">
        <w:rPr>
          <w:bCs/>
          <w:lang w:val="es-ES_tradnl"/>
        </w:rPr>
        <w:t xml:space="preserve">BID. </w:t>
      </w:r>
      <w:r w:rsidR="000F7FA8">
        <w:rPr>
          <w:bCs/>
          <w:lang w:val="es-ES_tradnl"/>
        </w:rPr>
        <w:t>La primera de ellas tiene que ver con la probabilidad de ejecutar de forma efectiva los planes de trabajo</w:t>
      </w:r>
      <w:r w:rsidR="00B428AA">
        <w:rPr>
          <w:bCs/>
          <w:lang w:val="es-ES_tradnl"/>
        </w:rPr>
        <w:t xml:space="preserve">: </w:t>
      </w:r>
    </w:p>
    <w:p w:rsidR="00B428AA" w:rsidRDefault="00B428AA" w:rsidP="00B428AA">
      <w:pPr>
        <w:pStyle w:val="ListParagraph"/>
        <w:ind w:left="567"/>
        <w:rPr>
          <w:bCs/>
          <w:lang w:val="es-ES_tradnl"/>
        </w:rPr>
      </w:pPr>
    </w:p>
    <w:p w:rsidR="00B428AA" w:rsidRDefault="000F7FA8" w:rsidP="00B428AA">
      <w:pPr>
        <w:pStyle w:val="ListParagraph"/>
        <w:numPr>
          <w:ilvl w:val="0"/>
          <w:numId w:val="33"/>
        </w:numPr>
        <w:rPr>
          <w:bCs/>
          <w:lang w:val="es-ES_tradnl"/>
        </w:rPr>
      </w:pPr>
      <w:r>
        <w:rPr>
          <w:bCs/>
          <w:lang w:val="es-ES_tradnl"/>
        </w:rPr>
        <w:t xml:space="preserve">En </w:t>
      </w:r>
      <w:r w:rsidR="00354DFB">
        <w:rPr>
          <w:bCs/>
          <w:lang w:val="es-ES_tradnl"/>
        </w:rPr>
        <w:t>la alternativa</w:t>
      </w:r>
      <w:r>
        <w:rPr>
          <w:bCs/>
          <w:lang w:val="es-ES_tradnl"/>
        </w:rPr>
        <w:t xml:space="preserve"> BID existe un contrato de préstamo en el que ambas partes se comprometen a realizar una serie de actividades con desembolsos vinculados a ellas. </w:t>
      </w:r>
      <w:r w:rsidR="00354DFB">
        <w:rPr>
          <w:bCs/>
          <w:lang w:val="es-ES_tradnl"/>
        </w:rPr>
        <w:t xml:space="preserve">Por tanto, el BID asegura una parte de la financiación (40% del total) requerida para la ejecución de las actividades y la contraparte local asegura la parte restante (60%). </w:t>
      </w:r>
      <w:r>
        <w:rPr>
          <w:bCs/>
          <w:lang w:val="es-ES_tradnl"/>
        </w:rPr>
        <w:t xml:space="preserve">Es decir, el aseguramiento </w:t>
      </w:r>
      <w:r w:rsidR="00B428AA">
        <w:rPr>
          <w:bCs/>
          <w:lang w:val="es-ES_tradnl"/>
        </w:rPr>
        <w:t xml:space="preserve">contractual </w:t>
      </w:r>
      <w:r>
        <w:rPr>
          <w:bCs/>
          <w:lang w:val="es-ES_tradnl"/>
        </w:rPr>
        <w:t xml:space="preserve">de la financiación es hasta cierto punto un incentivo a realizar las tareas comprometidas, bajo riesgo de incumplimiento de contrato con todo lo que ello puede significar en términos </w:t>
      </w:r>
      <w:r w:rsidR="00354DFB">
        <w:rPr>
          <w:bCs/>
          <w:lang w:val="es-ES_tradnl"/>
        </w:rPr>
        <w:t xml:space="preserve">costos económicos y de la reputación </w:t>
      </w:r>
      <w:r>
        <w:rPr>
          <w:bCs/>
          <w:lang w:val="es-ES_tradnl"/>
        </w:rPr>
        <w:t xml:space="preserve">institucional. </w:t>
      </w:r>
    </w:p>
    <w:p w:rsidR="000F7FA8" w:rsidRDefault="000F7FA8" w:rsidP="00B428AA">
      <w:pPr>
        <w:pStyle w:val="ListParagraph"/>
        <w:numPr>
          <w:ilvl w:val="0"/>
          <w:numId w:val="33"/>
        </w:numPr>
        <w:rPr>
          <w:bCs/>
          <w:lang w:val="es-ES_tradnl"/>
        </w:rPr>
      </w:pPr>
      <w:r>
        <w:rPr>
          <w:bCs/>
          <w:lang w:val="es-ES_tradnl"/>
        </w:rPr>
        <w:t>En cambio, en el caso de optar por hacerlo con recursos propios, el financiamiento quedaría condicionado a negociaciones anuales con las autoridades de</w:t>
      </w:r>
      <w:r w:rsidR="00FD4641">
        <w:rPr>
          <w:bCs/>
          <w:lang w:val="es-ES_tradnl"/>
        </w:rPr>
        <w:t xml:space="preserve"> los ministerios de</w:t>
      </w:r>
      <w:r>
        <w:rPr>
          <w:bCs/>
          <w:lang w:val="es-ES_tradnl"/>
        </w:rPr>
        <w:t xml:space="preserve"> Planeamiento y Hacienda, con un mayor costo de trans</w:t>
      </w:r>
      <w:r w:rsidR="002A4E38">
        <w:rPr>
          <w:bCs/>
          <w:lang w:val="es-ES_tradnl"/>
        </w:rPr>
        <w:t>a</w:t>
      </w:r>
      <w:r w:rsidR="000F615C">
        <w:rPr>
          <w:bCs/>
          <w:lang w:val="es-ES_tradnl"/>
        </w:rPr>
        <w:t xml:space="preserve">cción y, por tanto, con un mayor riesgo de que los fondos </w:t>
      </w:r>
      <w:r w:rsidR="00FD4641">
        <w:rPr>
          <w:bCs/>
          <w:lang w:val="es-ES_tradnl"/>
        </w:rPr>
        <w:t xml:space="preserve">necesarios </w:t>
      </w:r>
      <w:r w:rsidR="000F615C">
        <w:rPr>
          <w:bCs/>
          <w:lang w:val="es-ES_tradnl"/>
        </w:rPr>
        <w:t>no estén disponibles.</w:t>
      </w:r>
      <w:r w:rsidR="00B428AA">
        <w:rPr>
          <w:bCs/>
          <w:lang w:val="es-ES_tradnl"/>
        </w:rPr>
        <w:t xml:space="preserve"> Los actuales recortes presupuestarios que por razones de mantenimiento de los equilibrios fiscales está implementando el Ministerio de Finanzas, y que ya están afectando al presupuesto disponible de la AGU, son una buena muestra de los mencionados riesgos </w:t>
      </w:r>
      <w:r w:rsidR="00FD4641">
        <w:rPr>
          <w:bCs/>
          <w:lang w:val="es-ES_tradnl"/>
        </w:rPr>
        <w:t>de la alternativa</w:t>
      </w:r>
      <w:r w:rsidR="00B428AA">
        <w:rPr>
          <w:bCs/>
          <w:lang w:val="es-ES_tradnl"/>
        </w:rPr>
        <w:t xml:space="preserve"> AGU frente a</w:t>
      </w:r>
      <w:r w:rsidR="00FD4641">
        <w:rPr>
          <w:bCs/>
          <w:lang w:val="es-ES_tradnl"/>
        </w:rPr>
        <w:t xml:space="preserve"> </w:t>
      </w:r>
      <w:r w:rsidR="00B428AA">
        <w:rPr>
          <w:bCs/>
          <w:lang w:val="es-ES_tradnl"/>
        </w:rPr>
        <w:t>l</w:t>
      </w:r>
      <w:r w:rsidR="00FD4641">
        <w:rPr>
          <w:bCs/>
          <w:lang w:val="es-ES_tradnl"/>
        </w:rPr>
        <w:t>a</w:t>
      </w:r>
      <w:r w:rsidR="00B428AA">
        <w:rPr>
          <w:bCs/>
          <w:lang w:val="es-ES_tradnl"/>
        </w:rPr>
        <w:t xml:space="preserve"> </w:t>
      </w:r>
      <w:r w:rsidR="00FD4641">
        <w:rPr>
          <w:bCs/>
          <w:lang w:val="es-ES_tradnl"/>
        </w:rPr>
        <w:t xml:space="preserve">alternativa </w:t>
      </w:r>
      <w:r w:rsidR="00B428AA">
        <w:rPr>
          <w:bCs/>
          <w:lang w:val="es-ES_tradnl"/>
        </w:rPr>
        <w:t>BID.</w:t>
      </w:r>
    </w:p>
    <w:p w:rsidR="000F7FA8" w:rsidRPr="000F7FA8" w:rsidRDefault="000F7FA8" w:rsidP="000F7FA8">
      <w:pPr>
        <w:pStyle w:val="ListParagraph"/>
        <w:rPr>
          <w:bCs/>
          <w:lang w:val="es-ES_tradnl"/>
        </w:rPr>
      </w:pPr>
    </w:p>
    <w:p w:rsidR="00B428AA" w:rsidRDefault="000F7FA8" w:rsidP="000F7FA8">
      <w:pPr>
        <w:pStyle w:val="ListParagraph"/>
        <w:numPr>
          <w:ilvl w:val="0"/>
          <w:numId w:val="14"/>
        </w:numPr>
        <w:ind w:left="567" w:hanging="567"/>
        <w:rPr>
          <w:bCs/>
          <w:lang w:val="es-ES_tradnl"/>
        </w:rPr>
      </w:pPr>
      <w:r>
        <w:rPr>
          <w:bCs/>
          <w:lang w:val="es-ES_tradnl"/>
        </w:rPr>
        <w:t xml:space="preserve">En segundo lugar, </w:t>
      </w:r>
      <w:r w:rsidR="002A4E38">
        <w:rPr>
          <w:bCs/>
          <w:lang w:val="es-ES_tradnl"/>
        </w:rPr>
        <w:t xml:space="preserve">si bien en términos de eficiencia las dos opciones son </w:t>
      </w:r>
      <w:r w:rsidR="004A2025">
        <w:rPr>
          <w:bCs/>
          <w:lang w:val="es-ES_tradnl"/>
        </w:rPr>
        <w:t>muy próximas</w:t>
      </w:r>
      <w:r w:rsidR="002A4E38">
        <w:rPr>
          <w:bCs/>
          <w:lang w:val="es-ES_tradnl"/>
        </w:rPr>
        <w:t xml:space="preserve">, no resulta así cuando se analiza más detenidamente la </w:t>
      </w:r>
      <w:r w:rsidR="002A4E38" w:rsidRPr="00BC3EF0">
        <w:rPr>
          <w:bCs/>
          <w:i/>
          <w:lang w:val="es-ES_tradnl"/>
        </w:rPr>
        <w:t>eficacia</w:t>
      </w:r>
      <w:r w:rsidR="002A4E38">
        <w:rPr>
          <w:bCs/>
          <w:lang w:val="es-ES_tradnl"/>
        </w:rPr>
        <w:t xml:space="preserve"> </w:t>
      </w:r>
      <w:r w:rsidR="00FD4641" w:rsidRPr="00B462D2">
        <w:rPr>
          <w:bCs/>
          <w:i/>
          <w:lang w:val="es-ES_tradnl"/>
        </w:rPr>
        <w:t>comparada</w:t>
      </w:r>
      <w:r w:rsidR="00FD4641">
        <w:rPr>
          <w:bCs/>
          <w:lang w:val="es-ES_tradnl"/>
        </w:rPr>
        <w:t xml:space="preserve"> </w:t>
      </w:r>
      <w:r w:rsidR="002A4E38">
        <w:rPr>
          <w:bCs/>
          <w:lang w:val="es-ES_tradnl"/>
        </w:rPr>
        <w:t xml:space="preserve">de </w:t>
      </w:r>
      <w:r w:rsidR="004A2025">
        <w:rPr>
          <w:bCs/>
          <w:lang w:val="es-ES_tradnl"/>
        </w:rPr>
        <w:t xml:space="preserve">las </w:t>
      </w:r>
      <w:r w:rsidR="00FD4641">
        <w:rPr>
          <w:bCs/>
          <w:lang w:val="es-ES_tradnl"/>
        </w:rPr>
        <w:t xml:space="preserve">dos </w:t>
      </w:r>
      <w:r w:rsidR="004A2025">
        <w:rPr>
          <w:bCs/>
          <w:lang w:val="es-ES_tradnl"/>
        </w:rPr>
        <w:t>alternativas</w:t>
      </w:r>
      <w:r w:rsidR="002A4E38">
        <w:rPr>
          <w:bCs/>
          <w:lang w:val="es-ES_tradnl"/>
        </w:rPr>
        <w:t xml:space="preserve">, </w:t>
      </w:r>
      <w:r w:rsidR="000F615C">
        <w:rPr>
          <w:bCs/>
          <w:lang w:val="es-ES_tradnl"/>
        </w:rPr>
        <w:t>entendida</w:t>
      </w:r>
      <w:r w:rsidR="002A4E38">
        <w:rPr>
          <w:bCs/>
          <w:lang w:val="es-ES_tradnl"/>
        </w:rPr>
        <w:t xml:space="preserve"> como el logro anticipado de los resultados en el tiempo</w:t>
      </w:r>
      <w:r w:rsidR="00B428AA">
        <w:rPr>
          <w:bCs/>
          <w:lang w:val="es-ES_tradnl"/>
        </w:rPr>
        <w:t xml:space="preserve"> y el </w:t>
      </w:r>
      <w:r w:rsidR="00887A07">
        <w:rPr>
          <w:bCs/>
          <w:lang w:val="es-ES_tradnl"/>
        </w:rPr>
        <w:t>volumen</w:t>
      </w:r>
      <w:r w:rsidR="00B428AA">
        <w:rPr>
          <w:bCs/>
          <w:lang w:val="es-ES_tradnl"/>
        </w:rPr>
        <w:t xml:space="preserve"> de </w:t>
      </w:r>
      <w:r w:rsidR="00887A07">
        <w:rPr>
          <w:bCs/>
          <w:lang w:val="es-ES_tradnl"/>
        </w:rPr>
        <w:t>las recaudaciones</w:t>
      </w:r>
      <w:r w:rsidR="004A2025">
        <w:rPr>
          <w:bCs/>
          <w:lang w:val="es-ES_tradnl"/>
        </w:rPr>
        <w:t>:</w:t>
      </w:r>
    </w:p>
    <w:p w:rsidR="00B428AA" w:rsidRDefault="00B428AA" w:rsidP="00B428AA">
      <w:pPr>
        <w:pStyle w:val="ListParagraph"/>
        <w:ind w:left="567"/>
        <w:rPr>
          <w:bCs/>
          <w:lang w:val="es-ES_tradnl"/>
        </w:rPr>
      </w:pPr>
    </w:p>
    <w:p w:rsidR="00CD3CBB" w:rsidRDefault="00CD3CBB" w:rsidP="00B428AA">
      <w:pPr>
        <w:pStyle w:val="ListParagraph"/>
        <w:numPr>
          <w:ilvl w:val="0"/>
          <w:numId w:val="34"/>
        </w:numPr>
        <w:rPr>
          <w:bCs/>
          <w:lang w:val="es-ES_tradnl"/>
        </w:rPr>
      </w:pPr>
      <w:r>
        <w:rPr>
          <w:bCs/>
          <w:lang w:val="es-ES_tradnl"/>
        </w:rPr>
        <w:t xml:space="preserve">En cuanto a la </w:t>
      </w:r>
      <w:r w:rsidRPr="00272C06">
        <w:rPr>
          <w:bCs/>
          <w:i/>
          <w:lang w:val="es-ES_tradnl"/>
        </w:rPr>
        <w:t>prontitud</w:t>
      </w:r>
      <w:r>
        <w:rPr>
          <w:bCs/>
          <w:lang w:val="es-ES_tradnl"/>
        </w:rPr>
        <w:t xml:space="preserve"> de los resultados</w:t>
      </w:r>
      <w:r w:rsidR="002A4E38" w:rsidRPr="00CD3CBB">
        <w:rPr>
          <w:bCs/>
          <w:lang w:val="es-ES_tradnl"/>
        </w:rPr>
        <w:t xml:space="preserve">, </w:t>
      </w:r>
      <w:r w:rsidR="004A2025">
        <w:rPr>
          <w:bCs/>
          <w:lang w:val="es-ES_tradnl"/>
        </w:rPr>
        <w:t>la alternativa BID</w:t>
      </w:r>
      <w:r w:rsidR="002A4E38" w:rsidRPr="00CD3CBB">
        <w:rPr>
          <w:bCs/>
          <w:lang w:val="es-ES_tradnl"/>
        </w:rPr>
        <w:t xml:space="preserve"> es más ventajos</w:t>
      </w:r>
      <w:r w:rsidR="004A2025">
        <w:rPr>
          <w:bCs/>
          <w:lang w:val="es-ES_tradnl"/>
        </w:rPr>
        <w:t>a</w:t>
      </w:r>
      <w:r w:rsidR="002A4E38" w:rsidRPr="00CD3CBB">
        <w:rPr>
          <w:bCs/>
          <w:lang w:val="es-ES_tradnl"/>
        </w:rPr>
        <w:t xml:space="preserve">, </w:t>
      </w:r>
      <w:r w:rsidR="00B428AA" w:rsidRPr="00CD3CBB">
        <w:rPr>
          <w:bCs/>
          <w:lang w:val="es-ES_tradnl"/>
        </w:rPr>
        <w:t>porque</w:t>
      </w:r>
      <w:r w:rsidR="002A4E38" w:rsidRPr="00CD3CBB">
        <w:rPr>
          <w:bCs/>
          <w:lang w:val="es-ES_tradnl"/>
        </w:rPr>
        <w:t xml:space="preserve"> los impactos se pueden percibir antes en el tiempo, frente </w:t>
      </w:r>
      <w:r w:rsidR="004A2025">
        <w:rPr>
          <w:bCs/>
          <w:lang w:val="es-ES_tradnl"/>
        </w:rPr>
        <w:t>a la alternativa AGU</w:t>
      </w:r>
      <w:r w:rsidR="000F615C" w:rsidRPr="00CD3CBB">
        <w:rPr>
          <w:bCs/>
          <w:lang w:val="es-ES_tradnl"/>
        </w:rPr>
        <w:t xml:space="preserve"> que dilata</w:t>
      </w:r>
      <w:r>
        <w:rPr>
          <w:bCs/>
          <w:lang w:val="es-ES_tradnl"/>
        </w:rPr>
        <w:t xml:space="preserve"> los logros</w:t>
      </w:r>
      <w:r w:rsidR="000F615C" w:rsidRPr="00CD3CBB">
        <w:rPr>
          <w:bCs/>
          <w:lang w:val="es-ES_tradnl"/>
        </w:rPr>
        <w:t xml:space="preserve"> a lo largo de </w:t>
      </w:r>
      <w:r>
        <w:rPr>
          <w:bCs/>
          <w:lang w:val="es-ES_tradnl"/>
        </w:rPr>
        <w:t>más</w:t>
      </w:r>
      <w:r w:rsidR="000F615C" w:rsidRPr="00CD3CBB">
        <w:rPr>
          <w:bCs/>
          <w:lang w:val="es-ES_tradnl"/>
        </w:rPr>
        <w:t xml:space="preserve"> años</w:t>
      </w:r>
      <w:r>
        <w:rPr>
          <w:bCs/>
          <w:lang w:val="es-ES_tradnl"/>
        </w:rPr>
        <w:t xml:space="preserve">: en </w:t>
      </w:r>
      <w:r w:rsidR="004A2025">
        <w:rPr>
          <w:bCs/>
          <w:lang w:val="es-ES_tradnl"/>
        </w:rPr>
        <w:t>la alternativa BID</w:t>
      </w:r>
      <w:r>
        <w:rPr>
          <w:bCs/>
          <w:lang w:val="es-ES_tradnl"/>
        </w:rPr>
        <w:t xml:space="preserve">, la tasa de inscripción alcanza el 70% en el año 2016, mientras </w:t>
      </w:r>
      <w:r w:rsidR="00FD4641">
        <w:rPr>
          <w:bCs/>
          <w:lang w:val="es-ES_tradnl"/>
        </w:rPr>
        <w:t xml:space="preserve">que </w:t>
      </w:r>
      <w:r>
        <w:rPr>
          <w:bCs/>
          <w:lang w:val="es-ES_tradnl"/>
        </w:rPr>
        <w:t xml:space="preserve">en </w:t>
      </w:r>
      <w:r w:rsidR="004A2025">
        <w:rPr>
          <w:bCs/>
          <w:lang w:val="es-ES_tradnl"/>
        </w:rPr>
        <w:t>la alternativa AGU</w:t>
      </w:r>
      <w:r>
        <w:rPr>
          <w:bCs/>
          <w:lang w:val="es-ES_tradnl"/>
        </w:rPr>
        <w:t xml:space="preserve"> alcanza el 26,5% en el mismo año. En el año 2021, </w:t>
      </w:r>
      <w:r w:rsidR="004A2025">
        <w:rPr>
          <w:bCs/>
          <w:lang w:val="es-ES_tradnl"/>
        </w:rPr>
        <w:t xml:space="preserve">la </w:t>
      </w:r>
      <w:r>
        <w:rPr>
          <w:bCs/>
          <w:lang w:val="es-ES_tradnl"/>
        </w:rPr>
        <w:t xml:space="preserve">tasa de inscripción en </w:t>
      </w:r>
      <w:r w:rsidR="004A2025">
        <w:rPr>
          <w:bCs/>
          <w:lang w:val="es-ES_tradnl"/>
        </w:rPr>
        <w:t>la alternativa BID</w:t>
      </w:r>
      <w:r>
        <w:rPr>
          <w:bCs/>
          <w:lang w:val="es-ES_tradnl"/>
        </w:rPr>
        <w:t xml:space="preserve"> es del 75%, mientras en </w:t>
      </w:r>
      <w:r w:rsidR="004A2025">
        <w:rPr>
          <w:bCs/>
          <w:lang w:val="es-ES_tradnl"/>
        </w:rPr>
        <w:t>la alternativa AGU</w:t>
      </w:r>
      <w:r>
        <w:rPr>
          <w:bCs/>
          <w:lang w:val="es-ES_tradnl"/>
        </w:rPr>
        <w:t xml:space="preserve"> es del 30%. Similar consideración cabría hacer para la tasa de cobranza y la tasa de recuperación patrimonial, que en todos los casos muestran </w:t>
      </w:r>
      <w:r w:rsidR="004A2025">
        <w:rPr>
          <w:bCs/>
          <w:lang w:val="es-ES_tradnl"/>
        </w:rPr>
        <w:t>para la alternativa BID</w:t>
      </w:r>
      <w:r>
        <w:rPr>
          <w:bCs/>
          <w:lang w:val="es-ES_tradnl"/>
        </w:rPr>
        <w:t xml:space="preserve"> trayectorias por encima de los que se presentan en </w:t>
      </w:r>
      <w:r w:rsidR="004A2025">
        <w:rPr>
          <w:bCs/>
          <w:lang w:val="es-ES_tradnl"/>
        </w:rPr>
        <w:t>la alternativa AGU</w:t>
      </w:r>
      <w:r>
        <w:rPr>
          <w:bCs/>
          <w:lang w:val="es-ES_tradnl"/>
        </w:rPr>
        <w:t>.</w:t>
      </w:r>
      <w:r>
        <w:rPr>
          <w:rStyle w:val="FootnoteReference"/>
          <w:bCs/>
          <w:lang w:val="es-ES_tradnl"/>
        </w:rPr>
        <w:footnoteReference w:id="18"/>
      </w:r>
    </w:p>
    <w:p w:rsidR="00CD3CBB" w:rsidRDefault="00CD3CBB" w:rsidP="00CD3CBB">
      <w:pPr>
        <w:pStyle w:val="ListParagraph"/>
        <w:ind w:left="1287"/>
        <w:rPr>
          <w:bCs/>
          <w:lang w:val="es-ES_tradnl"/>
        </w:rPr>
      </w:pPr>
    </w:p>
    <w:p w:rsidR="000F7FA8" w:rsidRPr="00CD3CBB" w:rsidRDefault="002A4E38" w:rsidP="00CD3CBB">
      <w:pPr>
        <w:pStyle w:val="ListParagraph"/>
        <w:ind w:left="1287"/>
        <w:rPr>
          <w:bCs/>
          <w:lang w:val="es-ES_tradnl"/>
        </w:rPr>
      </w:pPr>
      <w:r w:rsidRPr="00CD3CBB">
        <w:rPr>
          <w:bCs/>
          <w:lang w:val="es-ES_tradnl"/>
        </w:rPr>
        <w:t xml:space="preserve">Obviamente los </w:t>
      </w:r>
      <w:r w:rsidR="00887A07" w:rsidRPr="00887A07">
        <w:rPr>
          <w:bCs/>
          <w:i/>
          <w:lang w:val="es-ES_tradnl"/>
        </w:rPr>
        <w:t xml:space="preserve">distintos </w:t>
      </w:r>
      <w:r w:rsidRPr="00887A07">
        <w:rPr>
          <w:bCs/>
          <w:i/>
          <w:lang w:val="es-ES_tradnl"/>
        </w:rPr>
        <w:t>costos</w:t>
      </w:r>
      <w:r w:rsidRPr="00CD3CBB">
        <w:rPr>
          <w:bCs/>
          <w:lang w:val="es-ES_tradnl"/>
        </w:rPr>
        <w:t xml:space="preserve"> </w:t>
      </w:r>
      <w:r w:rsidR="000F615C" w:rsidRPr="00CD3CBB">
        <w:rPr>
          <w:bCs/>
          <w:lang w:val="es-ES_tradnl"/>
        </w:rPr>
        <w:t>entre amb</w:t>
      </w:r>
      <w:r w:rsidR="004A2025">
        <w:rPr>
          <w:bCs/>
          <w:lang w:val="es-ES_tradnl"/>
        </w:rPr>
        <w:t>a</w:t>
      </w:r>
      <w:r w:rsidR="000F615C" w:rsidRPr="00CD3CBB">
        <w:rPr>
          <w:bCs/>
          <w:lang w:val="es-ES_tradnl"/>
        </w:rPr>
        <w:t xml:space="preserve">s </w:t>
      </w:r>
      <w:r w:rsidR="004A2025">
        <w:rPr>
          <w:bCs/>
          <w:lang w:val="es-ES_tradnl"/>
        </w:rPr>
        <w:t>alternativas</w:t>
      </w:r>
      <w:r w:rsidR="004A2025" w:rsidRPr="00CD3CBB">
        <w:rPr>
          <w:bCs/>
          <w:lang w:val="es-ES_tradnl"/>
        </w:rPr>
        <w:t xml:space="preserve"> </w:t>
      </w:r>
      <w:r w:rsidRPr="00CD3CBB">
        <w:rPr>
          <w:bCs/>
          <w:lang w:val="es-ES_tradnl"/>
        </w:rPr>
        <w:t xml:space="preserve">son los que </w:t>
      </w:r>
      <w:r w:rsidR="00612C45" w:rsidRPr="00CD3CBB">
        <w:rPr>
          <w:bCs/>
          <w:lang w:val="es-ES_tradnl"/>
        </w:rPr>
        <w:t xml:space="preserve">compensan e igualan </w:t>
      </w:r>
      <w:r w:rsidR="00887A07">
        <w:rPr>
          <w:bCs/>
          <w:lang w:val="es-ES_tradnl"/>
        </w:rPr>
        <w:t>la</w:t>
      </w:r>
      <w:r w:rsidR="00612C45" w:rsidRPr="00CD3CBB">
        <w:rPr>
          <w:bCs/>
          <w:lang w:val="es-ES_tradnl"/>
        </w:rPr>
        <w:t xml:space="preserve"> ventaja </w:t>
      </w:r>
      <w:r w:rsidR="00887A07">
        <w:rPr>
          <w:bCs/>
          <w:lang w:val="es-ES_tradnl"/>
        </w:rPr>
        <w:t xml:space="preserve">que </w:t>
      </w:r>
      <w:r w:rsidR="00612C45" w:rsidRPr="00CD3CBB">
        <w:rPr>
          <w:bCs/>
          <w:lang w:val="es-ES_tradnl"/>
        </w:rPr>
        <w:t>en términos de eficacia</w:t>
      </w:r>
      <w:r w:rsidR="000F615C" w:rsidRPr="00CD3CBB">
        <w:rPr>
          <w:bCs/>
          <w:lang w:val="es-ES_tradnl"/>
        </w:rPr>
        <w:t xml:space="preserve"> </w:t>
      </w:r>
      <w:r w:rsidR="00887A07">
        <w:rPr>
          <w:bCs/>
          <w:lang w:val="es-ES_tradnl"/>
        </w:rPr>
        <w:t xml:space="preserve">tiene </w:t>
      </w:r>
      <w:r w:rsidR="004A2025">
        <w:rPr>
          <w:bCs/>
          <w:lang w:val="es-ES_tradnl"/>
        </w:rPr>
        <w:t>la alternativa BID</w:t>
      </w:r>
      <w:r w:rsidR="00887A07">
        <w:rPr>
          <w:bCs/>
          <w:lang w:val="es-ES_tradnl"/>
        </w:rPr>
        <w:t xml:space="preserve"> </w:t>
      </w:r>
      <w:r w:rsidR="000F615C" w:rsidRPr="00CD3CBB">
        <w:rPr>
          <w:bCs/>
          <w:lang w:val="es-ES_tradnl"/>
        </w:rPr>
        <w:t xml:space="preserve">para que en términos de eficiencia los resultados sean </w:t>
      </w:r>
      <w:r w:rsidR="004A2025">
        <w:rPr>
          <w:bCs/>
          <w:lang w:val="es-ES_tradnl"/>
        </w:rPr>
        <w:t>próximos</w:t>
      </w:r>
      <w:r w:rsidR="00612C45" w:rsidRPr="00CD3CBB">
        <w:rPr>
          <w:bCs/>
          <w:lang w:val="es-ES_tradnl"/>
        </w:rPr>
        <w:t>.</w:t>
      </w:r>
      <w:r w:rsidR="00887A07">
        <w:rPr>
          <w:bCs/>
          <w:lang w:val="es-ES_tradnl"/>
        </w:rPr>
        <w:t xml:space="preserve"> </w:t>
      </w:r>
    </w:p>
    <w:p w:rsidR="000F615C" w:rsidRDefault="000F615C" w:rsidP="000F615C">
      <w:pPr>
        <w:pStyle w:val="ListParagraph"/>
        <w:rPr>
          <w:bCs/>
          <w:lang w:val="es-ES_tradnl"/>
        </w:rPr>
      </w:pPr>
    </w:p>
    <w:p w:rsidR="00594DAB" w:rsidRPr="00543BCD" w:rsidRDefault="00887A07" w:rsidP="00594DAB">
      <w:pPr>
        <w:pStyle w:val="ListParagraph"/>
        <w:numPr>
          <w:ilvl w:val="0"/>
          <w:numId w:val="34"/>
        </w:numPr>
        <w:rPr>
          <w:bCs/>
        </w:rPr>
      </w:pPr>
      <w:r w:rsidRPr="00543BCD">
        <w:rPr>
          <w:bCs/>
          <w:lang w:val="es-ES_tradnl"/>
        </w:rPr>
        <w:t xml:space="preserve">En cuanto al </w:t>
      </w:r>
      <w:r w:rsidRPr="00543BCD">
        <w:rPr>
          <w:bCs/>
          <w:i/>
          <w:lang w:val="es-ES_tradnl"/>
        </w:rPr>
        <w:t>volumen</w:t>
      </w:r>
      <w:r w:rsidRPr="00543BCD">
        <w:rPr>
          <w:bCs/>
          <w:lang w:val="es-ES_tradnl"/>
        </w:rPr>
        <w:t xml:space="preserve"> del flujo de recaudaciones, puede afirmarse que </w:t>
      </w:r>
      <w:r w:rsidR="00F25EE1" w:rsidRPr="00543BCD">
        <w:rPr>
          <w:bCs/>
          <w:lang w:val="es-ES_tradnl"/>
        </w:rPr>
        <w:t xml:space="preserve">la alternativa </w:t>
      </w:r>
      <w:r w:rsidRPr="00543BCD">
        <w:rPr>
          <w:bCs/>
          <w:lang w:val="es-ES_tradnl"/>
        </w:rPr>
        <w:t xml:space="preserve">BID muestra una mayor capacidad de recaudar que </w:t>
      </w:r>
      <w:r w:rsidR="00F25EE1" w:rsidRPr="00543BCD">
        <w:rPr>
          <w:bCs/>
          <w:lang w:val="es-ES_tradnl"/>
        </w:rPr>
        <w:t>la alternativa</w:t>
      </w:r>
      <w:r w:rsidRPr="00543BCD">
        <w:rPr>
          <w:bCs/>
          <w:lang w:val="es-ES_tradnl"/>
        </w:rPr>
        <w:t xml:space="preserve"> AGU. En efecto, </w:t>
      </w:r>
      <w:r w:rsidR="00BE49C8" w:rsidRPr="00543BCD">
        <w:rPr>
          <w:bCs/>
          <w:lang w:val="es-ES_tradnl"/>
        </w:rPr>
        <w:t xml:space="preserve">tal y como puede observarse en el cuadro 14, desde el año 2016 el flujo anual de beneficios en </w:t>
      </w:r>
      <w:r w:rsidR="00543BCD" w:rsidRPr="00543BCD">
        <w:rPr>
          <w:bCs/>
          <w:lang w:val="es-ES_tradnl"/>
        </w:rPr>
        <w:t xml:space="preserve">la </w:t>
      </w:r>
      <w:r w:rsidR="00543BCD" w:rsidRPr="00543BCD">
        <w:rPr>
          <w:bCs/>
          <w:lang w:val="es-ES_tradnl"/>
        </w:rPr>
        <w:lastRenderedPageBreak/>
        <w:t xml:space="preserve">alternativa </w:t>
      </w:r>
      <w:r w:rsidR="00BE49C8" w:rsidRPr="00543BCD">
        <w:rPr>
          <w:bCs/>
          <w:lang w:val="es-ES_tradnl"/>
        </w:rPr>
        <w:t xml:space="preserve">BID es siempre superior en más de dos veces al flujo en </w:t>
      </w:r>
      <w:r w:rsidR="00543BCD" w:rsidRPr="00543BCD">
        <w:rPr>
          <w:bCs/>
          <w:lang w:val="es-ES_tradnl"/>
        </w:rPr>
        <w:t xml:space="preserve">la alternativa </w:t>
      </w:r>
      <w:r w:rsidR="00BE49C8" w:rsidRPr="00543BCD">
        <w:rPr>
          <w:bCs/>
          <w:lang w:val="es-ES_tradnl"/>
        </w:rPr>
        <w:t>AGU.</w:t>
      </w:r>
      <w:r w:rsidR="00594DAB" w:rsidRPr="00543BCD">
        <w:rPr>
          <w:bCs/>
        </w:rPr>
        <w:t xml:space="preserve"> Si se consideran los flujos </w:t>
      </w:r>
      <w:r w:rsidR="00594DAB" w:rsidRPr="00543BCD">
        <w:rPr>
          <w:bCs/>
          <w:i/>
        </w:rPr>
        <w:t>descontados</w:t>
      </w:r>
      <w:r w:rsidR="00594DAB" w:rsidRPr="00543BCD">
        <w:rPr>
          <w:bCs/>
        </w:rPr>
        <w:t xml:space="preserve"> de beneficios, al 6% y al 12%, esta ratio A/B entre los dos escenarios es del 2,20 y 2,17 respectivamente.</w:t>
      </w:r>
      <w:r w:rsidR="00A40004" w:rsidRPr="00CF2FEC">
        <w:rPr>
          <w:rStyle w:val="FootnoteReference"/>
          <w:rFonts w:ascii="Times New Roman" w:hAnsi="Times New Roman"/>
        </w:rPr>
        <w:footnoteReference w:id="19"/>
      </w:r>
      <w:r w:rsidR="00594DAB" w:rsidRPr="00543BCD">
        <w:rPr>
          <w:bCs/>
        </w:rPr>
        <w:t xml:space="preserve"> </w:t>
      </w:r>
    </w:p>
    <w:p w:rsidR="00887A07" w:rsidRDefault="00887A07" w:rsidP="000F615C">
      <w:pPr>
        <w:pStyle w:val="ListParagraph"/>
        <w:rPr>
          <w:bCs/>
          <w:lang w:val="es-ES_tradnl"/>
        </w:rPr>
      </w:pPr>
    </w:p>
    <w:p w:rsidR="00BE49C8" w:rsidRPr="003F41B8" w:rsidRDefault="00BE49C8" w:rsidP="00BE49C8">
      <w:pPr>
        <w:pStyle w:val="ListParagraph"/>
        <w:spacing w:after="60"/>
        <w:ind w:left="360" w:right="473"/>
        <w:jc w:val="center"/>
        <w:rPr>
          <w:b/>
          <w:sz w:val="20"/>
        </w:rPr>
      </w:pPr>
      <w:r>
        <w:rPr>
          <w:b/>
          <w:sz w:val="20"/>
        </w:rPr>
        <w:t>C</w:t>
      </w:r>
      <w:r w:rsidRPr="003F41B8">
        <w:rPr>
          <w:b/>
          <w:sz w:val="20"/>
        </w:rPr>
        <w:t xml:space="preserve">uadro </w:t>
      </w:r>
      <w:r>
        <w:rPr>
          <w:b/>
          <w:sz w:val="20"/>
        </w:rPr>
        <w:t>14</w:t>
      </w:r>
      <w:r w:rsidRPr="003F41B8">
        <w:rPr>
          <w:b/>
          <w:sz w:val="20"/>
        </w:rPr>
        <w:t xml:space="preserve">. </w:t>
      </w:r>
      <w:r w:rsidR="00A40004">
        <w:rPr>
          <w:b/>
          <w:sz w:val="20"/>
        </w:rPr>
        <w:t xml:space="preserve">Flujos de beneficios: </w:t>
      </w:r>
      <w:r w:rsidR="00F25EE1">
        <w:rPr>
          <w:b/>
          <w:sz w:val="20"/>
        </w:rPr>
        <w:t xml:space="preserve">Alternativa </w:t>
      </w:r>
      <w:r>
        <w:rPr>
          <w:b/>
          <w:sz w:val="20"/>
        </w:rPr>
        <w:t xml:space="preserve">BID v. </w:t>
      </w:r>
      <w:r w:rsidR="00F25EE1">
        <w:rPr>
          <w:b/>
          <w:sz w:val="20"/>
        </w:rPr>
        <w:t xml:space="preserve">alternativa </w:t>
      </w:r>
      <w:r>
        <w:rPr>
          <w:b/>
          <w:sz w:val="20"/>
        </w:rPr>
        <w:t>AGU</w:t>
      </w:r>
    </w:p>
    <w:tbl>
      <w:tblPr>
        <w:tblW w:w="6568" w:type="dxa"/>
        <w:tblInd w:w="38" w:type="dxa"/>
        <w:tblLook w:val="04A0" w:firstRow="1" w:lastRow="0" w:firstColumn="1" w:lastColumn="0" w:noHBand="0" w:noVBand="1"/>
      </w:tblPr>
      <w:tblGrid>
        <w:gridCol w:w="851"/>
        <w:gridCol w:w="2126"/>
        <w:gridCol w:w="2126"/>
        <w:gridCol w:w="1465"/>
      </w:tblGrid>
      <w:tr w:rsidR="00BE49C8" w:rsidRPr="00517832" w:rsidTr="00B462D2">
        <w:trPr>
          <w:cantSplit/>
          <w:trHeight w:val="225"/>
          <w:tblHeader/>
        </w:trPr>
        <w:tc>
          <w:tcPr>
            <w:tcW w:w="851" w:type="dxa"/>
            <w:noWrap/>
          </w:tcPr>
          <w:p w:rsidR="00BE49C8" w:rsidRPr="00517832" w:rsidRDefault="00BE49C8" w:rsidP="007747BD">
            <w:pPr>
              <w:jc w:val="right"/>
              <w:rPr>
                <w:b/>
                <w:color w:val="000000"/>
                <w:sz w:val="20"/>
                <w:szCs w:val="20"/>
                <w:lang w:val="es-ES_tradnl" w:eastAsia="es-ES_tradnl"/>
              </w:rPr>
            </w:pPr>
          </w:p>
        </w:tc>
        <w:tc>
          <w:tcPr>
            <w:tcW w:w="2126" w:type="dxa"/>
          </w:tcPr>
          <w:p w:rsidR="00BE49C8" w:rsidRPr="00517832" w:rsidRDefault="00BE49C8" w:rsidP="007747BD">
            <w:pPr>
              <w:jc w:val="center"/>
              <w:rPr>
                <w:b/>
                <w:color w:val="000000"/>
                <w:sz w:val="20"/>
                <w:szCs w:val="20"/>
                <w:lang w:val="es-ES_tradnl" w:eastAsia="es-ES_tradnl"/>
              </w:rPr>
            </w:pPr>
            <w:r>
              <w:rPr>
                <w:b/>
                <w:color w:val="000000"/>
                <w:sz w:val="20"/>
                <w:szCs w:val="20"/>
                <w:lang w:val="es-ES_tradnl" w:eastAsia="es-ES_tradnl"/>
              </w:rPr>
              <w:t xml:space="preserve">A. </w:t>
            </w:r>
            <w:r w:rsidRPr="00517832">
              <w:rPr>
                <w:b/>
                <w:color w:val="000000"/>
                <w:sz w:val="20"/>
                <w:szCs w:val="20"/>
                <w:lang w:val="es-ES_tradnl" w:eastAsia="es-ES_tradnl"/>
              </w:rPr>
              <w:t>Beneficios</w:t>
            </w:r>
            <w:r>
              <w:rPr>
                <w:b/>
                <w:color w:val="000000"/>
                <w:sz w:val="20"/>
                <w:szCs w:val="20"/>
                <w:lang w:val="es-ES_tradnl" w:eastAsia="es-ES_tradnl"/>
              </w:rPr>
              <w:t xml:space="preserve"> BID</w:t>
            </w:r>
          </w:p>
        </w:tc>
        <w:tc>
          <w:tcPr>
            <w:tcW w:w="2126" w:type="dxa"/>
          </w:tcPr>
          <w:p w:rsidR="00BE49C8" w:rsidRPr="00517832" w:rsidRDefault="00BE49C8" w:rsidP="007747BD">
            <w:pPr>
              <w:jc w:val="center"/>
              <w:rPr>
                <w:b/>
                <w:color w:val="000000"/>
                <w:sz w:val="20"/>
                <w:szCs w:val="20"/>
                <w:lang w:val="es-ES_tradnl" w:eastAsia="es-ES_tradnl"/>
              </w:rPr>
            </w:pPr>
            <w:r>
              <w:rPr>
                <w:b/>
                <w:color w:val="000000"/>
                <w:sz w:val="20"/>
                <w:szCs w:val="20"/>
                <w:lang w:val="es-ES_tradnl" w:eastAsia="es-ES_tradnl"/>
              </w:rPr>
              <w:t xml:space="preserve">B. </w:t>
            </w:r>
            <w:r w:rsidRPr="00517832">
              <w:rPr>
                <w:b/>
                <w:color w:val="000000"/>
                <w:sz w:val="20"/>
                <w:szCs w:val="20"/>
                <w:lang w:val="es-ES_tradnl" w:eastAsia="es-ES_tradnl"/>
              </w:rPr>
              <w:t>Beneficios</w:t>
            </w:r>
            <w:r>
              <w:rPr>
                <w:b/>
                <w:color w:val="000000"/>
                <w:sz w:val="20"/>
                <w:szCs w:val="20"/>
                <w:lang w:val="es-ES_tradnl" w:eastAsia="es-ES_tradnl"/>
              </w:rPr>
              <w:t xml:space="preserve"> AGU</w:t>
            </w:r>
          </w:p>
        </w:tc>
        <w:tc>
          <w:tcPr>
            <w:tcW w:w="1465" w:type="dxa"/>
          </w:tcPr>
          <w:p w:rsidR="00BE49C8" w:rsidRPr="00517832" w:rsidRDefault="00BE49C8" w:rsidP="007747BD">
            <w:pPr>
              <w:jc w:val="center"/>
              <w:rPr>
                <w:b/>
                <w:color w:val="000000"/>
                <w:sz w:val="20"/>
                <w:szCs w:val="20"/>
                <w:lang w:val="es-ES_tradnl" w:eastAsia="es-ES_tradnl"/>
              </w:rPr>
            </w:pPr>
            <w:r>
              <w:rPr>
                <w:b/>
                <w:color w:val="000000"/>
                <w:sz w:val="20"/>
                <w:szCs w:val="20"/>
                <w:lang w:val="es-ES_tradnl" w:eastAsia="es-ES_tradnl"/>
              </w:rPr>
              <w:t>Ratio A/B</w:t>
            </w: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2012</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0</w:t>
            </w:r>
          </w:p>
        </w:tc>
        <w:tc>
          <w:tcPr>
            <w:tcW w:w="2126" w:type="dxa"/>
          </w:tcPr>
          <w:p w:rsidR="00BE49C8" w:rsidRPr="00517832" w:rsidRDefault="00BE49C8" w:rsidP="007747BD">
            <w:pPr>
              <w:jc w:val="right"/>
              <w:rPr>
                <w:color w:val="000000"/>
                <w:sz w:val="20"/>
                <w:szCs w:val="20"/>
              </w:rPr>
            </w:pPr>
            <w:r w:rsidRPr="00517832">
              <w:rPr>
                <w:color w:val="000000"/>
                <w:sz w:val="20"/>
                <w:szCs w:val="20"/>
              </w:rPr>
              <w:t>0</w:t>
            </w:r>
          </w:p>
        </w:tc>
        <w:tc>
          <w:tcPr>
            <w:tcW w:w="1465" w:type="dxa"/>
          </w:tcPr>
          <w:p w:rsidR="00BE49C8" w:rsidRPr="00517832" w:rsidRDefault="00BE49C8" w:rsidP="007747BD">
            <w:pPr>
              <w:jc w:val="right"/>
              <w:rPr>
                <w:color w:val="000000"/>
                <w:sz w:val="20"/>
                <w:szCs w:val="20"/>
              </w:rPr>
            </w:pP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2013</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0</w:t>
            </w:r>
          </w:p>
        </w:tc>
        <w:tc>
          <w:tcPr>
            <w:tcW w:w="2126" w:type="dxa"/>
          </w:tcPr>
          <w:p w:rsidR="00BE49C8" w:rsidRPr="00517832" w:rsidRDefault="00BE49C8" w:rsidP="007747BD">
            <w:pPr>
              <w:jc w:val="right"/>
              <w:rPr>
                <w:color w:val="000000"/>
                <w:sz w:val="20"/>
                <w:szCs w:val="20"/>
              </w:rPr>
            </w:pPr>
            <w:r w:rsidRPr="00517832">
              <w:rPr>
                <w:color w:val="000000"/>
                <w:sz w:val="20"/>
                <w:szCs w:val="20"/>
              </w:rPr>
              <w:t>0</w:t>
            </w:r>
          </w:p>
        </w:tc>
        <w:tc>
          <w:tcPr>
            <w:tcW w:w="1465" w:type="dxa"/>
          </w:tcPr>
          <w:p w:rsidR="00BE49C8" w:rsidRPr="00517832" w:rsidRDefault="00BE49C8" w:rsidP="007747BD">
            <w:pPr>
              <w:jc w:val="right"/>
              <w:rPr>
                <w:color w:val="000000"/>
                <w:sz w:val="20"/>
                <w:szCs w:val="20"/>
              </w:rPr>
            </w:pP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2014</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2.026.855.347</w:t>
            </w:r>
          </w:p>
        </w:tc>
        <w:tc>
          <w:tcPr>
            <w:tcW w:w="2126" w:type="dxa"/>
          </w:tcPr>
          <w:p w:rsidR="00BE49C8" w:rsidRPr="00517832" w:rsidRDefault="00BE49C8" w:rsidP="007747BD">
            <w:pPr>
              <w:jc w:val="right"/>
              <w:rPr>
                <w:color w:val="000000"/>
                <w:sz w:val="20"/>
                <w:szCs w:val="20"/>
              </w:rPr>
            </w:pPr>
            <w:r w:rsidRPr="00517832">
              <w:rPr>
                <w:color w:val="000000"/>
                <w:sz w:val="20"/>
                <w:szCs w:val="20"/>
              </w:rPr>
              <w:t>1.238.613.621</w:t>
            </w:r>
          </w:p>
        </w:tc>
        <w:tc>
          <w:tcPr>
            <w:tcW w:w="1465" w:type="dxa"/>
          </w:tcPr>
          <w:p w:rsidR="00BE49C8" w:rsidRPr="00BE49C8" w:rsidRDefault="00BE49C8" w:rsidP="00BE49C8">
            <w:pPr>
              <w:ind w:right="450"/>
              <w:jc w:val="right"/>
              <w:rPr>
                <w:color w:val="000000"/>
                <w:sz w:val="20"/>
                <w:szCs w:val="18"/>
              </w:rPr>
            </w:pPr>
            <w:r w:rsidRPr="00BE49C8">
              <w:rPr>
                <w:color w:val="000000"/>
                <w:sz w:val="20"/>
                <w:szCs w:val="18"/>
              </w:rPr>
              <w:t>1,64</w:t>
            </w: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2015</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2.832.398.633</w:t>
            </w:r>
          </w:p>
        </w:tc>
        <w:tc>
          <w:tcPr>
            <w:tcW w:w="2126" w:type="dxa"/>
          </w:tcPr>
          <w:p w:rsidR="00BE49C8" w:rsidRPr="00517832" w:rsidRDefault="00BE49C8" w:rsidP="007747BD">
            <w:pPr>
              <w:jc w:val="right"/>
              <w:rPr>
                <w:color w:val="000000"/>
                <w:sz w:val="20"/>
                <w:szCs w:val="20"/>
              </w:rPr>
            </w:pPr>
            <w:r w:rsidRPr="00517832">
              <w:rPr>
                <w:color w:val="000000"/>
                <w:sz w:val="20"/>
                <w:szCs w:val="20"/>
              </w:rPr>
              <w:t>1.558.914.555</w:t>
            </w:r>
          </w:p>
        </w:tc>
        <w:tc>
          <w:tcPr>
            <w:tcW w:w="1465" w:type="dxa"/>
          </w:tcPr>
          <w:p w:rsidR="00BE49C8" w:rsidRPr="00BE49C8" w:rsidRDefault="00BE49C8" w:rsidP="00BE49C8">
            <w:pPr>
              <w:ind w:right="450"/>
              <w:jc w:val="right"/>
              <w:rPr>
                <w:color w:val="000000"/>
                <w:sz w:val="20"/>
                <w:szCs w:val="18"/>
              </w:rPr>
            </w:pPr>
            <w:r w:rsidRPr="00BE49C8">
              <w:rPr>
                <w:color w:val="000000"/>
                <w:sz w:val="20"/>
                <w:szCs w:val="18"/>
              </w:rPr>
              <w:t>1,82</w:t>
            </w: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2016</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4.036.660.699</w:t>
            </w:r>
          </w:p>
        </w:tc>
        <w:tc>
          <w:tcPr>
            <w:tcW w:w="2126" w:type="dxa"/>
          </w:tcPr>
          <w:p w:rsidR="00BE49C8" w:rsidRPr="00517832" w:rsidRDefault="00BE49C8" w:rsidP="007747BD">
            <w:pPr>
              <w:jc w:val="right"/>
              <w:rPr>
                <w:color w:val="000000"/>
                <w:sz w:val="20"/>
                <w:szCs w:val="20"/>
              </w:rPr>
            </w:pPr>
            <w:r w:rsidRPr="00517832">
              <w:rPr>
                <w:color w:val="000000"/>
                <w:sz w:val="20"/>
                <w:szCs w:val="20"/>
              </w:rPr>
              <w:t>1.765.137.615</w:t>
            </w:r>
          </w:p>
        </w:tc>
        <w:tc>
          <w:tcPr>
            <w:tcW w:w="1465" w:type="dxa"/>
          </w:tcPr>
          <w:p w:rsidR="00BE49C8" w:rsidRPr="00BE49C8" w:rsidRDefault="00BE49C8" w:rsidP="00BE49C8">
            <w:pPr>
              <w:ind w:right="450"/>
              <w:jc w:val="right"/>
              <w:rPr>
                <w:color w:val="000000"/>
                <w:sz w:val="20"/>
                <w:szCs w:val="18"/>
              </w:rPr>
            </w:pPr>
            <w:r w:rsidRPr="00BE49C8">
              <w:rPr>
                <w:color w:val="000000"/>
                <w:sz w:val="20"/>
                <w:szCs w:val="18"/>
              </w:rPr>
              <w:t>2,30</w:t>
            </w: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2017</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4.736.549.816</w:t>
            </w:r>
          </w:p>
        </w:tc>
        <w:tc>
          <w:tcPr>
            <w:tcW w:w="2126" w:type="dxa"/>
          </w:tcPr>
          <w:p w:rsidR="00BE49C8" w:rsidRPr="00517832" w:rsidRDefault="00BE49C8" w:rsidP="007747BD">
            <w:pPr>
              <w:jc w:val="right"/>
              <w:rPr>
                <w:color w:val="000000"/>
                <w:sz w:val="20"/>
                <w:szCs w:val="20"/>
              </w:rPr>
            </w:pPr>
            <w:r w:rsidRPr="00517832">
              <w:rPr>
                <w:color w:val="000000"/>
                <w:sz w:val="20"/>
                <w:szCs w:val="20"/>
              </w:rPr>
              <w:t>1.961.006.639</w:t>
            </w:r>
          </w:p>
        </w:tc>
        <w:tc>
          <w:tcPr>
            <w:tcW w:w="1465" w:type="dxa"/>
          </w:tcPr>
          <w:p w:rsidR="00BE49C8" w:rsidRPr="00BE49C8" w:rsidRDefault="00BE49C8" w:rsidP="00BE49C8">
            <w:pPr>
              <w:ind w:right="450"/>
              <w:jc w:val="right"/>
              <w:rPr>
                <w:color w:val="000000"/>
                <w:sz w:val="20"/>
                <w:szCs w:val="18"/>
              </w:rPr>
            </w:pPr>
            <w:r w:rsidRPr="00BE49C8">
              <w:rPr>
                <w:color w:val="000000"/>
                <w:sz w:val="20"/>
                <w:szCs w:val="18"/>
              </w:rPr>
              <w:t>2,43</w:t>
            </w: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2018</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5.135.184.743</w:t>
            </w:r>
          </w:p>
        </w:tc>
        <w:tc>
          <w:tcPr>
            <w:tcW w:w="2126" w:type="dxa"/>
          </w:tcPr>
          <w:p w:rsidR="00BE49C8" w:rsidRPr="00517832" w:rsidRDefault="00BE49C8" w:rsidP="007747BD">
            <w:pPr>
              <w:jc w:val="right"/>
              <w:rPr>
                <w:color w:val="000000"/>
                <w:sz w:val="20"/>
                <w:szCs w:val="20"/>
              </w:rPr>
            </w:pPr>
            <w:r w:rsidRPr="00517832">
              <w:rPr>
                <w:color w:val="000000"/>
                <w:sz w:val="20"/>
                <w:szCs w:val="20"/>
              </w:rPr>
              <w:t>2.159.090.768</w:t>
            </w:r>
          </w:p>
        </w:tc>
        <w:tc>
          <w:tcPr>
            <w:tcW w:w="1465" w:type="dxa"/>
          </w:tcPr>
          <w:p w:rsidR="00BE49C8" w:rsidRPr="00BE49C8" w:rsidRDefault="00BE49C8" w:rsidP="00BE49C8">
            <w:pPr>
              <w:ind w:right="450"/>
              <w:jc w:val="right"/>
              <w:rPr>
                <w:color w:val="000000"/>
                <w:sz w:val="20"/>
                <w:szCs w:val="18"/>
              </w:rPr>
            </w:pPr>
            <w:r w:rsidRPr="00BE49C8">
              <w:rPr>
                <w:color w:val="000000"/>
                <w:sz w:val="20"/>
                <w:szCs w:val="18"/>
              </w:rPr>
              <w:t>2,40</w:t>
            </w: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2019</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5.542.680.087</w:t>
            </w:r>
          </w:p>
        </w:tc>
        <w:tc>
          <w:tcPr>
            <w:tcW w:w="2126" w:type="dxa"/>
          </w:tcPr>
          <w:p w:rsidR="00BE49C8" w:rsidRPr="00517832" w:rsidRDefault="00BE49C8" w:rsidP="007747BD">
            <w:pPr>
              <w:jc w:val="right"/>
              <w:rPr>
                <w:color w:val="000000"/>
                <w:sz w:val="20"/>
                <w:szCs w:val="20"/>
              </w:rPr>
            </w:pPr>
            <w:r w:rsidRPr="00517832">
              <w:rPr>
                <w:color w:val="000000"/>
                <w:sz w:val="20"/>
                <w:szCs w:val="20"/>
              </w:rPr>
              <w:t>2.389.293.909</w:t>
            </w:r>
          </w:p>
        </w:tc>
        <w:tc>
          <w:tcPr>
            <w:tcW w:w="1465" w:type="dxa"/>
          </w:tcPr>
          <w:p w:rsidR="00BE49C8" w:rsidRPr="00BE49C8" w:rsidRDefault="00BE49C8" w:rsidP="00BE49C8">
            <w:pPr>
              <w:ind w:right="450"/>
              <w:jc w:val="right"/>
              <w:rPr>
                <w:color w:val="000000"/>
                <w:sz w:val="20"/>
                <w:szCs w:val="18"/>
              </w:rPr>
            </w:pPr>
            <w:r w:rsidRPr="00BE49C8">
              <w:rPr>
                <w:color w:val="000000"/>
                <w:sz w:val="20"/>
                <w:szCs w:val="18"/>
              </w:rPr>
              <w:t>2,33</w:t>
            </w: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2020</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5.959.035.848</w:t>
            </w:r>
          </w:p>
        </w:tc>
        <w:tc>
          <w:tcPr>
            <w:tcW w:w="2126" w:type="dxa"/>
          </w:tcPr>
          <w:p w:rsidR="00BE49C8" w:rsidRPr="00517832" w:rsidRDefault="00BE49C8" w:rsidP="007747BD">
            <w:pPr>
              <w:jc w:val="right"/>
              <w:rPr>
                <w:color w:val="000000"/>
                <w:sz w:val="20"/>
                <w:szCs w:val="20"/>
              </w:rPr>
            </w:pPr>
            <w:r w:rsidRPr="00517832">
              <w:rPr>
                <w:color w:val="000000"/>
                <w:sz w:val="20"/>
                <w:szCs w:val="20"/>
              </w:rPr>
              <w:t>2.628.357.468</w:t>
            </w:r>
          </w:p>
        </w:tc>
        <w:tc>
          <w:tcPr>
            <w:tcW w:w="1465" w:type="dxa"/>
          </w:tcPr>
          <w:p w:rsidR="00BE49C8" w:rsidRPr="00BE49C8" w:rsidRDefault="00BE49C8" w:rsidP="00BE49C8">
            <w:pPr>
              <w:ind w:right="450"/>
              <w:jc w:val="right"/>
              <w:rPr>
                <w:color w:val="000000"/>
                <w:sz w:val="20"/>
                <w:szCs w:val="18"/>
              </w:rPr>
            </w:pPr>
            <w:r w:rsidRPr="00BE49C8">
              <w:rPr>
                <w:color w:val="000000"/>
                <w:sz w:val="20"/>
                <w:szCs w:val="18"/>
              </w:rPr>
              <w:t>2,27</w:t>
            </w:r>
          </w:p>
        </w:tc>
      </w:tr>
      <w:tr w:rsidR="00BE49C8" w:rsidRPr="00517832" w:rsidTr="00B462D2">
        <w:trPr>
          <w:trHeight w:val="225"/>
        </w:trPr>
        <w:tc>
          <w:tcPr>
            <w:tcW w:w="851" w:type="dxa"/>
            <w:noWrap/>
            <w:hideMark/>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2021</w:t>
            </w:r>
          </w:p>
        </w:tc>
        <w:tc>
          <w:tcPr>
            <w:tcW w:w="2126" w:type="dxa"/>
          </w:tcPr>
          <w:p w:rsidR="00BE49C8" w:rsidRPr="00517832" w:rsidRDefault="00BE49C8" w:rsidP="007747BD">
            <w:pPr>
              <w:jc w:val="right"/>
              <w:rPr>
                <w:color w:val="000000"/>
                <w:sz w:val="20"/>
                <w:szCs w:val="20"/>
                <w:lang w:val="es-ES_tradnl" w:eastAsia="es-ES_tradnl"/>
              </w:rPr>
            </w:pPr>
            <w:r w:rsidRPr="00517832">
              <w:rPr>
                <w:color w:val="000000"/>
                <w:sz w:val="20"/>
                <w:szCs w:val="20"/>
                <w:lang w:val="es-ES_tradnl" w:eastAsia="es-ES_tradnl"/>
              </w:rPr>
              <w:t>6.419.609.841</w:t>
            </w:r>
          </w:p>
        </w:tc>
        <w:tc>
          <w:tcPr>
            <w:tcW w:w="2126" w:type="dxa"/>
          </w:tcPr>
          <w:p w:rsidR="00BE49C8" w:rsidRPr="00517832" w:rsidRDefault="00BE49C8" w:rsidP="007747BD">
            <w:pPr>
              <w:jc w:val="right"/>
              <w:rPr>
                <w:color w:val="000000"/>
                <w:sz w:val="20"/>
                <w:szCs w:val="20"/>
              </w:rPr>
            </w:pPr>
            <w:r w:rsidRPr="00517832">
              <w:rPr>
                <w:color w:val="000000"/>
                <w:sz w:val="20"/>
                <w:szCs w:val="20"/>
              </w:rPr>
              <w:t>2.876.281.444</w:t>
            </w:r>
          </w:p>
        </w:tc>
        <w:tc>
          <w:tcPr>
            <w:tcW w:w="1465" w:type="dxa"/>
          </w:tcPr>
          <w:p w:rsidR="00BE49C8" w:rsidRPr="00BE49C8" w:rsidRDefault="00BE49C8" w:rsidP="00BE49C8">
            <w:pPr>
              <w:ind w:right="450"/>
              <w:jc w:val="right"/>
              <w:rPr>
                <w:color w:val="000000"/>
                <w:sz w:val="20"/>
                <w:szCs w:val="18"/>
              </w:rPr>
            </w:pPr>
            <w:r w:rsidRPr="00BE49C8">
              <w:rPr>
                <w:color w:val="000000"/>
                <w:sz w:val="20"/>
                <w:szCs w:val="18"/>
              </w:rPr>
              <w:t>2,24</w:t>
            </w:r>
          </w:p>
        </w:tc>
      </w:tr>
    </w:tbl>
    <w:p w:rsidR="00BE49C8" w:rsidRDefault="00BE49C8" w:rsidP="00BE49C8">
      <w:pPr>
        <w:ind w:left="1560"/>
      </w:pPr>
      <w:r w:rsidRPr="009E7F7F">
        <w:rPr>
          <w:sz w:val="18"/>
        </w:rPr>
        <w:t>Montos en reales 2010.</w:t>
      </w:r>
      <w:r>
        <w:rPr>
          <w:sz w:val="18"/>
        </w:rPr>
        <w:t xml:space="preserve"> Sin descontar.</w:t>
      </w:r>
    </w:p>
    <w:p w:rsidR="00887A07" w:rsidRDefault="00887A07" w:rsidP="000F615C">
      <w:pPr>
        <w:pStyle w:val="ListParagraph"/>
        <w:rPr>
          <w:bCs/>
        </w:rPr>
      </w:pPr>
    </w:p>
    <w:p w:rsidR="00363B72" w:rsidRDefault="00363B72" w:rsidP="00363B72">
      <w:pPr>
        <w:pStyle w:val="ListParagraph"/>
        <w:numPr>
          <w:ilvl w:val="0"/>
          <w:numId w:val="14"/>
        </w:numPr>
        <w:ind w:left="567" w:hanging="567"/>
        <w:rPr>
          <w:bCs/>
        </w:rPr>
      </w:pPr>
      <w:r>
        <w:rPr>
          <w:bCs/>
        </w:rPr>
        <w:t xml:space="preserve">Finalmente, realizados los análisis de sensibilidad, los resultados obtenidos bajo escenarios muy extremos </w:t>
      </w:r>
      <w:r w:rsidRPr="00363B72">
        <w:rPr>
          <w:bCs/>
          <w:lang w:val="es-ES_tradnl"/>
        </w:rPr>
        <w:t>permiten</w:t>
      </w:r>
      <w:r>
        <w:rPr>
          <w:bCs/>
        </w:rPr>
        <w:t xml:space="preserve"> concluir que la alternativa BID siempre tendrá una tasa interna de retorno dentro de un margen sensiblemente superior a cualquiera de las tasas de descuento aplicadas generalmente (6% y 12%).</w:t>
      </w:r>
    </w:p>
    <w:p w:rsidR="00363B72" w:rsidRDefault="00363B72" w:rsidP="000F615C">
      <w:pPr>
        <w:pStyle w:val="ListParagraph"/>
        <w:rPr>
          <w:bCs/>
        </w:rPr>
      </w:pPr>
    </w:p>
    <w:p w:rsidR="000F615C" w:rsidRPr="000F7FA8" w:rsidRDefault="000F615C" w:rsidP="000F7FA8">
      <w:pPr>
        <w:pStyle w:val="ListParagraph"/>
        <w:numPr>
          <w:ilvl w:val="0"/>
          <w:numId w:val="14"/>
        </w:numPr>
        <w:ind w:left="567" w:hanging="567"/>
        <w:rPr>
          <w:bCs/>
          <w:lang w:val="es-ES_tradnl"/>
        </w:rPr>
      </w:pPr>
      <w:r>
        <w:rPr>
          <w:bCs/>
          <w:lang w:val="es-ES_tradnl"/>
        </w:rPr>
        <w:t xml:space="preserve">Por tanto, existen razones fundadas </w:t>
      </w:r>
      <w:r w:rsidR="00D96242">
        <w:rPr>
          <w:bCs/>
          <w:lang w:val="es-ES_tradnl"/>
        </w:rPr>
        <w:t xml:space="preserve">de seguridad en </w:t>
      </w:r>
      <w:r w:rsidR="00525CD0">
        <w:rPr>
          <w:bCs/>
          <w:lang w:val="es-ES_tradnl"/>
        </w:rPr>
        <w:t xml:space="preserve">implementación en </w:t>
      </w:r>
      <w:r w:rsidR="00D96242">
        <w:rPr>
          <w:bCs/>
          <w:lang w:val="es-ES_tradnl"/>
        </w:rPr>
        <w:t xml:space="preserve">el esfuerzo y </w:t>
      </w:r>
      <w:r w:rsidR="0097161A">
        <w:rPr>
          <w:bCs/>
          <w:lang w:val="es-ES_tradnl"/>
        </w:rPr>
        <w:t xml:space="preserve">de </w:t>
      </w:r>
      <w:r w:rsidR="00D96242">
        <w:rPr>
          <w:bCs/>
          <w:lang w:val="es-ES_tradnl"/>
        </w:rPr>
        <w:t xml:space="preserve">eficacia en los resultados </w:t>
      </w:r>
      <w:r w:rsidR="00F729A9">
        <w:rPr>
          <w:bCs/>
          <w:lang w:val="es-ES_tradnl"/>
        </w:rPr>
        <w:t xml:space="preserve">de recaudación </w:t>
      </w:r>
      <w:r>
        <w:rPr>
          <w:bCs/>
          <w:lang w:val="es-ES_tradnl"/>
        </w:rPr>
        <w:t xml:space="preserve">para entender que para el Ejecutivo brasileño la opción de </w:t>
      </w:r>
      <w:r w:rsidR="00D96242">
        <w:rPr>
          <w:bCs/>
          <w:lang w:val="es-ES_tradnl"/>
        </w:rPr>
        <w:t xml:space="preserve">tomar un préstamo del BID para financiar las actividades del programa BID es más ventajosa que recurrir a recursos presupuestarios propios. </w:t>
      </w:r>
    </w:p>
    <w:p w:rsidR="00934C93" w:rsidRPr="00415A19" w:rsidRDefault="00934C93" w:rsidP="00843C83">
      <w:pPr>
        <w:rPr>
          <w:bCs/>
          <w:lang w:val="es-ES_tradnl"/>
        </w:rPr>
      </w:pPr>
    </w:p>
    <w:p w:rsidR="00934C93" w:rsidRPr="00415A19" w:rsidRDefault="00934C93" w:rsidP="00843C83">
      <w:pPr>
        <w:rPr>
          <w:bCs/>
          <w:lang w:val="es-ES_tradnl"/>
        </w:rPr>
      </w:pPr>
    </w:p>
    <w:p w:rsidR="00934C93" w:rsidRPr="00415A19" w:rsidRDefault="00934C93" w:rsidP="00843C83">
      <w:pPr>
        <w:rPr>
          <w:bCs/>
          <w:lang w:val="es-ES_tradnl"/>
        </w:rPr>
      </w:pPr>
    </w:p>
    <w:p w:rsidR="00934C93" w:rsidRPr="00415A19" w:rsidRDefault="00934C93" w:rsidP="00843C83">
      <w:pPr>
        <w:rPr>
          <w:bCs/>
          <w:lang w:val="es-ES_tradnl"/>
        </w:rPr>
      </w:pPr>
    </w:p>
    <w:p w:rsidR="00934C93" w:rsidRPr="00415A19" w:rsidRDefault="00934C93" w:rsidP="00843C83">
      <w:pPr>
        <w:rPr>
          <w:bCs/>
          <w:lang w:val="es-ES_tradnl"/>
        </w:rPr>
      </w:pPr>
    </w:p>
    <w:p w:rsidR="00843C83" w:rsidRPr="00415A19" w:rsidRDefault="00843C83" w:rsidP="00843C83">
      <w:pPr>
        <w:rPr>
          <w:bCs/>
          <w:lang w:val="es-ES_tradnl"/>
        </w:rPr>
      </w:pPr>
    </w:p>
    <w:p w:rsidR="00843C83" w:rsidRPr="00415A19" w:rsidRDefault="00843C83" w:rsidP="00843C83">
      <w:pPr>
        <w:rPr>
          <w:bCs/>
          <w:lang w:val="es-ES_tradnl"/>
        </w:rPr>
        <w:sectPr w:rsidR="00843C83" w:rsidRPr="00415A19" w:rsidSect="00AC3E44">
          <w:footerReference w:type="default" r:id="rId12"/>
          <w:pgSz w:w="12240" w:h="15840" w:code="1"/>
          <w:pgMar w:top="1418" w:right="1418" w:bottom="1418" w:left="1418" w:header="709" w:footer="856" w:gutter="0"/>
          <w:pgNumType w:start="1"/>
          <w:cols w:space="708"/>
          <w:docGrid w:linePitch="360"/>
        </w:sect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49380C" w:rsidRDefault="00843C83" w:rsidP="00DC3FF2">
      <w:pPr>
        <w:pStyle w:val="Anexo"/>
        <w:numPr>
          <w:ilvl w:val="0"/>
          <w:numId w:val="0"/>
        </w:numPr>
        <w:rPr>
          <w:lang w:val="en-US"/>
        </w:rPr>
      </w:pPr>
      <w:r w:rsidRPr="0049380C">
        <w:rPr>
          <w:lang w:val="en-US"/>
        </w:rPr>
        <w:t>ANEXOS</w:t>
      </w:r>
    </w:p>
    <w:p w:rsidR="00843C83" w:rsidRPr="0049380C" w:rsidRDefault="00843C83" w:rsidP="00DC3FF2">
      <w:pPr>
        <w:pStyle w:val="Anexo"/>
        <w:numPr>
          <w:ilvl w:val="0"/>
          <w:numId w:val="0"/>
        </w:numPr>
        <w:rPr>
          <w:bCs/>
          <w:lang w:val="en-US"/>
        </w:rPr>
        <w:sectPr w:rsidR="00843C83" w:rsidRPr="0049380C" w:rsidSect="004222A8">
          <w:pgSz w:w="12240" w:h="15840" w:code="1"/>
          <w:pgMar w:top="1418" w:right="1418" w:bottom="1418" w:left="1418" w:header="709" w:footer="856" w:gutter="0"/>
          <w:cols w:space="708"/>
          <w:docGrid w:linePitch="360"/>
        </w:sectPr>
      </w:pPr>
    </w:p>
    <w:p w:rsidR="00843C83" w:rsidRPr="0049380C" w:rsidRDefault="00843C83" w:rsidP="00DC3FF2">
      <w:pPr>
        <w:pStyle w:val="Title"/>
        <w:tabs>
          <w:tab w:val="left" w:pos="1134"/>
        </w:tabs>
        <w:rPr>
          <w:rFonts w:ascii="Times New Roman" w:hAnsi="Times New Roman"/>
          <w:sz w:val="22"/>
          <w:lang w:val="en-US"/>
        </w:rPr>
      </w:pPr>
      <w:bookmarkStart w:id="59" w:name="_Toc303885526"/>
      <w:bookmarkStart w:id="60" w:name="_Toc298005501"/>
      <w:proofErr w:type="spellStart"/>
      <w:r w:rsidRPr="0049380C">
        <w:rPr>
          <w:rFonts w:ascii="Times New Roman" w:hAnsi="Times New Roman"/>
          <w:sz w:val="22"/>
          <w:lang w:val="en-US"/>
        </w:rPr>
        <w:lastRenderedPageBreak/>
        <w:t>Anexo</w:t>
      </w:r>
      <w:proofErr w:type="spellEnd"/>
      <w:r w:rsidRPr="0049380C">
        <w:rPr>
          <w:rFonts w:ascii="Times New Roman" w:hAnsi="Times New Roman"/>
          <w:sz w:val="22"/>
          <w:lang w:val="en-US"/>
        </w:rPr>
        <w:t xml:space="preserve"> A. </w:t>
      </w:r>
      <w:r w:rsidRPr="0049380C">
        <w:rPr>
          <w:rFonts w:ascii="Times New Roman" w:hAnsi="Times New Roman"/>
          <w:sz w:val="22"/>
          <w:lang w:val="en-US"/>
        </w:rPr>
        <w:tab/>
      </w:r>
      <w:proofErr w:type="spellStart"/>
      <w:r w:rsidRPr="0049380C">
        <w:rPr>
          <w:rFonts w:ascii="Times New Roman" w:hAnsi="Times New Roman"/>
          <w:sz w:val="22"/>
          <w:lang w:val="en-US"/>
        </w:rPr>
        <w:t>Referencias</w:t>
      </w:r>
      <w:bookmarkEnd w:id="48"/>
      <w:bookmarkEnd w:id="49"/>
      <w:bookmarkEnd w:id="59"/>
      <w:bookmarkEnd w:id="60"/>
      <w:proofErr w:type="spellEnd"/>
      <w:r w:rsidRPr="0049380C">
        <w:rPr>
          <w:rFonts w:ascii="Times New Roman" w:hAnsi="Times New Roman"/>
          <w:sz w:val="22"/>
          <w:lang w:val="en-US"/>
        </w:rPr>
        <w:t xml:space="preserve"> </w:t>
      </w:r>
    </w:p>
    <w:p w:rsidR="00843C83" w:rsidRPr="00D92BA7" w:rsidRDefault="00843C83" w:rsidP="00843C83">
      <w:pPr>
        <w:spacing w:before="120" w:after="120"/>
        <w:rPr>
          <w:lang w:val="en-GB"/>
        </w:rPr>
      </w:pPr>
      <w:proofErr w:type="gramStart"/>
      <w:r w:rsidRPr="0049380C">
        <w:rPr>
          <w:lang w:val="en-US"/>
        </w:rPr>
        <w:t xml:space="preserve">Campbell H. y Richard </w:t>
      </w:r>
      <w:r>
        <w:rPr>
          <w:lang w:val="en-GB"/>
        </w:rPr>
        <w:t>Brown (2003).</w:t>
      </w:r>
      <w:proofErr w:type="gramEnd"/>
      <w:r w:rsidRPr="00D92BA7">
        <w:rPr>
          <w:lang w:val="en-GB"/>
        </w:rPr>
        <w:t xml:space="preserve"> </w:t>
      </w:r>
      <w:proofErr w:type="gramStart"/>
      <w:r w:rsidRPr="00D92BA7">
        <w:rPr>
          <w:lang w:val="en-GB"/>
        </w:rPr>
        <w:t>Benefit-Cost Analysis.</w:t>
      </w:r>
      <w:proofErr w:type="gramEnd"/>
      <w:r w:rsidRPr="00D92BA7">
        <w:rPr>
          <w:lang w:val="en-GB"/>
        </w:rPr>
        <w:t xml:space="preserve"> </w:t>
      </w:r>
      <w:proofErr w:type="gramStart"/>
      <w:r w:rsidRPr="00D92BA7">
        <w:rPr>
          <w:lang w:val="en-GB"/>
        </w:rPr>
        <w:t>Cambridge University Press.</w:t>
      </w:r>
      <w:proofErr w:type="gramEnd"/>
    </w:p>
    <w:p w:rsidR="00843C83" w:rsidRPr="00B462D2" w:rsidRDefault="00843C83" w:rsidP="00843C83">
      <w:pPr>
        <w:spacing w:before="120" w:after="120"/>
        <w:rPr>
          <w:lang w:val="en-US"/>
        </w:rPr>
      </w:pPr>
      <w:proofErr w:type="spellStart"/>
      <w:proofErr w:type="gramStart"/>
      <w:r w:rsidRPr="00D92BA7">
        <w:rPr>
          <w:lang w:val="en-US"/>
        </w:rPr>
        <w:t>Caplin</w:t>
      </w:r>
      <w:proofErr w:type="spellEnd"/>
      <w:r w:rsidRPr="00D92BA7">
        <w:rPr>
          <w:lang w:val="en-US"/>
        </w:rPr>
        <w:t xml:space="preserve"> A. y John Leahy (2004)</w:t>
      </w:r>
      <w:r>
        <w:rPr>
          <w:lang w:val="en-US"/>
        </w:rPr>
        <w:t>.</w:t>
      </w:r>
      <w:proofErr w:type="gramEnd"/>
      <w:r w:rsidRPr="00D92BA7">
        <w:rPr>
          <w:lang w:val="en-US"/>
        </w:rPr>
        <w:t xml:space="preserve"> </w:t>
      </w:r>
      <w:proofErr w:type="gramStart"/>
      <w:r w:rsidRPr="00D92BA7">
        <w:rPr>
          <w:lang w:val="en-US"/>
        </w:rPr>
        <w:t>The Social Discount Rate.</w:t>
      </w:r>
      <w:proofErr w:type="gramEnd"/>
      <w:r w:rsidRPr="00D92BA7">
        <w:rPr>
          <w:lang w:val="en-US"/>
        </w:rPr>
        <w:t xml:space="preserve"> </w:t>
      </w:r>
      <w:proofErr w:type="gramStart"/>
      <w:r w:rsidR="00D857C2" w:rsidRPr="00D857C2">
        <w:rPr>
          <w:lang w:val="en-US"/>
        </w:rPr>
        <w:t>New York University.</w:t>
      </w:r>
      <w:proofErr w:type="gramEnd"/>
    </w:p>
    <w:p w:rsidR="00843C83" w:rsidRPr="00054922" w:rsidRDefault="00843C83" w:rsidP="00843C83">
      <w:pPr>
        <w:spacing w:before="120" w:after="120"/>
        <w:rPr>
          <w:lang w:val="es-ES_tradnl"/>
        </w:rPr>
      </w:pPr>
      <w:r w:rsidRPr="00054922">
        <w:rPr>
          <w:lang w:val="es-ES_tradnl"/>
        </w:rPr>
        <w:t xml:space="preserve">Consejo de Defensa del Estado – CDE (2010). </w:t>
      </w:r>
      <w:r w:rsidRPr="00054922">
        <w:rPr>
          <w:lang w:val="es-CL"/>
        </w:rPr>
        <w:t>Propuesta de indicadores de impacto de la calidad de la actividad jurídica del Consejo de Defensa del Estado</w:t>
      </w:r>
      <w:r>
        <w:rPr>
          <w:lang w:val="es-CL"/>
        </w:rPr>
        <w:t>.</w:t>
      </w:r>
    </w:p>
    <w:p w:rsidR="00843C83" w:rsidRDefault="00843C83" w:rsidP="00843C83">
      <w:pPr>
        <w:spacing w:before="120" w:after="120"/>
        <w:rPr>
          <w:lang w:val="en-US"/>
        </w:rPr>
      </w:pPr>
      <w:proofErr w:type="gramStart"/>
      <w:r w:rsidRPr="00D92BA7">
        <w:rPr>
          <w:lang w:val="en-US"/>
        </w:rPr>
        <w:t>Cowen T. (2001)</w:t>
      </w:r>
      <w:r>
        <w:rPr>
          <w:lang w:val="en-US"/>
        </w:rPr>
        <w:t>.</w:t>
      </w:r>
      <w:proofErr w:type="gramEnd"/>
      <w:r w:rsidRPr="00D92BA7">
        <w:rPr>
          <w:lang w:val="en-US"/>
        </w:rPr>
        <w:t xml:space="preserve"> What is the Correct Intergenerational Discount Rate?</w:t>
      </w:r>
    </w:p>
    <w:p w:rsidR="00843C83" w:rsidRPr="000D677F" w:rsidRDefault="00843C83" w:rsidP="00843C83">
      <w:pPr>
        <w:spacing w:before="120" w:after="120"/>
        <w:rPr>
          <w:lang w:val="es-ES_tradnl"/>
        </w:rPr>
      </w:pPr>
      <w:r>
        <w:rPr>
          <w:lang w:val="es-ES_tradnl"/>
        </w:rPr>
        <w:t xml:space="preserve">DIPRES -- </w:t>
      </w:r>
      <w:r w:rsidRPr="000D677F">
        <w:rPr>
          <w:lang w:val="es-ES_tradnl"/>
        </w:rPr>
        <w:t>Dirección de Presupuestos (2010). Informe de Pasivos Contingentes</w:t>
      </w:r>
      <w:r>
        <w:rPr>
          <w:lang w:val="es-ES_tradnl"/>
        </w:rPr>
        <w:t xml:space="preserve"> 2010.</w:t>
      </w:r>
    </w:p>
    <w:p w:rsidR="00843C83" w:rsidRPr="00D92BA7" w:rsidRDefault="00843C83" w:rsidP="00843C83">
      <w:pPr>
        <w:spacing w:before="120" w:after="120"/>
        <w:rPr>
          <w:lang w:val="en-US"/>
        </w:rPr>
      </w:pPr>
      <w:proofErr w:type="gramStart"/>
      <w:r>
        <w:rPr>
          <w:lang w:val="en-US"/>
        </w:rPr>
        <w:t xml:space="preserve">Drummond M., Mark </w:t>
      </w:r>
      <w:proofErr w:type="spellStart"/>
      <w:r>
        <w:rPr>
          <w:lang w:val="en-US"/>
        </w:rPr>
        <w:t>Sculpher</w:t>
      </w:r>
      <w:proofErr w:type="spellEnd"/>
      <w:r>
        <w:rPr>
          <w:lang w:val="en-US"/>
        </w:rPr>
        <w:t xml:space="preserve">, George Torrance, Bernie O´Brian y Greg </w:t>
      </w:r>
      <w:proofErr w:type="spellStart"/>
      <w:r>
        <w:rPr>
          <w:lang w:val="en-US"/>
        </w:rPr>
        <w:t>Stoddart</w:t>
      </w:r>
      <w:proofErr w:type="spellEnd"/>
      <w:r>
        <w:rPr>
          <w:lang w:val="en-US"/>
        </w:rPr>
        <w:t xml:space="preserve"> (2005).</w:t>
      </w:r>
      <w:proofErr w:type="gramEnd"/>
      <w:r>
        <w:rPr>
          <w:lang w:val="en-US"/>
        </w:rPr>
        <w:t xml:space="preserve"> </w:t>
      </w:r>
      <w:proofErr w:type="gramStart"/>
      <w:r>
        <w:rPr>
          <w:lang w:val="en-US"/>
        </w:rPr>
        <w:t xml:space="preserve">Methods for the Economic Evaluation of Health Care </w:t>
      </w:r>
      <w:proofErr w:type="spellStart"/>
      <w:r>
        <w:rPr>
          <w:lang w:val="en-US"/>
        </w:rPr>
        <w:t>Programmes</w:t>
      </w:r>
      <w:proofErr w:type="spellEnd"/>
      <w:r>
        <w:rPr>
          <w:lang w:val="en-US"/>
        </w:rPr>
        <w:t>.</w:t>
      </w:r>
      <w:proofErr w:type="gramEnd"/>
      <w:r>
        <w:rPr>
          <w:lang w:val="en-US"/>
        </w:rPr>
        <w:t xml:space="preserve"> </w:t>
      </w:r>
      <w:proofErr w:type="gramStart"/>
      <w:r>
        <w:rPr>
          <w:lang w:val="en-US"/>
        </w:rPr>
        <w:t>Oxford University Press.</w:t>
      </w:r>
      <w:proofErr w:type="gramEnd"/>
      <w:r>
        <w:rPr>
          <w:lang w:val="en-US"/>
        </w:rPr>
        <w:t xml:space="preserve"> </w:t>
      </w:r>
    </w:p>
    <w:p w:rsidR="00843C83" w:rsidRPr="002B411D" w:rsidRDefault="00843C83" w:rsidP="00843C83">
      <w:pPr>
        <w:spacing w:before="120" w:after="120"/>
        <w:rPr>
          <w:lang w:val="en-US"/>
        </w:rPr>
      </w:pPr>
      <w:proofErr w:type="spellStart"/>
      <w:proofErr w:type="gramStart"/>
      <w:r w:rsidRPr="00D92BA7">
        <w:rPr>
          <w:lang w:val="en-US"/>
        </w:rPr>
        <w:t>Fuguitt</w:t>
      </w:r>
      <w:proofErr w:type="spellEnd"/>
      <w:r w:rsidRPr="00D92BA7">
        <w:rPr>
          <w:lang w:val="en-US"/>
        </w:rPr>
        <w:t xml:space="preserve"> D. y </w:t>
      </w:r>
      <w:proofErr w:type="spellStart"/>
      <w:r w:rsidRPr="00D92BA7">
        <w:rPr>
          <w:lang w:val="en-US"/>
        </w:rPr>
        <w:t>Shanton</w:t>
      </w:r>
      <w:proofErr w:type="spellEnd"/>
      <w:r w:rsidRPr="00D92BA7">
        <w:rPr>
          <w:lang w:val="en-US"/>
        </w:rPr>
        <w:t xml:space="preserve"> J. Wilcox (1999)</w:t>
      </w:r>
      <w:r>
        <w:rPr>
          <w:lang w:val="en-US"/>
        </w:rPr>
        <w:t>.</w:t>
      </w:r>
      <w:proofErr w:type="gramEnd"/>
      <w:r w:rsidRPr="00D92BA7">
        <w:rPr>
          <w:lang w:val="en-US"/>
        </w:rPr>
        <w:t xml:space="preserve"> </w:t>
      </w:r>
      <w:proofErr w:type="gramStart"/>
      <w:r w:rsidRPr="00D92BA7">
        <w:rPr>
          <w:lang w:val="en-US"/>
        </w:rPr>
        <w:t>Cost-Benefit Analysis for Public Sector Decision Makers.</w:t>
      </w:r>
      <w:proofErr w:type="gramEnd"/>
      <w:r w:rsidRPr="00D92BA7">
        <w:rPr>
          <w:lang w:val="en-US"/>
        </w:rPr>
        <w:t xml:space="preserve"> </w:t>
      </w:r>
      <w:proofErr w:type="gramStart"/>
      <w:r w:rsidRPr="002B411D">
        <w:rPr>
          <w:lang w:val="en-US"/>
        </w:rPr>
        <w:t>Quorum Books.</w:t>
      </w:r>
      <w:proofErr w:type="gramEnd"/>
      <w:r w:rsidRPr="002B411D">
        <w:rPr>
          <w:lang w:val="en-US"/>
        </w:rPr>
        <w:t xml:space="preserve"> </w:t>
      </w:r>
    </w:p>
    <w:p w:rsidR="00843C83" w:rsidRPr="002B411D" w:rsidRDefault="00843C83" w:rsidP="00843C83">
      <w:pPr>
        <w:spacing w:before="120" w:after="120"/>
        <w:rPr>
          <w:lang w:val="en-US"/>
        </w:rPr>
      </w:pPr>
      <w:r w:rsidRPr="002B411D">
        <w:rPr>
          <w:lang w:val="en-US"/>
        </w:rPr>
        <w:t xml:space="preserve">Graves, P. E. (2007). </w:t>
      </w:r>
      <w:proofErr w:type="gramStart"/>
      <w:r w:rsidRPr="00D92BA7">
        <w:rPr>
          <w:lang w:val="en-US"/>
        </w:rPr>
        <w:t>Environmental Economics.</w:t>
      </w:r>
      <w:proofErr w:type="gramEnd"/>
      <w:r w:rsidRPr="00D92BA7">
        <w:rPr>
          <w:lang w:val="en-US"/>
        </w:rPr>
        <w:t xml:space="preserve"> </w:t>
      </w:r>
      <w:proofErr w:type="gramStart"/>
      <w:r w:rsidRPr="00D92BA7">
        <w:rPr>
          <w:lang w:val="en-US"/>
        </w:rPr>
        <w:t xml:space="preserve">A Critique of Benefit-Cost </w:t>
      </w:r>
      <w:proofErr w:type="spellStart"/>
      <w:r w:rsidRPr="00D92BA7">
        <w:rPr>
          <w:lang w:val="en-US"/>
        </w:rPr>
        <w:t>Analyis</w:t>
      </w:r>
      <w:proofErr w:type="spellEnd"/>
      <w:r w:rsidRPr="00D92BA7">
        <w:rPr>
          <w:lang w:val="en-US"/>
        </w:rPr>
        <w:t>.</w:t>
      </w:r>
      <w:proofErr w:type="gramEnd"/>
      <w:r w:rsidRPr="00D92BA7">
        <w:rPr>
          <w:lang w:val="en-US"/>
        </w:rPr>
        <w:t xml:space="preserve"> </w:t>
      </w:r>
      <w:proofErr w:type="spellStart"/>
      <w:proofErr w:type="gramStart"/>
      <w:r w:rsidRPr="002B411D">
        <w:rPr>
          <w:lang w:val="en-US"/>
        </w:rPr>
        <w:t>Rowman</w:t>
      </w:r>
      <w:proofErr w:type="spellEnd"/>
      <w:r w:rsidRPr="002B411D">
        <w:rPr>
          <w:lang w:val="en-US"/>
        </w:rPr>
        <w:t xml:space="preserve"> &amp; Littlefield Publishers.</w:t>
      </w:r>
      <w:proofErr w:type="gramEnd"/>
    </w:p>
    <w:p w:rsidR="00843C83" w:rsidRPr="002B411D" w:rsidRDefault="00843C83" w:rsidP="00843C83">
      <w:pPr>
        <w:spacing w:before="120" w:after="120"/>
        <w:rPr>
          <w:lang w:val="es-ES_tradnl"/>
        </w:rPr>
      </w:pPr>
      <w:proofErr w:type="spellStart"/>
      <w:r w:rsidRPr="00D92BA7">
        <w:rPr>
          <w:lang w:val="en-GB"/>
        </w:rPr>
        <w:t>López</w:t>
      </w:r>
      <w:proofErr w:type="spellEnd"/>
      <w:r w:rsidRPr="00D92BA7">
        <w:rPr>
          <w:lang w:val="en-GB"/>
        </w:rPr>
        <w:t xml:space="preserve"> H. (2008)</w:t>
      </w:r>
      <w:r>
        <w:rPr>
          <w:lang w:val="en-GB"/>
        </w:rPr>
        <w:t>.</w:t>
      </w:r>
      <w:r w:rsidRPr="00D92BA7">
        <w:rPr>
          <w:lang w:val="en-GB"/>
        </w:rPr>
        <w:t xml:space="preserve"> </w:t>
      </w:r>
      <w:r w:rsidRPr="00D92BA7">
        <w:rPr>
          <w:lang w:val="en-US"/>
        </w:rPr>
        <w:t xml:space="preserve">The Social Discount Rate: Estimates for Nine Latin American Countries. </w:t>
      </w:r>
      <w:proofErr w:type="spellStart"/>
      <w:r w:rsidRPr="002B411D">
        <w:rPr>
          <w:lang w:val="es-ES_tradnl"/>
        </w:rPr>
        <w:t>Policy</w:t>
      </w:r>
      <w:proofErr w:type="spellEnd"/>
      <w:r w:rsidRPr="002B411D">
        <w:rPr>
          <w:lang w:val="es-ES_tradnl"/>
        </w:rPr>
        <w:t xml:space="preserve"> </w:t>
      </w:r>
      <w:proofErr w:type="spellStart"/>
      <w:r w:rsidRPr="002B411D">
        <w:rPr>
          <w:lang w:val="es-ES_tradnl"/>
        </w:rPr>
        <w:t>Research</w:t>
      </w:r>
      <w:proofErr w:type="spellEnd"/>
      <w:r w:rsidRPr="002B411D">
        <w:rPr>
          <w:lang w:val="es-ES_tradnl"/>
        </w:rPr>
        <w:t xml:space="preserve"> </w:t>
      </w:r>
      <w:proofErr w:type="spellStart"/>
      <w:r w:rsidRPr="002B411D">
        <w:rPr>
          <w:lang w:val="es-ES_tradnl"/>
        </w:rPr>
        <w:t>Working</w:t>
      </w:r>
      <w:proofErr w:type="spellEnd"/>
      <w:r w:rsidRPr="002B411D">
        <w:rPr>
          <w:lang w:val="es-ES_tradnl"/>
        </w:rPr>
        <w:t xml:space="preserve"> </w:t>
      </w:r>
      <w:proofErr w:type="spellStart"/>
      <w:r w:rsidRPr="002B411D">
        <w:rPr>
          <w:lang w:val="es-ES_tradnl"/>
        </w:rPr>
        <w:t>Paper</w:t>
      </w:r>
      <w:proofErr w:type="spellEnd"/>
      <w:r w:rsidRPr="002B411D">
        <w:rPr>
          <w:lang w:val="es-ES_tradnl"/>
        </w:rPr>
        <w:t xml:space="preserve"> 4639.</w:t>
      </w:r>
    </w:p>
    <w:p w:rsidR="00843C83" w:rsidRPr="00894F47" w:rsidRDefault="00843C83" w:rsidP="00843C83">
      <w:pPr>
        <w:spacing w:before="120" w:after="120"/>
        <w:rPr>
          <w:lang w:val="en-US"/>
        </w:rPr>
      </w:pPr>
      <w:proofErr w:type="spellStart"/>
      <w:r w:rsidRPr="00D92BA7">
        <w:t>Pasqual</w:t>
      </w:r>
      <w:proofErr w:type="spellEnd"/>
      <w:r w:rsidRPr="00D92BA7">
        <w:t xml:space="preserve"> J. (1999)</w:t>
      </w:r>
      <w:r>
        <w:t>.</w:t>
      </w:r>
      <w:r w:rsidRPr="00D92BA7">
        <w:t xml:space="preserve"> La evaluación de políticas y proyectos. </w:t>
      </w:r>
      <w:proofErr w:type="gramStart"/>
      <w:r w:rsidRPr="00894F47">
        <w:rPr>
          <w:lang w:val="en-US"/>
        </w:rPr>
        <w:t>Icaria.</w:t>
      </w:r>
      <w:proofErr w:type="gramEnd"/>
    </w:p>
    <w:p w:rsidR="00843C83" w:rsidRPr="004B2440" w:rsidRDefault="00843C83" w:rsidP="00843C83">
      <w:pPr>
        <w:spacing w:before="120" w:after="120"/>
        <w:rPr>
          <w:lang w:val="es-ES_tradnl"/>
        </w:rPr>
      </w:pPr>
      <w:proofErr w:type="spellStart"/>
      <w:proofErr w:type="gramStart"/>
      <w:r>
        <w:rPr>
          <w:lang w:val="en-US"/>
        </w:rPr>
        <w:t>P</w:t>
      </w:r>
      <w:r w:rsidRPr="00A01B1A">
        <w:rPr>
          <w:lang w:val="en-US"/>
        </w:rPr>
        <w:t>etitti</w:t>
      </w:r>
      <w:proofErr w:type="spellEnd"/>
      <w:r w:rsidRPr="00A01B1A">
        <w:rPr>
          <w:lang w:val="en-US"/>
        </w:rPr>
        <w:t xml:space="preserve"> D. (2000).</w:t>
      </w:r>
      <w:proofErr w:type="gramEnd"/>
      <w:r w:rsidRPr="00A01B1A">
        <w:rPr>
          <w:lang w:val="en-US"/>
        </w:rPr>
        <w:t xml:space="preserve"> </w:t>
      </w:r>
      <w:proofErr w:type="gramStart"/>
      <w:r w:rsidRPr="00A01B1A">
        <w:rPr>
          <w:lang w:val="en-US"/>
        </w:rPr>
        <w:t>Meta-Analysis, Decision Analysis, and Cost-</w:t>
      </w:r>
      <w:proofErr w:type="spellStart"/>
      <w:r w:rsidR="004222A8">
        <w:rPr>
          <w:lang w:val="en-US"/>
        </w:rPr>
        <w:t>Efe</w:t>
      </w:r>
      <w:r>
        <w:rPr>
          <w:lang w:val="en-US"/>
        </w:rPr>
        <w:t>ctiveness</w:t>
      </w:r>
      <w:proofErr w:type="spellEnd"/>
      <w:r>
        <w:rPr>
          <w:lang w:val="en-US"/>
        </w:rPr>
        <w:t xml:space="preserve"> Analysis.</w:t>
      </w:r>
      <w:proofErr w:type="gramEnd"/>
      <w:r>
        <w:rPr>
          <w:lang w:val="en-US"/>
        </w:rPr>
        <w:t xml:space="preserve"> </w:t>
      </w:r>
      <w:r w:rsidRPr="004B2440">
        <w:rPr>
          <w:lang w:val="es-ES_tradnl"/>
        </w:rPr>
        <w:t xml:space="preserve">Oxford </w:t>
      </w:r>
      <w:proofErr w:type="spellStart"/>
      <w:r w:rsidRPr="004B2440">
        <w:rPr>
          <w:lang w:val="es-ES_tradnl"/>
        </w:rPr>
        <w:t>University</w:t>
      </w:r>
      <w:proofErr w:type="spellEnd"/>
      <w:r w:rsidRPr="004B2440">
        <w:rPr>
          <w:lang w:val="es-ES_tradnl"/>
        </w:rPr>
        <w:t xml:space="preserve"> </w:t>
      </w:r>
      <w:proofErr w:type="spellStart"/>
      <w:r w:rsidRPr="004B2440">
        <w:rPr>
          <w:lang w:val="es-ES_tradnl"/>
        </w:rPr>
        <w:t>Press</w:t>
      </w:r>
      <w:proofErr w:type="spellEnd"/>
      <w:r w:rsidRPr="004B2440">
        <w:rPr>
          <w:lang w:val="es-ES_tradnl"/>
        </w:rPr>
        <w:t xml:space="preserve">. </w:t>
      </w:r>
    </w:p>
    <w:p w:rsidR="00843C83" w:rsidRPr="004B2440" w:rsidRDefault="00843C83" w:rsidP="00843C83">
      <w:pPr>
        <w:rPr>
          <w:lang w:val="es-ES_tradnl"/>
        </w:rPr>
      </w:pPr>
    </w:p>
    <w:p w:rsidR="00843C83" w:rsidRPr="004B2440" w:rsidRDefault="00843C83" w:rsidP="00843C83">
      <w:pPr>
        <w:rPr>
          <w:lang w:val="es-ES_tradnl"/>
        </w:rPr>
      </w:pPr>
    </w:p>
    <w:p w:rsidR="004222A8" w:rsidRPr="004B2440" w:rsidRDefault="004222A8" w:rsidP="00843C83">
      <w:pPr>
        <w:rPr>
          <w:lang w:val="es-ES_tradnl"/>
        </w:rPr>
        <w:sectPr w:rsidR="004222A8" w:rsidRPr="004B2440" w:rsidSect="00843C83">
          <w:type w:val="continuous"/>
          <w:pgSz w:w="12240" w:h="15840" w:code="1"/>
          <w:pgMar w:top="851" w:right="1418" w:bottom="851" w:left="1418" w:header="709" w:footer="856" w:gutter="0"/>
          <w:cols w:space="708"/>
          <w:docGrid w:linePitch="360"/>
        </w:sectPr>
      </w:pPr>
    </w:p>
    <w:p w:rsidR="00EC13FA" w:rsidRPr="00EC13FA" w:rsidRDefault="006D5597" w:rsidP="00EC13FA">
      <w:pPr>
        <w:pStyle w:val="Title"/>
        <w:tabs>
          <w:tab w:val="left" w:pos="1134"/>
        </w:tabs>
        <w:spacing w:after="120"/>
        <w:rPr>
          <w:rFonts w:ascii="Times New Roman" w:hAnsi="Times New Roman"/>
          <w:sz w:val="22"/>
          <w:lang w:val="es-ES_tradnl"/>
        </w:rPr>
      </w:pPr>
      <w:bookmarkStart w:id="61" w:name="_Toc303885527"/>
      <w:bookmarkStart w:id="62" w:name="_Toc298005502"/>
      <w:r w:rsidRPr="004B2440">
        <w:rPr>
          <w:rFonts w:ascii="Times New Roman" w:hAnsi="Times New Roman"/>
          <w:sz w:val="22"/>
          <w:lang w:val="es-ES_tradnl"/>
        </w:rPr>
        <w:lastRenderedPageBreak/>
        <w:t xml:space="preserve">Anexo B. </w:t>
      </w:r>
      <w:r w:rsidRPr="004B2440">
        <w:rPr>
          <w:rFonts w:ascii="Times New Roman" w:hAnsi="Times New Roman"/>
          <w:sz w:val="22"/>
          <w:lang w:val="es-ES_tradnl"/>
        </w:rPr>
        <w:tab/>
        <w:t>Matriz de resultados</w:t>
      </w:r>
      <w:bookmarkEnd w:id="61"/>
      <w:bookmarkEnd w:id="62"/>
      <w:r w:rsidRPr="004B2440">
        <w:rPr>
          <w:rFonts w:ascii="Times New Roman" w:hAnsi="Times New Roman"/>
          <w:sz w:val="22"/>
          <w:lang w:val="es-ES_tradnl"/>
        </w:rPr>
        <w:t xml:space="preserve"> </w:t>
      </w:r>
    </w:p>
    <w:p w:rsidR="00EC13FA" w:rsidRPr="00BD6AD3" w:rsidRDefault="00EC13FA" w:rsidP="00EC13FA">
      <w:pPr>
        <w:rPr>
          <w:bCs/>
          <w:sz w:val="20"/>
          <w:lang w:val="es-ES_tradnl"/>
        </w:rPr>
      </w:pPr>
      <w:r w:rsidRPr="00BD6AD3">
        <w:rPr>
          <w:b/>
          <w:sz w:val="20"/>
          <w:lang w:val="es-ES_tradnl"/>
        </w:rPr>
        <w:t>OBJETIVO DEL PROYECTO</w:t>
      </w:r>
      <w:r w:rsidRPr="00BD6AD3">
        <w:rPr>
          <w:sz w:val="20"/>
          <w:lang w:val="es-ES_tradnl"/>
        </w:rPr>
        <w:t xml:space="preserve">: El </w:t>
      </w:r>
      <w:r w:rsidRPr="00BD6AD3">
        <w:rPr>
          <w:sz w:val="20"/>
          <w:lang w:val="es-AR"/>
        </w:rPr>
        <w:t xml:space="preserve">objetivo general del </w:t>
      </w:r>
      <w:r>
        <w:rPr>
          <w:sz w:val="20"/>
          <w:lang w:val="es-AR"/>
        </w:rPr>
        <w:t>p</w:t>
      </w:r>
      <w:r w:rsidRPr="00BD6AD3">
        <w:rPr>
          <w:sz w:val="20"/>
          <w:lang w:val="es-AR"/>
        </w:rPr>
        <w:t xml:space="preserve">rograma es lograr una gestión de la defensa legal de los intereses de </w:t>
      </w:r>
      <w:r w:rsidRPr="00BD6AD3">
        <w:rPr>
          <w:sz w:val="20"/>
          <w:lang w:val="es-ES_tradnl"/>
        </w:rPr>
        <w:t>la Unión</w:t>
      </w:r>
      <w:r w:rsidRPr="00BD6AD3">
        <w:rPr>
          <w:sz w:val="20"/>
          <w:lang w:val="es-AR"/>
        </w:rPr>
        <w:t xml:space="preserve"> crecientemente efectiva. Los objetivos específicos son mejorar: (i) </w:t>
      </w:r>
      <w:r w:rsidRPr="00BD6AD3">
        <w:rPr>
          <w:sz w:val="20"/>
          <w:lang w:val="es-ES_tradnl"/>
        </w:rPr>
        <w:t>la gestión estratégica y del conocimiento</w:t>
      </w:r>
      <w:r w:rsidRPr="00BD6AD3">
        <w:rPr>
          <w:sz w:val="20"/>
          <w:lang w:val="es-AR"/>
        </w:rPr>
        <w:t xml:space="preserve">; (ii) la efectividad y la eficiencia en la gestión jurídica; y (iii) la gestión administrativa y gerencial. </w:t>
      </w:r>
      <w:r w:rsidRPr="00BD6AD3">
        <w:rPr>
          <w:sz w:val="20"/>
          <w:lang w:val="es-ES_tradnl"/>
        </w:rPr>
        <w:t>Para generar acciones y productos que respondan a estos objetivos, se propone estructurar el programa en tres componentes referidos a las líneas de acción propuestas para la intervención, así como a la mejor gestión de los recursos humanos y económico-financieros.</w:t>
      </w:r>
    </w:p>
    <w:p w:rsidR="00EC13FA" w:rsidRPr="000F2C4C" w:rsidRDefault="00EC13FA" w:rsidP="00EC13FA">
      <w:pPr>
        <w:rPr>
          <w:bCs/>
          <w:sz w:val="20"/>
          <w:szCs w:val="20"/>
          <w:lang w:val="es-ES_tradnl"/>
        </w:rPr>
      </w:pPr>
    </w:p>
    <w:p w:rsidR="00EC13FA" w:rsidRPr="00EC13FA" w:rsidRDefault="00EC13FA" w:rsidP="00EC13FA">
      <w:pPr>
        <w:jc w:val="center"/>
        <w:rPr>
          <w:b/>
          <w:smallCaps/>
          <w:lang w:val="es-ES_tradnl"/>
        </w:rPr>
      </w:pPr>
      <w:r w:rsidRPr="00BD6AD3">
        <w:rPr>
          <w:b/>
          <w:smallCaps/>
          <w:lang w:val="es-ES_tradnl"/>
        </w:rPr>
        <w:t>Impacto Esperado</w:t>
      </w:r>
    </w:p>
    <w:tbl>
      <w:tblPr>
        <w:tblW w:w="130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0"/>
        <w:gridCol w:w="1080"/>
        <w:gridCol w:w="720"/>
        <w:gridCol w:w="810"/>
        <w:gridCol w:w="720"/>
        <w:gridCol w:w="720"/>
        <w:gridCol w:w="720"/>
        <w:gridCol w:w="630"/>
        <w:gridCol w:w="720"/>
        <w:gridCol w:w="630"/>
        <w:gridCol w:w="900"/>
        <w:gridCol w:w="630"/>
        <w:gridCol w:w="1800"/>
        <w:gridCol w:w="1440"/>
      </w:tblGrid>
      <w:tr w:rsidR="00EC13FA" w:rsidRPr="000F2C4C" w:rsidTr="004D2B1F">
        <w:tc>
          <w:tcPr>
            <w:tcW w:w="153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Indicadores</w:t>
            </w:r>
          </w:p>
        </w:tc>
        <w:tc>
          <w:tcPr>
            <w:tcW w:w="108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Unidad de medida</w:t>
            </w:r>
          </w:p>
        </w:tc>
        <w:tc>
          <w:tcPr>
            <w:tcW w:w="1530" w:type="dxa"/>
            <w:gridSpan w:val="2"/>
            <w:shd w:val="clear" w:color="auto" w:fill="C2D69B"/>
          </w:tcPr>
          <w:p w:rsidR="00EC13FA" w:rsidRPr="000F2C4C" w:rsidRDefault="00EC13FA" w:rsidP="004D2B1F">
            <w:pPr>
              <w:jc w:val="center"/>
              <w:rPr>
                <w:sz w:val="20"/>
                <w:szCs w:val="20"/>
                <w:lang w:val="es-ES_tradnl"/>
              </w:rPr>
            </w:pPr>
            <w:r w:rsidRPr="000F2C4C">
              <w:rPr>
                <w:sz w:val="20"/>
                <w:szCs w:val="20"/>
                <w:lang w:val="es-ES_tradnl"/>
              </w:rPr>
              <w:t>Línea de base</w:t>
            </w:r>
          </w:p>
        </w:tc>
        <w:tc>
          <w:tcPr>
            <w:tcW w:w="4140" w:type="dxa"/>
            <w:gridSpan w:val="6"/>
            <w:shd w:val="clear" w:color="auto" w:fill="C2D69B"/>
          </w:tcPr>
          <w:p w:rsidR="00EC13FA" w:rsidRPr="000F2C4C" w:rsidRDefault="00EC13FA" w:rsidP="004D2B1F">
            <w:pPr>
              <w:jc w:val="center"/>
              <w:rPr>
                <w:sz w:val="20"/>
                <w:szCs w:val="20"/>
                <w:lang w:val="es-ES_tradnl"/>
              </w:rPr>
            </w:pPr>
            <w:r w:rsidRPr="000F2C4C">
              <w:rPr>
                <w:sz w:val="20"/>
                <w:szCs w:val="20"/>
                <w:lang w:val="es-ES_tradnl"/>
              </w:rPr>
              <w:t>Mediciones intermedias</w:t>
            </w:r>
          </w:p>
        </w:tc>
        <w:tc>
          <w:tcPr>
            <w:tcW w:w="1530" w:type="dxa"/>
            <w:gridSpan w:val="2"/>
            <w:shd w:val="clear" w:color="auto" w:fill="C2D69B"/>
          </w:tcPr>
          <w:p w:rsidR="00EC13FA" w:rsidRPr="000F2C4C" w:rsidRDefault="00EC13FA" w:rsidP="004D2B1F">
            <w:pPr>
              <w:jc w:val="center"/>
              <w:rPr>
                <w:sz w:val="20"/>
                <w:szCs w:val="20"/>
                <w:lang w:val="es-ES_tradnl"/>
              </w:rPr>
            </w:pPr>
            <w:r w:rsidRPr="000F2C4C">
              <w:rPr>
                <w:sz w:val="20"/>
                <w:szCs w:val="20"/>
                <w:lang w:val="es-ES_tradnl"/>
              </w:rPr>
              <w:t>Metas</w:t>
            </w:r>
          </w:p>
        </w:tc>
        <w:tc>
          <w:tcPr>
            <w:tcW w:w="180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Fuente/ Medio de verificación</w:t>
            </w:r>
            <w:r>
              <w:rPr>
                <w:rStyle w:val="FootnoteReference"/>
                <w:szCs w:val="20"/>
                <w:lang w:val="es-ES_tradnl"/>
              </w:rPr>
              <w:footnoteReference w:id="20"/>
            </w:r>
          </w:p>
        </w:tc>
        <w:tc>
          <w:tcPr>
            <w:tcW w:w="144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Observaciones</w:t>
            </w:r>
          </w:p>
        </w:tc>
      </w:tr>
      <w:tr w:rsidR="00EC13FA" w:rsidRPr="000F2C4C" w:rsidTr="004D2B1F">
        <w:tc>
          <w:tcPr>
            <w:tcW w:w="1530" w:type="dxa"/>
            <w:vMerge/>
          </w:tcPr>
          <w:p w:rsidR="00EC13FA" w:rsidRPr="000F2C4C" w:rsidRDefault="00EC13FA" w:rsidP="004D2B1F">
            <w:pPr>
              <w:jc w:val="center"/>
              <w:rPr>
                <w:sz w:val="20"/>
                <w:szCs w:val="20"/>
                <w:lang w:val="es-ES_tradnl"/>
              </w:rPr>
            </w:pPr>
          </w:p>
        </w:tc>
        <w:tc>
          <w:tcPr>
            <w:tcW w:w="1080" w:type="dxa"/>
            <w:vMerge/>
          </w:tcPr>
          <w:p w:rsidR="00EC13FA" w:rsidRPr="000F2C4C" w:rsidRDefault="00EC13FA" w:rsidP="004D2B1F">
            <w:pPr>
              <w:jc w:val="center"/>
              <w:rPr>
                <w:sz w:val="20"/>
                <w:szCs w:val="20"/>
                <w:lang w:val="es-ES_tradnl"/>
              </w:rPr>
            </w:pP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81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90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1800" w:type="dxa"/>
            <w:vMerge/>
          </w:tcPr>
          <w:p w:rsidR="00EC13FA" w:rsidRPr="000F2C4C" w:rsidRDefault="00EC13FA" w:rsidP="004D2B1F">
            <w:pPr>
              <w:jc w:val="center"/>
              <w:rPr>
                <w:sz w:val="20"/>
                <w:szCs w:val="20"/>
                <w:lang w:val="es-ES_tradnl"/>
              </w:rPr>
            </w:pPr>
          </w:p>
        </w:tc>
        <w:tc>
          <w:tcPr>
            <w:tcW w:w="1440" w:type="dxa"/>
            <w:vMerge/>
          </w:tcPr>
          <w:p w:rsidR="00EC13FA" w:rsidRPr="000F2C4C" w:rsidRDefault="00EC13FA" w:rsidP="004D2B1F">
            <w:pPr>
              <w:jc w:val="center"/>
              <w:rPr>
                <w:sz w:val="20"/>
                <w:szCs w:val="20"/>
                <w:lang w:val="es-ES_tradnl"/>
              </w:rPr>
            </w:pPr>
          </w:p>
        </w:tc>
      </w:tr>
      <w:tr w:rsidR="00EC13FA" w:rsidRPr="0007517E" w:rsidTr="004D2B1F">
        <w:tc>
          <w:tcPr>
            <w:tcW w:w="13050" w:type="dxa"/>
            <w:gridSpan w:val="14"/>
          </w:tcPr>
          <w:p w:rsidR="00EC13FA" w:rsidRPr="000F2C4C" w:rsidRDefault="00EC13FA" w:rsidP="004D2B1F">
            <w:pPr>
              <w:rPr>
                <w:sz w:val="20"/>
                <w:szCs w:val="20"/>
                <w:lang w:val="es-ES_tradnl"/>
              </w:rPr>
            </w:pPr>
            <w:r w:rsidRPr="000F2C4C">
              <w:rPr>
                <w:b/>
                <w:sz w:val="20"/>
                <w:szCs w:val="20"/>
                <w:u w:val="single"/>
                <w:lang w:val="es-ES_tradnl"/>
              </w:rPr>
              <w:t>IMPACTO ESPERADO</w:t>
            </w:r>
            <w:r w:rsidRPr="000F2C4C">
              <w:rPr>
                <w:sz w:val="20"/>
                <w:szCs w:val="20"/>
                <w:lang w:val="es-ES_tradnl"/>
              </w:rPr>
              <w:t>: Mejora del impacto fiscal de las acciones de defensa legal del Estado en Brasil</w:t>
            </w:r>
          </w:p>
        </w:tc>
      </w:tr>
      <w:tr w:rsidR="00EC13FA" w:rsidRPr="00F44AFE" w:rsidTr="004D2B1F">
        <w:tc>
          <w:tcPr>
            <w:tcW w:w="1530" w:type="dxa"/>
          </w:tcPr>
          <w:p w:rsidR="00EC13FA" w:rsidRDefault="00EC13FA" w:rsidP="004D2B1F">
            <w:pPr>
              <w:tabs>
                <w:tab w:val="left" w:pos="432"/>
              </w:tabs>
              <w:ind w:left="252" w:hanging="252"/>
              <w:rPr>
                <w:sz w:val="20"/>
                <w:szCs w:val="20"/>
                <w:lang w:val="es-ES_tradnl"/>
              </w:rPr>
            </w:pPr>
            <w:r w:rsidRPr="000F2C4C">
              <w:rPr>
                <w:sz w:val="20"/>
                <w:szCs w:val="20"/>
                <w:lang w:val="es-ES_tradnl"/>
              </w:rPr>
              <w:t xml:space="preserve">1. </w:t>
            </w:r>
            <w:r>
              <w:rPr>
                <w:sz w:val="20"/>
                <w:szCs w:val="20"/>
                <w:lang w:val="es-ES_tradnl"/>
              </w:rPr>
              <w:t>Tasa porcentual de los m</w:t>
            </w:r>
            <w:r w:rsidRPr="000F2C4C">
              <w:rPr>
                <w:sz w:val="20"/>
                <w:szCs w:val="20"/>
                <w:lang w:val="es-ES_tradnl"/>
              </w:rPr>
              <w:t>ontos pagados sobre el total de montos pretendidos en causas Estado demandado</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54,0</w:t>
            </w:r>
          </w:p>
        </w:tc>
        <w:tc>
          <w:tcPr>
            <w:tcW w:w="81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52,0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2014</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900" w:type="dxa"/>
          </w:tcPr>
          <w:p w:rsidR="00EC13FA" w:rsidRPr="000F2C4C" w:rsidRDefault="00EC13FA" w:rsidP="004D2B1F">
            <w:pPr>
              <w:jc w:val="center"/>
              <w:rPr>
                <w:sz w:val="20"/>
                <w:szCs w:val="20"/>
                <w:lang w:val="es-ES_tradnl"/>
              </w:rPr>
            </w:pPr>
            <w:r w:rsidRPr="000F2C4C">
              <w:rPr>
                <w:sz w:val="20"/>
                <w:szCs w:val="20"/>
                <w:lang w:val="es-ES_tradnl"/>
              </w:rPr>
              <w:t>50,0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1800" w:type="dxa"/>
          </w:tcPr>
          <w:p w:rsidR="00EC13FA" w:rsidRPr="000F2C4C" w:rsidRDefault="00EC13FA" w:rsidP="004D2B1F">
            <w:pPr>
              <w:rPr>
                <w:sz w:val="20"/>
                <w:szCs w:val="20"/>
                <w:lang w:val="es-ES_tradnl"/>
              </w:rPr>
            </w:pPr>
            <w:r w:rsidRPr="000F2C4C">
              <w:rPr>
                <w:sz w:val="20"/>
                <w:szCs w:val="20"/>
                <w:lang w:val="es-ES_tradnl"/>
              </w:rPr>
              <w:t>Muestra PGU/DCP</w:t>
            </w:r>
            <w:r>
              <w:rPr>
                <w:sz w:val="20"/>
                <w:szCs w:val="20"/>
                <w:lang w:val="es-ES_tradnl"/>
              </w:rPr>
              <w:t xml:space="preserve"> para el año 2010. Al final del programa, los datos los suministrará el nuevo Sistema Integrado de Gestión Jurídica de la AGU</w:t>
            </w:r>
          </w:p>
        </w:tc>
        <w:tc>
          <w:tcPr>
            <w:tcW w:w="1440" w:type="dxa"/>
          </w:tcPr>
          <w:p w:rsidR="00EC13FA" w:rsidRPr="000F2C4C" w:rsidRDefault="00EC13FA" w:rsidP="004D2B1F">
            <w:pPr>
              <w:rPr>
                <w:sz w:val="20"/>
                <w:szCs w:val="20"/>
                <w:lang w:val="es-ES_tradnl"/>
              </w:rPr>
            </w:pPr>
            <w:r w:rsidRPr="000F2C4C">
              <w:rPr>
                <w:sz w:val="20"/>
                <w:szCs w:val="20"/>
                <w:lang w:val="es-ES_tradnl"/>
              </w:rPr>
              <w:t>Montos pagados (precautorios)</w:t>
            </w:r>
          </w:p>
        </w:tc>
      </w:tr>
      <w:tr w:rsidR="00EC13FA" w:rsidRPr="0007517E" w:rsidTr="004D2B1F">
        <w:tc>
          <w:tcPr>
            <w:tcW w:w="1530" w:type="dxa"/>
          </w:tcPr>
          <w:p w:rsidR="00EC13FA" w:rsidRPr="000F2C4C" w:rsidRDefault="00EC13FA" w:rsidP="004D2B1F">
            <w:pPr>
              <w:ind w:left="252" w:hanging="270"/>
              <w:rPr>
                <w:sz w:val="20"/>
                <w:szCs w:val="20"/>
                <w:lang w:val="es-ES_tradnl"/>
              </w:rPr>
            </w:pPr>
            <w:r w:rsidRPr="000F2C4C">
              <w:rPr>
                <w:sz w:val="20"/>
                <w:szCs w:val="20"/>
                <w:lang w:val="es-ES_tradnl"/>
              </w:rPr>
              <w:t>2.</w:t>
            </w:r>
            <w:r w:rsidRPr="000F2C4C">
              <w:rPr>
                <w:sz w:val="20"/>
                <w:szCs w:val="20"/>
                <w:lang w:val="es-ES_tradnl"/>
              </w:rPr>
              <w:tab/>
            </w:r>
            <w:r>
              <w:rPr>
                <w:sz w:val="20"/>
                <w:szCs w:val="20"/>
                <w:lang w:val="es-ES_tradnl"/>
              </w:rPr>
              <w:t>Tasa porcentual de los m</w:t>
            </w:r>
            <w:r w:rsidRPr="000F2C4C">
              <w:rPr>
                <w:sz w:val="20"/>
                <w:szCs w:val="20"/>
                <w:lang w:val="es-ES_tradnl"/>
              </w:rPr>
              <w:t>ontos ingresados en el Tesoro sobre el total de montos involucrados en todas las acciones Estado demandante</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4,8</w:t>
            </w:r>
          </w:p>
        </w:tc>
        <w:tc>
          <w:tcPr>
            <w:tcW w:w="81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9,0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2014</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900" w:type="dxa"/>
          </w:tcPr>
          <w:p w:rsidR="00EC13FA" w:rsidRPr="000F2C4C" w:rsidRDefault="00EC13FA" w:rsidP="004D2B1F">
            <w:pPr>
              <w:jc w:val="center"/>
              <w:rPr>
                <w:sz w:val="20"/>
                <w:szCs w:val="20"/>
                <w:lang w:val="es-ES_tradnl"/>
              </w:rPr>
            </w:pPr>
            <w:r w:rsidRPr="000F2C4C">
              <w:rPr>
                <w:sz w:val="20"/>
                <w:szCs w:val="20"/>
                <w:lang w:val="es-ES_tradnl"/>
              </w:rPr>
              <w:t>13,5</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1800" w:type="dxa"/>
          </w:tcPr>
          <w:p w:rsidR="00EC13FA" w:rsidRPr="000F2C4C" w:rsidRDefault="00EC13FA" w:rsidP="004D2B1F">
            <w:pPr>
              <w:rPr>
                <w:sz w:val="20"/>
                <w:szCs w:val="20"/>
                <w:lang w:val="es-ES_tradnl"/>
              </w:rPr>
            </w:pPr>
            <w:r w:rsidRPr="000F2C4C">
              <w:rPr>
                <w:sz w:val="20"/>
                <w:szCs w:val="20"/>
                <w:lang w:val="es-ES_tradnl"/>
              </w:rPr>
              <w:t>PGF (datos de cobranza) y PGU/DPP (datos de patrimonio recuperado)</w:t>
            </w:r>
          </w:p>
        </w:tc>
        <w:tc>
          <w:tcPr>
            <w:tcW w:w="1440" w:type="dxa"/>
          </w:tcPr>
          <w:p w:rsidR="00EC13FA" w:rsidRPr="000F2C4C" w:rsidRDefault="00EC13FA" w:rsidP="004D2B1F">
            <w:pPr>
              <w:rPr>
                <w:sz w:val="20"/>
                <w:szCs w:val="20"/>
                <w:lang w:val="es-ES_tradnl"/>
              </w:rPr>
            </w:pPr>
            <w:r w:rsidRPr="000F2C4C">
              <w:rPr>
                <w:sz w:val="20"/>
                <w:szCs w:val="20"/>
                <w:lang w:val="es-ES_tradnl"/>
              </w:rPr>
              <w:t>Datos PGF</w:t>
            </w:r>
            <w:r>
              <w:rPr>
                <w:sz w:val="20"/>
                <w:szCs w:val="20"/>
                <w:lang w:val="es-ES_tradnl"/>
              </w:rPr>
              <w:t xml:space="preserve"> año 2010</w:t>
            </w:r>
            <w:r w:rsidRPr="000F2C4C">
              <w:rPr>
                <w:sz w:val="20"/>
                <w:szCs w:val="20"/>
                <w:lang w:val="es-ES_tradnl"/>
              </w:rPr>
              <w:t>: 19 agencias y fundaciones.</w:t>
            </w:r>
          </w:p>
          <w:p w:rsidR="00EC13FA" w:rsidRPr="000F2C4C" w:rsidRDefault="00EC13FA" w:rsidP="004D2B1F">
            <w:pPr>
              <w:rPr>
                <w:sz w:val="20"/>
                <w:szCs w:val="20"/>
                <w:lang w:val="es-ES_tradnl"/>
              </w:rPr>
            </w:pPr>
            <w:r w:rsidRPr="000F2C4C">
              <w:rPr>
                <w:sz w:val="20"/>
                <w:szCs w:val="20"/>
                <w:lang w:val="es-ES_tradnl"/>
              </w:rPr>
              <w:t>El total de montos involucrados incluye cobranzas judiciales y recuperación patrimonial</w:t>
            </w:r>
          </w:p>
        </w:tc>
      </w:tr>
    </w:tbl>
    <w:p w:rsidR="00EC13FA" w:rsidRPr="000F2C4C" w:rsidRDefault="00EC13FA" w:rsidP="00EC13FA">
      <w:pPr>
        <w:spacing w:after="120"/>
        <w:jc w:val="center"/>
        <w:rPr>
          <w:b/>
          <w:bCs/>
          <w:smallCaps/>
          <w:spacing w:val="5"/>
          <w:sz w:val="24"/>
          <w:szCs w:val="24"/>
          <w:lang w:val="es-ES_tradnl"/>
        </w:rPr>
      </w:pPr>
      <w:r w:rsidRPr="000F2C4C">
        <w:rPr>
          <w:rStyle w:val="BookTitle"/>
          <w:bCs/>
          <w:sz w:val="24"/>
          <w:szCs w:val="24"/>
          <w:lang w:val="es-ES_tradnl"/>
        </w:rPr>
        <w:lastRenderedPageBreak/>
        <w:t>RESULTADOS ESPERADOS</w:t>
      </w:r>
    </w:p>
    <w:tbl>
      <w:tblPr>
        <w:tblW w:w="130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0"/>
        <w:gridCol w:w="990"/>
        <w:gridCol w:w="90"/>
        <w:gridCol w:w="720"/>
        <w:gridCol w:w="630"/>
        <w:gridCol w:w="720"/>
        <w:gridCol w:w="630"/>
        <w:gridCol w:w="720"/>
        <w:gridCol w:w="630"/>
        <w:gridCol w:w="720"/>
        <w:gridCol w:w="630"/>
        <w:gridCol w:w="720"/>
        <w:gridCol w:w="630"/>
        <w:gridCol w:w="1710"/>
        <w:gridCol w:w="1440"/>
      </w:tblGrid>
      <w:tr w:rsidR="00EC13FA" w:rsidRPr="000F2C4C" w:rsidTr="004D2B1F">
        <w:tc>
          <w:tcPr>
            <w:tcW w:w="207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Indicadores</w:t>
            </w:r>
          </w:p>
        </w:tc>
        <w:tc>
          <w:tcPr>
            <w:tcW w:w="1080" w:type="dxa"/>
            <w:gridSpan w:val="2"/>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Unidad de medida</w:t>
            </w:r>
          </w:p>
        </w:tc>
        <w:tc>
          <w:tcPr>
            <w:tcW w:w="1350" w:type="dxa"/>
            <w:gridSpan w:val="2"/>
            <w:shd w:val="clear" w:color="auto" w:fill="C2D69B"/>
          </w:tcPr>
          <w:p w:rsidR="00EC13FA" w:rsidRPr="000F2C4C" w:rsidRDefault="00EC13FA" w:rsidP="004D2B1F">
            <w:pPr>
              <w:jc w:val="center"/>
              <w:rPr>
                <w:sz w:val="20"/>
                <w:szCs w:val="20"/>
                <w:lang w:val="es-ES_tradnl"/>
              </w:rPr>
            </w:pPr>
            <w:r w:rsidRPr="000F2C4C">
              <w:rPr>
                <w:sz w:val="20"/>
                <w:szCs w:val="20"/>
                <w:lang w:val="es-ES_tradnl"/>
              </w:rPr>
              <w:t>Línea de base</w:t>
            </w:r>
          </w:p>
        </w:tc>
        <w:tc>
          <w:tcPr>
            <w:tcW w:w="4050" w:type="dxa"/>
            <w:gridSpan w:val="6"/>
            <w:shd w:val="clear" w:color="auto" w:fill="C2D69B"/>
          </w:tcPr>
          <w:p w:rsidR="00EC13FA" w:rsidRPr="000F2C4C" w:rsidRDefault="00EC13FA" w:rsidP="004D2B1F">
            <w:pPr>
              <w:jc w:val="center"/>
              <w:rPr>
                <w:sz w:val="20"/>
                <w:szCs w:val="20"/>
                <w:lang w:val="es-ES_tradnl"/>
              </w:rPr>
            </w:pPr>
            <w:r w:rsidRPr="000F2C4C">
              <w:rPr>
                <w:sz w:val="20"/>
                <w:szCs w:val="20"/>
                <w:lang w:val="es-ES_tradnl"/>
              </w:rPr>
              <w:t>Mediciones intermedias</w:t>
            </w:r>
          </w:p>
        </w:tc>
        <w:tc>
          <w:tcPr>
            <w:tcW w:w="1350" w:type="dxa"/>
            <w:gridSpan w:val="2"/>
            <w:shd w:val="clear" w:color="auto" w:fill="C2D69B"/>
          </w:tcPr>
          <w:p w:rsidR="00EC13FA" w:rsidRPr="000F2C4C" w:rsidRDefault="00EC13FA" w:rsidP="004D2B1F">
            <w:pPr>
              <w:jc w:val="center"/>
              <w:rPr>
                <w:sz w:val="20"/>
                <w:szCs w:val="20"/>
                <w:lang w:val="es-ES_tradnl"/>
              </w:rPr>
            </w:pPr>
            <w:r w:rsidRPr="000F2C4C">
              <w:rPr>
                <w:sz w:val="20"/>
                <w:szCs w:val="20"/>
                <w:lang w:val="es-ES_tradnl"/>
              </w:rPr>
              <w:t>Metas</w:t>
            </w:r>
          </w:p>
        </w:tc>
        <w:tc>
          <w:tcPr>
            <w:tcW w:w="171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Fuente/ Medio de verificación</w:t>
            </w:r>
          </w:p>
        </w:tc>
        <w:tc>
          <w:tcPr>
            <w:tcW w:w="144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Observaciones</w:t>
            </w:r>
          </w:p>
        </w:tc>
      </w:tr>
      <w:tr w:rsidR="00EC13FA" w:rsidRPr="000F2C4C" w:rsidTr="004D2B1F">
        <w:tc>
          <w:tcPr>
            <w:tcW w:w="2070" w:type="dxa"/>
            <w:vMerge/>
          </w:tcPr>
          <w:p w:rsidR="00EC13FA" w:rsidRPr="000F2C4C" w:rsidRDefault="00EC13FA" w:rsidP="004D2B1F">
            <w:pPr>
              <w:jc w:val="center"/>
              <w:rPr>
                <w:sz w:val="20"/>
                <w:szCs w:val="20"/>
                <w:lang w:val="es-ES_tradnl"/>
              </w:rPr>
            </w:pPr>
          </w:p>
        </w:tc>
        <w:tc>
          <w:tcPr>
            <w:tcW w:w="1080" w:type="dxa"/>
            <w:gridSpan w:val="2"/>
            <w:vMerge/>
          </w:tcPr>
          <w:p w:rsidR="00EC13FA" w:rsidRPr="000F2C4C" w:rsidRDefault="00EC13FA" w:rsidP="004D2B1F">
            <w:pPr>
              <w:jc w:val="center"/>
              <w:rPr>
                <w:sz w:val="20"/>
                <w:szCs w:val="20"/>
                <w:lang w:val="es-ES_tradnl"/>
              </w:rPr>
            </w:pP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1710" w:type="dxa"/>
            <w:vMerge/>
          </w:tcPr>
          <w:p w:rsidR="00EC13FA" w:rsidRPr="000F2C4C" w:rsidRDefault="00EC13FA" w:rsidP="004D2B1F">
            <w:pPr>
              <w:jc w:val="center"/>
              <w:rPr>
                <w:sz w:val="20"/>
                <w:szCs w:val="20"/>
                <w:lang w:val="es-ES_tradnl"/>
              </w:rPr>
            </w:pPr>
          </w:p>
        </w:tc>
        <w:tc>
          <w:tcPr>
            <w:tcW w:w="1440" w:type="dxa"/>
            <w:vMerge/>
          </w:tcPr>
          <w:p w:rsidR="00EC13FA" w:rsidRPr="000F2C4C" w:rsidRDefault="00EC13FA" w:rsidP="004D2B1F">
            <w:pPr>
              <w:jc w:val="center"/>
              <w:rPr>
                <w:sz w:val="20"/>
                <w:szCs w:val="20"/>
                <w:lang w:val="es-ES_tradnl"/>
              </w:rPr>
            </w:pPr>
          </w:p>
        </w:tc>
      </w:tr>
      <w:tr w:rsidR="00EC13FA" w:rsidRPr="0007517E" w:rsidTr="004D2B1F">
        <w:tc>
          <w:tcPr>
            <w:tcW w:w="13050" w:type="dxa"/>
            <w:gridSpan w:val="15"/>
          </w:tcPr>
          <w:p w:rsidR="00EC13FA" w:rsidRPr="000F2C4C" w:rsidRDefault="00EC13FA" w:rsidP="004D2B1F">
            <w:pPr>
              <w:rPr>
                <w:sz w:val="20"/>
                <w:szCs w:val="20"/>
                <w:lang w:val="es-ES_tradnl"/>
              </w:rPr>
            </w:pPr>
            <w:r w:rsidRPr="000F2C4C">
              <w:rPr>
                <w:b/>
                <w:sz w:val="20"/>
                <w:szCs w:val="20"/>
                <w:u w:val="single"/>
                <w:lang w:val="es-ES_tradnl"/>
              </w:rPr>
              <w:t>RESULTADO ESPERADO 1</w:t>
            </w:r>
            <w:r w:rsidRPr="000F2C4C">
              <w:rPr>
                <w:sz w:val="20"/>
                <w:szCs w:val="20"/>
                <w:lang w:val="es-ES_tradnl"/>
              </w:rPr>
              <w:t xml:space="preserve">: Mejora de la </w:t>
            </w:r>
            <w:r w:rsidRPr="00385D92">
              <w:rPr>
                <w:sz w:val="20"/>
                <w:szCs w:val="20"/>
                <w:lang w:val="es-ES_tradnl"/>
              </w:rPr>
              <w:t>efectividad</w:t>
            </w:r>
            <w:r w:rsidRPr="000F2C4C">
              <w:rPr>
                <w:sz w:val="20"/>
                <w:szCs w:val="20"/>
                <w:lang w:val="es-ES_tradnl"/>
              </w:rPr>
              <w:t xml:space="preserve"> de la gestión jurídica en los procesos judiciales en los que el Estado es demandado o demandante</w:t>
            </w:r>
          </w:p>
        </w:tc>
      </w:tr>
      <w:tr w:rsidR="00EC13FA" w:rsidRPr="00BD6AD3" w:rsidTr="004D2B1F">
        <w:tc>
          <w:tcPr>
            <w:tcW w:w="2070" w:type="dxa"/>
          </w:tcPr>
          <w:p w:rsidR="00EC13FA" w:rsidRPr="000F2C4C" w:rsidRDefault="00EC13FA" w:rsidP="004D2B1F">
            <w:pPr>
              <w:tabs>
                <w:tab w:val="left" w:pos="252"/>
              </w:tabs>
              <w:ind w:left="252" w:hanging="360"/>
              <w:rPr>
                <w:sz w:val="20"/>
                <w:szCs w:val="20"/>
                <w:lang w:val="es-ES_tradnl"/>
              </w:rPr>
            </w:pPr>
            <w:r w:rsidRPr="000F2C4C">
              <w:rPr>
                <w:sz w:val="20"/>
                <w:szCs w:val="20"/>
                <w:lang w:val="es-ES_tradnl"/>
              </w:rPr>
              <w:t>R.1.</w:t>
            </w:r>
            <w:r>
              <w:rPr>
                <w:sz w:val="20"/>
                <w:szCs w:val="20"/>
                <w:lang w:val="es-ES_tradnl"/>
              </w:rPr>
              <w:t>Tasa porcentual de s</w:t>
            </w:r>
            <w:r w:rsidRPr="000F2C4C">
              <w:rPr>
                <w:sz w:val="20"/>
                <w:szCs w:val="20"/>
                <w:lang w:val="es-ES_tradnl"/>
              </w:rPr>
              <w:t>entencias desfavorables sobre total de sentencias</w:t>
            </w:r>
          </w:p>
        </w:tc>
        <w:tc>
          <w:tcPr>
            <w:tcW w:w="99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810" w:type="dxa"/>
            <w:gridSpan w:val="2"/>
          </w:tcPr>
          <w:p w:rsidR="00EC13FA" w:rsidRPr="000F2C4C" w:rsidRDefault="00EC13FA" w:rsidP="004D2B1F">
            <w:pPr>
              <w:jc w:val="center"/>
              <w:rPr>
                <w:sz w:val="20"/>
                <w:szCs w:val="20"/>
                <w:lang w:val="es-ES_tradnl"/>
              </w:rPr>
            </w:pPr>
            <w:r w:rsidRPr="000F2C4C">
              <w:rPr>
                <w:sz w:val="20"/>
                <w:szCs w:val="20"/>
                <w:lang w:val="es-ES_tradnl"/>
              </w:rPr>
              <w:t>58,9</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30,0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1710" w:type="dxa"/>
          </w:tcPr>
          <w:p w:rsidR="00EC13FA" w:rsidRPr="000F2C4C" w:rsidRDefault="00EC13FA" w:rsidP="004D2B1F">
            <w:pPr>
              <w:rPr>
                <w:sz w:val="20"/>
                <w:szCs w:val="20"/>
                <w:lang w:val="es-ES_tradnl"/>
              </w:rPr>
            </w:pPr>
            <w:r w:rsidRPr="000F2C4C">
              <w:rPr>
                <w:sz w:val="20"/>
                <w:szCs w:val="20"/>
                <w:lang w:val="es-ES_tradnl"/>
              </w:rPr>
              <w:t>SICAU</w:t>
            </w:r>
            <w:r>
              <w:rPr>
                <w:sz w:val="20"/>
                <w:szCs w:val="20"/>
                <w:lang w:val="es-ES_tradnl"/>
              </w:rPr>
              <w:t>/</w:t>
            </w:r>
            <w:r w:rsidRPr="000F2C4C">
              <w:rPr>
                <w:sz w:val="20"/>
                <w:szCs w:val="20"/>
                <w:lang w:val="es-ES_tradnl"/>
              </w:rPr>
              <w:t xml:space="preserve"> En el año 201</w:t>
            </w:r>
            <w:r>
              <w:rPr>
                <w:sz w:val="20"/>
                <w:szCs w:val="20"/>
                <w:lang w:val="es-ES_tradnl"/>
              </w:rPr>
              <w:t>6</w:t>
            </w:r>
            <w:r w:rsidRPr="000F2C4C">
              <w:rPr>
                <w:sz w:val="20"/>
                <w:szCs w:val="20"/>
                <w:lang w:val="es-ES_tradnl"/>
              </w:rPr>
              <w:t>: Sistema Integrado de Gestión Jurídica</w:t>
            </w:r>
          </w:p>
        </w:tc>
        <w:tc>
          <w:tcPr>
            <w:tcW w:w="1440" w:type="dxa"/>
          </w:tcPr>
          <w:p w:rsidR="00EC13FA" w:rsidRPr="000F2C4C" w:rsidRDefault="00EC13FA" w:rsidP="004D2B1F">
            <w:pPr>
              <w:rPr>
                <w:sz w:val="20"/>
                <w:szCs w:val="20"/>
                <w:lang w:val="es-ES_tradnl"/>
              </w:rPr>
            </w:pPr>
            <w:r w:rsidRPr="000F2C4C">
              <w:rPr>
                <w:sz w:val="20"/>
                <w:szCs w:val="20"/>
                <w:lang w:val="es-ES_tradnl"/>
              </w:rPr>
              <w:t xml:space="preserve">Desfavorable: </w:t>
            </w:r>
            <w:proofErr w:type="spellStart"/>
            <w:r w:rsidRPr="000F2C4C">
              <w:rPr>
                <w:sz w:val="20"/>
                <w:szCs w:val="20"/>
                <w:lang w:val="es-ES_tradnl"/>
              </w:rPr>
              <w:t>Desafavorable+parcialmente</w:t>
            </w:r>
            <w:proofErr w:type="spellEnd"/>
            <w:r w:rsidRPr="000F2C4C">
              <w:rPr>
                <w:sz w:val="20"/>
                <w:szCs w:val="20"/>
                <w:lang w:val="es-ES_tradnl"/>
              </w:rPr>
              <w:t xml:space="preserve"> </w:t>
            </w:r>
            <w:proofErr w:type="spellStart"/>
            <w:r w:rsidRPr="000F2C4C">
              <w:rPr>
                <w:sz w:val="20"/>
                <w:szCs w:val="20"/>
                <w:lang w:val="es-ES_tradnl"/>
              </w:rPr>
              <w:t>desfavorble+parcialmente</w:t>
            </w:r>
            <w:proofErr w:type="spellEnd"/>
            <w:r w:rsidRPr="000F2C4C">
              <w:rPr>
                <w:sz w:val="20"/>
                <w:szCs w:val="20"/>
                <w:lang w:val="es-ES_tradnl"/>
              </w:rPr>
              <w:t xml:space="preserve"> concedida</w:t>
            </w:r>
            <w:r>
              <w:rPr>
                <w:sz w:val="20"/>
                <w:szCs w:val="20"/>
                <w:lang w:val="es-ES_tradnl"/>
              </w:rPr>
              <w:t>. Criterios utilizados por el SICAU</w:t>
            </w:r>
          </w:p>
        </w:tc>
      </w:tr>
      <w:tr w:rsidR="00EC13FA" w:rsidRPr="0007517E" w:rsidTr="004D2B1F">
        <w:tc>
          <w:tcPr>
            <w:tcW w:w="13050" w:type="dxa"/>
            <w:gridSpan w:val="15"/>
          </w:tcPr>
          <w:p w:rsidR="00EC13FA" w:rsidRPr="000F2C4C" w:rsidRDefault="00EC13FA" w:rsidP="004D2B1F">
            <w:pPr>
              <w:rPr>
                <w:sz w:val="20"/>
                <w:szCs w:val="20"/>
                <w:lang w:val="es-ES_tradnl"/>
              </w:rPr>
            </w:pPr>
            <w:r w:rsidRPr="000F2C4C">
              <w:rPr>
                <w:b/>
                <w:sz w:val="20"/>
                <w:szCs w:val="20"/>
                <w:u w:val="single"/>
                <w:lang w:val="es-ES_tradnl"/>
              </w:rPr>
              <w:t>RESULTADO ESPERADO 2</w:t>
            </w:r>
            <w:r w:rsidRPr="000F2C4C">
              <w:rPr>
                <w:sz w:val="20"/>
                <w:szCs w:val="20"/>
                <w:lang w:val="es-ES_tradnl"/>
              </w:rPr>
              <w:t xml:space="preserve">: Mejora de la </w:t>
            </w:r>
            <w:r w:rsidRPr="00385D92">
              <w:rPr>
                <w:sz w:val="20"/>
                <w:szCs w:val="20"/>
                <w:lang w:val="es-ES_tradnl"/>
              </w:rPr>
              <w:t>efectividad</w:t>
            </w:r>
            <w:r w:rsidRPr="000F2C4C">
              <w:rPr>
                <w:sz w:val="20"/>
                <w:szCs w:val="20"/>
                <w:lang w:val="es-ES_tradnl"/>
              </w:rPr>
              <w:t xml:space="preserve"> de la cobranza judicial y la recuperación patrimonial</w:t>
            </w:r>
          </w:p>
        </w:tc>
      </w:tr>
      <w:tr w:rsidR="00EC13FA" w:rsidRPr="0007517E" w:rsidTr="004D2B1F">
        <w:tc>
          <w:tcPr>
            <w:tcW w:w="2070" w:type="dxa"/>
          </w:tcPr>
          <w:p w:rsidR="00EC13FA" w:rsidRPr="000F2C4C" w:rsidRDefault="00EC13FA" w:rsidP="004D2B1F">
            <w:pPr>
              <w:tabs>
                <w:tab w:val="left" w:pos="252"/>
              </w:tabs>
              <w:ind w:left="252" w:hanging="360"/>
              <w:rPr>
                <w:sz w:val="20"/>
                <w:szCs w:val="20"/>
                <w:lang w:val="es-ES_tradnl"/>
              </w:rPr>
            </w:pPr>
            <w:r w:rsidRPr="000F2C4C">
              <w:rPr>
                <w:sz w:val="20"/>
                <w:szCs w:val="20"/>
                <w:lang w:val="es-ES_tradnl"/>
              </w:rPr>
              <w:t>R.2.</w:t>
            </w:r>
            <w:r>
              <w:rPr>
                <w:sz w:val="20"/>
                <w:szCs w:val="20"/>
                <w:lang w:val="es-ES_tradnl"/>
              </w:rPr>
              <w:t>Tasa porcentual de los m</w:t>
            </w:r>
            <w:r w:rsidRPr="000F2C4C">
              <w:rPr>
                <w:sz w:val="20"/>
                <w:szCs w:val="20"/>
                <w:lang w:val="es-ES_tradnl"/>
              </w:rPr>
              <w:t>ontos recaudados por cobranza judicial sobre el total de deuda activa acumulada cada año</w:t>
            </w:r>
          </w:p>
        </w:tc>
        <w:tc>
          <w:tcPr>
            <w:tcW w:w="99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810" w:type="dxa"/>
            <w:gridSpan w:val="2"/>
          </w:tcPr>
          <w:p w:rsidR="00EC13FA" w:rsidRPr="000F2C4C" w:rsidRDefault="00EC13FA" w:rsidP="004D2B1F">
            <w:pPr>
              <w:jc w:val="center"/>
              <w:rPr>
                <w:sz w:val="20"/>
                <w:szCs w:val="20"/>
                <w:lang w:val="es-ES_tradnl"/>
              </w:rPr>
            </w:pPr>
            <w:r w:rsidRPr="000F2C4C">
              <w:rPr>
                <w:sz w:val="20"/>
                <w:szCs w:val="20"/>
                <w:lang w:val="es-ES_tradnl"/>
              </w:rPr>
              <w:t>3,1</w:t>
            </w: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5,0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2014</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8,0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1710" w:type="dxa"/>
          </w:tcPr>
          <w:p w:rsidR="00EC13FA" w:rsidRPr="000F2C4C" w:rsidRDefault="00EC13FA" w:rsidP="004D2B1F">
            <w:pPr>
              <w:rPr>
                <w:sz w:val="20"/>
                <w:szCs w:val="20"/>
                <w:lang w:val="es-ES_tradnl"/>
              </w:rPr>
            </w:pPr>
            <w:r w:rsidRPr="000F2C4C">
              <w:rPr>
                <w:sz w:val="20"/>
                <w:szCs w:val="20"/>
                <w:lang w:val="es-ES_tradnl"/>
              </w:rPr>
              <w:t>Informe PGF / En el año 2014: Sistema de Deuda Activa</w:t>
            </w:r>
          </w:p>
        </w:tc>
        <w:tc>
          <w:tcPr>
            <w:tcW w:w="1440" w:type="dxa"/>
          </w:tcPr>
          <w:p w:rsidR="00EC13FA" w:rsidRPr="000F2C4C" w:rsidRDefault="00EC13FA" w:rsidP="004D2B1F">
            <w:pPr>
              <w:rPr>
                <w:sz w:val="20"/>
                <w:szCs w:val="20"/>
                <w:lang w:val="es-ES_tradnl"/>
              </w:rPr>
            </w:pPr>
            <w:r w:rsidRPr="000F2C4C">
              <w:rPr>
                <w:sz w:val="20"/>
                <w:szCs w:val="20"/>
                <w:lang w:val="es-ES_tradnl"/>
              </w:rPr>
              <w:t>Datos PGF 2010: 19 agencias y fundaciones</w:t>
            </w:r>
          </w:p>
        </w:tc>
      </w:tr>
      <w:tr w:rsidR="00EC13FA" w:rsidRPr="0007517E" w:rsidTr="004D2B1F">
        <w:tc>
          <w:tcPr>
            <w:tcW w:w="2070" w:type="dxa"/>
          </w:tcPr>
          <w:p w:rsidR="00EC13FA" w:rsidRPr="000F2C4C" w:rsidRDefault="00EC13FA" w:rsidP="004D2B1F">
            <w:pPr>
              <w:tabs>
                <w:tab w:val="left" w:pos="252"/>
              </w:tabs>
              <w:ind w:left="252" w:hanging="360"/>
              <w:rPr>
                <w:sz w:val="20"/>
                <w:szCs w:val="20"/>
                <w:lang w:val="es-ES_tradnl"/>
              </w:rPr>
            </w:pPr>
            <w:r w:rsidRPr="000F2C4C">
              <w:rPr>
                <w:sz w:val="20"/>
                <w:szCs w:val="20"/>
                <w:lang w:val="es-ES_tradnl"/>
              </w:rPr>
              <w:t>R.3.</w:t>
            </w:r>
            <w:r>
              <w:rPr>
                <w:sz w:val="20"/>
                <w:szCs w:val="20"/>
                <w:lang w:val="es-ES_tradnl"/>
              </w:rPr>
              <w:t>Tasa porcentual de los m</w:t>
            </w:r>
            <w:r w:rsidRPr="000F2C4C">
              <w:rPr>
                <w:sz w:val="20"/>
                <w:szCs w:val="20"/>
                <w:lang w:val="es-ES_tradnl"/>
              </w:rPr>
              <w:t>ontos patrimoniales recuperados sobre el total de montos involucrados (TCU, convenios, acciones civiles públicas, etc.)</w:t>
            </w:r>
          </w:p>
        </w:tc>
        <w:tc>
          <w:tcPr>
            <w:tcW w:w="99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810" w:type="dxa"/>
            <w:gridSpan w:val="2"/>
          </w:tcPr>
          <w:p w:rsidR="00EC13FA" w:rsidRPr="000F2C4C" w:rsidRDefault="00EC13FA" w:rsidP="004D2B1F">
            <w:pPr>
              <w:jc w:val="center"/>
              <w:rPr>
                <w:sz w:val="20"/>
                <w:szCs w:val="20"/>
                <w:lang w:val="es-ES_tradnl"/>
              </w:rPr>
            </w:pPr>
            <w:r w:rsidRPr="000F2C4C">
              <w:rPr>
                <w:sz w:val="20"/>
                <w:szCs w:val="20"/>
                <w:lang w:val="es-ES_tradnl"/>
              </w:rPr>
              <w:t>7,5</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13,0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2014</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22,0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1710" w:type="dxa"/>
          </w:tcPr>
          <w:p w:rsidR="00EC13FA" w:rsidRPr="000F2C4C" w:rsidRDefault="00EC13FA" w:rsidP="004D2B1F">
            <w:pPr>
              <w:rPr>
                <w:sz w:val="20"/>
                <w:szCs w:val="20"/>
                <w:lang w:val="es-ES_tradnl"/>
              </w:rPr>
            </w:pPr>
            <w:r w:rsidRPr="000F2C4C">
              <w:rPr>
                <w:sz w:val="20"/>
                <w:szCs w:val="20"/>
                <w:lang w:val="es-ES_tradnl"/>
              </w:rPr>
              <w:t>Informe PGU/DPP / En el año 2016: módulo DPP del Sistema Integrado de Gestión Jurídica</w:t>
            </w:r>
          </w:p>
        </w:tc>
        <w:tc>
          <w:tcPr>
            <w:tcW w:w="1440" w:type="dxa"/>
          </w:tcPr>
          <w:p w:rsidR="00EC13FA" w:rsidRPr="000F2C4C" w:rsidRDefault="00EC13FA" w:rsidP="004D2B1F">
            <w:pPr>
              <w:rPr>
                <w:sz w:val="20"/>
                <w:szCs w:val="20"/>
                <w:lang w:val="es-ES_tradnl"/>
              </w:rPr>
            </w:pPr>
          </w:p>
        </w:tc>
      </w:tr>
      <w:tr w:rsidR="00EC13FA" w:rsidRPr="0007517E" w:rsidTr="004D2B1F">
        <w:tc>
          <w:tcPr>
            <w:tcW w:w="13050" w:type="dxa"/>
            <w:gridSpan w:val="15"/>
          </w:tcPr>
          <w:p w:rsidR="00EC13FA" w:rsidRPr="000F2C4C" w:rsidRDefault="00EC13FA" w:rsidP="004D2B1F">
            <w:pPr>
              <w:rPr>
                <w:sz w:val="20"/>
                <w:szCs w:val="20"/>
                <w:lang w:val="es-ES_tradnl"/>
              </w:rPr>
            </w:pPr>
            <w:r w:rsidRPr="000F2C4C">
              <w:rPr>
                <w:b/>
                <w:sz w:val="20"/>
                <w:szCs w:val="20"/>
                <w:u w:val="single"/>
                <w:lang w:val="es-ES_tradnl"/>
              </w:rPr>
              <w:t xml:space="preserve">RESULTADO ESPERADO </w:t>
            </w:r>
            <w:r>
              <w:rPr>
                <w:b/>
                <w:sz w:val="20"/>
                <w:szCs w:val="20"/>
                <w:u w:val="single"/>
                <w:lang w:val="es-ES_tradnl"/>
              </w:rPr>
              <w:t>3</w:t>
            </w:r>
            <w:r w:rsidRPr="000F2C4C">
              <w:rPr>
                <w:sz w:val="20"/>
                <w:szCs w:val="20"/>
                <w:lang w:val="es-ES_tradnl"/>
              </w:rPr>
              <w:t xml:space="preserve">: Mejora </w:t>
            </w:r>
            <w:r>
              <w:rPr>
                <w:sz w:val="20"/>
                <w:szCs w:val="20"/>
                <w:lang w:val="es-ES_tradnl"/>
              </w:rPr>
              <w:t xml:space="preserve">la gestión administrativa y financiera de apoyo a los procesos sustantivos de la AGU </w:t>
            </w:r>
          </w:p>
        </w:tc>
      </w:tr>
      <w:tr w:rsidR="00EC13FA" w:rsidRPr="00A94BA8" w:rsidTr="004D2B1F">
        <w:tc>
          <w:tcPr>
            <w:tcW w:w="2070" w:type="dxa"/>
          </w:tcPr>
          <w:p w:rsidR="00EC13FA" w:rsidRPr="00BD6AD3" w:rsidRDefault="00EC13FA" w:rsidP="004D2B1F">
            <w:pPr>
              <w:tabs>
                <w:tab w:val="left" w:pos="252"/>
              </w:tabs>
              <w:ind w:left="252" w:hanging="360"/>
              <w:rPr>
                <w:sz w:val="20"/>
                <w:szCs w:val="20"/>
              </w:rPr>
            </w:pPr>
            <w:r w:rsidRPr="000F2C4C">
              <w:rPr>
                <w:sz w:val="20"/>
                <w:szCs w:val="20"/>
                <w:lang w:val="es-ES_tradnl"/>
              </w:rPr>
              <w:t>R.</w:t>
            </w:r>
            <w:r>
              <w:rPr>
                <w:sz w:val="20"/>
                <w:szCs w:val="20"/>
                <w:lang w:val="es-ES_tradnl"/>
              </w:rPr>
              <w:t>4</w:t>
            </w:r>
            <w:r w:rsidRPr="000F2C4C">
              <w:rPr>
                <w:sz w:val="20"/>
                <w:szCs w:val="20"/>
                <w:lang w:val="es-ES_tradnl"/>
              </w:rPr>
              <w:t>.</w:t>
            </w:r>
            <w:r>
              <w:rPr>
                <w:sz w:val="20"/>
                <w:szCs w:val="20"/>
                <w:lang w:val="es-ES_tradnl"/>
              </w:rPr>
              <w:t>Tasa porcentual de ejecución del presupuesto en función al aprobado en la Ley Anual de Presupuesto.</w:t>
            </w:r>
          </w:p>
        </w:tc>
        <w:tc>
          <w:tcPr>
            <w:tcW w:w="99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810" w:type="dxa"/>
            <w:gridSpan w:val="2"/>
          </w:tcPr>
          <w:p w:rsidR="00EC13FA" w:rsidRPr="000F2C4C" w:rsidRDefault="00EC13FA" w:rsidP="004D2B1F">
            <w:pPr>
              <w:jc w:val="center"/>
              <w:rPr>
                <w:sz w:val="20"/>
                <w:szCs w:val="20"/>
                <w:lang w:val="es-ES_tradnl"/>
              </w:rPr>
            </w:pPr>
            <w:r>
              <w:rPr>
                <w:sz w:val="20"/>
                <w:szCs w:val="20"/>
                <w:lang w:val="es-ES_tradnl"/>
              </w:rPr>
              <w:t>94</w:t>
            </w:r>
            <w:r w:rsidRPr="000F2C4C">
              <w:rPr>
                <w:sz w:val="20"/>
                <w:szCs w:val="20"/>
                <w:lang w:val="es-ES_tradnl"/>
              </w:rPr>
              <w:t>,</w:t>
            </w:r>
            <w:r>
              <w:rPr>
                <w:sz w:val="20"/>
                <w:szCs w:val="20"/>
                <w:lang w:val="es-ES_tradnl"/>
              </w:rPr>
              <w:t>7</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w:t>
            </w:r>
            <w:r>
              <w:rPr>
                <w:sz w:val="20"/>
                <w:szCs w:val="20"/>
                <w:lang w:val="es-ES_tradnl"/>
              </w:rPr>
              <w:t>09</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Pr>
                <w:sz w:val="20"/>
                <w:szCs w:val="20"/>
                <w:lang w:val="es-ES_tradnl"/>
              </w:rPr>
              <w:t>97,0</w:t>
            </w:r>
          </w:p>
        </w:tc>
        <w:tc>
          <w:tcPr>
            <w:tcW w:w="630" w:type="dxa"/>
          </w:tcPr>
          <w:p w:rsidR="00EC13FA" w:rsidRPr="000F2C4C" w:rsidRDefault="00EC13FA" w:rsidP="004D2B1F">
            <w:pPr>
              <w:jc w:val="center"/>
              <w:rPr>
                <w:sz w:val="20"/>
                <w:szCs w:val="20"/>
                <w:lang w:val="es-ES_tradnl"/>
              </w:rPr>
            </w:pPr>
            <w:r>
              <w:rPr>
                <w:sz w:val="20"/>
                <w:szCs w:val="20"/>
                <w:lang w:val="es-ES_tradnl"/>
              </w:rPr>
              <w:t>2014</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Pr>
                <w:sz w:val="20"/>
                <w:szCs w:val="20"/>
                <w:lang w:val="es-ES_tradnl"/>
              </w:rPr>
              <w:t>99</w:t>
            </w:r>
            <w:r w:rsidRPr="000F2C4C">
              <w:rPr>
                <w:sz w:val="20"/>
                <w:szCs w:val="20"/>
                <w:lang w:val="es-ES_tradnl"/>
              </w:rPr>
              <w:t>,0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1710" w:type="dxa"/>
          </w:tcPr>
          <w:p w:rsidR="00EC13FA" w:rsidRPr="000F2C4C" w:rsidRDefault="00EC13FA" w:rsidP="004D2B1F">
            <w:pPr>
              <w:rPr>
                <w:sz w:val="20"/>
                <w:szCs w:val="20"/>
                <w:lang w:val="es-ES_tradnl"/>
              </w:rPr>
            </w:pPr>
            <w:r w:rsidRPr="000F2C4C">
              <w:rPr>
                <w:sz w:val="20"/>
                <w:szCs w:val="20"/>
                <w:lang w:val="es-ES_tradnl"/>
              </w:rPr>
              <w:t xml:space="preserve">Informe </w:t>
            </w:r>
            <w:r>
              <w:rPr>
                <w:sz w:val="20"/>
                <w:szCs w:val="20"/>
                <w:lang w:val="es-ES_tradnl"/>
              </w:rPr>
              <w:t>Sistema SIAF</w:t>
            </w:r>
          </w:p>
        </w:tc>
        <w:tc>
          <w:tcPr>
            <w:tcW w:w="1440" w:type="dxa"/>
          </w:tcPr>
          <w:p w:rsidR="00EC13FA" w:rsidRPr="000F2C4C" w:rsidRDefault="00EC13FA" w:rsidP="004D2B1F">
            <w:pPr>
              <w:rPr>
                <w:sz w:val="20"/>
                <w:szCs w:val="20"/>
                <w:lang w:val="es-ES_tradnl"/>
              </w:rPr>
            </w:pPr>
            <w:r w:rsidRPr="000F2C4C">
              <w:rPr>
                <w:sz w:val="20"/>
                <w:szCs w:val="20"/>
                <w:lang w:val="es-ES_tradnl"/>
              </w:rPr>
              <w:t>, etc.)</w:t>
            </w:r>
          </w:p>
        </w:tc>
      </w:tr>
    </w:tbl>
    <w:p w:rsidR="00EC13FA" w:rsidRDefault="00EC13FA" w:rsidP="00EC13FA">
      <w:pPr>
        <w:spacing w:before="840" w:after="120"/>
        <w:jc w:val="center"/>
        <w:rPr>
          <w:rStyle w:val="BookTitle"/>
          <w:bCs/>
          <w:sz w:val="24"/>
          <w:szCs w:val="24"/>
          <w:lang w:val="es-ES_tradnl"/>
        </w:rPr>
      </w:pPr>
      <w:r w:rsidRPr="000F2C4C">
        <w:rPr>
          <w:rStyle w:val="BookTitle"/>
          <w:bCs/>
          <w:sz w:val="24"/>
          <w:szCs w:val="24"/>
          <w:lang w:val="es-ES_tradnl"/>
        </w:rPr>
        <w:lastRenderedPageBreak/>
        <w:t>RESULTADOS INTERMEDIOS</w:t>
      </w:r>
    </w:p>
    <w:tbl>
      <w:tblPr>
        <w:tblW w:w="130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0"/>
        <w:gridCol w:w="1080"/>
        <w:gridCol w:w="720"/>
        <w:gridCol w:w="630"/>
        <w:gridCol w:w="720"/>
        <w:gridCol w:w="630"/>
        <w:gridCol w:w="720"/>
        <w:gridCol w:w="630"/>
        <w:gridCol w:w="720"/>
        <w:gridCol w:w="630"/>
        <w:gridCol w:w="720"/>
        <w:gridCol w:w="720"/>
        <w:gridCol w:w="887"/>
        <w:gridCol w:w="13"/>
        <w:gridCol w:w="1980"/>
      </w:tblGrid>
      <w:tr w:rsidR="00EC13FA" w:rsidRPr="000F2C4C" w:rsidTr="004D2B1F">
        <w:tc>
          <w:tcPr>
            <w:tcW w:w="225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Indicadores</w:t>
            </w:r>
          </w:p>
        </w:tc>
        <w:tc>
          <w:tcPr>
            <w:tcW w:w="108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Unidad de medida</w:t>
            </w:r>
          </w:p>
        </w:tc>
        <w:tc>
          <w:tcPr>
            <w:tcW w:w="1350" w:type="dxa"/>
            <w:gridSpan w:val="2"/>
            <w:shd w:val="clear" w:color="auto" w:fill="C2D69B"/>
          </w:tcPr>
          <w:p w:rsidR="00EC13FA" w:rsidRPr="000F2C4C" w:rsidRDefault="00EC13FA" w:rsidP="004D2B1F">
            <w:pPr>
              <w:jc w:val="center"/>
              <w:rPr>
                <w:sz w:val="20"/>
                <w:szCs w:val="20"/>
                <w:lang w:val="es-ES_tradnl"/>
              </w:rPr>
            </w:pPr>
            <w:r w:rsidRPr="000F2C4C">
              <w:rPr>
                <w:sz w:val="20"/>
                <w:szCs w:val="20"/>
                <w:lang w:val="es-ES_tradnl"/>
              </w:rPr>
              <w:t>Línea de base</w:t>
            </w:r>
          </w:p>
        </w:tc>
        <w:tc>
          <w:tcPr>
            <w:tcW w:w="4050" w:type="dxa"/>
            <w:gridSpan w:val="6"/>
            <w:shd w:val="clear" w:color="auto" w:fill="C2D69B"/>
          </w:tcPr>
          <w:p w:rsidR="00EC13FA" w:rsidRPr="000F2C4C" w:rsidRDefault="00EC13FA" w:rsidP="004D2B1F">
            <w:pPr>
              <w:jc w:val="center"/>
              <w:rPr>
                <w:sz w:val="20"/>
                <w:szCs w:val="20"/>
                <w:lang w:val="es-ES_tradnl"/>
              </w:rPr>
            </w:pPr>
            <w:r w:rsidRPr="000F2C4C">
              <w:rPr>
                <w:sz w:val="20"/>
                <w:szCs w:val="20"/>
                <w:lang w:val="es-ES_tradnl"/>
              </w:rPr>
              <w:t>Mediciones intermedias</w:t>
            </w:r>
          </w:p>
        </w:tc>
        <w:tc>
          <w:tcPr>
            <w:tcW w:w="1440" w:type="dxa"/>
            <w:gridSpan w:val="2"/>
            <w:shd w:val="clear" w:color="auto" w:fill="C2D69B"/>
          </w:tcPr>
          <w:p w:rsidR="00EC13FA" w:rsidRPr="000F2C4C" w:rsidRDefault="00EC13FA" w:rsidP="004D2B1F">
            <w:pPr>
              <w:jc w:val="center"/>
              <w:rPr>
                <w:sz w:val="20"/>
                <w:szCs w:val="20"/>
                <w:lang w:val="es-ES_tradnl"/>
              </w:rPr>
            </w:pPr>
            <w:r w:rsidRPr="000F2C4C">
              <w:rPr>
                <w:sz w:val="20"/>
                <w:szCs w:val="20"/>
                <w:lang w:val="es-ES_tradnl"/>
              </w:rPr>
              <w:t>Metas</w:t>
            </w:r>
          </w:p>
        </w:tc>
        <w:tc>
          <w:tcPr>
            <w:tcW w:w="900" w:type="dxa"/>
            <w:gridSpan w:val="2"/>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Fuente/ Medio de verificación</w:t>
            </w:r>
          </w:p>
        </w:tc>
        <w:tc>
          <w:tcPr>
            <w:tcW w:w="1980" w:type="dxa"/>
            <w:vMerge w:val="restart"/>
            <w:shd w:val="clear" w:color="auto" w:fill="C2D69B"/>
          </w:tcPr>
          <w:p w:rsidR="00EC13FA" w:rsidRPr="000F2C4C" w:rsidRDefault="00EC13FA" w:rsidP="004D2B1F">
            <w:pPr>
              <w:jc w:val="center"/>
              <w:rPr>
                <w:sz w:val="20"/>
                <w:szCs w:val="20"/>
                <w:lang w:val="es-ES_tradnl"/>
              </w:rPr>
            </w:pPr>
            <w:r w:rsidRPr="000F2C4C">
              <w:rPr>
                <w:sz w:val="20"/>
                <w:szCs w:val="20"/>
                <w:lang w:val="es-ES_tradnl"/>
              </w:rPr>
              <w:t>Observaciones</w:t>
            </w:r>
          </w:p>
        </w:tc>
      </w:tr>
      <w:tr w:rsidR="00EC13FA" w:rsidRPr="000F2C4C" w:rsidTr="004D2B1F">
        <w:tc>
          <w:tcPr>
            <w:tcW w:w="2250" w:type="dxa"/>
            <w:vMerge/>
          </w:tcPr>
          <w:p w:rsidR="00EC13FA" w:rsidRPr="000F2C4C" w:rsidRDefault="00EC13FA" w:rsidP="004D2B1F">
            <w:pPr>
              <w:jc w:val="center"/>
              <w:rPr>
                <w:sz w:val="20"/>
                <w:szCs w:val="20"/>
                <w:lang w:val="es-ES_tradnl"/>
              </w:rPr>
            </w:pPr>
          </w:p>
        </w:tc>
        <w:tc>
          <w:tcPr>
            <w:tcW w:w="1080" w:type="dxa"/>
            <w:vMerge/>
          </w:tcPr>
          <w:p w:rsidR="00EC13FA" w:rsidRPr="000F2C4C" w:rsidRDefault="00EC13FA" w:rsidP="004D2B1F">
            <w:pPr>
              <w:jc w:val="center"/>
              <w:rPr>
                <w:sz w:val="20"/>
                <w:szCs w:val="20"/>
                <w:lang w:val="es-ES_tradnl"/>
              </w:rPr>
            </w:pP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63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Valor</w:t>
            </w:r>
          </w:p>
        </w:tc>
        <w:tc>
          <w:tcPr>
            <w:tcW w:w="72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Año</w:t>
            </w:r>
          </w:p>
        </w:tc>
        <w:tc>
          <w:tcPr>
            <w:tcW w:w="900" w:type="dxa"/>
            <w:gridSpan w:val="2"/>
            <w:vMerge/>
          </w:tcPr>
          <w:p w:rsidR="00EC13FA" w:rsidRPr="000F2C4C" w:rsidRDefault="00EC13FA" w:rsidP="004D2B1F">
            <w:pPr>
              <w:jc w:val="center"/>
              <w:rPr>
                <w:sz w:val="20"/>
                <w:szCs w:val="20"/>
                <w:lang w:val="es-ES_tradnl"/>
              </w:rPr>
            </w:pPr>
          </w:p>
        </w:tc>
        <w:tc>
          <w:tcPr>
            <w:tcW w:w="1980" w:type="dxa"/>
            <w:vMerge/>
          </w:tcPr>
          <w:p w:rsidR="00EC13FA" w:rsidRPr="000F2C4C" w:rsidRDefault="00EC13FA" w:rsidP="004D2B1F">
            <w:pPr>
              <w:jc w:val="center"/>
              <w:rPr>
                <w:sz w:val="20"/>
                <w:szCs w:val="20"/>
                <w:lang w:val="es-ES_tradnl"/>
              </w:rPr>
            </w:pPr>
          </w:p>
        </w:tc>
      </w:tr>
      <w:tr w:rsidR="00EC13FA" w:rsidRPr="0007517E" w:rsidTr="004D2B1F">
        <w:tc>
          <w:tcPr>
            <w:tcW w:w="13050" w:type="dxa"/>
            <w:gridSpan w:val="15"/>
          </w:tcPr>
          <w:p w:rsidR="00EC13FA" w:rsidRPr="000F2C4C" w:rsidRDefault="00EC13FA" w:rsidP="004D2B1F">
            <w:pPr>
              <w:rPr>
                <w:sz w:val="20"/>
                <w:szCs w:val="20"/>
                <w:lang w:val="es-ES_tradnl"/>
              </w:rPr>
            </w:pPr>
            <w:r w:rsidRPr="000F2C4C">
              <w:rPr>
                <w:b/>
                <w:sz w:val="20"/>
                <w:szCs w:val="20"/>
                <w:u w:val="single"/>
                <w:lang w:val="es-ES_tradnl"/>
              </w:rPr>
              <w:t>RESULTADO INTERMEDIO 1</w:t>
            </w:r>
            <w:r w:rsidRPr="000F2C4C">
              <w:rPr>
                <w:b/>
                <w:sz w:val="20"/>
                <w:szCs w:val="20"/>
                <w:lang w:val="es-ES_tradnl"/>
              </w:rPr>
              <w:t xml:space="preserve">:  </w:t>
            </w:r>
            <w:r w:rsidRPr="000F2C4C">
              <w:rPr>
                <w:sz w:val="20"/>
                <w:szCs w:val="20"/>
                <w:lang w:val="es-ES_tradnl"/>
              </w:rPr>
              <w:t xml:space="preserve">Mejora de los procesos de toma de decisión </w:t>
            </w:r>
          </w:p>
        </w:tc>
      </w:tr>
      <w:tr w:rsidR="00EC13FA" w:rsidRPr="0007517E" w:rsidTr="004D2B1F">
        <w:tc>
          <w:tcPr>
            <w:tcW w:w="2250" w:type="dxa"/>
          </w:tcPr>
          <w:p w:rsidR="00EC13FA" w:rsidRPr="000F2C4C" w:rsidRDefault="00EC13FA" w:rsidP="00EC13FA">
            <w:pPr>
              <w:numPr>
                <w:ilvl w:val="1"/>
                <w:numId w:val="24"/>
              </w:numPr>
              <w:ind w:left="252"/>
              <w:jc w:val="left"/>
              <w:rPr>
                <w:sz w:val="20"/>
                <w:szCs w:val="20"/>
                <w:lang w:val="es-ES_tradnl"/>
              </w:rPr>
            </w:pPr>
            <w:r>
              <w:rPr>
                <w:sz w:val="20"/>
                <w:szCs w:val="20"/>
                <w:lang w:val="es-ES_tradnl"/>
              </w:rPr>
              <w:t>Tasa porcentual del u</w:t>
            </w:r>
            <w:r w:rsidRPr="000F2C4C">
              <w:rPr>
                <w:sz w:val="20"/>
                <w:szCs w:val="20"/>
                <w:lang w:val="es-ES_tradnl"/>
              </w:rPr>
              <w:t xml:space="preserve">so de la herramienta de </w:t>
            </w:r>
            <w:proofErr w:type="spellStart"/>
            <w:r w:rsidRPr="00385D92">
              <w:rPr>
                <w:i/>
                <w:sz w:val="20"/>
                <w:szCs w:val="20"/>
                <w:lang w:val="es-ES_tradnl"/>
              </w:rPr>
              <w:t>balanced</w:t>
            </w:r>
            <w:proofErr w:type="spellEnd"/>
            <w:r w:rsidRPr="00385D92">
              <w:rPr>
                <w:i/>
                <w:sz w:val="20"/>
                <w:szCs w:val="20"/>
                <w:lang w:val="es-ES_tradnl"/>
              </w:rPr>
              <w:t xml:space="preserve"> </w:t>
            </w:r>
            <w:proofErr w:type="spellStart"/>
            <w:r w:rsidRPr="00385D92">
              <w:rPr>
                <w:i/>
                <w:sz w:val="20"/>
                <w:szCs w:val="20"/>
                <w:lang w:val="es-ES_tradnl"/>
              </w:rPr>
              <w:t>scorecard</w:t>
            </w:r>
            <w:proofErr w:type="spellEnd"/>
            <w:r w:rsidRPr="000F2C4C">
              <w:rPr>
                <w:sz w:val="20"/>
                <w:szCs w:val="20"/>
                <w:lang w:val="es-ES_tradnl"/>
              </w:rPr>
              <w:t xml:space="preserve"> (BSC) por parte de los directivos de la AGU</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30,0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2014</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100,0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900" w:type="dxa"/>
            <w:gridSpan w:val="2"/>
          </w:tcPr>
          <w:p w:rsidR="00EC13FA" w:rsidRPr="000F2C4C" w:rsidRDefault="00EC13FA" w:rsidP="004D2B1F">
            <w:pPr>
              <w:rPr>
                <w:sz w:val="20"/>
                <w:szCs w:val="20"/>
                <w:lang w:val="es-ES_tradnl"/>
              </w:rPr>
            </w:pPr>
            <w:r w:rsidRPr="000F2C4C">
              <w:rPr>
                <w:sz w:val="20"/>
                <w:szCs w:val="20"/>
                <w:lang w:val="es-ES_tradnl"/>
              </w:rPr>
              <w:t>Informe de DGE</w:t>
            </w:r>
          </w:p>
        </w:tc>
        <w:tc>
          <w:tcPr>
            <w:tcW w:w="1980" w:type="dxa"/>
          </w:tcPr>
          <w:p w:rsidR="00EC13FA" w:rsidRPr="000F2C4C" w:rsidRDefault="00EC13FA" w:rsidP="004D2B1F">
            <w:pPr>
              <w:rPr>
                <w:sz w:val="20"/>
                <w:szCs w:val="20"/>
                <w:lang w:val="es-ES_tradnl"/>
              </w:rPr>
            </w:pPr>
            <w:r w:rsidRPr="000F2C4C">
              <w:rPr>
                <w:sz w:val="20"/>
                <w:szCs w:val="20"/>
                <w:lang w:val="es-ES_tradnl"/>
              </w:rPr>
              <w:t>Cantidad de usuarios utilizando las herramientas/usuarios directivos áreas sustantivas (</w:t>
            </w:r>
            <w:proofErr w:type="spellStart"/>
            <w:r w:rsidRPr="000F2C4C">
              <w:rPr>
                <w:sz w:val="20"/>
                <w:szCs w:val="20"/>
                <w:lang w:val="es-ES_tradnl"/>
              </w:rPr>
              <w:t>finalisticas</w:t>
            </w:r>
            <w:proofErr w:type="spellEnd"/>
            <w:r w:rsidRPr="000F2C4C">
              <w:rPr>
                <w:sz w:val="20"/>
                <w:szCs w:val="20"/>
                <w:lang w:val="es-ES_tradnl"/>
              </w:rPr>
              <w:t>)</w:t>
            </w:r>
          </w:p>
        </w:tc>
      </w:tr>
      <w:tr w:rsidR="00EC13FA" w:rsidRPr="0007517E" w:rsidTr="004D2B1F">
        <w:tc>
          <w:tcPr>
            <w:tcW w:w="2250" w:type="dxa"/>
          </w:tcPr>
          <w:p w:rsidR="00EC13FA" w:rsidRPr="000F2C4C" w:rsidRDefault="00EC13FA" w:rsidP="00EC13FA">
            <w:pPr>
              <w:numPr>
                <w:ilvl w:val="1"/>
                <w:numId w:val="24"/>
              </w:numPr>
              <w:ind w:left="252"/>
              <w:jc w:val="left"/>
              <w:rPr>
                <w:sz w:val="20"/>
                <w:szCs w:val="20"/>
                <w:lang w:val="es-ES_tradnl"/>
              </w:rPr>
            </w:pPr>
            <w:r>
              <w:rPr>
                <w:sz w:val="20"/>
                <w:szCs w:val="20"/>
                <w:lang w:val="es-ES_tradnl"/>
              </w:rPr>
              <w:t>Tasa porcentual del u</w:t>
            </w:r>
            <w:r w:rsidRPr="000F2C4C">
              <w:rPr>
                <w:sz w:val="20"/>
                <w:szCs w:val="20"/>
                <w:lang w:val="es-ES_tradnl"/>
              </w:rPr>
              <w:t>so de la herramienta de monitoreo de los pasivos contingentes generados en juicios contra el Estado por parte de los directivos de AGU</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100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900" w:type="dxa"/>
            <w:gridSpan w:val="2"/>
          </w:tcPr>
          <w:p w:rsidR="00EC13FA" w:rsidRPr="000F2C4C" w:rsidRDefault="00EC13FA" w:rsidP="004D2B1F">
            <w:pPr>
              <w:rPr>
                <w:sz w:val="20"/>
                <w:szCs w:val="20"/>
                <w:lang w:val="es-ES_tradnl"/>
              </w:rPr>
            </w:pPr>
            <w:r w:rsidRPr="000F2C4C">
              <w:rPr>
                <w:sz w:val="20"/>
                <w:szCs w:val="20"/>
                <w:lang w:val="es-ES_tradnl"/>
              </w:rPr>
              <w:t>Informe de DGE</w:t>
            </w:r>
          </w:p>
        </w:tc>
        <w:tc>
          <w:tcPr>
            <w:tcW w:w="1980" w:type="dxa"/>
          </w:tcPr>
          <w:p w:rsidR="00EC13FA" w:rsidRPr="000F2C4C" w:rsidRDefault="00EC13FA" w:rsidP="004D2B1F">
            <w:pPr>
              <w:rPr>
                <w:sz w:val="20"/>
                <w:szCs w:val="20"/>
                <w:lang w:val="es-ES_tradnl"/>
              </w:rPr>
            </w:pPr>
            <w:r w:rsidRPr="000F2C4C">
              <w:rPr>
                <w:sz w:val="20"/>
                <w:szCs w:val="20"/>
                <w:lang w:val="es-ES_tradnl"/>
              </w:rPr>
              <w:t>Cantidad de usuarios utilizando las herramientas/ usuarios directivos áreas sustantivas (</w:t>
            </w:r>
            <w:proofErr w:type="spellStart"/>
            <w:r w:rsidRPr="000F2C4C">
              <w:rPr>
                <w:sz w:val="20"/>
                <w:szCs w:val="20"/>
                <w:lang w:val="es-ES_tradnl"/>
              </w:rPr>
              <w:t>finalisticas</w:t>
            </w:r>
            <w:proofErr w:type="spellEnd"/>
            <w:r w:rsidRPr="000F2C4C">
              <w:rPr>
                <w:sz w:val="20"/>
                <w:szCs w:val="20"/>
                <w:lang w:val="es-ES_tradnl"/>
              </w:rPr>
              <w:t>)</w:t>
            </w:r>
          </w:p>
        </w:tc>
      </w:tr>
      <w:tr w:rsidR="00EC13FA" w:rsidRPr="0007517E" w:rsidTr="004D2B1F">
        <w:tc>
          <w:tcPr>
            <w:tcW w:w="13050" w:type="dxa"/>
            <w:gridSpan w:val="15"/>
          </w:tcPr>
          <w:p w:rsidR="00EC13FA" w:rsidRPr="000F2C4C" w:rsidRDefault="00EC13FA" w:rsidP="004D2B1F">
            <w:pPr>
              <w:rPr>
                <w:sz w:val="20"/>
                <w:szCs w:val="20"/>
                <w:lang w:val="es-ES_tradnl"/>
              </w:rPr>
            </w:pPr>
            <w:r w:rsidRPr="000F2C4C">
              <w:rPr>
                <w:b/>
                <w:sz w:val="20"/>
                <w:szCs w:val="20"/>
                <w:u w:val="single"/>
                <w:lang w:val="es-ES_tradnl"/>
              </w:rPr>
              <w:t>RESULTADO INTERMEDIO 2</w:t>
            </w:r>
            <w:r w:rsidRPr="000F2C4C">
              <w:rPr>
                <w:sz w:val="20"/>
                <w:szCs w:val="20"/>
                <w:lang w:val="es-ES_tradnl"/>
              </w:rPr>
              <w:t>:  Mejora en la gestión jurídica de la AGU</w:t>
            </w:r>
          </w:p>
        </w:tc>
      </w:tr>
      <w:tr w:rsidR="00EC13FA" w:rsidRPr="0007517E" w:rsidTr="004D2B1F">
        <w:tc>
          <w:tcPr>
            <w:tcW w:w="2250" w:type="dxa"/>
          </w:tcPr>
          <w:p w:rsidR="00EC13FA" w:rsidRPr="000F2C4C" w:rsidRDefault="00EC13FA" w:rsidP="00EC13FA">
            <w:pPr>
              <w:numPr>
                <w:ilvl w:val="1"/>
                <w:numId w:val="22"/>
              </w:numPr>
              <w:ind w:left="252"/>
              <w:jc w:val="left"/>
              <w:rPr>
                <w:sz w:val="20"/>
                <w:szCs w:val="20"/>
                <w:lang w:val="es-ES_tradnl"/>
              </w:rPr>
            </w:pPr>
            <w:r w:rsidRPr="000F2C4C">
              <w:rPr>
                <w:sz w:val="20"/>
                <w:szCs w:val="20"/>
                <w:lang w:val="es-ES_tradnl"/>
              </w:rPr>
              <w:t>Uso del Sistema Integrado de Gestión Jurídica de la AGU en todos los flujos de trabajo sustantivos por parte de los abogados y procuradores</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100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900" w:type="dxa"/>
            <w:gridSpan w:val="2"/>
          </w:tcPr>
          <w:p w:rsidR="00EC13FA" w:rsidRPr="000F2C4C" w:rsidRDefault="00EC13FA" w:rsidP="004D2B1F">
            <w:pPr>
              <w:rPr>
                <w:sz w:val="20"/>
                <w:szCs w:val="20"/>
                <w:lang w:val="es-ES_tradnl"/>
              </w:rPr>
            </w:pPr>
            <w:r w:rsidRPr="000F2C4C">
              <w:rPr>
                <w:sz w:val="20"/>
                <w:szCs w:val="20"/>
                <w:lang w:val="es-ES_tradnl"/>
              </w:rPr>
              <w:t>Informe de DGE</w:t>
            </w:r>
          </w:p>
        </w:tc>
        <w:tc>
          <w:tcPr>
            <w:tcW w:w="1980" w:type="dxa"/>
          </w:tcPr>
          <w:p w:rsidR="00EC13FA" w:rsidRPr="000F2C4C" w:rsidRDefault="00EC13FA" w:rsidP="004D2B1F">
            <w:pPr>
              <w:rPr>
                <w:sz w:val="20"/>
                <w:szCs w:val="20"/>
                <w:lang w:val="es-ES_tradnl"/>
              </w:rPr>
            </w:pPr>
            <w:r w:rsidRPr="000F2C4C">
              <w:rPr>
                <w:sz w:val="20"/>
                <w:szCs w:val="20"/>
                <w:lang w:val="es-ES_tradnl"/>
              </w:rPr>
              <w:t>Cantidad de usuarios utilizando el sistema /total de abogados y procuradores de las áreas contenciosas y consultivas</w:t>
            </w:r>
          </w:p>
        </w:tc>
      </w:tr>
      <w:tr w:rsidR="00EC13FA" w:rsidRPr="0007517E" w:rsidTr="004D2B1F">
        <w:tc>
          <w:tcPr>
            <w:tcW w:w="2250" w:type="dxa"/>
          </w:tcPr>
          <w:p w:rsidR="00EC13FA" w:rsidRPr="000F2C4C" w:rsidRDefault="00EC13FA" w:rsidP="00EC13FA">
            <w:pPr>
              <w:numPr>
                <w:ilvl w:val="1"/>
                <w:numId w:val="22"/>
              </w:numPr>
              <w:ind w:left="252"/>
              <w:jc w:val="left"/>
              <w:rPr>
                <w:sz w:val="20"/>
                <w:szCs w:val="20"/>
                <w:lang w:val="es-ES_tradnl"/>
              </w:rPr>
            </w:pPr>
            <w:r w:rsidRPr="000F2C4C">
              <w:rPr>
                <w:sz w:val="20"/>
                <w:szCs w:val="20"/>
                <w:lang w:val="es-ES_tradnl"/>
              </w:rPr>
              <w:t>Grado de automatización de los flujos de trabajo sustantivos por el Sistema Integrado de Gestión Jurídica de la AGU</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100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900" w:type="dxa"/>
            <w:gridSpan w:val="2"/>
          </w:tcPr>
          <w:p w:rsidR="00EC13FA" w:rsidRPr="000F2C4C" w:rsidRDefault="00EC13FA" w:rsidP="004D2B1F">
            <w:pPr>
              <w:rPr>
                <w:sz w:val="20"/>
                <w:szCs w:val="20"/>
                <w:lang w:val="es-ES_tradnl"/>
              </w:rPr>
            </w:pPr>
            <w:r w:rsidRPr="000F2C4C">
              <w:rPr>
                <w:sz w:val="20"/>
                <w:szCs w:val="20"/>
                <w:lang w:val="es-ES_tradnl"/>
              </w:rPr>
              <w:t>Informe de DGE</w:t>
            </w:r>
          </w:p>
        </w:tc>
        <w:tc>
          <w:tcPr>
            <w:tcW w:w="1980" w:type="dxa"/>
          </w:tcPr>
          <w:p w:rsidR="00EC13FA" w:rsidRPr="000F2C4C" w:rsidRDefault="00EC13FA" w:rsidP="004D2B1F">
            <w:pPr>
              <w:rPr>
                <w:sz w:val="20"/>
                <w:szCs w:val="20"/>
                <w:lang w:val="es-ES_tradnl"/>
              </w:rPr>
            </w:pPr>
            <w:r w:rsidRPr="000F2C4C">
              <w:rPr>
                <w:sz w:val="20"/>
                <w:szCs w:val="20"/>
                <w:lang w:val="es-ES_tradnl"/>
              </w:rPr>
              <w:t>Cantidad de flujos de trabajos automatizados  /total de flujos de trabajo identificados en los procesos sustantivos</w:t>
            </w:r>
          </w:p>
        </w:tc>
      </w:tr>
      <w:tr w:rsidR="00EC13FA" w:rsidRPr="000F2C4C" w:rsidTr="004D2B1F">
        <w:tc>
          <w:tcPr>
            <w:tcW w:w="2250" w:type="dxa"/>
          </w:tcPr>
          <w:p w:rsidR="00EC13FA" w:rsidRPr="000F2C4C" w:rsidRDefault="00EC13FA" w:rsidP="00EC13FA">
            <w:pPr>
              <w:numPr>
                <w:ilvl w:val="1"/>
                <w:numId w:val="22"/>
              </w:numPr>
              <w:ind w:left="252"/>
              <w:jc w:val="left"/>
              <w:rPr>
                <w:sz w:val="20"/>
                <w:szCs w:val="20"/>
                <w:lang w:val="es-ES_tradnl"/>
              </w:rPr>
            </w:pPr>
            <w:r w:rsidRPr="003C26EB">
              <w:rPr>
                <w:sz w:val="20"/>
                <w:szCs w:val="20"/>
                <w:lang w:val="es-ES_tradnl"/>
              </w:rPr>
              <w:t>Número</w:t>
            </w:r>
            <w:r w:rsidDel="00152A36">
              <w:rPr>
                <w:sz w:val="20"/>
                <w:szCs w:val="20"/>
                <w:lang w:val="es-ES_tradnl"/>
              </w:rPr>
              <w:t xml:space="preserve"> </w:t>
            </w:r>
            <w:r>
              <w:rPr>
                <w:sz w:val="20"/>
                <w:szCs w:val="20"/>
                <w:lang w:val="es-ES_tradnl"/>
              </w:rPr>
              <w:t xml:space="preserve">de </w:t>
            </w:r>
            <w:r w:rsidRPr="000F2C4C">
              <w:rPr>
                <w:sz w:val="20"/>
                <w:szCs w:val="20"/>
                <w:lang w:val="es-ES_tradnl"/>
              </w:rPr>
              <w:t xml:space="preserve">sentencias del </w:t>
            </w:r>
            <w:r>
              <w:rPr>
                <w:sz w:val="20"/>
                <w:szCs w:val="20"/>
                <w:lang w:val="es-ES_tradnl"/>
              </w:rPr>
              <w:t xml:space="preserve">Supremo Tribunal </w:t>
            </w:r>
            <w:r>
              <w:rPr>
                <w:sz w:val="20"/>
                <w:szCs w:val="20"/>
                <w:lang w:val="es-ES_tradnl"/>
              </w:rPr>
              <w:lastRenderedPageBreak/>
              <w:t>Federal (</w:t>
            </w:r>
            <w:r w:rsidRPr="000F2C4C">
              <w:rPr>
                <w:sz w:val="20"/>
                <w:szCs w:val="20"/>
                <w:lang w:val="es-ES_tradnl"/>
              </w:rPr>
              <w:t>STF</w:t>
            </w:r>
            <w:r>
              <w:rPr>
                <w:sz w:val="20"/>
                <w:szCs w:val="20"/>
                <w:lang w:val="es-ES_tradnl"/>
              </w:rPr>
              <w:t>)</w:t>
            </w:r>
            <w:r w:rsidRPr="000F2C4C">
              <w:rPr>
                <w:sz w:val="20"/>
                <w:szCs w:val="20"/>
                <w:lang w:val="es-ES_tradnl"/>
              </w:rPr>
              <w:t xml:space="preserve"> </w:t>
            </w:r>
            <w:r>
              <w:rPr>
                <w:sz w:val="20"/>
                <w:szCs w:val="20"/>
                <w:lang w:val="es-ES_tradnl"/>
              </w:rPr>
              <w:t xml:space="preserve">cotejadas para verificar el rechazo/aceptación de las tesis de los abogados sobre el total de </w:t>
            </w:r>
            <w:r w:rsidRPr="000F2C4C">
              <w:rPr>
                <w:sz w:val="20"/>
                <w:szCs w:val="20"/>
                <w:lang w:val="es-ES_tradnl"/>
              </w:rPr>
              <w:t>procesos registrados</w:t>
            </w:r>
          </w:p>
        </w:tc>
        <w:tc>
          <w:tcPr>
            <w:tcW w:w="1080" w:type="dxa"/>
          </w:tcPr>
          <w:p w:rsidR="00EC13FA" w:rsidRPr="000F2C4C" w:rsidRDefault="00EC13FA" w:rsidP="004D2B1F">
            <w:pPr>
              <w:rPr>
                <w:sz w:val="20"/>
                <w:szCs w:val="20"/>
                <w:lang w:val="es-ES_tradnl"/>
              </w:rPr>
            </w:pPr>
            <w:r w:rsidRPr="000F2C4C">
              <w:rPr>
                <w:sz w:val="20"/>
                <w:szCs w:val="20"/>
                <w:lang w:val="es-ES_tradnl"/>
              </w:rPr>
              <w:lastRenderedPageBreak/>
              <w:t xml:space="preserve">Tasa porcentual </w:t>
            </w:r>
            <w:r w:rsidRPr="000F2C4C">
              <w:rPr>
                <w:sz w:val="20"/>
                <w:szCs w:val="20"/>
                <w:lang w:val="es-ES_tradnl"/>
              </w:rPr>
              <w:lastRenderedPageBreak/>
              <w:t>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lastRenderedPageBreak/>
              <w:t>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100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900" w:type="dxa"/>
            <w:gridSpan w:val="2"/>
          </w:tcPr>
          <w:p w:rsidR="00EC13FA" w:rsidRPr="000F2C4C" w:rsidRDefault="00EC13FA" w:rsidP="004D2B1F">
            <w:pPr>
              <w:rPr>
                <w:sz w:val="20"/>
                <w:szCs w:val="20"/>
                <w:lang w:val="es-ES_tradnl"/>
              </w:rPr>
            </w:pPr>
            <w:r w:rsidRPr="000F2C4C">
              <w:rPr>
                <w:sz w:val="20"/>
                <w:szCs w:val="20"/>
                <w:lang w:val="es-ES_tradnl"/>
              </w:rPr>
              <w:t>Informe SISCO</w:t>
            </w:r>
            <w:r w:rsidRPr="000F2C4C">
              <w:rPr>
                <w:sz w:val="20"/>
                <w:szCs w:val="20"/>
                <w:lang w:val="es-ES_tradnl"/>
              </w:rPr>
              <w:lastRenderedPageBreak/>
              <w:t>N / CGU</w:t>
            </w:r>
          </w:p>
        </w:tc>
        <w:tc>
          <w:tcPr>
            <w:tcW w:w="1980" w:type="dxa"/>
          </w:tcPr>
          <w:p w:rsidR="00EC13FA" w:rsidRPr="000F2C4C" w:rsidRDefault="00EC13FA" w:rsidP="004D2B1F">
            <w:pPr>
              <w:rPr>
                <w:sz w:val="20"/>
                <w:szCs w:val="20"/>
                <w:lang w:val="es-ES_tradnl"/>
              </w:rPr>
            </w:pPr>
            <w:r w:rsidRPr="000F2C4C">
              <w:rPr>
                <w:sz w:val="20"/>
                <w:szCs w:val="20"/>
                <w:lang w:val="es-ES_tradnl"/>
              </w:rPr>
              <w:lastRenderedPageBreak/>
              <w:t>STF: Supremo Tribunal Federal</w:t>
            </w:r>
          </w:p>
        </w:tc>
      </w:tr>
      <w:tr w:rsidR="00EC13FA" w:rsidRPr="000F2C4C" w:rsidTr="004D2B1F">
        <w:tc>
          <w:tcPr>
            <w:tcW w:w="2250" w:type="dxa"/>
          </w:tcPr>
          <w:p w:rsidR="00EC13FA" w:rsidRPr="000F2C4C" w:rsidRDefault="00EC13FA" w:rsidP="00EC13FA">
            <w:pPr>
              <w:numPr>
                <w:ilvl w:val="1"/>
                <w:numId w:val="22"/>
              </w:numPr>
              <w:ind w:left="252"/>
              <w:jc w:val="left"/>
              <w:rPr>
                <w:sz w:val="20"/>
                <w:szCs w:val="20"/>
                <w:lang w:val="es-ES_tradnl"/>
              </w:rPr>
            </w:pPr>
            <w:r w:rsidRPr="000F2C4C">
              <w:rPr>
                <w:sz w:val="20"/>
                <w:szCs w:val="20"/>
                <w:lang w:val="es-ES_tradnl"/>
              </w:rPr>
              <w:lastRenderedPageBreak/>
              <w:t>Créditos inscritos en el Sistema de Deuda Activa sobre el total de créditos de agencias y fundaciones</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24,5</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70,0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900" w:type="dxa"/>
            <w:gridSpan w:val="2"/>
          </w:tcPr>
          <w:p w:rsidR="00EC13FA" w:rsidRPr="000F2C4C" w:rsidRDefault="00EC13FA" w:rsidP="004D2B1F">
            <w:pPr>
              <w:rPr>
                <w:sz w:val="20"/>
                <w:szCs w:val="20"/>
                <w:lang w:val="es-ES_tradnl"/>
              </w:rPr>
            </w:pPr>
            <w:r w:rsidRPr="000F2C4C">
              <w:rPr>
                <w:sz w:val="20"/>
                <w:szCs w:val="20"/>
                <w:lang w:val="es-ES_tradnl"/>
              </w:rPr>
              <w:t>Informe de PGF</w:t>
            </w:r>
          </w:p>
        </w:tc>
        <w:tc>
          <w:tcPr>
            <w:tcW w:w="1980" w:type="dxa"/>
          </w:tcPr>
          <w:p w:rsidR="00EC13FA" w:rsidRPr="000F2C4C" w:rsidRDefault="00EC13FA" w:rsidP="004D2B1F">
            <w:pPr>
              <w:rPr>
                <w:sz w:val="20"/>
                <w:szCs w:val="20"/>
                <w:lang w:val="es-ES_tradnl"/>
              </w:rPr>
            </w:pPr>
          </w:p>
        </w:tc>
      </w:tr>
      <w:tr w:rsidR="00EC13FA" w:rsidRPr="000F2C4C" w:rsidTr="004D2B1F">
        <w:tc>
          <w:tcPr>
            <w:tcW w:w="2250" w:type="dxa"/>
          </w:tcPr>
          <w:p w:rsidR="00EC13FA" w:rsidRPr="000F2C4C" w:rsidRDefault="00EC13FA" w:rsidP="00EC13FA">
            <w:pPr>
              <w:numPr>
                <w:ilvl w:val="1"/>
                <w:numId w:val="22"/>
              </w:numPr>
              <w:ind w:left="252"/>
              <w:jc w:val="left"/>
              <w:rPr>
                <w:sz w:val="20"/>
                <w:szCs w:val="20"/>
                <w:lang w:val="es-ES_tradnl"/>
              </w:rPr>
            </w:pPr>
            <w:r w:rsidRPr="000F2C4C">
              <w:rPr>
                <w:sz w:val="20"/>
                <w:szCs w:val="20"/>
                <w:lang w:val="es-ES_tradnl"/>
              </w:rPr>
              <w:t>Días promedio de respuesta en el enjuiciamiento de la acción o ejecución para la recuperación patrimonial (TCU)</w:t>
            </w:r>
          </w:p>
        </w:tc>
        <w:tc>
          <w:tcPr>
            <w:tcW w:w="1080" w:type="dxa"/>
          </w:tcPr>
          <w:p w:rsidR="00EC13FA" w:rsidRPr="000F2C4C" w:rsidRDefault="00EC13FA" w:rsidP="004D2B1F">
            <w:pPr>
              <w:rPr>
                <w:sz w:val="20"/>
                <w:szCs w:val="20"/>
                <w:lang w:val="es-ES_tradnl"/>
              </w:rPr>
            </w:pPr>
            <w:r w:rsidRPr="000F2C4C">
              <w:rPr>
                <w:sz w:val="20"/>
                <w:szCs w:val="20"/>
                <w:lang w:val="es-ES_tradnl"/>
              </w:rPr>
              <w:t xml:space="preserve">Días </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90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20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900" w:type="dxa"/>
            <w:gridSpan w:val="2"/>
          </w:tcPr>
          <w:p w:rsidR="00EC13FA" w:rsidRPr="000F2C4C" w:rsidRDefault="00EC13FA" w:rsidP="004D2B1F">
            <w:pPr>
              <w:rPr>
                <w:sz w:val="20"/>
                <w:szCs w:val="20"/>
                <w:lang w:val="es-ES_tradnl"/>
              </w:rPr>
            </w:pPr>
            <w:r w:rsidRPr="000F2C4C">
              <w:rPr>
                <w:sz w:val="20"/>
                <w:szCs w:val="20"/>
                <w:lang w:val="es-ES_tradnl"/>
              </w:rPr>
              <w:t>Informe PGU/DPP</w:t>
            </w:r>
          </w:p>
        </w:tc>
        <w:tc>
          <w:tcPr>
            <w:tcW w:w="1980" w:type="dxa"/>
          </w:tcPr>
          <w:p w:rsidR="00EC13FA" w:rsidRPr="000F2C4C" w:rsidRDefault="00EC13FA" w:rsidP="004D2B1F">
            <w:pPr>
              <w:rPr>
                <w:sz w:val="20"/>
                <w:szCs w:val="20"/>
                <w:lang w:val="es-ES_tradnl"/>
              </w:rPr>
            </w:pPr>
          </w:p>
        </w:tc>
      </w:tr>
      <w:tr w:rsidR="00EC13FA" w:rsidRPr="000F2C4C" w:rsidTr="004D2B1F">
        <w:tc>
          <w:tcPr>
            <w:tcW w:w="2250" w:type="dxa"/>
          </w:tcPr>
          <w:p w:rsidR="00EC13FA" w:rsidRPr="000F2C4C" w:rsidRDefault="00EC13FA" w:rsidP="00EC13FA">
            <w:pPr>
              <w:numPr>
                <w:ilvl w:val="1"/>
                <w:numId w:val="22"/>
              </w:numPr>
              <w:ind w:left="252"/>
              <w:jc w:val="left"/>
              <w:rPr>
                <w:sz w:val="20"/>
                <w:szCs w:val="20"/>
                <w:lang w:val="es-ES_tradnl"/>
              </w:rPr>
            </w:pPr>
            <w:r w:rsidRPr="000F2C4C">
              <w:rPr>
                <w:sz w:val="20"/>
                <w:szCs w:val="20"/>
                <w:lang w:val="es-ES_tradnl"/>
              </w:rPr>
              <w:t>Montos bloqueados y afectados sobre el monto total de patrimonio involucrado</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8,2</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25</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900" w:type="dxa"/>
            <w:gridSpan w:val="2"/>
          </w:tcPr>
          <w:p w:rsidR="00EC13FA" w:rsidRPr="000F2C4C" w:rsidRDefault="00EC13FA" w:rsidP="004D2B1F">
            <w:pPr>
              <w:rPr>
                <w:sz w:val="20"/>
                <w:szCs w:val="20"/>
                <w:lang w:val="es-ES_tradnl"/>
              </w:rPr>
            </w:pPr>
            <w:r w:rsidRPr="000F2C4C">
              <w:rPr>
                <w:sz w:val="20"/>
                <w:szCs w:val="20"/>
                <w:lang w:val="es-ES_tradnl"/>
              </w:rPr>
              <w:t>Informe PGU/DPP</w:t>
            </w:r>
          </w:p>
        </w:tc>
        <w:tc>
          <w:tcPr>
            <w:tcW w:w="1980" w:type="dxa"/>
          </w:tcPr>
          <w:p w:rsidR="00EC13FA" w:rsidRPr="000F2C4C" w:rsidRDefault="00EC13FA" w:rsidP="004D2B1F">
            <w:pPr>
              <w:rPr>
                <w:sz w:val="20"/>
                <w:szCs w:val="20"/>
                <w:lang w:val="es-ES_tradnl"/>
              </w:rPr>
            </w:pPr>
          </w:p>
        </w:tc>
      </w:tr>
      <w:tr w:rsidR="00EC13FA" w:rsidRPr="0007517E" w:rsidTr="004D2B1F">
        <w:tc>
          <w:tcPr>
            <w:tcW w:w="13050" w:type="dxa"/>
            <w:gridSpan w:val="15"/>
          </w:tcPr>
          <w:p w:rsidR="00EC13FA" w:rsidRPr="000F2C4C" w:rsidRDefault="00EC13FA" w:rsidP="004D2B1F">
            <w:pPr>
              <w:rPr>
                <w:sz w:val="20"/>
                <w:szCs w:val="20"/>
                <w:lang w:val="es-ES_tradnl"/>
              </w:rPr>
            </w:pPr>
            <w:r w:rsidRPr="000F2C4C">
              <w:rPr>
                <w:b/>
                <w:sz w:val="20"/>
                <w:szCs w:val="20"/>
                <w:u w:val="single"/>
                <w:lang w:val="es-ES_tradnl"/>
              </w:rPr>
              <w:t>RESULTADO INTERMEDIO 3</w:t>
            </w:r>
            <w:r w:rsidRPr="000F2C4C">
              <w:rPr>
                <w:sz w:val="20"/>
                <w:szCs w:val="20"/>
                <w:lang w:val="es-ES_tradnl"/>
              </w:rPr>
              <w:t>: Mejora de la gestión administrativa de la AGU</w:t>
            </w:r>
          </w:p>
        </w:tc>
      </w:tr>
      <w:tr w:rsidR="00EC13FA" w:rsidRPr="000F2C4C" w:rsidTr="004D2B1F">
        <w:tc>
          <w:tcPr>
            <w:tcW w:w="2250" w:type="dxa"/>
          </w:tcPr>
          <w:p w:rsidR="00EC13FA" w:rsidRPr="000F2C4C" w:rsidRDefault="00EC13FA" w:rsidP="004D2B1F">
            <w:pPr>
              <w:tabs>
                <w:tab w:val="left" w:pos="252"/>
              </w:tabs>
              <w:ind w:left="252" w:hanging="360"/>
              <w:rPr>
                <w:sz w:val="20"/>
                <w:szCs w:val="20"/>
                <w:lang w:val="es-ES_tradnl"/>
              </w:rPr>
            </w:pPr>
            <w:r w:rsidRPr="000F2C4C">
              <w:rPr>
                <w:sz w:val="20"/>
                <w:szCs w:val="20"/>
                <w:lang w:val="es-ES_tradnl"/>
              </w:rPr>
              <w:t>3.1.</w:t>
            </w:r>
            <w:r w:rsidRPr="000F2C4C">
              <w:rPr>
                <w:sz w:val="20"/>
                <w:szCs w:val="20"/>
                <w:lang w:val="es-ES_tradnl"/>
              </w:rPr>
              <w:tab/>
            </w:r>
            <w:r w:rsidRPr="003C26EB">
              <w:rPr>
                <w:sz w:val="20"/>
                <w:szCs w:val="20"/>
                <w:lang w:val="es-ES_tradnl"/>
              </w:rPr>
              <w:t>Número de procesos estandarizados sobre el total de procesos administrativos identificados</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70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2014</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100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887" w:type="dxa"/>
          </w:tcPr>
          <w:p w:rsidR="00EC13FA" w:rsidRPr="000F2C4C" w:rsidRDefault="00EC13FA" w:rsidP="004D2B1F">
            <w:pPr>
              <w:rPr>
                <w:sz w:val="20"/>
                <w:szCs w:val="20"/>
                <w:lang w:val="es-ES_tradnl"/>
              </w:rPr>
            </w:pPr>
            <w:r w:rsidRPr="000F2C4C">
              <w:rPr>
                <w:sz w:val="20"/>
                <w:szCs w:val="20"/>
                <w:lang w:val="es-ES_tradnl"/>
              </w:rPr>
              <w:t>Informe de SGA</w:t>
            </w:r>
          </w:p>
        </w:tc>
        <w:tc>
          <w:tcPr>
            <w:tcW w:w="1993" w:type="dxa"/>
            <w:gridSpan w:val="2"/>
          </w:tcPr>
          <w:p w:rsidR="00EC13FA" w:rsidRPr="000F2C4C" w:rsidRDefault="00EC13FA" w:rsidP="004D2B1F">
            <w:pPr>
              <w:rPr>
                <w:sz w:val="20"/>
                <w:szCs w:val="20"/>
                <w:lang w:val="es-ES_tradnl"/>
              </w:rPr>
            </w:pPr>
          </w:p>
        </w:tc>
      </w:tr>
      <w:tr w:rsidR="00EC13FA" w:rsidRPr="000F2C4C" w:rsidTr="004D2B1F">
        <w:tc>
          <w:tcPr>
            <w:tcW w:w="2250" w:type="dxa"/>
          </w:tcPr>
          <w:p w:rsidR="00EC13FA" w:rsidRPr="000F2C4C" w:rsidRDefault="00EC13FA" w:rsidP="004D2B1F">
            <w:pPr>
              <w:tabs>
                <w:tab w:val="left" w:pos="252"/>
              </w:tabs>
              <w:ind w:left="252" w:hanging="360"/>
              <w:rPr>
                <w:sz w:val="20"/>
                <w:szCs w:val="20"/>
                <w:lang w:val="es-ES_tradnl"/>
              </w:rPr>
            </w:pPr>
            <w:r w:rsidRPr="000F2C4C">
              <w:rPr>
                <w:sz w:val="20"/>
                <w:szCs w:val="20"/>
                <w:lang w:val="es-ES_tradnl"/>
              </w:rPr>
              <w:t>3.</w:t>
            </w:r>
            <w:r>
              <w:rPr>
                <w:sz w:val="20"/>
                <w:szCs w:val="20"/>
                <w:lang w:val="es-ES_tradnl"/>
              </w:rPr>
              <w:t>2</w:t>
            </w:r>
            <w:r w:rsidRPr="000F2C4C">
              <w:rPr>
                <w:sz w:val="20"/>
                <w:szCs w:val="20"/>
                <w:lang w:val="es-ES_tradnl"/>
              </w:rPr>
              <w:t>.</w:t>
            </w:r>
            <w:r w:rsidRPr="000F2C4C">
              <w:rPr>
                <w:sz w:val="20"/>
                <w:szCs w:val="20"/>
                <w:lang w:val="es-ES_tradnl"/>
              </w:rPr>
              <w:tab/>
              <w:t>Recursos del presupuesto AGU asociados a centros de costo implementados</w:t>
            </w:r>
          </w:p>
        </w:tc>
        <w:tc>
          <w:tcPr>
            <w:tcW w:w="1080" w:type="dxa"/>
          </w:tcPr>
          <w:p w:rsidR="00EC13FA" w:rsidRPr="000F2C4C" w:rsidRDefault="00EC13FA" w:rsidP="004D2B1F">
            <w:pPr>
              <w:rPr>
                <w:sz w:val="20"/>
                <w:szCs w:val="20"/>
                <w:lang w:val="es-ES_tradnl"/>
              </w:rPr>
            </w:pPr>
            <w:r w:rsidRPr="000F2C4C">
              <w:rPr>
                <w:sz w:val="20"/>
                <w:szCs w:val="20"/>
                <w:lang w:val="es-ES_tradnl"/>
              </w:rPr>
              <w:t>Tasa porcentual de cada año</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2010</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center"/>
              <w:rPr>
                <w:sz w:val="20"/>
                <w:szCs w:val="20"/>
                <w:lang w:val="es-ES_tradnl"/>
              </w:rPr>
            </w:pPr>
            <w:r w:rsidRPr="000F2C4C">
              <w:rPr>
                <w:sz w:val="20"/>
                <w:szCs w:val="20"/>
                <w:lang w:val="es-ES_tradnl"/>
              </w:rPr>
              <w:t>60</w:t>
            </w:r>
          </w:p>
        </w:tc>
        <w:tc>
          <w:tcPr>
            <w:tcW w:w="630" w:type="dxa"/>
          </w:tcPr>
          <w:p w:rsidR="00EC13FA" w:rsidRPr="000F2C4C" w:rsidRDefault="00EC13FA" w:rsidP="004D2B1F">
            <w:pPr>
              <w:jc w:val="center"/>
              <w:rPr>
                <w:sz w:val="20"/>
                <w:szCs w:val="20"/>
                <w:lang w:val="es-ES_tradnl"/>
              </w:rPr>
            </w:pPr>
            <w:r w:rsidRPr="000F2C4C">
              <w:rPr>
                <w:sz w:val="20"/>
                <w:szCs w:val="20"/>
                <w:lang w:val="es-ES_tradnl"/>
              </w:rPr>
              <w:t>2014</w:t>
            </w:r>
          </w:p>
        </w:tc>
        <w:tc>
          <w:tcPr>
            <w:tcW w:w="720" w:type="dxa"/>
          </w:tcPr>
          <w:p w:rsidR="00EC13FA" w:rsidRPr="000F2C4C" w:rsidRDefault="00EC13FA" w:rsidP="004D2B1F">
            <w:pPr>
              <w:jc w:val="center"/>
              <w:rPr>
                <w:sz w:val="20"/>
                <w:szCs w:val="20"/>
                <w:lang w:val="es-ES_tradnl"/>
              </w:rPr>
            </w:pPr>
          </w:p>
        </w:tc>
        <w:tc>
          <w:tcPr>
            <w:tcW w:w="630" w:type="dxa"/>
          </w:tcPr>
          <w:p w:rsidR="00EC13FA" w:rsidRPr="000F2C4C" w:rsidRDefault="00EC13FA" w:rsidP="004D2B1F">
            <w:pPr>
              <w:jc w:val="center"/>
              <w:rPr>
                <w:sz w:val="20"/>
                <w:szCs w:val="20"/>
                <w:lang w:val="es-ES_tradnl"/>
              </w:rPr>
            </w:pPr>
          </w:p>
        </w:tc>
        <w:tc>
          <w:tcPr>
            <w:tcW w:w="720" w:type="dxa"/>
          </w:tcPr>
          <w:p w:rsidR="00EC13FA" w:rsidRPr="000F2C4C" w:rsidRDefault="00EC13FA" w:rsidP="004D2B1F">
            <w:pPr>
              <w:jc w:val="right"/>
              <w:rPr>
                <w:sz w:val="20"/>
                <w:szCs w:val="20"/>
                <w:lang w:val="es-ES_tradnl"/>
              </w:rPr>
            </w:pPr>
            <w:r w:rsidRPr="000F2C4C">
              <w:rPr>
                <w:sz w:val="20"/>
                <w:szCs w:val="20"/>
                <w:lang w:val="es-ES_tradnl"/>
              </w:rPr>
              <w:t>80</w:t>
            </w:r>
          </w:p>
        </w:tc>
        <w:tc>
          <w:tcPr>
            <w:tcW w:w="720" w:type="dxa"/>
          </w:tcPr>
          <w:p w:rsidR="00EC13FA" w:rsidRPr="000F2C4C" w:rsidRDefault="00EC13FA" w:rsidP="004D2B1F">
            <w:pPr>
              <w:jc w:val="center"/>
              <w:rPr>
                <w:sz w:val="20"/>
                <w:szCs w:val="20"/>
                <w:lang w:val="es-ES_tradnl"/>
              </w:rPr>
            </w:pPr>
            <w:r w:rsidRPr="000F2C4C">
              <w:rPr>
                <w:sz w:val="20"/>
                <w:szCs w:val="20"/>
                <w:lang w:val="es-ES_tradnl"/>
              </w:rPr>
              <w:t>2016</w:t>
            </w:r>
          </w:p>
        </w:tc>
        <w:tc>
          <w:tcPr>
            <w:tcW w:w="887" w:type="dxa"/>
          </w:tcPr>
          <w:p w:rsidR="00EC13FA" w:rsidRPr="000F2C4C" w:rsidRDefault="00EC13FA" w:rsidP="004D2B1F">
            <w:pPr>
              <w:rPr>
                <w:sz w:val="20"/>
                <w:szCs w:val="20"/>
                <w:lang w:val="es-ES_tradnl"/>
              </w:rPr>
            </w:pPr>
            <w:r w:rsidRPr="000F2C4C">
              <w:rPr>
                <w:sz w:val="20"/>
                <w:szCs w:val="20"/>
                <w:lang w:val="es-ES_tradnl"/>
              </w:rPr>
              <w:t>Informe de SGA</w:t>
            </w:r>
          </w:p>
        </w:tc>
        <w:tc>
          <w:tcPr>
            <w:tcW w:w="1993" w:type="dxa"/>
            <w:gridSpan w:val="2"/>
          </w:tcPr>
          <w:p w:rsidR="00EC13FA" w:rsidRPr="000F2C4C" w:rsidRDefault="00EC13FA" w:rsidP="004D2B1F">
            <w:pPr>
              <w:rPr>
                <w:sz w:val="20"/>
                <w:szCs w:val="20"/>
                <w:lang w:val="es-ES_tradnl"/>
              </w:rPr>
            </w:pPr>
          </w:p>
        </w:tc>
      </w:tr>
    </w:tbl>
    <w:p w:rsidR="00EC13FA" w:rsidRDefault="00EC13FA" w:rsidP="00EC13FA">
      <w:pPr>
        <w:spacing w:before="3000"/>
        <w:jc w:val="center"/>
        <w:rPr>
          <w:b/>
          <w:sz w:val="24"/>
          <w:szCs w:val="24"/>
          <w:lang w:val="es-ES_tradnl"/>
        </w:rPr>
      </w:pPr>
      <w:r w:rsidRPr="000F2C4C">
        <w:rPr>
          <w:b/>
          <w:sz w:val="24"/>
          <w:szCs w:val="24"/>
          <w:lang w:val="es-ES_tradnl"/>
        </w:rPr>
        <w:lastRenderedPageBreak/>
        <w:t>PRODUCTOS</w:t>
      </w:r>
      <w:r>
        <w:rPr>
          <w:rStyle w:val="FootnoteReference"/>
          <w:b/>
          <w:sz w:val="24"/>
          <w:szCs w:val="24"/>
          <w:lang w:val="es-ES_tradnl"/>
        </w:rPr>
        <w:footnoteReference w:id="21"/>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8"/>
        <w:gridCol w:w="1260"/>
        <w:gridCol w:w="810"/>
        <w:gridCol w:w="630"/>
        <w:gridCol w:w="630"/>
        <w:gridCol w:w="720"/>
        <w:gridCol w:w="720"/>
        <w:gridCol w:w="630"/>
        <w:gridCol w:w="1710"/>
      </w:tblGrid>
      <w:tr w:rsidR="00EC13FA" w:rsidRPr="000F2C4C" w:rsidTr="004D2B1F">
        <w:trPr>
          <w:tblHeader/>
        </w:trPr>
        <w:tc>
          <w:tcPr>
            <w:tcW w:w="6048"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Producto</w:t>
            </w:r>
          </w:p>
        </w:tc>
        <w:tc>
          <w:tcPr>
            <w:tcW w:w="126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Unidad de medida</w:t>
            </w:r>
          </w:p>
        </w:tc>
        <w:tc>
          <w:tcPr>
            <w:tcW w:w="81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Línea de base</w:t>
            </w:r>
          </w:p>
        </w:tc>
        <w:tc>
          <w:tcPr>
            <w:tcW w:w="630" w:type="dxa"/>
            <w:shd w:val="clear" w:color="auto" w:fill="C2D69B"/>
            <w:vAlign w:val="center"/>
          </w:tcPr>
          <w:p w:rsidR="00EC13FA" w:rsidRPr="000F2C4C" w:rsidRDefault="00EC13FA" w:rsidP="004D2B1F">
            <w:pPr>
              <w:jc w:val="center"/>
              <w:rPr>
                <w:sz w:val="20"/>
                <w:szCs w:val="20"/>
                <w:lang w:val="es-ES_tradnl"/>
              </w:rPr>
            </w:pPr>
            <w:r w:rsidRPr="000F2C4C">
              <w:rPr>
                <w:b/>
                <w:bCs/>
                <w:color w:val="000000"/>
                <w:sz w:val="20"/>
                <w:szCs w:val="20"/>
                <w:lang w:val="es-ES_tradnl"/>
              </w:rPr>
              <w:t>Año 1</w:t>
            </w:r>
          </w:p>
        </w:tc>
        <w:tc>
          <w:tcPr>
            <w:tcW w:w="630" w:type="dxa"/>
            <w:shd w:val="clear" w:color="auto" w:fill="C2D69B"/>
            <w:vAlign w:val="center"/>
          </w:tcPr>
          <w:p w:rsidR="00EC13FA" w:rsidRPr="000F2C4C" w:rsidRDefault="00EC13FA" w:rsidP="004D2B1F">
            <w:pPr>
              <w:jc w:val="center"/>
              <w:rPr>
                <w:sz w:val="20"/>
                <w:szCs w:val="20"/>
                <w:lang w:val="es-ES_tradnl"/>
              </w:rPr>
            </w:pPr>
            <w:r w:rsidRPr="000F2C4C">
              <w:rPr>
                <w:b/>
                <w:bCs/>
                <w:color w:val="000000"/>
                <w:sz w:val="20"/>
                <w:szCs w:val="20"/>
                <w:lang w:val="es-ES_tradnl"/>
              </w:rPr>
              <w:t>Año 2</w:t>
            </w:r>
          </w:p>
        </w:tc>
        <w:tc>
          <w:tcPr>
            <w:tcW w:w="720" w:type="dxa"/>
            <w:shd w:val="clear" w:color="auto" w:fill="C2D69B"/>
            <w:vAlign w:val="center"/>
          </w:tcPr>
          <w:p w:rsidR="00EC13FA" w:rsidRPr="000F2C4C" w:rsidRDefault="00EC13FA" w:rsidP="004D2B1F">
            <w:pPr>
              <w:jc w:val="center"/>
              <w:rPr>
                <w:sz w:val="20"/>
                <w:szCs w:val="20"/>
                <w:lang w:val="es-ES_tradnl"/>
              </w:rPr>
            </w:pPr>
            <w:r w:rsidRPr="000F2C4C">
              <w:rPr>
                <w:b/>
                <w:bCs/>
                <w:color w:val="000000"/>
                <w:sz w:val="20"/>
                <w:szCs w:val="20"/>
                <w:lang w:val="es-ES_tradnl"/>
              </w:rPr>
              <w:t>Año 3</w:t>
            </w:r>
          </w:p>
        </w:tc>
        <w:tc>
          <w:tcPr>
            <w:tcW w:w="720" w:type="dxa"/>
            <w:shd w:val="clear" w:color="auto" w:fill="C2D69B"/>
            <w:vAlign w:val="center"/>
          </w:tcPr>
          <w:p w:rsidR="00EC13FA" w:rsidRPr="000F2C4C" w:rsidRDefault="00EC13FA" w:rsidP="004D2B1F">
            <w:pPr>
              <w:jc w:val="center"/>
              <w:rPr>
                <w:sz w:val="20"/>
                <w:szCs w:val="20"/>
                <w:lang w:val="es-ES_tradnl"/>
              </w:rPr>
            </w:pPr>
            <w:r w:rsidRPr="000F2C4C">
              <w:rPr>
                <w:b/>
                <w:bCs/>
                <w:color w:val="000000"/>
                <w:sz w:val="20"/>
                <w:szCs w:val="20"/>
                <w:lang w:val="es-ES_tradnl"/>
              </w:rPr>
              <w:t>Año 4</w:t>
            </w:r>
          </w:p>
        </w:tc>
        <w:tc>
          <w:tcPr>
            <w:tcW w:w="630" w:type="dxa"/>
            <w:shd w:val="clear" w:color="auto" w:fill="C2D69B"/>
            <w:vAlign w:val="center"/>
          </w:tcPr>
          <w:p w:rsidR="00EC13FA" w:rsidRPr="000F2C4C" w:rsidRDefault="00EC13FA" w:rsidP="004D2B1F">
            <w:pPr>
              <w:jc w:val="center"/>
              <w:rPr>
                <w:sz w:val="20"/>
                <w:szCs w:val="20"/>
                <w:lang w:val="es-ES_tradnl"/>
              </w:rPr>
            </w:pPr>
            <w:r w:rsidRPr="000F2C4C">
              <w:rPr>
                <w:b/>
                <w:bCs/>
                <w:color w:val="000000"/>
                <w:sz w:val="20"/>
                <w:szCs w:val="20"/>
                <w:lang w:val="es-ES_tradnl"/>
              </w:rPr>
              <w:t>Año 5</w:t>
            </w:r>
          </w:p>
        </w:tc>
        <w:tc>
          <w:tcPr>
            <w:tcW w:w="1710" w:type="dxa"/>
            <w:shd w:val="clear" w:color="auto" w:fill="C2D69B"/>
          </w:tcPr>
          <w:p w:rsidR="00EC13FA" w:rsidRPr="000F2C4C" w:rsidRDefault="00EC13FA" w:rsidP="004D2B1F">
            <w:pPr>
              <w:jc w:val="center"/>
              <w:rPr>
                <w:sz w:val="20"/>
                <w:szCs w:val="20"/>
                <w:lang w:val="es-ES_tradnl"/>
              </w:rPr>
            </w:pPr>
            <w:r w:rsidRPr="000F2C4C">
              <w:rPr>
                <w:sz w:val="20"/>
                <w:szCs w:val="20"/>
                <w:lang w:val="es-ES_tradnl"/>
              </w:rPr>
              <w:t>Meta</w:t>
            </w:r>
          </w:p>
        </w:tc>
      </w:tr>
      <w:tr w:rsidR="00EC13FA" w:rsidRPr="0007517E" w:rsidTr="004D2B1F">
        <w:tc>
          <w:tcPr>
            <w:tcW w:w="6048" w:type="dxa"/>
          </w:tcPr>
          <w:p w:rsidR="00EC13FA" w:rsidRPr="000F2C4C" w:rsidRDefault="00EC13FA" w:rsidP="004D2B1F">
            <w:pPr>
              <w:spacing w:before="40" w:after="40"/>
              <w:jc w:val="center"/>
              <w:rPr>
                <w:b/>
                <w:sz w:val="20"/>
                <w:szCs w:val="20"/>
                <w:u w:val="single"/>
                <w:lang w:val="es-ES_tradnl"/>
              </w:rPr>
            </w:pPr>
            <w:r w:rsidRPr="000F2C4C">
              <w:rPr>
                <w:b/>
                <w:sz w:val="20"/>
                <w:szCs w:val="20"/>
                <w:u w:val="single"/>
                <w:lang w:val="es-ES_tradnl"/>
              </w:rPr>
              <w:t>Componente 1: Fortalecimiento de la gestión estratégica</w:t>
            </w:r>
          </w:p>
        </w:tc>
        <w:tc>
          <w:tcPr>
            <w:tcW w:w="7110" w:type="dxa"/>
            <w:gridSpan w:val="8"/>
          </w:tcPr>
          <w:p w:rsidR="00EC13FA" w:rsidRPr="000F2C4C" w:rsidRDefault="00EC13FA" w:rsidP="004D2B1F">
            <w:pPr>
              <w:spacing w:before="40" w:after="40"/>
              <w:jc w:val="center"/>
              <w:rPr>
                <w:b/>
                <w:sz w:val="20"/>
                <w:szCs w:val="20"/>
                <w:u w:val="single"/>
                <w:lang w:val="es-ES_tradnl"/>
              </w:rPr>
            </w:pPr>
          </w:p>
        </w:tc>
      </w:tr>
      <w:tr w:rsidR="00EC13FA" w:rsidRPr="000F2C4C"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r w:rsidRPr="000F2C4C">
              <w:rPr>
                <w:color w:val="000000"/>
                <w:sz w:val="20"/>
                <w:szCs w:val="20"/>
                <w:lang w:val="es-ES_tradnl"/>
              </w:rPr>
              <w:t xml:space="preserve">Plan de acción </w:t>
            </w:r>
            <w:smartTag w:uri="schemas-houaiss/acao" w:element="dm">
              <w:r w:rsidRPr="000F2C4C">
                <w:rPr>
                  <w:color w:val="000000"/>
                  <w:sz w:val="20"/>
                  <w:szCs w:val="20"/>
                  <w:lang w:val="es-ES_tradnl"/>
                </w:rPr>
                <w:t>para</w:t>
              </w:r>
            </w:smartTag>
            <w:r w:rsidRPr="000F2C4C">
              <w:rPr>
                <w:color w:val="000000"/>
                <w:sz w:val="20"/>
                <w:szCs w:val="20"/>
                <w:lang w:val="es-ES_tradnl"/>
              </w:rPr>
              <w:t xml:space="preserve"> la implementación de la estrategia a fin de mejorar la defensa </w:t>
            </w:r>
            <w:smartTag w:uri="schemas-houaiss/mini" w:element="verbetes">
              <w:r w:rsidRPr="000F2C4C">
                <w:rPr>
                  <w:color w:val="000000"/>
                  <w:sz w:val="20"/>
                  <w:szCs w:val="20"/>
                  <w:lang w:val="es-ES_tradnl"/>
                </w:rPr>
                <w:t>jurídica</w:t>
              </w:r>
            </w:smartTag>
            <w:r w:rsidRPr="000F2C4C">
              <w:rPr>
                <w:color w:val="000000"/>
                <w:sz w:val="20"/>
                <w:szCs w:val="20"/>
                <w:lang w:val="es-ES_tradnl"/>
              </w:rPr>
              <w:t xml:space="preserve"> del </w:t>
            </w:r>
            <w:smartTag w:uri="schemas-houaiss/mini" w:element="verbetes">
              <w:r w:rsidRPr="000F2C4C">
                <w:rPr>
                  <w:color w:val="000000"/>
                  <w:sz w:val="20"/>
                  <w:szCs w:val="20"/>
                  <w:lang w:val="es-ES_tradnl"/>
                </w:rPr>
                <w:t>Estado</w:t>
              </w:r>
            </w:smartTag>
            <w:r w:rsidRPr="000F2C4C">
              <w:rPr>
                <w:color w:val="000000"/>
                <w:sz w:val="20"/>
                <w:szCs w:val="20"/>
                <w:lang w:val="es-ES_tradnl"/>
              </w:rPr>
              <w:t xml:space="preserve"> y el papel de la AGU en la sostenibilidad jurídica de las </w:t>
            </w:r>
            <w:smartTag w:uri="schemas-houaiss/mini" w:element="verbetes">
              <w:r w:rsidRPr="000F2C4C">
                <w:rPr>
                  <w:color w:val="000000"/>
                  <w:sz w:val="20"/>
                  <w:szCs w:val="20"/>
                  <w:lang w:val="es-ES_tradnl"/>
                </w:rPr>
                <w:t>políticas</w:t>
              </w:r>
            </w:smartTag>
            <w:r w:rsidRPr="000F2C4C">
              <w:rPr>
                <w:color w:val="000000"/>
                <w:sz w:val="20"/>
                <w:szCs w:val="20"/>
                <w:lang w:val="es-ES_tradnl"/>
              </w:rPr>
              <w:t xml:space="preserve"> públicas, incluyendo la evaluación de los riesgos </w:t>
            </w:r>
            <w:smartTag w:uri="schemas-houaiss/acao" w:element="dm">
              <w:r w:rsidRPr="000F2C4C">
                <w:rPr>
                  <w:color w:val="000000"/>
                  <w:sz w:val="20"/>
                  <w:szCs w:val="20"/>
                  <w:lang w:val="es-ES_tradnl"/>
                </w:rPr>
                <w:t>para</w:t>
              </w:r>
            </w:smartTag>
            <w:r w:rsidRPr="000F2C4C">
              <w:rPr>
                <w:color w:val="000000"/>
                <w:sz w:val="20"/>
                <w:szCs w:val="20"/>
                <w:lang w:val="es-ES_tradnl"/>
              </w:rPr>
              <w:t xml:space="preserve"> el </w:t>
            </w:r>
            <w:smartTag w:uri="schemas-houaiss/mini" w:element="verbetes">
              <w:r w:rsidRPr="000F2C4C">
                <w:rPr>
                  <w:color w:val="000000"/>
                  <w:sz w:val="20"/>
                  <w:szCs w:val="20"/>
                  <w:lang w:val="es-ES_tradnl"/>
                </w:rPr>
                <w:t>Estado</w:t>
              </w:r>
            </w:smartTag>
            <w:r w:rsidRPr="000F2C4C">
              <w:rPr>
                <w:color w:val="000000"/>
                <w:sz w:val="20"/>
                <w:szCs w:val="20"/>
                <w:lang w:val="es-ES_tradnl"/>
              </w:rPr>
              <w:t xml:space="preserve"> (Directivas estratégicas 2008/2015).</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t>Plan</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plan aprobado</w:t>
            </w:r>
          </w:p>
        </w:tc>
      </w:tr>
      <w:tr w:rsidR="00EC13FA" w:rsidRPr="000F2C4C"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r w:rsidRPr="000F2C4C">
              <w:rPr>
                <w:bCs/>
                <w:sz w:val="20"/>
                <w:szCs w:val="20"/>
                <w:lang w:val="es-ES_tradnl"/>
              </w:rPr>
              <w:t xml:space="preserve">Sistema para el monitoreo </w:t>
            </w:r>
            <w:smartTag w:uri="schemas-houaiss/mini" w:element="verbetes">
              <w:r w:rsidRPr="000F2C4C">
                <w:rPr>
                  <w:bCs/>
                  <w:sz w:val="20"/>
                  <w:szCs w:val="20"/>
                  <w:lang w:val="es-ES_tradnl"/>
                </w:rPr>
                <w:t>estratégico</w:t>
              </w:r>
            </w:smartTag>
            <w:r w:rsidRPr="000F2C4C">
              <w:rPr>
                <w:bCs/>
                <w:sz w:val="20"/>
                <w:szCs w:val="20"/>
                <w:lang w:val="es-ES_tradnl"/>
              </w:rPr>
              <w:t xml:space="preserve"> de los c</w:t>
            </w:r>
            <w:r w:rsidRPr="000F2C4C">
              <w:rPr>
                <w:sz w:val="20"/>
                <w:szCs w:val="20"/>
                <w:lang w:val="es-ES_tradnl"/>
              </w:rPr>
              <w:t>réditos activos y riesgos para el Estado</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Sistema</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sistema</w:t>
            </w:r>
            <w:r>
              <w:rPr>
                <w:sz w:val="20"/>
                <w:szCs w:val="20"/>
                <w:lang w:val="es-ES_tradnl"/>
              </w:rPr>
              <w:t xml:space="preserve"> informatizado</w:t>
            </w:r>
            <w:r w:rsidRPr="000F2C4C">
              <w:rPr>
                <w:sz w:val="20"/>
                <w:szCs w:val="20"/>
                <w:lang w:val="es-ES_tradnl"/>
              </w:rPr>
              <w:t xml:space="preserve"> aprobado e implantado</w:t>
            </w:r>
          </w:p>
        </w:tc>
      </w:tr>
      <w:tr w:rsidR="00EC13FA" w:rsidRPr="000F2C4C"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r w:rsidRPr="000F2C4C">
              <w:rPr>
                <w:sz w:val="20"/>
                <w:szCs w:val="20"/>
                <w:lang w:val="es-ES_tradnl"/>
              </w:rPr>
              <w:t xml:space="preserve">Estudio para el cálculo de la dimensión del costo </w:t>
            </w:r>
            <w:smartTag w:uri="schemas-houaiss/mini" w:element="verbetes">
              <w:r w:rsidRPr="000F2C4C">
                <w:rPr>
                  <w:sz w:val="20"/>
                  <w:szCs w:val="20"/>
                  <w:lang w:val="es-ES_tradnl"/>
                </w:rPr>
                <w:t>fiscal</w:t>
              </w:r>
            </w:smartTag>
            <w:r w:rsidRPr="000F2C4C">
              <w:rPr>
                <w:sz w:val="20"/>
                <w:szCs w:val="20"/>
                <w:lang w:val="es-ES_tradnl"/>
              </w:rPr>
              <w:t xml:space="preserve"> </w:t>
            </w:r>
            <w:smartTag w:uri="schemas-houaiss/mini" w:element="verbetes">
              <w:r w:rsidRPr="000F2C4C">
                <w:rPr>
                  <w:sz w:val="20"/>
                  <w:szCs w:val="20"/>
                  <w:lang w:val="es-ES_tradnl"/>
                </w:rPr>
                <w:t>implícito</w:t>
              </w:r>
            </w:smartTag>
            <w:r w:rsidRPr="000F2C4C">
              <w:rPr>
                <w:sz w:val="20"/>
                <w:szCs w:val="20"/>
                <w:lang w:val="es-ES_tradnl"/>
              </w:rPr>
              <w:t xml:space="preserve"> en los procesos </w:t>
            </w:r>
            <w:smartTag w:uri="schemas-houaiss/mini" w:element="verbetes">
              <w:r w:rsidRPr="000F2C4C">
                <w:rPr>
                  <w:sz w:val="20"/>
                  <w:szCs w:val="20"/>
                  <w:lang w:val="es-ES_tradnl"/>
                </w:rPr>
                <w:t>contra</w:t>
              </w:r>
            </w:smartTag>
            <w:r w:rsidRPr="000F2C4C">
              <w:rPr>
                <w:sz w:val="20"/>
                <w:szCs w:val="20"/>
                <w:lang w:val="es-ES_tradnl"/>
              </w:rPr>
              <w:t xml:space="preserve"> el Estado.</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Estudio</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estudio aprobado</w:t>
            </w:r>
          </w:p>
        </w:tc>
      </w:tr>
      <w:tr w:rsidR="00EC13FA" w:rsidRPr="000F2C4C"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smartTag w:uri="schemas-houaiss/mini" w:element="verbetes">
              <w:r w:rsidRPr="000F2C4C">
                <w:rPr>
                  <w:color w:val="000000"/>
                  <w:sz w:val="20"/>
                  <w:szCs w:val="20"/>
                  <w:lang w:val="es-ES_tradnl"/>
                </w:rPr>
                <w:t>Sistema</w:t>
              </w:r>
            </w:smartTag>
            <w:r w:rsidRPr="000F2C4C">
              <w:rPr>
                <w:color w:val="000000"/>
                <w:sz w:val="20"/>
                <w:szCs w:val="20"/>
                <w:lang w:val="es-ES_tradnl"/>
              </w:rPr>
              <w:t xml:space="preserve"> de </w:t>
            </w:r>
            <w:smartTag w:uri="schemas-houaiss/mini" w:element="verbetes">
              <w:r w:rsidRPr="000F2C4C">
                <w:rPr>
                  <w:color w:val="000000"/>
                  <w:sz w:val="20"/>
                  <w:szCs w:val="20"/>
                  <w:lang w:val="es-ES_tradnl"/>
                </w:rPr>
                <w:t>indicadores</w:t>
              </w:r>
            </w:smartTag>
            <w:r w:rsidRPr="000F2C4C">
              <w:rPr>
                <w:color w:val="000000"/>
                <w:sz w:val="20"/>
                <w:szCs w:val="20"/>
                <w:lang w:val="es-ES_tradnl"/>
              </w:rPr>
              <w:t xml:space="preserve">, </w:t>
            </w:r>
            <w:smartTag w:uri="schemas-houaiss/mini" w:element="verbetes">
              <w:r w:rsidRPr="000F2C4C">
                <w:rPr>
                  <w:color w:val="000000"/>
                  <w:sz w:val="20"/>
                  <w:szCs w:val="20"/>
                  <w:lang w:val="es-ES_tradnl"/>
                </w:rPr>
                <w:t>metas</w:t>
              </w:r>
            </w:smartTag>
            <w:r w:rsidRPr="000F2C4C">
              <w:rPr>
                <w:color w:val="000000"/>
                <w:sz w:val="20"/>
                <w:szCs w:val="20"/>
                <w:lang w:val="es-ES_tradnl"/>
              </w:rPr>
              <w:t xml:space="preserve"> y evaluación para la gestión </w:t>
            </w:r>
            <w:smartTag w:uri="schemas-houaiss/mini" w:element="verbetes">
              <w:r w:rsidRPr="000F2C4C">
                <w:rPr>
                  <w:color w:val="000000"/>
                  <w:sz w:val="20"/>
                  <w:szCs w:val="20"/>
                  <w:lang w:val="es-ES_tradnl"/>
                </w:rPr>
                <w:t>por</w:t>
              </w:r>
            </w:smartTag>
            <w:r w:rsidRPr="000F2C4C">
              <w:rPr>
                <w:color w:val="000000"/>
                <w:sz w:val="20"/>
                <w:szCs w:val="20"/>
                <w:lang w:val="es-ES_tradnl"/>
              </w:rPr>
              <w:t xml:space="preserve"> resultados.</w:t>
            </w:r>
          </w:p>
        </w:tc>
        <w:tc>
          <w:tcPr>
            <w:tcW w:w="1260" w:type="dxa"/>
            <w:shd w:val="clear" w:color="auto" w:fill="F2F2F2"/>
            <w:vAlign w:val="center"/>
          </w:tcPr>
          <w:p w:rsidR="00EC13FA" w:rsidRPr="000F2C4C" w:rsidRDefault="00EC13FA" w:rsidP="004D2B1F">
            <w:pPr>
              <w:jc w:val="center"/>
              <w:rPr>
                <w:sz w:val="20"/>
                <w:szCs w:val="20"/>
                <w:lang w:val="es-ES_tradnl"/>
              </w:rPr>
            </w:pPr>
            <w:smartTag w:uri="schemas-houaiss/mini" w:element="verbetes">
              <w:r w:rsidRPr="000F2C4C">
                <w:rPr>
                  <w:color w:val="000000"/>
                  <w:sz w:val="20"/>
                  <w:szCs w:val="20"/>
                  <w:lang w:val="es-ES_tradnl"/>
                </w:rPr>
                <w:t>Sistema</w:t>
              </w:r>
            </w:smartTag>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sistema aprobado e implantado</w:t>
            </w:r>
          </w:p>
        </w:tc>
      </w:tr>
      <w:tr w:rsidR="00EC13FA" w:rsidRPr="000F2C4C"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r w:rsidRPr="000F2C4C">
              <w:rPr>
                <w:color w:val="000000"/>
                <w:sz w:val="20"/>
                <w:szCs w:val="20"/>
                <w:lang w:val="es-ES_tradnl"/>
              </w:rPr>
              <w:t xml:space="preserve">Herramienta </w:t>
            </w:r>
            <w:r>
              <w:rPr>
                <w:color w:val="000000"/>
                <w:sz w:val="20"/>
                <w:szCs w:val="20"/>
                <w:lang w:val="es-ES_tradnl"/>
              </w:rPr>
              <w:t xml:space="preserve"> Sistema informático </w:t>
            </w:r>
            <w:r w:rsidRPr="000F2C4C">
              <w:rPr>
                <w:color w:val="000000"/>
                <w:sz w:val="20"/>
                <w:szCs w:val="20"/>
                <w:lang w:val="es-ES_tradnl"/>
              </w:rPr>
              <w:t xml:space="preserve">que permita </w:t>
            </w:r>
            <w:smartTag w:uri="schemas-houaiss/acao" w:element="hm">
              <w:r w:rsidRPr="000F2C4C">
                <w:rPr>
                  <w:color w:val="000000"/>
                  <w:sz w:val="20"/>
                  <w:szCs w:val="20"/>
                  <w:lang w:val="es-ES_tradnl"/>
                </w:rPr>
                <w:t>verificar</w:t>
              </w:r>
            </w:smartTag>
            <w:r w:rsidRPr="000F2C4C">
              <w:rPr>
                <w:color w:val="000000"/>
                <w:sz w:val="20"/>
                <w:szCs w:val="20"/>
                <w:lang w:val="es-ES_tradnl"/>
              </w:rPr>
              <w:t xml:space="preserve"> y monitorear la consistencia </w:t>
            </w:r>
            <w:smartTag w:uri="schemas-houaiss/mini" w:element="verbetes">
              <w:r w:rsidRPr="000F2C4C">
                <w:rPr>
                  <w:color w:val="000000"/>
                  <w:sz w:val="20"/>
                  <w:szCs w:val="20"/>
                  <w:lang w:val="es-ES_tradnl"/>
                </w:rPr>
                <w:t>entre</w:t>
              </w:r>
            </w:smartTag>
            <w:r w:rsidRPr="000F2C4C">
              <w:rPr>
                <w:color w:val="000000"/>
                <w:sz w:val="20"/>
                <w:szCs w:val="20"/>
                <w:lang w:val="es-ES_tradnl"/>
              </w:rPr>
              <w:t xml:space="preserve"> los lineamientos </w:t>
            </w:r>
            <w:smartTag w:uri="schemas-houaiss/mini" w:element="verbetes">
              <w:r w:rsidRPr="000F2C4C">
                <w:rPr>
                  <w:color w:val="000000"/>
                  <w:sz w:val="20"/>
                  <w:szCs w:val="20"/>
                  <w:lang w:val="es-ES_tradnl"/>
                </w:rPr>
                <w:t>estratégicos</w:t>
              </w:r>
            </w:smartTag>
            <w:r w:rsidRPr="000F2C4C">
              <w:rPr>
                <w:color w:val="000000"/>
                <w:sz w:val="20"/>
                <w:szCs w:val="20"/>
                <w:lang w:val="es-ES_tradnl"/>
              </w:rPr>
              <w:t xml:space="preserve"> y los </w:t>
            </w:r>
            <w:smartTag w:uri="schemas-houaiss/mini" w:element="verbetes">
              <w:r w:rsidRPr="000F2C4C">
                <w:rPr>
                  <w:color w:val="000000"/>
                  <w:sz w:val="20"/>
                  <w:szCs w:val="20"/>
                  <w:lang w:val="es-ES_tradnl"/>
                </w:rPr>
                <w:t>resultados</w:t>
              </w:r>
            </w:smartTag>
            <w:r w:rsidRPr="000F2C4C">
              <w:rPr>
                <w:color w:val="000000"/>
                <w:sz w:val="20"/>
                <w:szCs w:val="20"/>
                <w:lang w:val="es-ES_tradnl"/>
              </w:rPr>
              <w:t xml:space="preserve"> operativos.</w:t>
            </w:r>
          </w:p>
        </w:tc>
        <w:tc>
          <w:tcPr>
            <w:tcW w:w="1260" w:type="dxa"/>
            <w:shd w:val="clear" w:color="auto" w:fill="F2F2F2"/>
            <w:vAlign w:val="center"/>
          </w:tcPr>
          <w:p w:rsidR="00EC13FA" w:rsidRPr="000F2C4C" w:rsidRDefault="00EC13FA" w:rsidP="004D2B1F">
            <w:pPr>
              <w:jc w:val="center"/>
              <w:rPr>
                <w:sz w:val="20"/>
                <w:szCs w:val="20"/>
                <w:lang w:val="es-ES_tradnl"/>
              </w:rPr>
            </w:pPr>
            <w:r>
              <w:rPr>
                <w:color w:val="000000"/>
                <w:sz w:val="20"/>
                <w:szCs w:val="20"/>
                <w:lang w:val="es-ES_tradnl"/>
              </w:rPr>
              <w:t>Sistema</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 xml:space="preserve">1 </w:t>
            </w:r>
            <w:r>
              <w:rPr>
                <w:sz w:val="20"/>
                <w:szCs w:val="20"/>
                <w:lang w:val="es-ES_tradnl"/>
              </w:rPr>
              <w:t>Sistema</w:t>
            </w:r>
            <w:r w:rsidRPr="000F2C4C">
              <w:rPr>
                <w:sz w:val="20"/>
                <w:szCs w:val="20"/>
                <w:lang w:val="es-ES_tradnl"/>
              </w:rPr>
              <w:t xml:space="preserve"> instalada</w:t>
            </w:r>
          </w:p>
        </w:tc>
      </w:tr>
      <w:tr w:rsidR="00EC13FA" w:rsidRPr="000F2C4C"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r w:rsidRPr="000F2C4C">
              <w:rPr>
                <w:color w:val="000000"/>
                <w:sz w:val="20"/>
                <w:szCs w:val="20"/>
                <w:lang w:val="es-ES_tradnl"/>
              </w:rPr>
              <w:t xml:space="preserve">Creación de </w:t>
            </w:r>
            <w:smartTag w:uri="schemas-houaiss/mini" w:element="verbetes">
              <w:r w:rsidRPr="000F2C4C">
                <w:rPr>
                  <w:color w:val="000000"/>
                  <w:sz w:val="20"/>
                  <w:szCs w:val="20"/>
                  <w:lang w:val="es-ES_tradnl"/>
                </w:rPr>
                <w:t>una</w:t>
              </w:r>
            </w:smartTag>
            <w:r w:rsidRPr="000F2C4C">
              <w:rPr>
                <w:color w:val="000000"/>
                <w:sz w:val="20"/>
                <w:szCs w:val="20"/>
                <w:lang w:val="es-ES_tradnl"/>
              </w:rPr>
              <w:t xml:space="preserve"> oficina de gestión del conocimiento.</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Oficina</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Oficina Funcional Implementada</w:t>
            </w:r>
          </w:p>
        </w:tc>
      </w:tr>
      <w:tr w:rsidR="00EC13FA" w:rsidRPr="000F2C4C"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r w:rsidRPr="000F2C4C">
              <w:rPr>
                <w:color w:val="000000"/>
                <w:sz w:val="20"/>
                <w:szCs w:val="20"/>
                <w:lang w:val="es-ES_tradnl"/>
              </w:rPr>
              <w:t xml:space="preserve">Instalación de una herramienta de BI incluyendo </w:t>
            </w:r>
            <w:smartTag w:uri="schemas-houaiss/mini" w:element="verbetes">
              <w:r w:rsidRPr="000F2C4C">
                <w:rPr>
                  <w:color w:val="000000"/>
                  <w:sz w:val="20"/>
                  <w:szCs w:val="20"/>
                  <w:lang w:val="es-ES_tradnl"/>
                </w:rPr>
                <w:t>recursos</w:t>
              </w:r>
            </w:smartTag>
            <w:r w:rsidRPr="000F2C4C">
              <w:rPr>
                <w:color w:val="000000"/>
                <w:sz w:val="20"/>
                <w:szCs w:val="20"/>
                <w:lang w:val="es-ES_tradnl"/>
              </w:rPr>
              <w:t xml:space="preserve"> </w:t>
            </w:r>
            <w:smartTag w:uri="schemas-houaiss/acao" w:element="dm">
              <w:r w:rsidRPr="000F2C4C">
                <w:rPr>
                  <w:color w:val="000000"/>
                  <w:sz w:val="20"/>
                  <w:szCs w:val="20"/>
                  <w:lang w:val="es-ES_tradnl"/>
                </w:rPr>
                <w:t>para</w:t>
              </w:r>
            </w:smartTag>
            <w:r w:rsidRPr="000F2C4C">
              <w:rPr>
                <w:color w:val="000000"/>
                <w:sz w:val="20"/>
                <w:szCs w:val="20"/>
                <w:lang w:val="es-ES_tradnl"/>
              </w:rPr>
              <w:t xml:space="preserve"> </w:t>
            </w:r>
            <w:proofErr w:type="spellStart"/>
            <w:r w:rsidRPr="000F2C4C">
              <w:rPr>
                <w:i/>
                <w:color w:val="000000"/>
                <w:sz w:val="20"/>
                <w:szCs w:val="20"/>
                <w:lang w:val="es-ES_tradnl"/>
              </w:rPr>
              <w:t>text</w:t>
            </w:r>
            <w:proofErr w:type="spellEnd"/>
            <w:r w:rsidRPr="000F2C4C">
              <w:rPr>
                <w:i/>
                <w:color w:val="000000"/>
                <w:sz w:val="20"/>
                <w:szCs w:val="20"/>
                <w:lang w:val="es-ES_tradnl"/>
              </w:rPr>
              <w:t xml:space="preserve"> </w:t>
            </w:r>
            <w:proofErr w:type="spellStart"/>
            <w:r w:rsidRPr="000F2C4C">
              <w:rPr>
                <w:i/>
                <w:color w:val="000000"/>
                <w:sz w:val="20"/>
                <w:szCs w:val="20"/>
                <w:lang w:val="es-ES_tradnl"/>
              </w:rPr>
              <w:t>mining</w:t>
            </w:r>
            <w:proofErr w:type="spellEnd"/>
            <w:r w:rsidRPr="000F2C4C">
              <w:rPr>
                <w:color w:val="000000"/>
                <w:sz w:val="20"/>
                <w:szCs w:val="20"/>
                <w:lang w:val="es-ES_tradnl"/>
              </w:rPr>
              <w:t xml:space="preserve"> y </w:t>
            </w:r>
            <w:r w:rsidRPr="000F2C4C">
              <w:rPr>
                <w:i/>
                <w:color w:val="000000"/>
                <w:sz w:val="20"/>
                <w:szCs w:val="20"/>
                <w:lang w:val="es-ES_tradnl"/>
              </w:rPr>
              <w:t xml:space="preserve">data </w:t>
            </w:r>
            <w:proofErr w:type="spellStart"/>
            <w:r w:rsidRPr="000F2C4C">
              <w:rPr>
                <w:i/>
                <w:color w:val="000000"/>
                <w:sz w:val="20"/>
                <w:szCs w:val="20"/>
                <w:lang w:val="es-ES_tradnl"/>
              </w:rPr>
              <w:t>mining</w:t>
            </w:r>
            <w:proofErr w:type="spellEnd"/>
            <w:r w:rsidRPr="000F2C4C">
              <w:rPr>
                <w:color w:val="000000"/>
                <w:sz w:val="20"/>
                <w:szCs w:val="20"/>
                <w:lang w:val="es-ES_tradnl"/>
              </w:rPr>
              <w:t>.</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t>Herramienta</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herramienta instalada</w:t>
            </w:r>
          </w:p>
        </w:tc>
      </w:tr>
      <w:tr w:rsidR="00EC13FA" w:rsidRPr="000F2C4C"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r w:rsidRPr="000F2C4C">
              <w:rPr>
                <w:sz w:val="20"/>
                <w:szCs w:val="20"/>
                <w:lang w:val="es-ES_tradnl"/>
              </w:rPr>
              <w:t xml:space="preserve">Creación de la </w:t>
            </w:r>
            <w:smartTag w:uri="schemas-houaiss/mini" w:element="verbetes">
              <w:r w:rsidRPr="000F2C4C">
                <w:rPr>
                  <w:sz w:val="20"/>
                  <w:szCs w:val="20"/>
                  <w:lang w:val="es-ES_tradnl"/>
                </w:rPr>
                <w:t>Oficina</w:t>
              </w:r>
            </w:smartTag>
            <w:r w:rsidRPr="000F2C4C">
              <w:rPr>
                <w:sz w:val="20"/>
                <w:szCs w:val="20"/>
                <w:lang w:val="es-ES_tradnl"/>
              </w:rPr>
              <w:t xml:space="preserve"> de Gestión por Procesos.</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Oficina</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Oficina Funcional Implementada</w:t>
            </w:r>
          </w:p>
        </w:tc>
      </w:tr>
      <w:tr w:rsidR="00EC13FA" w:rsidRPr="0007517E" w:rsidTr="004D2B1F">
        <w:tc>
          <w:tcPr>
            <w:tcW w:w="6048" w:type="dxa"/>
            <w:shd w:val="clear" w:color="auto" w:fill="F2F2F2"/>
          </w:tcPr>
          <w:p w:rsidR="00EC13FA" w:rsidRPr="000F2C4C" w:rsidRDefault="00EC13FA" w:rsidP="00EC13FA">
            <w:pPr>
              <w:numPr>
                <w:ilvl w:val="1"/>
                <w:numId w:val="19"/>
              </w:numPr>
              <w:ind w:left="270"/>
              <w:jc w:val="left"/>
              <w:rPr>
                <w:bCs/>
                <w:sz w:val="20"/>
                <w:szCs w:val="20"/>
                <w:lang w:val="es-ES_tradnl"/>
              </w:rPr>
            </w:pPr>
            <w:smartTag w:uri="schemas-houaiss/acao" w:element="dm">
              <w:r w:rsidRPr="000F2C4C">
                <w:rPr>
                  <w:sz w:val="20"/>
                  <w:szCs w:val="20"/>
                  <w:lang w:val="es-ES_tradnl"/>
                </w:rPr>
                <w:t>Modelo</w:t>
              </w:r>
            </w:smartTag>
            <w:r w:rsidRPr="000F2C4C">
              <w:rPr>
                <w:sz w:val="20"/>
                <w:szCs w:val="20"/>
                <w:lang w:val="es-ES_tradnl"/>
              </w:rPr>
              <w:t xml:space="preserve"> dinámico de gerencia, control, optimización, integración y sostenibilidad de los procesos operativos y de gestión.</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Reingeniería</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reingeniería aprobada y puesta en aplicación</w:t>
            </w:r>
          </w:p>
        </w:tc>
      </w:tr>
      <w:tr w:rsidR="00EC13FA" w:rsidRPr="000F2C4C" w:rsidTr="004D2B1F">
        <w:tc>
          <w:tcPr>
            <w:tcW w:w="6048" w:type="dxa"/>
            <w:shd w:val="clear" w:color="auto" w:fill="F2F2F2"/>
          </w:tcPr>
          <w:p w:rsidR="00EC13FA" w:rsidRPr="000F2C4C" w:rsidRDefault="00EC13FA" w:rsidP="00EC13FA">
            <w:pPr>
              <w:numPr>
                <w:ilvl w:val="1"/>
                <w:numId w:val="19"/>
              </w:numPr>
              <w:ind w:hanging="450"/>
              <w:jc w:val="left"/>
              <w:rPr>
                <w:bCs/>
                <w:sz w:val="20"/>
                <w:szCs w:val="20"/>
                <w:lang w:val="es-ES_tradnl"/>
              </w:rPr>
            </w:pPr>
            <w:r w:rsidRPr="000F2C4C">
              <w:rPr>
                <w:color w:val="000000"/>
                <w:sz w:val="20"/>
                <w:szCs w:val="20"/>
                <w:lang w:val="es-ES_tradnl"/>
              </w:rPr>
              <w:t xml:space="preserve"> Oficina responsable de la definición y monitoreo de los proyectos institucionales (</w:t>
            </w:r>
            <w:smartTag w:uri="schemas-houaiss/mini" w:element="verbetes">
              <w:r w:rsidRPr="000F2C4C">
                <w:rPr>
                  <w:color w:val="000000"/>
                  <w:sz w:val="20"/>
                  <w:szCs w:val="20"/>
                  <w:lang w:val="es-ES_tradnl"/>
                </w:rPr>
                <w:t>Oficina</w:t>
              </w:r>
            </w:smartTag>
            <w:r w:rsidRPr="000F2C4C">
              <w:rPr>
                <w:color w:val="000000"/>
                <w:sz w:val="20"/>
                <w:szCs w:val="20"/>
                <w:lang w:val="es-ES_tradnl"/>
              </w:rPr>
              <w:t xml:space="preserve"> de Gestión de Proyectos).</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Oficina</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 xml:space="preserve">1 Oficina Funcional </w:t>
            </w:r>
            <w:r w:rsidRPr="000F2C4C">
              <w:rPr>
                <w:sz w:val="20"/>
                <w:szCs w:val="20"/>
                <w:lang w:val="es-ES_tradnl"/>
              </w:rPr>
              <w:lastRenderedPageBreak/>
              <w:t>Implementada</w:t>
            </w:r>
          </w:p>
        </w:tc>
      </w:tr>
      <w:tr w:rsidR="00EC13FA" w:rsidRPr="000F2C4C" w:rsidTr="004D2B1F">
        <w:trPr>
          <w:trHeight w:val="467"/>
        </w:trPr>
        <w:tc>
          <w:tcPr>
            <w:tcW w:w="6048" w:type="dxa"/>
            <w:shd w:val="clear" w:color="auto" w:fill="F2F2F2"/>
          </w:tcPr>
          <w:p w:rsidR="00EC13FA" w:rsidRPr="000F2C4C" w:rsidRDefault="00EC13FA" w:rsidP="00EC13FA">
            <w:pPr>
              <w:numPr>
                <w:ilvl w:val="1"/>
                <w:numId w:val="19"/>
              </w:numPr>
              <w:ind w:hanging="450"/>
              <w:jc w:val="left"/>
              <w:rPr>
                <w:color w:val="000000"/>
                <w:sz w:val="20"/>
                <w:szCs w:val="20"/>
                <w:lang w:val="es-ES_tradnl"/>
              </w:rPr>
            </w:pPr>
            <w:r w:rsidRPr="000F2C4C">
              <w:rPr>
                <w:color w:val="000000"/>
                <w:sz w:val="20"/>
                <w:szCs w:val="20"/>
                <w:lang w:val="es-ES_tradnl"/>
              </w:rPr>
              <w:lastRenderedPageBreak/>
              <w:t>Diseño de políticas de comunicación de los cambios a los ciudadanos sobre las acciones previstas en el programa</w:t>
            </w:r>
          </w:p>
        </w:tc>
        <w:tc>
          <w:tcPr>
            <w:tcW w:w="1260" w:type="dxa"/>
            <w:shd w:val="clear" w:color="auto" w:fill="F2F2F2"/>
            <w:vAlign w:val="center"/>
          </w:tcPr>
          <w:p w:rsidR="00EC13FA" w:rsidRPr="000F2C4C" w:rsidRDefault="00EC13FA" w:rsidP="004D2B1F">
            <w:pPr>
              <w:jc w:val="center"/>
              <w:rPr>
                <w:color w:val="000000"/>
                <w:sz w:val="20"/>
                <w:szCs w:val="20"/>
                <w:lang w:val="es-ES_tradnl"/>
              </w:rPr>
            </w:pPr>
            <w:r w:rsidRPr="000F2C4C">
              <w:rPr>
                <w:color w:val="000000"/>
                <w:sz w:val="20"/>
                <w:szCs w:val="20"/>
                <w:lang w:val="es-ES_tradnl"/>
              </w:rPr>
              <w:t>Informe</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 xml:space="preserve">1 </w:t>
            </w:r>
            <w:r>
              <w:rPr>
                <w:sz w:val="20"/>
                <w:szCs w:val="20"/>
                <w:lang w:val="es-ES_tradnl"/>
              </w:rPr>
              <w:t>propuesta de diseño</w:t>
            </w:r>
            <w:r w:rsidRPr="000F2C4C">
              <w:rPr>
                <w:sz w:val="20"/>
                <w:szCs w:val="20"/>
                <w:lang w:val="es-ES_tradnl"/>
              </w:rPr>
              <w:t xml:space="preserve"> aprobad</w:t>
            </w:r>
            <w:r>
              <w:rPr>
                <w:sz w:val="20"/>
                <w:szCs w:val="20"/>
                <w:lang w:val="es-ES_tradnl"/>
              </w:rPr>
              <w:t>a</w:t>
            </w:r>
          </w:p>
        </w:tc>
      </w:tr>
      <w:tr w:rsidR="00EC13FA" w:rsidRPr="000F2C4C" w:rsidTr="004D2B1F">
        <w:trPr>
          <w:trHeight w:val="467"/>
        </w:trPr>
        <w:tc>
          <w:tcPr>
            <w:tcW w:w="6048" w:type="dxa"/>
            <w:shd w:val="clear" w:color="auto" w:fill="F2F2F2"/>
          </w:tcPr>
          <w:p w:rsidR="00EC13FA" w:rsidRPr="000F2C4C" w:rsidRDefault="00EC13FA" w:rsidP="00EC13FA">
            <w:pPr>
              <w:numPr>
                <w:ilvl w:val="1"/>
                <w:numId w:val="19"/>
              </w:numPr>
              <w:ind w:hanging="450"/>
              <w:jc w:val="left"/>
              <w:rPr>
                <w:color w:val="000000"/>
                <w:sz w:val="20"/>
                <w:szCs w:val="20"/>
                <w:lang w:val="es-ES_tradnl"/>
              </w:rPr>
            </w:pPr>
            <w:r w:rsidRPr="000F2C4C">
              <w:rPr>
                <w:color w:val="000000"/>
                <w:sz w:val="20"/>
                <w:szCs w:val="20"/>
                <w:lang w:val="es-ES_tradnl"/>
              </w:rPr>
              <w:t>Plan de comunicación interna de los cambios</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t>Plan</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5 planes anuales ejecutados</w:t>
            </w:r>
          </w:p>
        </w:tc>
      </w:tr>
      <w:tr w:rsidR="00EC13FA" w:rsidRPr="000F2C4C" w:rsidTr="004D2B1F">
        <w:trPr>
          <w:trHeight w:val="467"/>
        </w:trPr>
        <w:tc>
          <w:tcPr>
            <w:tcW w:w="6048" w:type="dxa"/>
            <w:shd w:val="clear" w:color="auto" w:fill="F2F2F2"/>
          </w:tcPr>
          <w:p w:rsidR="00EC13FA" w:rsidRPr="000F2C4C" w:rsidRDefault="00EC13FA" w:rsidP="00EC13FA">
            <w:pPr>
              <w:numPr>
                <w:ilvl w:val="1"/>
                <w:numId w:val="19"/>
              </w:numPr>
              <w:ind w:hanging="450"/>
              <w:jc w:val="left"/>
              <w:rPr>
                <w:color w:val="000000"/>
                <w:sz w:val="20"/>
                <w:szCs w:val="20"/>
                <w:lang w:val="es-ES_tradnl"/>
              </w:rPr>
            </w:pPr>
            <w:r w:rsidRPr="000F2C4C">
              <w:rPr>
                <w:color w:val="000000"/>
                <w:sz w:val="20"/>
                <w:szCs w:val="20"/>
                <w:lang w:val="es-ES_tradnl"/>
              </w:rPr>
              <w:t>Diseño e implementación de plan de estrategias de gestión del cambio.</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t>Plan</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5 planes anuales ejecutados</w:t>
            </w:r>
          </w:p>
        </w:tc>
      </w:tr>
      <w:tr w:rsidR="00EC13FA" w:rsidRPr="0007517E" w:rsidTr="004D2B1F">
        <w:tc>
          <w:tcPr>
            <w:tcW w:w="6048" w:type="dxa"/>
          </w:tcPr>
          <w:p w:rsidR="00EC13FA" w:rsidRPr="000F2C4C" w:rsidRDefault="00EC13FA" w:rsidP="004D2B1F">
            <w:pPr>
              <w:spacing w:before="40" w:after="40"/>
              <w:jc w:val="center"/>
              <w:rPr>
                <w:b/>
                <w:sz w:val="20"/>
                <w:szCs w:val="20"/>
                <w:u w:val="single"/>
                <w:lang w:val="es-ES_tradnl"/>
              </w:rPr>
            </w:pPr>
            <w:r w:rsidRPr="000F2C4C">
              <w:rPr>
                <w:b/>
                <w:sz w:val="20"/>
                <w:szCs w:val="20"/>
                <w:u w:val="single"/>
                <w:lang w:val="es-ES_tradnl"/>
              </w:rPr>
              <w:t>Componente 2: Mejoramiento de la gestión jurídica de la AGU</w:t>
            </w:r>
          </w:p>
        </w:tc>
        <w:tc>
          <w:tcPr>
            <w:tcW w:w="7110" w:type="dxa"/>
            <w:gridSpan w:val="8"/>
          </w:tcPr>
          <w:p w:rsidR="00EC13FA" w:rsidRPr="000F2C4C" w:rsidRDefault="00EC13FA" w:rsidP="004D2B1F">
            <w:pPr>
              <w:spacing w:before="40" w:after="40"/>
              <w:jc w:val="center"/>
              <w:rPr>
                <w:b/>
                <w:sz w:val="20"/>
                <w:szCs w:val="20"/>
                <w:u w:val="single"/>
                <w:lang w:val="es-ES_tradnl"/>
              </w:rPr>
            </w:pPr>
          </w:p>
        </w:tc>
      </w:tr>
      <w:tr w:rsidR="00EC13FA" w:rsidRPr="0007517E" w:rsidTr="004D2B1F">
        <w:tc>
          <w:tcPr>
            <w:tcW w:w="6048" w:type="dxa"/>
            <w:shd w:val="clear" w:color="auto" w:fill="F2F2F2"/>
          </w:tcPr>
          <w:p w:rsidR="00EC13FA" w:rsidRPr="000F2C4C" w:rsidRDefault="00EC13FA" w:rsidP="00EC13FA">
            <w:pPr>
              <w:numPr>
                <w:ilvl w:val="1"/>
                <w:numId w:val="20"/>
              </w:numPr>
              <w:jc w:val="left"/>
              <w:rPr>
                <w:sz w:val="20"/>
                <w:szCs w:val="20"/>
                <w:lang w:val="es-ES_tradnl"/>
              </w:rPr>
            </w:pPr>
            <w:r w:rsidRPr="000F2C4C">
              <w:rPr>
                <w:sz w:val="20"/>
                <w:szCs w:val="20"/>
                <w:lang w:val="es-ES_tradnl"/>
              </w:rPr>
              <w:t>Reingeniería de los flujos de trabajo de los procesos contenciosos de la Administración Directa:</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Reingeniería</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reingeniería aprobada y puesta en aplicación</w:t>
            </w:r>
          </w:p>
        </w:tc>
      </w:tr>
      <w:tr w:rsidR="00EC13FA" w:rsidRPr="0007517E"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jc w:val="left"/>
              <w:rPr>
                <w:sz w:val="20"/>
                <w:szCs w:val="20"/>
                <w:lang w:val="es-ES_tradnl"/>
              </w:rPr>
            </w:pPr>
            <w:r w:rsidRPr="000F2C4C">
              <w:rPr>
                <w:color w:val="000000"/>
                <w:sz w:val="20"/>
                <w:szCs w:val="20"/>
                <w:lang w:val="es-ES_tradnl"/>
              </w:rPr>
              <w:t xml:space="preserve">Reingeniería de los flujos de trabajo de consultoría y asesoría de Administración Directa </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Reingeniería</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reingeniería aprobada y puesta en aplicación</w:t>
            </w:r>
          </w:p>
        </w:tc>
      </w:tr>
      <w:tr w:rsidR="00EC13FA" w:rsidRPr="0007517E"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jc w:val="left"/>
              <w:rPr>
                <w:sz w:val="20"/>
                <w:szCs w:val="20"/>
                <w:lang w:val="es-ES_tradnl"/>
              </w:rPr>
            </w:pPr>
            <w:r w:rsidRPr="000F2C4C">
              <w:rPr>
                <w:sz w:val="20"/>
                <w:szCs w:val="20"/>
                <w:lang w:val="es-ES_tradnl"/>
              </w:rPr>
              <w:t xml:space="preserve">Plan de estrategias de prevención abarcando </w:t>
            </w:r>
            <w:smartTag w:uri="schemas-houaiss/mini" w:element="verbetes">
              <w:r w:rsidRPr="000F2C4C">
                <w:rPr>
                  <w:sz w:val="20"/>
                  <w:szCs w:val="20"/>
                  <w:lang w:val="es-ES_tradnl"/>
                </w:rPr>
                <w:t>todos</w:t>
              </w:r>
            </w:smartTag>
            <w:r w:rsidRPr="000F2C4C">
              <w:rPr>
                <w:sz w:val="20"/>
                <w:szCs w:val="20"/>
                <w:lang w:val="es-ES_tradnl"/>
              </w:rPr>
              <w:t xml:space="preserve"> los órganos de la Administración Directa.</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Plan</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plan aprobado y puesta en aplicación</w:t>
            </w:r>
          </w:p>
        </w:tc>
      </w:tr>
      <w:tr w:rsidR="00EC13FA" w:rsidRPr="0007517E"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jc w:val="left"/>
              <w:rPr>
                <w:sz w:val="20"/>
                <w:szCs w:val="20"/>
                <w:lang w:val="es-ES_tradnl"/>
              </w:rPr>
            </w:pPr>
            <w:r w:rsidRPr="000F2C4C">
              <w:rPr>
                <w:color w:val="000000"/>
                <w:sz w:val="20"/>
                <w:szCs w:val="20"/>
                <w:lang w:val="es-ES_tradnl"/>
              </w:rPr>
              <w:t>Reingeniería de los flujos de trabajo contenciosos, de consultoría y asesoría jurídicas en la Administración Indirecta:</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Reingeniería</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reingeniería aprobada y puesta en aplicación</w:t>
            </w:r>
          </w:p>
        </w:tc>
      </w:tr>
      <w:tr w:rsidR="00EC13FA" w:rsidRPr="0007517E"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jc w:val="left"/>
              <w:rPr>
                <w:sz w:val="20"/>
                <w:szCs w:val="20"/>
                <w:lang w:val="es-ES_tradnl"/>
              </w:rPr>
            </w:pPr>
            <w:r w:rsidRPr="000F2C4C">
              <w:rPr>
                <w:color w:val="000000"/>
                <w:sz w:val="20"/>
                <w:szCs w:val="20"/>
                <w:lang w:val="es-ES_tradnl"/>
              </w:rPr>
              <w:t xml:space="preserve">Plan de estrategias de prevención abarcando </w:t>
            </w:r>
            <w:smartTag w:uri="schemas-houaiss/mini" w:element="verbetes">
              <w:r w:rsidRPr="000F2C4C">
                <w:rPr>
                  <w:color w:val="000000"/>
                  <w:sz w:val="20"/>
                  <w:szCs w:val="20"/>
                  <w:lang w:val="es-ES_tradnl"/>
                </w:rPr>
                <w:t>todos</w:t>
              </w:r>
            </w:smartTag>
            <w:r w:rsidRPr="000F2C4C">
              <w:rPr>
                <w:color w:val="000000"/>
                <w:sz w:val="20"/>
                <w:szCs w:val="20"/>
                <w:lang w:val="es-ES_tradnl"/>
              </w:rPr>
              <w:t xml:space="preserve"> los órganos de la Administración Indirecta</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t>Plan</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plan aprobado y puesta en aplicación</w:t>
            </w:r>
          </w:p>
        </w:tc>
      </w:tr>
      <w:tr w:rsidR="00EC13FA" w:rsidRPr="0007517E"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jc w:val="left"/>
              <w:rPr>
                <w:sz w:val="20"/>
                <w:szCs w:val="20"/>
                <w:lang w:val="es-ES_tradnl"/>
              </w:rPr>
            </w:pPr>
            <w:r w:rsidRPr="000F2C4C">
              <w:rPr>
                <w:color w:val="000000"/>
                <w:sz w:val="20"/>
                <w:szCs w:val="20"/>
                <w:lang w:val="es-ES_tradnl"/>
              </w:rPr>
              <w:t xml:space="preserve">Reingeniería de los </w:t>
            </w:r>
            <w:smartTag w:uri="schemas-houaiss/mini" w:element="verbetes">
              <w:r w:rsidRPr="000F2C4C">
                <w:rPr>
                  <w:color w:val="000000"/>
                  <w:sz w:val="20"/>
                  <w:szCs w:val="20"/>
                  <w:lang w:val="es-ES_tradnl"/>
                </w:rPr>
                <w:t>Métodos</w:t>
              </w:r>
            </w:smartTag>
            <w:r w:rsidRPr="000F2C4C">
              <w:rPr>
                <w:color w:val="000000"/>
                <w:sz w:val="20"/>
                <w:szCs w:val="20"/>
                <w:lang w:val="es-ES_tradnl"/>
              </w:rPr>
              <w:t xml:space="preserve"> </w:t>
            </w:r>
            <w:smartTag w:uri="schemas-houaiss/mini" w:element="verbetes">
              <w:r w:rsidRPr="000F2C4C">
                <w:rPr>
                  <w:color w:val="000000"/>
                  <w:sz w:val="20"/>
                  <w:szCs w:val="20"/>
                  <w:lang w:val="es-ES_tradnl"/>
                </w:rPr>
                <w:t>Alternativos</w:t>
              </w:r>
            </w:smartTag>
            <w:r w:rsidRPr="000F2C4C">
              <w:rPr>
                <w:color w:val="000000"/>
                <w:sz w:val="20"/>
                <w:szCs w:val="20"/>
                <w:lang w:val="es-ES_tradnl"/>
              </w:rPr>
              <w:t xml:space="preserve"> de Resolución de Conflictos (MARC)</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Reingeniería</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reingeniería aprobada y puesta en aplicación</w:t>
            </w:r>
          </w:p>
        </w:tc>
      </w:tr>
      <w:tr w:rsidR="00EC13FA" w:rsidRPr="0007517E"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jc w:val="left"/>
              <w:rPr>
                <w:sz w:val="20"/>
                <w:szCs w:val="20"/>
                <w:lang w:val="es-ES_tradnl"/>
              </w:rPr>
            </w:pPr>
            <w:r w:rsidRPr="000F2C4C">
              <w:rPr>
                <w:color w:val="000000"/>
                <w:sz w:val="20"/>
                <w:szCs w:val="20"/>
                <w:lang w:val="es-ES_tradnl"/>
              </w:rPr>
              <w:t xml:space="preserve">Plan de capacitación </w:t>
            </w:r>
            <w:proofErr w:type="spellStart"/>
            <w:r w:rsidRPr="000F2C4C">
              <w:rPr>
                <w:color w:val="000000"/>
                <w:sz w:val="20"/>
                <w:szCs w:val="20"/>
                <w:lang w:val="es-ES_tradnl"/>
              </w:rPr>
              <w:t>continúa</w:t>
            </w:r>
            <w:proofErr w:type="spellEnd"/>
            <w:r w:rsidRPr="000F2C4C">
              <w:rPr>
                <w:color w:val="000000"/>
                <w:sz w:val="20"/>
                <w:szCs w:val="20"/>
                <w:lang w:val="es-ES_tradnl"/>
              </w:rPr>
              <w:t xml:space="preserve"> de personal especializado en administración y recuperación de créditos.</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Default="00EC13FA" w:rsidP="004D2B1F">
            <w:pPr>
              <w:jc w:val="center"/>
              <w:rPr>
                <w:sz w:val="20"/>
                <w:szCs w:val="20"/>
                <w:lang w:val="es-ES_tradnl"/>
              </w:rPr>
            </w:pPr>
            <w:r>
              <w:rPr>
                <w:color w:val="000000"/>
                <w:sz w:val="20"/>
                <w:szCs w:val="20"/>
                <w:lang w:val="es-ES_tradnl"/>
              </w:rPr>
              <w:t>Número de beneficiarios que reciben capacitación especializada</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Default="00EC13FA" w:rsidP="004D2B1F">
            <w:pPr>
              <w:jc w:val="center"/>
              <w:rPr>
                <w:sz w:val="20"/>
                <w:szCs w:val="20"/>
                <w:lang w:val="es-ES_tradnl"/>
              </w:rPr>
            </w:pPr>
            <w:r>
              <w:rPr>
                <w:sz w:val="20"/>
                <w:szCs w:val="20"/>
                <w:lang w:val="es-ES_tradnl"/>
              </w:rPr>
              <w:t>30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Pr>
                <w:sz w:val="20"/>
                <w:szCs w:val="20"/>
                <w:lang w:val="es-ES_tradnl"/>
              </w:rPr>
              <w:t>80</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Pr>
                <w:sz w:val="20"/>
                <w:szCs w:val="20"/>
                <w:lang w:val="es-ES_tradnl"/>
              </w:rPr>
              <w:t>80</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Pr>
                <w:sz w:val="20"/>
                <w:szCs w:val="20"/>
                <w:lang w:val="es-ES_tradnl"/>
              </w:rPr>
              <w:t>80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Pr>
                <w:sz w:val="20"/>
                <w:szCs w:val="20"/>
                <w:lang w:val="es-ES_tradnl"/>
              </w:rPr>
              <w:t>30</w:t>
            </w: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Default="00EC13FA" w:rsidP="004D2B1F">
            <w:pPr>
              <w:jc w:val="center"/>
              <w:rPr>
                <w:sz w:val="20"/>
                <w:szCs w:val="20"/>
                <w:lang w:val="es-ES_tradnl"/>
              </w:rPr>
            </w:pPr>
            <w:r>
              <w:rPr>
                <w:sz w:val="20"/>
                <w:szCs w:val="20"/>
                <w:lang w:val="es-ES_tradnl"/>
              </w:rPr>
              <w:t>300 beneficiarios</w:t>
            </w:r>
          </w:p>
        </w:tc>
      </w:tr>
      <w:tr w:rsidR="00EC13FA" w:rsidRPr="000F2C4C"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jc w:val="left"/>
              <w:rPr>
                <w:sz w:val="20"/>
                <w:szCs w:val="20"/>
                <w:lang w:val="es-ES_tradnl"/>
              </w:rPr>
            </w:pPr>
            <w:r w:rsidRPr="000F2C4C">
              <w:rPr>
                <w:color w:val="000000"/>
                <w:sz w:val="20"/>
                <w:szCs w:val="20"/>
                <w:lang w:val="es-ES_tradnl"/>
              </w:rPr>
              <w:t xml:space="preserve">Plan de acción </w:t>
            </w:r>
            <w:smartTag w:uri="schemas-houaiss/acao" w:element="dm">
              <w:r w:rsidRPr="000F2C4C">
                <w:rPr>
                  <w:color w:val="000000"/>
                  <w:sz w:val="20"/>
                  <w:szCs w:val="20"/>
                  <w:lang w:val="es-ES_tradnl"/>
                </w:rPr>
                <w:t>para</w:t>
              </w:r>
            </w:smartTag>
            <w:r w:rsidRPr="000F2C4C">
              <w:rPr>
                <w:color w:val="000000"/>
                <w:sz w:val="20"/>
                <w:szCs w:val="20"/>
                <w:lang w:val="es-ES_tradnl"/>
              </w:rPr>
              <w:t xml:space="preserve"> perfeccionamiento de la integración interinstitucional </w:t>
            </w:r>
            <w:smartTag w:uri="schemas-houaiss/mini" w:element="verbetes">
              <w:r w:rsidRPr="000F2C4C">
                <w:rPr>
                  <w:color w:val="000000"/>
                  <w:sz w:val="20"/>
                  <w:szCs w:val="20"/>
                  <w:lang w:val="es-ES_tradnl"/>
                </w:rPr>
                <w:t>entre</w:t>
              </w:r>
            </w:smartTag>
            <w:r w:rsidRPr="000F2C4C">
              <w:rPr>
                <w:color w:val="000000"/>
                <w:sz w:val="20"/>
                <w:szCs w:val="20"/>
                <w:lang w:val="es-ES_tradnl"/>
              </w:rPr>
              <w:t xml:space="preserve"> los órganos responsables de la deuda activa (crédito público).</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t>Plan</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plan aprobado</w:t>
            </w:r>
          </w:p>
        </w:tc>
      </w:tr>
      <w:tr w:rsidR="00EC13FA" w:rsidRPr="000F2C4C"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jc w:val="left"/>
              <w:rPr>
                <w:sz w:val="20"/>
                <w:szCs w:val="20"/>
                <w:lang w:val="es-ES_tradnl"/>
              </w:rPr>
            </w:pPr>
            <w:r w:rsidRPr="000F2C4C">
              <w:rPr>
                <w:color w:val="000000"/>
                <w:sz w:val="20"/>
                <w:szCs w:val="20"/>
                <w:lang w:val="es-ES_tradnl"/>
              </w:rPr>
              <w:t xml:space="preserve"> Sistema para la evaluación de riesgos del </w:t>
            </w:r>
            <w:smartTag w:uri="schemas-houaiss/mini" w:element="verbetes">
              <w:r w:rsidRPr="000F2C4C">
                <w:rPr>
                  <w:color w:val="000000"/>
                  <w:sz w:val="20"/>
                  <w:szCs w:val="20"/>
                  <w:lang w:val="es-ES_tradnl"/>
                </w:rPr>
                <w:t>Estado</w:t>
              </w:r>
            </w:smartTag>
            <w:r w:rsidRPr="000F2C4C">
              <w:rPr>
                <w:color w:val="000000"/>
                <w:sz w:val="20"/>
                <w:szCs w:val="20"/>
                <w:lang w:val="es-ES_tradnl"/>
              </w:rPr>
              <w:t xml:space="preserve"> y su integración </w:t>
            </w:r>
            <w:r w:rsidRPr="000F2C4C">
              <w:rPr>
                <w:color w:val="000000"/>
                <w:sz w:val="20"/>
                <w:szCs w:val="20"/>
                <w:lang w:val="es-ES_tradnl"/>
              </w:rPr>
              <w:lastRenderedPageBreak/>
              <w:t xml:space="preserve">en los </w:t>
            </w:r>
            <w:smartTag w:uri="schemas-houaiss/mini" w:element="verbetes">
              <w:r w:rsidRPr="000F2C4C">
                <w:rPr>
                  <w:color w:val="000000"/>
                  <w:sz w:val="20"/>
                  <w:szCs w:val="20"/>
                  <w:lang w:val="es-ES_tradnl"/>
                </w:rPr>
                <w:t>sistemas</w:t>
              </w:r>
            </w:smartTag>
            <w:r w:rsidRPr="000F2C4C">
              <w:rPr>
                <w:color w:val="000000"/>
                <w:sz w:val="20"/>
                <w:szCs w:val="20"/>
                <w:lang w:val="es-ES_tradnl"/>
              </w:rPr>
              <w:t xml:space="preserve"> corporativos de la AGU.</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lastRenderedPageBreak/>
              <w:t>Sistema</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sistema</w:t>
            </w:r>
            <w:r>
              <w:rPr>
                <w:sz w:val="20"/>
                <w:szCs w:val="20"/>
                <w:lang w:val="es-ES_tradnl"/>
              </w:rPr>
              <w:t xml:space="preserve"> </w:t>
            </w:r>
            <w:r>
              <w:rPr>
                <w:sz w:val="20"/>
                <w:szCs w:val="20"/>
                <w:lang w:val="es-ES_tradnl"/>
              </w:rPr>
              <w:lastRenderedPageBreak/>
              <w:t>informatizado</w:t>
            </w:r>
            <w:r w:rsidRPr="000F2C4C">
              <w:rPr>
                <w:sz w:val="20"/>
                <w:szCs w:val="20"/>
                <w:lang w:val="es-ES_tradnl"/>
              </w:rPr>
              <w:t xml:space="preserve"> instalad</w:t>
            </w:r>
            <w:r>
              <w:rPr>
                <w:sz w:val="20"/>
                <w:szCs w:val="20"/>
                <w:lang w:val="es-ES_tradnl"/>
              </w:rPr>
              <w:t>o</w:t>
            </w:r>
          </w:p>
        </w:tc>
      </w:tr>
      <w:tr w:rsidR="00EC13FA" w:rsidRPr="000F2C4C"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ind w:left="450" w:hanging="450"/>
              <w:jc w:val="left"/>
              <w:rPr>
                <w:sz w:val="20"/>
                <w:szCs w:val="20"/>
                <w:lang w:val="es-ES_tradnl"/>
              </w:rPr>
            </w:pPr>
            <w:r w:rsidRPr="000F2C4C">
              <w:rPr>
                <w:color w:val="000000"/>
                <w:sz w:val="20"/>
                <w:szCs w:val="20"/>
                <w:lang w:val="es-ES_tradnl"/>
              </w:rPr>
              <w:lastRenderedPageBreak/>
              <w:t xml:space="preserve"> Sistema para identificación y facilitación de la eliminación de los </w:t>
            </w:r>
            <w:smartTag w:uri="schemas-houaiss/mini" w:element="verbetes">
              <w:r w:rsidRPr="000F2C4C">
                <w:rPr>
                  <w:color w:val="000000"/>
                  <w:sz w:val="20"/>
                  <w:szCs w:val="20"/>
                  <w:lang w:val="es-ES_tradnl"/>
                </w:rPr>
                <w:t>pagos</w:t>
              </w:r>
            </w:smartTag>
            <w:r w:rsidRPr="000F2C4C">
              <w:rPr>
                <w:color w:val="000000"/>
                <w:sz w:val="20"/>
                <w:szCs w:val="20"/>
                <w:lang w:val="es-ES_tradnl"/>
              </w:rPr>
              <w:t xml:space="preserve"> indebidos en los procesos </w:t>
            </w:r>
            <w:smartTag w:uri="schemas-houaiss/mini" w:element="verbetes">
              <w:r w:rsidRPr="000F2C4C">
                <w:rPr>
                  <w:color w:val="000000"/>
                  <w:sz w:val="20"/>
                  <w:szCs w:val="20"/>
                  <w:lang w:val="es-ES_tradnl"/>
                </w:rPr>
                <w:t>contra</w:t>
              </w:r>
            </w:smartTag>
            <w:r w:rsidRPr="000F2C4C">
              <w:rPr>
                <w:color w:val="000000"/>
                <w:sz w:val="20"/>
                <w:szCs w:val="20"/>
                <w:lang w:val="es-ES_tradnl"/>
              </w:rPr>
              <w:t xml:space="preserve"> el Estado.</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smartTag w:uri="schemas-houaiss/mini" w:element="verbetes">
              <w:r w:rsidRPr="000F2C4C">
                <w:rPr>
                  <w:color w:val="000000"/>
                  <w:sz w:val="20"/>
                  <w:szCs w:val="20"/>
                  <w:lang w:val="es-ES_tradnl"/>
                </w:rPr>
                <w:t>Sistema</w:t>
              </w:r>
            </w:smartTag>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sistema</w:t>
            </w:r>
            <w:r>
              <w:rPr>
                <w:sz w:val="20"/>
                <w:szCs w:val="20"/>
                <w:lang w:val="es-ES_tradnl"/>
              </w:rPr>
              <w:t xml:space="preserve"> informatizado</w:t>
            </w:r>
            <w:r w:rsidRPr="000F2C4C">
              <w:rPr>
                <w:sz w:val="20"/>
                <w:szCs w:val="20"/>
                <w:lang w:val="es-ES_tradnl"/>
              </w:rPr>
              <w:t xml:space="preserve"> aprobado e implantado</w:t>
            </w:r>
          </w:p>
        </w:tc>
      </w:tr>
      <w:tr w:rsidR="00EC13FA" w:rsidRPr="000F2C4C"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ind w:left="450" w:hanging="450"/>
              <w:jc w:val="left"/>
              <w:rPr>
                <w:color w:val="000000"/>
                <w:sz w:val="20"/>
                <w:szCs w:val="20"/>
                <w:lang w:val="es-ES_tradnl"/>
              </w:rPr>
            </w:pPr>
            <w:r w:rsidRPr="000F2C4C">
              <w:rPr>
                <w:color w:val="000000"/>
                <w:sz w:val="20"/>
                <w:szCs w:val="20"/>
                <w:lang w:val="es-ES_tradnl"/>
              </w:rPr>
              <w:t xml:space="preserve">Sistema integrado de gestión </w:t>
            </w:r>
            <w:smartTag w:uri="schemas-houaiss/mini" w:element="verbetes">
              <w:r w:rsidRPr="000F2C4C">
                <w:rPr>
                  <w:color w:val="000000"/>
                  <w:sz w:val="20"/>
                  <w:szCs w:val="20"/>
                  <w:lang w:val="es-ES_tradnl"/>
                </w:rPr>
                <w:t>jurídica</w:t>
              </w:r>
            </w:smartTag>
            <w:r w:rsidRPr="000F2C4C">
              <w:rPr>
                <w:color w:val="000000"/>
                <w:sz w:val="20"/>
                <w:szCs w:val="20"/>
                <w:lang w:val="es-ES_tradnl"/>
              </w:rPr>
              <w:t xml:space="preserve"> de la AGU:</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smartTag w:uri="schemas-houaiss/mini" w:element="verbetes">
              <w:r w:rsidRPr="000F2C4C">
                <w:rPr>
                  <w:color w:val="000000"/>
                  <w:sz w:val="20"/>
                  <w:szCs w:val="20"/>
                  <w:lang w:val="es-ES_tradnl"/>
                </w:rPr>
                <w:t>Sistema</w:t>
              </w:r>
            </w:smartTag>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sistema</w:t>
            </w:r>
            <w:r>
              <w:rPr>
                <w:sz w:val="20"/>
                <w:szCs w:val="20"/>
                <w:lang w:val="es-ES_tradnl"/>
              </w:rPr>
              <w:t xml:space="preserve"> informatizado</w:t>
            </w:r>
            <w:r w:rsidRPr="000F2C4C">
              <w:rPr>
                <w:sz w:val="20"/>
                <w:szCs w:val="20"/>
                <w:lang w:val="es-ES_tradnl"/>
              </w:rPr>
              <w:t xml:space="preserve"> aprobado e implantado</w:t>
            </w:r>
          </w:p>
        </w:tc>
      </w:tr>
      <w:tr w:rsidR="00EC13FA" w:rsidRPr="0007517E"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0"/>
              </w:numPr>
              <w:ind w:left="450" w:hanging="450"/>
              <w:jc w:val="left"/>
              <w:rPr>
                <w:sz w:val="20"/>
                <w:szCs w:val="20"/>
                <w:lang w:val="es-ES_tradnl"/>
              </w:rPr>
            </w:pPr>
            <w:r w:rsidRPr="000F2C4C">
              <w:rPr>
                <w:color w:val="000000"/>
                <w:sz w:val="20"/>
                <w:szCs w:val="20"/>
                <w:lang w:val="es-ES_tradnl"/>
              </w:rPr>
              <w:t xml:space="preserve">Reingeniería de los flujos de trabajo de cálculos y pericias </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t>Reingeniería</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reingeniería aprobada y puesta en aplicación</w:t>
            </w:r>
          </w:p>
        </w:tc>
      </w:tr>
      <w:tr w:rsidR="00EC13FA" w:rsidRPr="0007517E" w:rsidTr="004D2B1F">
        <w:tc>
          <w:tcPr>
            <w:tcW w:w="6048" w:type="dxa"/>
          </w:tcPr>
          <w:p w:rsidR="00EC13FA" w:rsidRDefault="00EC13FA" w:rsidP="004D2B1F">
            <w:pPr>
              <w:spacing w:before="40" w:after="40"/>
              <w:rPr>
                <w:b/>
                <w:sz w:val="20"/>
                <w:szCs w:val="20"/>
                <w:u w:val="single"/>
                <w:lang w:val="es-ES_tradnl"/>
              </w:rPr>
            </w:pPr>
            <w:r w:rsidRPr="000F2C4C">
              <w:rPr>
                <w:b/>
                <w:sz w:val="20"/>
                <w:szCs w:val="20"/>
                <w:u w:val="single"/>
                <w:lang w:val="es-ES_tradnl"/>
              </w:rPr>
              <w:t xml:space="preserve">Componente 3: </w:t>
            </w:r>
            <w:r>
              <w:rPr>
                <w:b/>
                <w:sz w:val="20"/>
                <w:szCs w:val="20"/>
                <w:u w:val="single"/>
                <w:lang w:val="es-ES_tradnl"/>
              </w:rPr>
              <w:t>Mejoramiento de</w:t>
            </w:r>
            <w:r w:rsidRPr="000F2C4C">
              <w:rPr>
                <w:b/>
                <w:sz w:val="20"/>
                <w:szCs w:val="20"/>
                <w:u w:val="single"/>
                <w:lang w:val="es-ES_tradnl"/>
              </w:rPr>
              <w:t xml:space="preserve"> la gestión administrativa de la AGU</w:t>
            </w:r>
          </w:p>
        </w:tc>
        <w:tc>
          <w:tcPr>
            <w:tcW w:w="7110" w:type="dxa"/>
            <w:gridSpan w:val="8"/>
          </w:tcPr>
          <w:p w:rsidR="00EC13FA" w:rsidRPr="000F2C4C" w:rsidRDefault="00EC13FA" w:rsidP="004D2B1F">
            <w:pPr>
              <w:spacing w:before="40" w:after="40"/>
              <w:jc w:val="center"/>
              <w:rPr>
                <w:b/>
                <w:sz w:val="20"/>
                <w:szCs w:val="20"/>
                <w:u w:val="single"/>
                <w:lang w:val="es-ES_tradnl"/>
              </w:rPr>
            </w:pPr>
          </w:p>
        </w:tc>
      </w:tr>
      <w:tr w:rsidR="00EC13FA" w:rsidRPr="000F2C4C" w:rsidTr="004D2B1F">
        <w:tc>
          <w:tcPr>
            <w:tcW w:w="6048" w:type="dxa"/>
            <w:shd w:val="clear" w:color="auto" w:fill="F2F2F2"/>
          </w:tcPr>
          <w:p w:rsidR="00EC13FA" w:rsidRPr="000F2C4C" w:rsidRDefault="00EC13FA" w:rsidP="00EC13FA">
            <w:pPr>
              <w:numPr>
                <w:ilvl w:val="1"/>
                <w:numId w:val="21"/>
              </w:numPr>
              <w:jc w:val="left"/>
              <w:rPr>
                <w:sz w:val="20"/>
                <w:szCs w:val="20"/>
                <w:lang w:val="es-ES_tradnl"/>
              </w:rPr>
            </w:pPr>
            <w:r w:rsidRPr="000F2C4C">
              <w:rPr>
                <w:sz w:val="20"/>
                <w:szCs w:val="20"/>
                <w:lang w:val="es-ES_tradnl"/>
              </w:rPr>
              <w:t>Plan estratégico de gestión de la Secretaría-General</w:t>
            </w:r>
          </w:p>
        </w:tc>
        <w:tc>
          <w:tcPr>
            <w:tcW w:w="1260" w:type="dxa"/>
            <w:shd w:val="clear" w:color="auto" w:fill="F2F2F2"/>
            <w:vAlign w:val="center"/>
          </w:tcPr>
          <w:p w:rsidR="00EC13FA" w:rsidRPr="000F2C4C" w:rsidRDefault="00EC13FA" w:rsidP="004D2B1F">
            <w:pPr>
              <w:jc w:val="center"/>
              <w:rPr>
                <w:sz w:val="20"/>
                <w:szCs w:val="20"/>
                <w:lang w:val="es-ES_tradnl"/>
              </w:rPr>
            </w:pPr>
            <w:r w:rsidRPr="000F2C4C">
              <w:rPr>
                <w:color w:val="000000"/>
                <w:sz w:val="20"/>
                <w:szCs w:val="20"/>
                <w:lang w:val="es-ES_tradnl"/>
              </w:rPr>
              <w:t>Plan</w:t>
            </w:r>
          </w:p>
        </w:tc>
        <w:tc>
          <w:tcPr>
            <w:tcW w:w="8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63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720" w:type="dxa"/>
            <w:shd w:val="clear" w:color="auto" w:fill="F2F2F2"/>
            <w:vAlign w:val="center"/>
          </w:tcPr>
          <w:p w:rsidR="00EC13FA" w:rsidRPr="000F2C4C" w:rsidRDefault="00EC13FA" w:rsidP="004D2B1F">
            <w:pPr>
              <w:jc w:val="center"/>
              <w:rPr>
                <w:sz w:val="20"/>
                <w:szCs w:val="20"/>
                <w:lang w:val="es-ES_tradnl"/>
              </w:rPr>
            </w:pPr>
          </w:p>
        </w:tc>
        <w:tc>
          <w:tcPr>
            <w:tcW w:w="630" w:type="dxa"/>
            <w:shd w:val="clear" w:color="auto" w:fill="F2F2F2"/>
            <w:vAlign w:val="center"/>
          </w:tcPr>
          <w:p w:rsidR="00EC13FA" w:rsidRPr="000F2C4C" w:rsidRDefault="00EC13FA" w:rsidP="004D2B1F">
            <w:pPr>
              <w:jc w:val="center"/>
              <w:rPr>
                <w:sz w:val="20"/>
                <w:szCs w:val="20"/>
                <w:lang w:val="es-ES_tradnl"/>
              </w:rPr>
            </w:pPr>
          </w:p>
        </w:tc>
        <w:tc>
          <w:tcPr>
            <w:tcW w:w="1710" w:type="dxa"/>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plan aprobado</w:t>
            </w:r>
          </w:p>
        </w:tc>
      </w:tr>
      <w:tr w:rsidR="00EC13FA" w:rsidRPr="0007517E"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1"/>
              </w:numPr>
              <w:jc w:val="left"/>
              <w:rPr>
                <w:sz w:val="20"/>
                <w:szCs w:val="20"/>
                <w:lang w:val="es-ES_tradnl"/>
              </w:rPr>
            </w:pPr>
            <w:r w:rsidRPr="000F2C4C">
              <w:rPr>
                <w:color w:val="000000"/>
                <w:sz w:val="20"/>
                <w:szCs w:val="20"/>
                <w:lang w:val="es-ES_tradnl"/>
              </w:rPr>
              <w:t>Reingeniería de los flujos de trabajo en los procesos administrativos (excluidos los procesos Logística y RRHH).</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Reingeniería</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reingeniería aprobada y puesta en aplicación</w:t>
            </w:r>
          </w:p>
        </w:tc>
      </w:tr>
      <w:tr w:rsidR="00EC13FA" w:rsidRPr="000F2C4C"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1"/>
              </w:numPr>
              <w:jc w:val="left"/>
              <w:rPr>
                <w:sz w:val="20"/>
                <w:szCs w:val="20"/>
                <w:lang w:val="es-ES_tradnl"/>
              </w:rPr>
            </w:pPr>
            <w:r w:rsidRPr="000F2C4C">
              <w:rPr>
                <w:sz w:val="20"/>
                <w:szCs w:val="20"/>
                <w:lang w:val="es-ES_tradnl"/>
              </w:rPr>
              <w:t>Estudio para la implementación de centros de costos</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Estudio</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estudio aprobado e implantado</w:t>
            </w:r>
          </w:p>
        </w:tc>
      </w:tr>
      <w:tr w:rsidR="00EC13FA" w:rsidRPr="000F2C4C"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cPr>
          <w:p w:rsidR="00EC13FA" w:rsidRPr="000F2C4C" w:rsidRDefault="00EC13FA" w:rsidP="00EC13FA">
            <w:pPr>
              <w:numPr>
                <w:ilvl w:val="1"/>
                <w:numId w:val="21"/>
              </w:numPr>
              <w:jc w:val="left"/>
              <w:rPr>
                <w:sz w:val="20"/>
                <w:szCs w:val="20"/>
                <w:lang w:val="es-ES_tradnl"/>
              </w:rPr>
            </w:pPr>
            <w:r w:rsidRPr="000F2C4C">
              <w:rPr>
                <w:sz w:val="20"/>
                <w:szCs w:val="20"/>
                <w:lang w:val="es-ES_tradnl"/>
              </w:rPr>
              <w:t>Estudio para la revisión del modelo de gestión logística territorial</w:t>
            </w:r>
          </w:p>
        </w:tc>
        <w:tc>
          <w:tcPr>
            <w:tcW w:w="12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Estudio</w:t>
            </w:r>
          </w:p>
        </w:tc>
        <w:tc>
          <w:tcPr>
            <w:tcW w:w="8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C13FA" w:rsidRPr="000F2C4C" w:rsidRDefault="00EC13FA" w:rsidP="004D2B1F">
            <w:pPr>
              <w:jc w:val="center"/>
              <w:rPr>
                <w:sz w:val="20"/>
                <w:szCs w:val="20"/>
                <w:lang w:val="es-ES_tradnl"/>
              </w:rPr>
            </w:pPr>
            <w:r w:rsidRPr="000F2C4C">
              <w:rPr>
                <w:sz w:val="20"/>
                <w:szCs w:val="20"/>
                <w:lang w:val="es-ES_tradnl"/>
              </w:rPr>
              <w:t>1 estudio aprobado</w:t>
            </w:r>
          </w:p>
        </w:tc>
      </w:tr>
      <w:tr w:rsidR="00EC13FA" w:rsidRPr="000F2C4C"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C13FA" w:rsidRPr="000F2C4C" w:rsidRDefault="00EC13FA" w:rsidP="00EC13FA">
            <w:pPr>
              <w:numPr>
                <w:ilvl w:val="1"/>
                <w:numId w:val="21"/>
              </w:numPr>
              <w:jc w:val="left"/>
              <w:rPr>
                <w:sz w:val="20"/>
                <w:szCs w:val="20"/>
                <w:lang w:val="es-ES_tradnl"/>
              </w:rPr>
            </w:pPr>
            <w:r w:rsidRPr="000F2C4C">
              <w:rPr>
                <w:sz w:val="20"/>
                <w:szCs w:val="20"/>
                <w:lang w:val="es-ES_tradnl"/>
              </w:rPr>
              <w:t>Sistema integrado de gestión administrativa</w:t>
            </w:r>
            <w:r>
              <w:rPr>
                <w:sz w:val="20"/>
                <w:szCs w:val="20"/>
                <w:lang w:val="es-ES_tradnl"/>
              </w:rPr>
              <w:t xml:space="preserve"> (SIGA)</w:t>
            </w:r>
            <w:r w:rsidRPr="000F2C4C">
              <w:rPr>
                <w:sz w:val="20"/>
                <w:szCs w:val="20"/>
                <w:lang w:val="es-ES_tradnl"/>
              </w:rPr>
              <w:t>, sincronizado al SIAFI en los aspectos presupuestarios y financieros</w:t>
            </w:r>
          </w:p>
        </w:tc>
        <w:tc>
          <w:tcPr>
            <w:tcW w:w="12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r w:rsidRPr="000F2C4C">
              <w:rPr>
                <w:sz w:val="20"/>
                <w:szCs w:val="20"/>
                <w:lang w:val="es-ES_tradnl"/>
              </w:rPr>
              <w:t>Sistema</w:t>
            </w:r>
          </w:p>
        </w:tc>
        <w:tc>
          <w:tcPr>
            <w:tcW w:w="8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p>
        </w:tc>
        <w:tc>
          <w:tcPr>
            <w:tcW w:w="17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r w:rsidRPr="000F2C4C">
              <w:rPr>
                <w:sz w:val="20"/>
                <w:szCs w:val="20"/>
                <w:lang w:val="es-ES_tradnl"/>
              </w:rPr>
              <w:t>1 sistema</w:t>
            </w:r>
            <w:r>
              <w:rPr>
                <w:sz w:val="20"/>
                <w:szCs w:val="20"/>
                <w:lang w:val="es-ES_tradnl"/>
              </w:rPr>
              <w:t xml:space="preserve"> informatizado</w:t>
            </w:r>
            <w:r w:rsidRPr="000F2C4C">
              <w:rPr>
                <w:sz w:val="20"/>
                <w:szCs w:val="20"/>
                <w:lang w:val="es-ES_tradnl"/>
              </w:rPr>
              <w:t xml:space="preserve"> aprobado e implantado</w:t>
            </w:r>
          </w:p>
        </w:tc>
      </w:tr>
      <w:tr w:rsidR="00EC13FA" w:rsidRPr="000F2C4C" w:rsidTr="004D2B1F">
        <w:tc>
          <w:tcPr>
            <w:tcW w:w="60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C13FA" w:rsidRPr="000F2C4C" w:rsidRDefault="00EC13FA" w:rsidP="00EC13FA">
            <w:pPr>
              <w:numPr>
                <w:ilvl w:val="1"/>
                <w:numId w:val="21"/>
              </w:numPr>
              <w:jc w:val="left"/>
              <w:rPr>
                <w:sz w:val="20"/>
                <w:szCs w:val="20"/>
                <w:lang w:val="es-ES_tradnl"/>
              </w:rPr>
            </w:pPr>
            <w:r w:rsidRPr="000F2C4C">
              <w:rPr>
                <w:sz w:val="20"/>
                <w:szCs w:val="20"/>
                <w:lang w:val="es-ES_tradnl"/>
              </w:rPr>
              <w:t>Modelo de gestión por competencias de la AGU</w:t>
            </w:r>
          </w:p>
        </w:tc>
        <w:tc>
          <w:tcPr>
            <w:tcW w:w="12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r w:rsidRPr="000F2C4C">
              <w:rPr>
                <w:sz w:val="20"/>
                <w:szCs w:val="20"/>
                <w:lang w:val="es-ES_tradnl"/>
              </w:rPr>
              <w:t>Modelo</w:t>
            </w:r>
          </w:p>
        </w:tc>
        <w:tc>
          <w:tcPr>
            <w:tcW w:w="8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r w:rsidRPr="000F2C4C">
              <w:rPr>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p>
        </w:tc>
        <w:tc>
          <w:tcPr>
            <w:tcW w:w="7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p>
        </w:tc>
        <w:tc>
          <w:tcPr>
            <w:tcW w:w="6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r w:rsidRPr="000F2C4C">
              <w:rPr>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C13FA" w:rsidRPr="000F2C4C" w:rsidRDefault="00EC13FA" w:rsidP="004D2B1F">
            <w:pPr>
              <w:jc w:val="center"/>
              <w:rPr>
                <w:sz w:val="20"/>
                <w:szCs w:val="20"/>
                <w:lang w:val="es-ES_tradnl"/>
              </w:rPr>
            </w:pPr>
            <w:r w:rsidRPr="000F2C4C">
              <w:rPr>
                <w:sz w:val="20"/>
                <w:szCs w:val="20"/>
                <w:lang w:val="es-ES_tradnl"/>
              </w:rPr>
              <w:t>1 modelo diseñado, aprobado e implementado</w:t>
            </w:r>
          </w:p>
        </w:tc>
      </w:tr>
    </w:tbl>
    <w:p w:rsidR="00EC13FA" w:rsidRPr="000F2C4C" w:rsidRDefault="00EC13FA" w:rsidP="00EC13FA">
      <w:pPr>
        <w:pStyle w:val="ListParagraph"/>
        <w:ind w:left="360"/>
        <w:rPr>
          <w:lang w:val="es-ES_tradnl"/>
        </w:rPr>
      </w:pPr>
    </w:p>
    <w:p w:rsidR="00EC13FA" w:rsidRPr="000F2C4C" w:rsidRDefault="00EC13FA" w:rsidP="00EC13FA">
      <w:pPr>
        <w:rPr>
          <w:b/>
          <w:smallCaps/>
          <w:sz w:val="24"/>
          <w:szCs w:val="24"/>
          <w:lang w:val="es-ES_tradnl"/>
        </w:rPr>
      </w:pPr>
    </w:p>
    <w:sectPr w:rsidR="00EC13FA" w:rsidRPr="000F2C4C" w:rsidSect="00593896">
      <w:pgSz w:w="15840" w:h="12240" w:orient="landscape" w:code="1"/>
      <w:pgMar w:top="1440" w:right="1080" w:bottom="1440" w:left="1080" w:header="706"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C5B" w:rsidRDefault="00147C5B" w:rsidP="00D04EC0">
      <w:r>
        <w:separator/>
      </w:r>
    </w:p>
  </w:endnote>
  <w:endnote w:type="continuationSeparator" w:id="0">
    <w:p w:rsidR="00147C5B" w:rsidRDefault="00147C5B" w:rsidP="00D04EC0">
      <w:r>
        <w:continuationSeparator/>
      </w:r>
    </w:p>
  </w:endnote>
  <w:endnote w:type="continuationNotice" w:id="1">
    <w:p w:rsidR="00147C5B" w:rsidRDefault="00147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C5B" w:rsidRDefault="00147C5B" w:rsidP="001A0694">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C5B" w:rsidRDefault="00363331" w:rsidP="001A0694">
    <w:pPr>
      <w:pStyle w:val="Footer"/>
      <w:jc w:val="right"/>
    </w:pPr>
    <w:r>
      <w:fldChar w:fldCharType="begin"/>
    </w:r>
    <w:r>
      <w:instrText>PAGE   \* MERGEFORMAT</w:instrText>
    </w:r>
    <w:r>
      <w:fldChar w:fldCharType="separate"/>
    </w:r>
    <w:r w:rsidR="004951E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C5B" w:rsidRDefault="00147C5B" w:rsidP="00D04EC0">
      <w:r>
        <w:separator/>
      </w:r>
    </w:p>
  </w:footnote>
  <w:footnote w:type="continuationSeparator" w:id="0">
    <w:p w:rsidR="00147C5B" w:rsidRDefault="00147C5B" w:rsidP="00D04EC0">
      <w:r>
        <w:continuationSeparator/>
      </w:r>
    </w:p>
  </w:footnote>
  <w:footnote w:type="continuationNotice" w:id="1">
    <w:p w:rsidR="00147C5B" w:rsidRDefault="00147C5B"/>
  </w:footnote>
  <w:footnote w:id="2">
    <w:p w:rsidR="00147C5B" w:rsidRPr="006B448D" w:rsidRDefault="00147C5B">
      <w:pPr>
        <w:pStyle w:val="FootnoteText"/>
        <w:rPr>
          <w:lang w:val="es-ES_tradnl"/>
        </w:rPr>
      </w:pPr>
      <w:r w:rsidRPr="00CF2FEC">
        <w:rPr>
          <w:rStyle w:val="FootnoteReference"/>
          <w:rFonts w:ascii="Times New Roman" w:hAnsi="Times New Roman"/>
        </w:rPr>
        <w:footnoteRef/>
      </w:r>
      <w:r>
        <w:t xml:space="preserve"> </w:t>
      </w:r>
      <w:r>
        <w:rPr>
          <w:lang w:val="es-ES_tradnl"/>
        </w:rPr>
        <w:t xml:space="preserve">Estos órganos son la Procuraduría General Federal (PGF) para los créditos ubicados en las agencias y fundaciones públicas, la Procuraduría General de la Hacienda Nacional (PGFN) para los créditos tributarios y la Procuraduría General del Banco Central (PGBC) para los créditos de las entidades financieras y bancarias. </w:t>
      </w:r>
    </w:p>
  </w:footnote>
  <w:footnote w:id="3">
    <w:p w:rsidR="00147C5B" w:rsidRPr="00706E05" w:rsidRDefault="00147C5B">
      <w:pPr>
        <w:pStyle w:val="FootnoteText"/>
      </w:pPr>
      <w:r w:rsidRPr="00CF2FEC">
        <w:rPr>
          <w:rStyle w:val="FootnoteReference"/>
          <w:rFonts w:ascii="Times New Roman" w:hAnsi="Times New Roman"/>
        </w:rPr>
        <w:footnoteRef/>
      </w:r>
      <w:r>
        <w:t xml:space="preserve"> Precisamente, uno de los productos del componente 2 es el diseño e instalación de nuevo un sistema de gestión de causas ante los tribunales, poniendo especial atención a la inclusión de los montos pretendidos como campos de cumplimiento obligatorio por parte de los abogados.</w:t>
      </w:r>
    </w:p>
  </w:footnote>
  <w:footnote w:id="4">
    <w:p w:rsidR="00147C5B" w:rsidRPr="008B4D4C" w:rsidRDefault="00147C5B">
      <w:pPr>
        <w:pStyle w:val="FootnoteText"/>
      </w:pPr>
      <w:r w:rsidRPr="00CF2FEC">
        <w:rPr>
          <w:rStyle w:val="FootnoteReference"/>
          <w:rFonts w:ascii="Times New Roman" w:hAnsi="Times New Roman"/>
        </w:rPr>
        <w:footnoteRef/>
      </w:r>
      <w:r>
        <w:t xml:space="preserve"> </w:t>
      </w:r>
      <w:r>
        <w:rPr>
          <w:lang w:val="es-ES_tradnl"/>
        </w:rPr>
        <w:t>En términos estrictos, se estaría hablando de un muestreo simple y sistemático sobre una población infinita (se desconoce su tamaño y su parámetros básicos, aunque se supone que presenta una distribución normal). Dado el tamaño de la muestra (n = 400), y en la peor de las hipótesis (p = q = 0,50), los resultados serían confiables a un nivel de significación del 95% y un margen de error de ± 5%.</w:t>
      </w:r>
    </w:p>
  </w:footnote>
  <w:footnote w:id="5">
    <w:p w:rsidR="00147C5B" w:rsidRPr="00843C83" w:rsidRDefault="00147C5B">
      <w:pPr>
        <w:pStyle w:val="FootnoteText"/>
        <w:rPr>
          <w:lang w:val="es-ES_tradnl"/>
        </w:rPr>
      </w:pPr>
      <w:r w:rsidRPr="00CF2FEC">
        <w:rPr>
          <w:rStyle w:val="FootnoteReference"/>
          <w:rFonts w:ascii="Times New Roman" w:hAnsi="Times New Roman"/>
        </w:rPr>
        <w:footnoteRef/>
      </w:r>
      <w:r>
        <w:t xml:space="preserve"> </w:t>
      </w:r>
      <w:r>
        <w:rPr>
          <w:lang w:val="es-ES_tradnl"/>
        </w:rPr>
        <w:t xml:space="preserve">Para un mayor detalle de estas reglas y sus distintas variantes, puede consultarse </w:t>
      </w:r>
      <w:proofErr w:type="spellStart"/>
      <w:r w:rsidRPr="00843C83">
        <w:rPr>
          <w:lang w:val="es-ES_tradnl"/>
        </w:rPr>
        <w:t>Fuguitt</w:t>
      </w:r>
      <w:proofErr w:type="spellEnd"/>
      <w:r w:rsidRPr="00843C83">
        <w:rPr>
          <w:lang w:val="es-ES_tradnl"/>
        </w:rPr>
        <w:t xml:space="preserve"> y </w:t>
      </w:r>
      <w:proofErr w:type="spellStart"/>
      <w:r w:rsidRPr="00843C83">
        <w:rPr>
          <w:lang w:val="es-ES_tradnl"/>
        </w:rPr>
        <w:t>Wilcox</w:t>
      </w:r>
      <w:proofErr w:type="spellEnd"/>
      <w:r w:rsidRPr="00843C83">
        <w:rPr>
          <w:lang w:val="es-ES_tradnl"/>
        </w:rPr>
        <w:t xml:space="preserve"> (1999</w:t>
      </w:r>
      <w:r>
        <w:rPr>
          <w:lang w:val="es-ES_tradnl"/>
        </w:rPr>
        <w:t>: 82 y ss.</w:t>
      </w:r>
      <w:r w:rsidRPr="00843C83">
        <w:rPr>
          <w:lang w:val="es-ES_tradnl"/>
        </w:rPr>
        <w:t>)</w:t>
      </w:r>
      <w:r>
        <w:rPr>
          <w:lang w:val="es-ES_tradnl"/>
        </w:rPr>
        <w:t>.</w:t>
      </w:r>
    </w:p>
  </w:footnote>
  <w:footnote w:id="6">
    <w:p w:rsidR="00147C5B" w:rsidRPr="005F4251" w:rsidRDefault="00147C5B">
      <w:pPr>
        <w:pStyle w:val="FootnoteText"/>
        <w:rPr>
          <w:lang w:val="es-ES_tradnl"/>
        </w:rPr>
      </w:pPr>
      <w:r w:rsidRPr="00CF2FEC">
        <w:rPr>
          <w:rStyle w:val="FootnoteReference"/>
          <w:rFonts w:ascii="Times New Roman" w:hAnsi="Times New Roman"/>
        </w:rPr>
        <w:footnoteRef/>
      </w:r>
      <w:r>
        <w:t xml:space="preserve"> </w:t>
      </w:r>
      <w:r>
        <w:rPr>
          <w:lang w:val="es-ES_tradnl"/>
        </w:rPr>
        <w:t>Ver anexo B.</w:t>
      </w:r>
    </w:p>
  </w:footnote>
  <w:footnote w:id="7">
    <w:p w:rsidR="00147C5B" w:rsidRPr="007524B7" w:rsidRDefault="00147C5B">
      <w:pPr>
        <w:pStyle w:val="FootnoteText"/>
      </w:pPr>
      <w:r w:rsidRPr="00CF2FEC">
        <w:rPr>
          <w:rStyle w:val="FootnoteReference"/>
          <w:rFonts w:ascii="Times New Roman" w:hAnsi="Times New Roman"/>
        </w:rPr>
        <w:footnoteRef/>
      </w:r>
      <w:r>
        <w:t xml:space="preserve"> El BNDES aplica otros criterios en sus estudios de viabilidad de las inversiones, donde priman los factores de rentabilidad de muy largo plazo </w:t>
      </w:r>
    </w:p>
  </w:footnote>
  <w:footnote w:id="8">
    <w:p w:rsidR="00147C5B" w:rsidRPr="00D9141E" w:rsidRDefault="00147C5B">
      <w:pPr>
        <w:pStyle w:val="FootnoteText"/>
      </w:pPr>
      <w:r w:rsidRPr="00CF2FEC">
        <w:rPr>
          <w:rStyle w:val="FootnoteReference"/>
          <w:rFonts w:ascii="Times New Roman" w:hAnsi="Times New Roman"/>
        </w:rPr>
        <w:footnoteRef/>
      </w:r>
      <w:r w:rsidRPr="002B3067">
        <w:t xml:space="preserve"> </w:t>
      </w:r>
      <w:r>
        <w:t xml:space="preserve">Puede consultarse la sección </w:t>
      </w:r>
      <w:r w:rsidR="00D857C2">
        <w:fldChar w:fldCharType="begin"/>
      </w:r>
      <w:r>
        <w:instrText xml:space="preserve"> REF _Ref294199644 \r \h </w:instrText>
      </w:r>
      <w:r w:rsidR="00D857C2">
        <w:fldChar w:fldCharType="separate"/>
      </w:r>
      <w:r>
        <w:t>1.3</w:t>
      </w:r>
      <w:r w:rsidR="00D857C2">
        <w:fldChar w:fldCharType="end"/>
      </w:r>
      <w:r>
        <w:t xml:space="preserve"> al respecto.</w:t>
      </w:r>
    </w:p>
  </w:footnote>
  <w:footnote w:id="9">
    <w:p w:rsidR="00147C5B" w:rsidRPr="00AE5E6D" w:rsidRDefault="00147C5B" w:rsidP="008B730E">
      <w:pPr>
        <w:pStyle w:val="FootnoteText"/>
        <w:rPr>
          <w:lang w:val="es-ES_tradnl"/>
        </w:rPr>
      </w:pPr>
      <w:r w:rsidRPr="00CF2FEC">
        <w:rPr>
          <w:rStyle w:val="FootnoteReference"/>
          <w:rFonts w:ascii="Times New Roman" w:hAnsi="Times New Roman"/>
        </w:rPr>
        <w:footnoteRef/>
      </w:r>
      <w:r w:rsidRPr="002B3067">
        <w:t xml:space="preserve"> </w:t>
      </w:r>
      <w:r>
        <w:t>El Sistema Único de Deuda Activa debe ser compartido entre los distintos órganos responsables de la cobranza de la denominada deuda activa, estén o no integrados orgánicamente en la AGU: PGF, PGFN y PGBC.</w:t>
      </w:r>
    </w:p>
  </w:footnote>
  <w:footnote w:id="10">
    <w:p w:rsidR="00147C5B" w:rsidRPr="00A41ED2" w:rsidRDefault="00147C5B">
      <w:pPr>
        <w:pStyle w:val="FootnoteText"/>
      </w:pPr>
      <w:r w:rsidRPr="00CF2FEC">
        <w:rPr>
          <w:rStyle w:val="FootnoteReference"/>
          <w:rFonts w:ascii="Times New Roman" w:hAnsi="Times New Roman"/>
        </w:rPr>
        <w:footnoteRef/>
      </w:r>
      <w:r>
        <w:t xml:space="preserve"> En reales de 2010. Datos proporcionados por la PGF/AGU.</w:t>
      </w:r>
    </w:p>
  </w:footnote>
  <w:footnote w:id="11">
    <w:p w:rsidR="00147C5B" w:rsidRPr="00843678" w:rsidRDefault="00147C5B" w:rsidP="005B2FF5">
      <w:pPr>
        <w:pStyle w:val="FootnoteText"/>
        <w:rPr>
          <w:lang w:val="es-ES_tradnl"/>
        </w:rPr>
      </w:pPr>
      <w:r w:rsidRPr="002B3067">
        <w:rPr>
          <w:rStyle w:val="FootnoteReference"/>
          <w:rFonts w:ascii="Times New Roman" w:hAnsi="Times New Roman"/>
        </w:rPr>
        <w:footnoteRef/>
      </w:r>
      <w:r>
        <w:t xml:space="preserve"> En materia de cobranza, el impacto esperado del programa BID es muy relevante por el conjunto de la inversión prevista. </w:t>
      </w:r>
      <w:r>
        <w:rPr>
          <w:lang w:val="es-ES_tradnl"/>
        </w:rPr>
        <w:t xml:space="preserve">En el componente 1 se prevé el establecimiento de una herramienta de gestión estratégica de la deuda, de tal forma que pueda tenerse información gerencial que permita formular, entre otros aspectos, nuevas estrategias para mejorar la cobranza. Del componente 2 del programa se espera que proporcione herramientas </w:t>
      </w:r>
      <w:r w:rsidRPr="00843678">
        <w:rPr>
          <w:i/>
          <w:lang w:val="es-ES_tradnl"/>
        </w:rPr>
        <w:t>informátic</w:t>
      </w:r>
      <w:r>
        <w:rPr>
          <w:i/>
          <w:lang w:val="es-ES_tradnl"/>
        </w:rPr>
        <w:t>as</w:t>
      </w:r>
      <w:r>
        <w:rPr>
          <w:lang w:val="es-ES_tradnl"/>
        </w:rPr>
        <w:t xml:space="preserve"> para una gestión centralizada del SUDA, lo que sin duda deberá favorecer la inscripción de las deudas --en las sedes de las agencias y fundaciones-- y su posterior cobro por la vía ejecutiva. Siguiendo con el componente 2, está prevista una reingeniería del flujo de trabajo de cobranza, tratando de automatizar el vínculo entre deuda identificada y deuda inscrita en el SUDA. Para más detalle ver el anexo 2 con la matriz de resultados.</w:t>
      </w:r>
    </w:p>
  </w:footnote>
  <w:footnote w:id="12">
    <w:p w:rsidR="00147C5B" w:rsidRPr="00B462D2" w:rsidRDefault="00147C5B">
      <w:pPr>
        <w:pStyle w:val="FootnoteText"/>
        <w:rPr>
          <w:lang w:val="es-ES_tradnl"/>
        </w:rPr>
      </w:pPr>
      <w:r w:rsidRPr="002B3067">
        <w:rPr>
          <w:rStyle w:val="FootnoteReference"/>
          <w:rFonts w:ascii="Times New Roman" w:hAnsi="Times New Roman"/>
        </w:rPr>
        <w:footnoteRef/>
      </w:r>
      <w:r>
        <w:t xml:space="preserve"> </w:t>
      </w:r>
      <w:r>
        <w:rPr>
          <w:lang w:val="es-ES_tradnl"/>
        </w:rPr>
        <w:t>Desde un punto de estricto, la DPP forma parte de la Procuraduría General de la Unión (PGU), que a su vez forma parte de la estructura orgánica de la AGU.</w:t>
      </w:r>
    </w:p>
  </w:footnote>
  <w:footnote w:id="13">
    <w:p w:rsidR="00147C5B" w:rsidRPr="0038334F" w:rsidRDefault="00147C5B" w:rsidP="0038334F">
      <w:pPr>
        <w:pStyle w:val="FootnoteText"/>
      </w:pPr>
      <w:r w:rsidRPr="00CF2FEC">
        <w:rPr>
          <w:rStyle w:val="FootnoteReference"/>
          <w:rFonts w:ascii="Times New Roman" w:hAnsi="Times New Roman"/>
        </w:rPr>
        <w:footnoteRef/>
      </w:r>
      <w:r>
        <w:t xml:space="preserve"> </w:t>
      </w:r>
      <w:r>
        <w:rPr>
          <w:lang w:val="es-ES_tradnl"/>
        </w:rPr>
        <w:t xml:space="preserve">Precios de 2010. Para tener una referencia en dólares norteamericanos, al tipo de cambio promedio de ese mismo año (1,76), los montos involucrados en la recuperación serían USD </w:t>
      </w:r>
      <w:r w:rsidRPr="0038334F">
        <w:t>301.324.215</w:t>
      </w:r>
      <w:r>
        <w:t>.</w:t>
      </w:r>
    </w:p>
    <w:p w:rsidR="00147C5B" w:rsidRPr="0038334F" w:rsidRDefault="00147C5B">
      <w:pPr>
        <w:pStyle w:val="FootnoteText"/>
      </w:pPr>
    </w:p>
  </w:footnote>
  <w:footnote w:id="14">
    <w:p w:rsidR="00147C5B" w:rsidRPr="00F96BD9" w:rsidRDefault="00147C5B">
      <w:pPr>
        <w:pStyle w:val="FootnoteText"/>
      </w:pPr>
      <w:r w:rsidRPr="00CF2FEC">
        <w:rPr>
          <w:rStyle w:val="FootnoteReference"/>
          <w:rFonts w:ascii="Times New Roman" w:hAnsi="Times New Roman"/>
        </w:rPr>
        <w:footnoteRef/>
      </w:r>
      <w:r>
        <w:t xml:space="preserve"> Acerca de la cautela en el tratamiento de los efectos indirectos en un ACB, puede consultarse </w:t>
      </w:r>
      <w:proofErr w:type="spellStart"/>
      <w:r w:rsidRPr="00843C83">
        <w:rPr>
          <w:lang w:val="es-ES_tradnl"/>
        </w:rPr>
        <w:t>Fuguitt</w:t>
      </w:r>
      <w:proofErr w:type="spellEnd"/>
      <w:r w:rsidRPr="00843C83">
        <w:rPr>
          <w:lang w:val="es-ES_tradnl"/>
        </w:rPr>
        <w:t xml:space="preserve"> y </w:t>
      </w:r>
      <w:proofErr w:type="spellStart"/>
      <w:r w:rsidRPr="00843C83">
        <w:rPr>
          <w:lang w:val="es-ES_tradnl"/>
        </w:rPr>
        <w:t>Wilcox</w:t>
      </w:r>
      <w:proofErr w:type="spellEnd"/>
      <w:r w:rsidRPr="00843C83">
        <w:rPr>
          <w:lang w:val="es-ES_tradnl"/>
        </w:rPr>
        <w:t xml:space="preserve"> (1999</w:t>
      </w:r>
      <w:r>
        <w:rPr>
          <w:lang w:val="es-ES_tradnl"/>
        </w:rPr>
        <w:t>: 168 y ss.</w:t>
      </w:r>
      <w:r w:rsidRPr="00843C83">
        <w:rPr>
          <w:lang w:val="es-ES_tradnl"/>
        </w:rPr>
        <w:t>)</w:t>
      </w:r>
      <w:r>
        <w:rPr>
          <w:lang w:val="es-ES_tradnl"/>
        </w:rPr>
        <w:t>.</w:t>
      </w:r>
    </w:p>
  </w:footnote>
  <w:footnote w:id="15">
    <w:p w:rsidR="00147C5B" w:rsidRPr="00427644" w:rsidRDefault="00147C5B">
      <w:pPr>
        <w:pStyle w:val="FootnoteText"/>
        <w:rPr>
          <w:lang w:val="es-ES_tradnl"/>
        </w:rPr>
      </w:pPr>
      <w:r w:rsidRPr="00CF2FEC">
        <w:rPr>
          <w:rStyle w:val="FootnoteReference"/>
          <w:rFonts w:ascii="Times New Roman" w:hAnsi="Times New Roman"/>
        </w:rPr>
        <w:footnoteRef/>
      </w:r>
      <w:r>
        <w:t xml:space="preserve"> </w:t>
      </w:r>
      <w:r>
        <w:rPr>
          <w:lang w:val="es-ES_tradnl"/>
        </w:rPr>
        <w:t xml:space="preserve">En sentido estricto, aquí se contabilizan los recursos económicos necesarios para pagar al personal sustituto. Es decir, está expresado como costo de oportunidad. </w:t>
      </w:r>
    </w:p>
  </w:footnote>
  <w:footnote w:id="16">
    <w:p w:rsidR="00147C5B" w:rsidRPr="000B55B4" w:rsidRDefault="00147C5B">
      <w:pPr>
        <w:pStyle w:val="FootnoteText"/>
      </w:pPr>
      <w:r w:rsidRPr="00204895">
        <w:rPr>
          <w:rStyle w:val="FootnoteReference"/>
          <w:rFonts w:ascii="Times New Roman" w:hAnsi="Times New Roman"/>
        </w:rPr>
        <w:footnoteRef/>
      </w:r>
      <w:r w:rsidRPr="00204895">
        <w:t xml:space="preserve"> </w:t>
      </w:r>
      <w:proofErr w:type="spellStart"/>
      <w:r w:rsidRPr="00843C83">
        <w:rPr>
          <w:lang w:val="es-ES_tradnl"/>
        </w:rPr>
        <w:t>Fuguitt</w:t>
      </w:r>
      <w:proofErr w:type="spellEnd"/>
      <w:r w:rsidRPr="00843C83">
        <w:rPr>
          <w:lang w:val="es-ES_tradnl"/>
        </w:rPr>
        <w:t xml:space="preserve"> y </w:t>
      </w:r>
      <w:proofErr w:type="spellStart"/>
      <w:r w:rsidRPr="00843C83">
        <w:rPr>
          <w:lang w:val="es-ES_tradnl"/>
        </w:rPr>
        <w:t>Wilcox</w:t>
      </w:r>
      <w:proofErr w:type="spellEnd"/>
      <w:r w:rsidRPr="00843C83">
        <w:rPr>
          <w:lang w:val="es-ES_tradnl"/>
        </w:rPr>
        <w:t xml:space="preserve"> (1999</w:t>
      </w:r>
      <w:r>
        <w:rPr>
          <w:lang w:val="es-ES_tradnl"/>
        </w:rPr>
        <w:t>: 82 y ss.</w:t>
      </w:r>
      <w:r w:rsidRPr="00843C83">
        <w:rPr>
          <w:lang w:val="es-ES_tradnl"/>
        </w:rPr>
        <w:t>)</w:t>
      </w:r>
      <w:r>
        <w:rPr>
          <w:lang w:val="es-ES_tradnl"/>
        </w:rPr>
        <w:t>.</w:t>
      </w:r>
    </w:p>
  </w:footnote>
  <w:footnote w:id="17">
    <w:p w:rsidR="00147C5B" w:rsidRPr="000812E1" w:rsidRDefault="00147C5B">
      <w:pPr>
        <w:pStyle w:val="FootnoteText"/>
        <w:rPr>
          <w:lang w:val="fr-FR"/>
        </w:rPr>
      </w:pPr>
      <w:r w:rsidRPr="00C33C05">
        <w:rPr>
          <w:rStyle w:val="FootnoteReference"/>
          <w:rFonts w:ascii="Times New Roman" w:hAnsi="Times New Roman"/>
        </w:rPr>
        <w:footnoteRef/>
      </w:r>
      <w:r w:rsidRPr="000812E1">
        <w:rPr>
          <w:lang w:val="fr-FR"/>
        </w:rPr>
        <w:t xml:space="preserve"> Se sigue Drummond </w:t>
      </w:r>
      <w:r w:rsidRPr="000812E1">
        <w:rPr>
          <w:i/>
          <w:lang w:val="fr-FR"/>
        </w:rPr>
        <w:t>et alia</w:t>
      </w:r>
      <w:r w:rsidRPr="000812E1">
        <w:rPr>
          <w:lang w:val="fr-FR"/>
        </w:rPr>
        <w:t xml:space="preserve"> (2005: 43).</w:t>
      </w:r>
    </w:p>
  </w:footnote>
  <w:footnote w:id="18">
    <w:p w:rsidR="00147C5B" w:rsidRPr="00CD3CBB" w:rsidRDefault="00147C5B">
      <w:pPr>
        <w:pStyle w:val="FootnoteText"/>
        <w:rPr>
          <w:lang w:val="es-ES_tradnl"/>
        </w:rPr>
      </w:pPr>
      <w:r w:rsidRPr="00CF2FEC">
        <w:rPr>
          <w:rStyle w:val="FootnoteReference"/>
          <w:rFonts w:ascii="Times New Roman" w:hAnsi="Times New Roman"/>
        </w:rPr>
        <w:footnoteRef/>
      </w:r>
      <w:r>
        <w:t xml:space="preserve"> En los cuadro 5 y 6 puede observarse </w:t>
      </w:r>
      <w:r>
        <w:rPr>
          <w:lang w:val="es-ES_tradnl"/>
        </w:rPr>
        <w:t>la evolución de las tasas en ambas alternativas.</w:t>
      </w:r>
    </w:p>
  </w:footnote>
  <w:footnote w:id="19">
    <w:p w:rsidR="00147C5B" w:rsidRPr="00A40004" w:rsidRDefault="00147C5B">
      <w:pPr>
        <w:pStyle w:val="FootnoteText"/>
        <w:rPr>
          <w:lang w:val="es-ES_tradnl"/>
        </w:rPr>
      </w:pPr>
      <w:r w:rsidRPr="00CF2FEC">
        <w:rPr>
          <w:rStyle w:val="FootnoteReference"/>
          <w:rFonts w:ascii="Times New Roman" w:hAnsi="Times New Roman"/>
        </w:rPr>
        <w:footnoteRef/>
      </w:r>
      <w:r>
        <w:t xml:space="preserve"> </w:t>
      </w:r>
      <w:r>
        <w:rPr>
          <w:lang w:val="es-ES_tradnl"/>
        </w:rPr>
        <w:t>Fácilmente calculable con los datos de los cuadro 10 y 12.</w:t>
      </w:r>
    </w:p>
  </w:footnote>
  <w:footnote w:id="20">
    <w:p w:rsidR="00EC13FA" w:rsidRPr="00A95A45" w:rsidRDefault="00EC13FA" w:rsidP="00EC13FA">
      <w:pPr>
        <w:pStyle w:val="FootnoteText"/>
        <w:rPr>
          <w:lang w:val="es-ES_tradnl"/>
        </w:rPr>
      </w:pPr>
      <w:r w:rsidRPr="00A95A45">
        <w:rPr>
          <w:rStyle w:val="FootnoteReference"/>
        </w:rPr>
        <w:footnoteRef/>
      </w:r>
      <w:r w:rsidRPr="00A95A45">
        <w:rPr>
          <w:lang w:val="es-ES_tradnl"/>
        </w:rPr>
        <w:t xml:space="preserve"> Para un análisis detallado </w:t>
      </w:r>
      <w:r>
        <w:rPr>
          <w:lang w:val="es-ES_tradnl"/>
        </w:rPr>
        <w:t xml:space="preserve">de todos </w:t>
      </w:r>
      <w:r w:rsidRPr="00A95A45">
        <w:rPr>
          <w:lang w:val="es-ES_tradnl"/>
        </w:rPr>
        <w:t>los indicadores de impacto y de resultados, en el anexo 1 del documento Plan de Monitoreo y Evaluación se expone de forma exhaustiva: (i) la definición de todos los elementos que forman parte del indicador; (ii) la forma de cálculo de los mismos; (iii) el periodo que abarca; y (iv) las fuentes de obtención de los datos, tanto para el momento t=0 como para el final del programa</w:t>
      </w:r>
      <w:r>
        <w:rPr>
          <w:lang w:val="es-ES_tradnl"/>
        </w:rPr>
        <w:t>.</w:t>
      </w:r>
    </w:p>
  </w:footnote>
  <w:footnote w:id="21">
    <w:p w:rsidR="00EC13FA" w:rsidRPr="00132FE1" w:rsidRDefault="00EC13FA" w:rsidP="00EC13FA">
      <w:pPr>
        <w:pStyle w:val="FootnoteText"/>
        <w:rPr>
          <w:lang w:val="es-ES_tradnl"/>
        </w:rPr>
      </w:pPr>
      <w:r w:rsidRPr="00814ABF">
        <w:rPr>
          <w:rStyle w:val="FootnoteReference"/>
        </w:rPr>
        <w:footnoteRef/>
      </w:r>
      <w:r w:rsidRPr="00814ABF">
        <w:rPr>
          <w:lang w:val="es-ES_tradnl"/>
        </w:rPr>
        <w:t xml:space="preserve"> Para todos los productos</w:t>
      </w:r>
      <w:r>
        <w:rPr>
          <w:lang w:val="es-ES_tradnl"/>
        </w:rPr>
        <w:t xml:space="preserve"> la verificación del cumplimiento deberá realizarse mediante el preceptivo informe de recepción aprobado por la Dirección de Gestión Estratégica (DGE) de la AGU.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C051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C70A2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F2EF4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202EE3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D2E8B34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682E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D96AEF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CB695A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09685A0"/>
    <w:lvl w:ilvl="0">
      <w:start w:val="1"/>
      <w:numFmt w:val="decimal"/>
      <w:pStyle w:val="ListNumber"/>
      <w:lvlText w:val="%1."/>
      <w:lvlJc w:val="left"/>
      <w:pPr>
        <w:tabs>
          <w:tab w:val="num" w:pos="360"/>
        </w:tabs>
        <w:ind w:left="360" w:hanging="360"/>
      </w:pPr>
    </w:lvl>
  </w:abstractNum>
  <w:abstractNum w:abstractNumId="9">
    <w:nsid w:val="FFFFFF89"/>
    <w:multiLevelType w:val="singleLevel"/>
    <w:tmpl w:val="6276A6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D3323"/>
    <w:multiLevelType w:val="multilevel"/>
    <w:tmpl w:val="04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09A35C20"/>
    <w:multiLevelType w:val="hybridMultilevel"/>
    <w:tmpl w:val="7BD4D84C"/>
    <w:lvl w:ilvl="0" w:tplc="59B04E90">
      <w:start w:val="1"/>
      <w:numFmt w:val="lowerRoman"/>
      <w:lvlText w:val="(%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2">
    <w:nsid w:val="0C5A0F97"/>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3">
    <w:nsid w:val="0D716940"/>
    <w:multiLevelType w:val="multilevel"/>
    <w:tmpl w:val="CFAA4A4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5">
    <w:nsid w:val="136C5D6A"/>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6">
    <w:nsid w:val="20C67A1C"/>
    <w:multiLevelType w:val="hybridMultilevel"/>
    <w:tmpl w:val="2A4C3344"/>
    <w:lvl w:ilvl="0" w:tplc="8C6C749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24CA0058"/>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8">
    <w:nsid w:val="271A3975"/>
    <w:multiLevelType w:val="hybridMultilevel"/>
    <w:tmpl w:val="12080DE2"/>
    <w:lvl w:ilvl="0" w:tplc="AB9CE96A">
      <w:start w:val="1"/>
      <w:numFmt w:val="lowerRoman"/>
      <w:lvlText w:val="(%1)"/>
      <w:lvlJc w:val="left"/>
      <w:pPr>
        <w:ind w:left="927" w:hanging="360"/>
      </w:pPr>
      <w:rPr>
        <w:rFonts w:hint="default"/>
      </w:rPr>
    </w:lvl>
    <w:lvl w:ilvl="1" w:tplc="040A0003" w:tentative="1">
      <w:start w:val="1"/>
      <w:numFmt w:val="bullet"/>
      <w:lvlText w:val="o"/>
      <w:lvlJc w:val="left"/>
      <w:pPr>
        <w:ind w:left="1647" w:hanging="360"/>
      </w:pPr>
      <w:rPr>
        <w:rFonts w:ascii="Courier New" w:hAnsi="Courier New" w:cs="Courier New" w:hint="default"/>
      </w:rPr>
    </w:lvl>
    <w:lvl w:ilvl="2" w:tplc="040A0005" w:tentative="1">
      <w:start w:val="1"/>
      <w:numFmt w:val="bullet"/>
      <w:lvlText w:val=""/>
      <w:lvlJc w:val="left"/>
      <w:pPr>
        <w:ind w:left="2367" w:hanging="360"/>
      </w:pPr>
      <w:rPr>
        <w:rFonts w:ascii="Wingdings" w:hAnsi="Wingdings" w:hint="default"/>
      </w:rPr>
    </w:lvl>
    <w:lvl w:ilvl="3" w:tplc="040A0001" w:tentative="1">
      <w:start w:val="1"/>
      <w:numFmt w:val="bullet"/>
      <w:lvlText w:val=""/>
      <w:lvlJc w:val="left"/>
      <w:pPr>
        <w:ind w:left="3087" w:hanging="360"/>
      </w:pPr>
      <w:rPr>
        <w:rFonts w:ascii="Symbol" w:hAnsi="Symbol" w:hint="default"/>
      </w:rPr>
    </w:lvl>
    <w:lvl w:ilvl="4" w:tplc="040A0003" w:tentative="1">
      <w:start w:val="1"/>
      <w:numFmt w:val="bullet"/>
      <w:lvlText w:val="o"/>
      <w:lvlJc w:val="left"/>
      <w:pPr>
        <w:ind w:left="3807" w:hanging="360"/>
      </w:pPr>
      <w:rPr>
        <w:rFonts w:ascii="Courier New" w:hAnsi="Courier New" w:cs="Courier New" w:hint="default"/>
      </w:rPr>
    </w:lvl>
    <w:lvl w:ilvl="5" w:tplc="040A0005" w:tentative="1">
      <w:start w:val="1"/>
      <w:numFmt w:val="bullet"/>
      <w:lvlText w:val=""/>
      <w:lvlJc w:val="left"/>
      <w:pPr>
        <w:ind w:left="4527" w:hanging="360"/>
      </w:pPr>
      <w:rPr>
        <w:rFonts w:ascii="Wingdings" w:hAnsi="Wingdings" w:hint="default"/>
      </w:rPr>
    </w:lvl>
    <w:lvl w:ilvl="6" w:tplc="040A0001" w:tentative="1">
      <w:start w:val="1"/>
      <w:numFmt w:val="bullet"/>
      <w:lvlText w:val=""/>
      <w:lvlJc w:val="left"/>
      <w:pPr>
        <w:ind w:left="5247" w:hanging="360"/>
      </w:pPr>
      <w:rPr>
        <w:rFonts w:ascii="Symbol" w:hAnsi="Symbol" w:hint="default"/>
      </w:rPr>
    </w:lvl>
    <w:lvl w:ilvl="7" w:tplc="040A0003" w:tentative="1">
      <w:start w:val="1"/>
      <w:numFmt w:val="bullet"/>
      <w:lvlText w:val="o"/>
      <w:lvlJc w:val="left"/>
      <w:pPr>
        <w:ind w:left="5967" w:hanging="360"/>
      </w:pPr>
      <w:rPr>
        <w:rFonts w:ascii="Courier New" w:hAnsi="Courier New" w:cs="Courier New" w:hint="default"/>
      </w:rPr>
    </w:lvl>
    <w:lvl w:ilvl="8" w:tplc="040A0005" w:tentative="1">
      <w:start w:val="1"/>
      <w:numFmt w:val="bullet"/>
      <w:lvlText w:val=""/>
      <w:lvlJc w:val="left"/>
      <w:pPr>
        <w:ind w:left="6687" w:hanging="360"/>
      </w:pPr>
      <w:rPr>
        <w:rFonts w:ascii="Wingdings" w:hAnsi="Wingdings" w:hint="default"/>
      </w:rPr>
    </w:lvl>
  </w:abstractNum>
  <w:abstractNum w:abstractNumId="19">
    <w:nsid w:val="31E27521"/>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0">
    <w:nsid w:val="338A7395"/>
    <w:multiLevelType w:val="multilevel"/>
    <w:tmpl w:val="E360939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340678D5"/>
    <w:multiLevelType w:val="hybridMultilevel"/>
    <w:tmpl w:val="450C2A2A"/>
    <w:lvl w:ilvl="0" w:tplc="EE88959E">
      <w:start w:val="1"/>
      <w:numFmt w:val="upperLetter"/>
      <w:pStyle w:val="Anexo"/>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34DC2D21"/>
    <w:multiLevelType w:val="hybridMultilevel"/>
    <w:tmpl w:val="1756ABA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3">
    <w:nsid w:val="36965F2A"/>
    <w:multiLevelType w:val="hybridMultilevel"/>
    <w:tmpl w:val="7BD4D84C"/>
    <w:lvl w:ilvl="0" w:tplc="59B04E90">
      <w:start w:val="1"/>
      <w:numFmt w:val="lowerRoman"/>
      <w:lvlText w:val="(%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4">
    <w:nsid w:val="3DDE3933"/>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5">
    <w:nsid w:val="404847DE"/>
    <w:multiLevelType w:val="hybridMultilevel"/>
    <w:tmpl w:val="8EE68B9A"/>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6">
    <w:nsid w:val="455229D4"/>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7">
    <w:nsid w:val="47D037D9"/>
    <w:multiLevelType w:val="hybridMultilevel"/>
    <w:tmpl w:val="23F00804"/>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8">
    <w:nsid w:val="48FB7F19"/>
    <w:multiLevelType w:val="multilevel"/>
    <w:tmpl w:val="5DD87CEE"/>
    <w:lvl w:ilvl="0">
      <w:start w:val="3"/>
      <w:numFmt w:val="decimal"/>
      <w:lvlText w:val="%1."/>
      <w:lvlJc w:val="left"/>
      <w:pPr>
        <w:ind w:left="360" w:hanging="360"/>
      </w:pPr>
      <w:rPr>
        <w:rFonts w:cs="Times New Roman" w:hint="default"/>
        <w:sz w:val="18"/>
      </w:rPr>
    </w:lvl>
    <w:lvl w:ilvl="1">
      <w:start w:val="4"/>
      <w:numFmt w:val="decimal"/>
      <w:lvlText w:val="%1.%2."/>
      <w:lvlJc w:val="left"/>
      <w:pPr>
        <w:ind w:left="360" w:hanging="360"/>
      </w:pPr>
      <w:rPr>
        <w:rFonts w:cs="Times New Roman" w:hint="default"/>
        <w:sz w:val="18"/>
      </w:rPr>
    </w:lvl>
    <w:lvl w:ilvl="2">
      <w:start w:val="1"/>
      <w:numFmt w:val="decimal"/>
      <w:lvlText w:val="%1.%2.%3."/>
      <w:lvlJc w:val="left"/>
      <w:pPr>
        <w:ind w:left="720" w:hanging="720"/>
      </w:pPr>
      <w:rPr>
        <w:rFonts w:cs="Times New Roman" w:hint="default"/>
        <w:sz w:val="18"/>
      </w:rPr>
    </w:lvl>
    <w:lvl w:ilvl="3">
      <w:start w:val="1"/>
      <w:numFmt w:val="decimal"/>
      <w:lvlText w:val="%1.%2.%3.%4."/>
      <w:lvlJc w:val="left"/>
      <w:pPr>
        <w:ind w:left="720" w:hanging="720"/>
      </w:pPr>
      <w:rPr>
        <w:rFonts w:cs="Times New Roman" w:hint="default"/>
        <w:sz w:val="18"/>
      </w:rPr>
    </w:lvl>
    <w:lvl w:ilvl="4">
      <w:start w:val="1"/>
      <w:numFmt w:val="decimal"/>
      <w:lvlText w:val="%1.%2.%3.%4.%5."/>
      <w:lvlJc w:val="left"/>
      <w:pPr>
        <w:ind w:left="1080" w:hanging="1080"/>
      </w:pPr>
      <w:rPr>
        <w:rFonts w:cs="Times New Roman" w:hint="default"/>
        <w:sz w:val="18"/>
      </w:rPr>
    </w:lvl>
    <w:lvl w:ilvl="5">
      <w:start w:val="1"/>
      <w:numFmt w:val="decimal"/>
      <w:lvlText w:val="%1.%2.%3.%4.%5.%6."/>
      <w:lvlJc w:val="left"/>
      <w:pPr>
        <w:ind w:left="1080" w:hanging="1080"/>
      </w:pPr>
      <w:rPr>
        <w:rFonts w:cs="Times New Roman" w:hint="default"/>
        <w:sz w:val="18"/>
      </w:rPr>
    </w:lvl>
    <w:lvl w:ilvl="6">
      <w:start w:val="1"/>
      <w:numFmt w:val="decimal"/>
      <w:lvlText w:val="%1.%2.%3.%4.%5.%6.%7."/>
      <w:lvlJc w:val="left"/>
      <w:pPr>
        <w:ind w:left="1080" w:hanging="1080"/>
      </w:pPr>
      <w:rPr>
        <w:rFonts w:cs="Times New Roman" w:hint="default"/>
        <w:sz w:val="18"/>
      </w:rPr>
    </w:lvl>
    <w:lvl w:ilvl="7">
      <w:start w:val="1"/>
      <w:numFmt w:val="decimal"/>
      <w:lvlText w:val="%1.%2.%3.%4.%5.%6.%7.%8."/>
      <w:lvlJc w:val="left"/>
      <w:pPr>
        <w:ind w:left="1440" w:hanging="1440"/>
      </w:pPr>
      <w:rPr>
        <w:rFonts w:cs="Times New Roman" w:hint="default"/>
        <w:sz w:val="18"/>
      </w:rPr>
    </w:lvl>
    <w:lvl w:ilvl="8">
      <w:start w:val="1"/>
      <w:numFmt w:val="decimal"/>
      <w:lvlText w:val="%1.%2.%3.%4.%5.%6.%7.%8.%9."/>
      <w:lvlJc w:val="left"/>
      <w:pPr>
        <w:ind w:left="1440" w:hanging="1440"/>
      </w:pPr>
      <w:rPr>
        <w:rFonts w:cs="Times New Roman" w:hint="default"/>
        <w:sz w:val="18"/>
      </w:rPr>
    </w:lvl>
  </w:abstractNum>
  <w:abstractNum w:abstractNumId="29">
    <w:nsid w:val="4B925D86"/>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30">
    <w:nsid w:val="54FC211B"/>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nsid w:val="572608FD"/>
    <w:multiLevelType w:val="multilevel"/>
    <w:tmpl w:val="E360939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nsid w:val="5D5D0FA6"/>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33">
    <w:nsid w:val="6B0B42F0"/>
    <w:multiLevelType w:val="hybridMultilevel"/>
    <w:tmpl w:val="8280C5EC"/>
    <w:lvl w:ilvl="0" w:tplc="040A0005">
      <w:start w:val="1"/>
      <w:numFmt w:val="bullet"/>
      <w:lvlText w:val=""/>
      <w:lvlJc w:val="left"/>
      <w:pPr>
        <w:ind w:left="720" w:hanging="720"/>
      </w:pPr>
      <w:rPr>
        <w:rFonts w:ascii="Wingdings" w:hAnsi="Wingding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4">
    <w:nsid w:val="70901378"/>
    <w:multiLevelType w:val="multilevel"/>
    <w:tmpl w:val="E864E482"/>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nsid w:val="729E6CDA"/>
    <w:multiLevelType w:val="multilevel"/>
    <w:tmpl w:val="E360939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nsid w:val="7A88169D"/>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num w:numId="1">
    <w:abstractNumId w:val="21"/>
  </w:num>
  <w:num w:numId="2">
    <w:abstractNumId w:val="16"/>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3"/>
  </w:num>
  <w:num w:numId="14">
    <w:abstractNumId w:val="25"/>
  </w:num>
  <w:num w:numId="15">
    <w:abstractNumId w:val="14"/>
  </w:num>
  <w:num w:numId="16">
    <w:abstractNumId w:val="19"/>
  </w:num>
  <w:num w:numId="17">
    <w:abstractNumId w:val="18"/>
  </w:num>
  <w:num w:numId="18">
    <w:abstractNumId w:val="32"/>
  </w:num>
  <w:num w:numId="19">
    <w:abstractNumId w:val="20"/>
  </w:num>
  <w:num w:numId="20">
    <w:abstractNumId w:val="31"/>
  </w:num>
  <w:num w:numId="21">
    <w:abstractNumId w:val="35"/>
  </w:num>
  <w:num w:numId="22">
    <w:abstractNumId w:val="34"/>
  </w:num>
  <w:num w:numId="23">
    <w:abstractNumId w:val="28"/>
  </w:num>
  <w:num w:numId="24">
    <w:abstractNumId w:val="30"/>
  </w:num>
  <w:num w:numId="25">
    <w:abstractNumId w:val="22"/>
  </w:num>
  <w:num w:numId="26">
    <w:abstractNumId w:val="27"/>
  </w:num>
  <w:num w:numId="27">
    <w:abstractNumId w:val="17"/>
  </w:num>
  <w:num w:numId="28">
    <w:abstractNumId w:val="24"/>
  </w:num>
  <w:num w:numId="29">
    <w:abstractNumId w:val="12"/>
  </w:num>
  <w:num w:numId="30">
    <w:abstractNumId w:val="23"/>
  </w:num>
  <w:num w:numId="31">
    <w:abstractNumId w:val="11"/>
  </w:num>
  <w:num w:numId="32">
    <w:abstractNumId w:val="33"/>
  </w:num>
  <w:num w:numId="33">
    <w:abstractNumId w:val="29"/>
  </w:num>
  <w:num w:numId="34">
    <w:abstractNumId w:val="15"/>
  </w:num>
  <w:num w:numId="35">
    <w:abstractNumId w:val="10"/>
  </w:num>
  <w:num w:numId="36">
    <w:abstractNumId w:val="10"/>
  </w:num>
  <w:num w:numId="37">
    <w:abstractNumId w:val="10"/>
  </w:num>
  <w:num w:numId="38">
    <w:abstractNumId w:val="10"/>
  </w:num>
  <w:num w:numId="39">
    <w:abstractNumId w:val="26"/>
  </w:num>
  <w:num w:numId="40">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s-ES_tradnl"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CL" w:vendorID="64" w:dllVersion="131078" w:nlCheck="1" w:checkStyle="1"/>
  <w:activeWritingStyle w:appName="MSWord" w:lang="fr-FR"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A7"/>
    <w:rsid w:val="00000E45"/>
    <w:rsid w:val="000022B3"/>
    <w:rsid w:val="00006638"/>
    <w:rsid w:val="00011AD3"/>
    <w:rsid w:val="000127F7"/>
    <w:rsid w:val="00012A86"/>
    <w:rsid w:val="00013BED"/>
    <w:rsid w:val="00013EF5"/>
    <w:rsid w:val="00014890"/>
    <w:rsid w:val="00014D73"/>
    <w:rsid w:val="000155D9"/>
    <w:rsid w:val="000167FF"/>
    <w:rsid w:val="0002054C"/>
    <w:rsid w:val="0002292D"/>
    <w:rsid w:val="0002356C"/>
    <w:rsid w:val="00023687"/>
    <w:rsid w:val="00024268"/>
    <w:rsid w:val="0002462A"/>
    <w:rsid w:val="000250AF"/>
    <w:rsid w:val="00025E6B"/>
    <w:rsid w:val="00026E53"/>
    <w:rsid w:val="00027A3A"/>
    <w:rsid w:val="00027E30"/>
    <w:rsid w:val="0003338D"/>
    <w:rsid w:val="000339F4"/>
    <w:rsid w:val="00034A69"/>
    <w:rsid w:val="00035899"/>
    <w:rsid w:val="000370C6"/>
    <w:rsid w:val="00037F13"/>
    <w:rsid w:val="00040650"/>
    <w:rsid w:val="0004079A"/>
    <w:rsid w:val="00041026"/>
    <w:rsid w:val="000413EA"/>
    <w:rsid w:val="00041731"/>
    <w:rsid w:val="00042D8B"/>
    <w:rsid w:val="000430A5"/>
    <w:rsid w:val="00043DA2"/>
    <w:rsid w:val="00046021"/>
    <w:rsid w:val="000466A3"/>
    <w:rsid w:val="00046AF0"/>
    <w:rsid w:val="00046FDA"/>
    <w:rsid w:val="000507BD"/>
    <w:rsid w:val="00053BA0"/>
    <w:rsid w:val="00055F90"/>
    <w:rsid w:val="000567C7"/>
    <w:rsid w:val="00057E05"/>
    <w:rsid w:val="00060AB7"/>
    <w:rsid w:val="00064011"/>
    <w:rsid w:val="000650E7"/>
    <w:rsid w:val="00067B8C"/>
    <w:rsid w:val="00070A2F"/>
    <w:rsid w:val="0007174B"/>
    <w:rsid w:val="00072ABA"/>
    <w:rsid w:val="00072EE5"/>
    <w:rsid w:val="00073134"/>
    <w:rsid w:val="00074355"/>
    <w:rsid w:val="00074DCA"/>
    <w:rsid w:val="00076BBB"/>
    <w:rsid w:val="00076E6D"/>
    <w:rsid w:val="000812E1"/>
    <w:rsid w:val="00081CD5"/>
    <w:rsid w:val="0008261D"/>
    <w:rsid w:val="000865EF"/>
    <w:rsid w:val="00086BF0"/>
    <w:rsid w:val="00090970"/>
    <w:rsid w:val="000922FF"/>
    <w:rsid w:val="00093A3A"/>
    <w:rsid w:val="000944BF"/>
    <w:rsid w:val="000949A3"/>
    <w:rsid w:val="00094F4A"/>
    <w:rsid w:val="00096F7F"/>
    <w:rsid w:val="000A053D"/>
    <w:rsid w:val="000A06DE"/>
    <w:rsid w:val="000A1628"/>
    <w:rsid w:val="000A1992"/>
    <w:rsid w:val="000A2AB3"/>
    <w:rsid w:val="000A2D1F"/>
    <w:rsid w:val="000A5801"/>
    <w:rsid w:val="000A586A"/>
    <w:rsid w:val="000A5E32"/>
    <w:rsid w:val="000B00C1"/>
    <w:rsid w:val="000B0871"/>
    <w:rsid w:val="000B1297"/>
    <w:rsid w:val="000B1D4C"/>
    <w:rsid w:val="000B275B"/>
    <w:rsid w:val="000B28CA"/>
    <w:rsid w:val="000B53D2"/>
    <w:rsid w:val="000B55B4"/>
    <w:rsid w:val="000B5686"/>
    <w:rsid w:val="000B7263"/>
    <w:rsid w:val="000C0A77"/>
    <w:rsid w:val="000C159F"/>
    <w:rsid w:val="000C17C6"/>
    <w:rsid w:val="000C282F"/>
    <w:rsid w:val="000C2EAD"/>
    <w:rsid w:val="000C3083"/>
    <w:rsid w:val="000C5373"/>
    <w:rsid w:val="000C5972"/>
    <w:rsid w:val="000C7345"/>
    <w:rsid w:val="000C7499"/>
    <w:rsid w:val="000D1C59"/>
    <w:rsid w:val="000D38FA"/>
    <w:rsid w:val="000D3A88"/>
    <w:rsid w:val="000D44B4"/>
    <w:rsid w:val="000D5429"/>
    <w:rsid w:val="000D7913"/>
    <w:rsid w:val="000D7957"/>
    <w:rsid w:val="000E0839"/>
    <w:rsid w:val="000E141B"/>
    <w:rsid w:val="000E3828"/>
    <w:rsid w:val="000E52DA"/>
    <w:rsid w:val="000E55EA"/>
    <w:rsid w:val="000E5EC6"/>
    <w:rsid w:val="000E5F45"/>
    <w:rsid w:val="000E68EF"/>
    <w:rsid w:val="000E697E"/>
    <w:rsid w:val="000E78AC"/>
    <w:rsid w:val="000E7D60"/>
    <w:rsid w:val="000F1A1B"/>
    <w:rsid w:val="000F2057"/>
    <w:rsid w:val="000F37AC"/>
    <w:rsid w:val="000F5250"/>
    <w:rsid w:val="000F5F9A"/>
    <w:rsid w:val="000F60BB"/>
    <w:rsid w:val="000F615C"/>
    <w:rsid w:val="000F6222"/>
    <w:rsid w:val="000F7FA8"/>
    <w:rsid w:val="001002E2"/>
    <w:rsid w:val="00101772"/>
    <w:rsid w:val="00102B62"/>
    <w:rsid w:val="00103A26"/>
    <w:rsid w:val="00103D3A"/>
    <w:rsid w:val="00104B0E"/>
    <w:rsid w:val="00104E03"/>
    <w:rsid w:val="00105ADE"/>
    <w:rsid w:val="00107412"/>
    <w:rsid w:val="00107D21"/>
    <w:rsid w:val="00110654"/>
    <w:rsid w:val="00110AEA"/>
    <w:rsid w:val="001121DE"/>
    <w:rsid w:val="001123AE"/>
    <w:rsid w:val="00114ABF"/>
    <w:rsid w:val="001164AA"/>
    <w:rsid w:val="00116CE3"/>
    <w:rsid w:val="00116EE5"/>
    <w:rsid w:val="00117DC0"/>
    <w:rsid w:val="00122899"/>
    <w:rsid w:val="001228EF"/>
    <w:rsid w:val="001245AB"/>
    <w:rsid w:val="001268DC"/>
    <w:rsid w:val="00126F36"/>
    <w:rsid w:val="0013072C"/>
    <w:rsid w:val="00130C87"/>
    <w:rsid w:val="00133645"/>
    <w:rsid w:val="00134CA1"/>
    <w:rsid w:val="0013680B"/>
    <w:rsid w:val="00136A0B"/>
    <w:rsid w:val="00136B76"/>
    <w:rsid w:val="00137506"/>
    <w:rsid w:val="0013752D"/>
    <w:rsid w:val="001379BD"/>
    <w:rsid w:val="00142495"/>
    <w:rsid w:val="00143D15"/>
    <w:rsid w:val="00144B37"/>
    <w:rsid w:val="00145179"/>
    <w:rsid w:val="00145871"/>
    <w:rsid w:val="00145B76"/>
    <w:rsid w:val="0014706F"/>
    <w:rsid w:val="00147C5B"/>
    <w:rsid w:val="00150C0A"/>
    <w:rsid w:val="00152382"/>
    <w:rsid w:val="00152AFA"/>
    <w:rsid w:val="00155C32"/>
    <w:rsid w:val="0015617B"/>
    <w:rsid w:val="0015682F"/>
    <w:rsid w:val="001577AB"/>
    <w:rsid w:val="00157A27"/>
    <w:rsid w:val="00160076"/>
    <w:rsid w:val="0016015B"/>
    <w:rsid w:val="00161072"/>
    <w:rsid w:val="0016257E"/>
    <w:rsid w:val="00163252"/>
    <w:rsid w:val="00163DCB"/>
    <w:rsid w:val="00164496"/>
    <w:rsid w:val="001649BE"/>
    <w:rsid w:val="00165D50"/>
    <w:rsid w:val="0016659F"/>
    <w:rsid w:val="00172EF6"/>
    <w:rsid w:val="00173517"/>
    <w:rsid w:val="0017426A"/>
    <w:rsid w:val="001742D0"/>
    <w:rsid w:val="0017454C"/>
    <w:rsid w:val="0017791C"/>
    <w:rsid w:val="00180434"/>
    <w:rsid w:val="00180945"/>
    <w:rsid w:val="0018095D"/>
    <w:rsid w:val="0018272B"/>
    <w:rsid w:val="00186010"/>
    <w:rsid w:val="00190494"/>
    <w:rsid w:val="00193360"/>
    <w:rsid w:val="001955F0"/>
    <w:rsid w:val="00195625"/>
    <w:rsid w:val="00195E06"/>
    <w:rsid w:val="00197225"/>
    <w:rsid w:val="00197506"/>
    <w:rsid w:val="001A0694"/>
    <w:rsid w:val="001A0C14"/>
    <w:rsid w:val="001A2052"/>
    <w:rsid w:val="001A2A7E"/>
    <w:rsid w:val="001A3254"/>
    <w:rsid w:val="001A40CE"/>
    <w:rsid w:val="001A54B2"/>
    <w:rsid w:val="001A54E3"/>
    <w:rsid w:val="001A6008"/>
    <w:rsid w:val="001A6501"/>
    <w:rsid w:val="001A7C57"/>
    <w:rsid w:val="001B06AB"/>
    <w:rsid w:val="001B4AC4"/>
    <w:rsid w:val="001B63C2"/>
    <w:rsid w:val="001B703C"/>
    <w:rsid w:val="001B77CD"/>
    <w:rsid w:val="001C00AE"/>
    <w:rsid w:val="001C0B29"/>
    <w:rsid w:val="001C1249"/>
    <w:rsid w:val="001C16B1"/>
    <w:rsid w:val="001C36AA"/>
    <w:rsid w:val="001C3CF2"/>
    <w:rsid w:val="001C45E9"/>
    <w:rsid w:val="001C4805"/>
    <w:rsid w:val="001C6C4B"/>
    <w:rsid w:val="001D2BBE"/>
    <w:rsid w:val="001D3771"/>
    <w:rsid w:val="001D7104"/>
    <w:rsid w:val="001D7BBA"/>
    <w:rsid w:val="001E07A2"/>
    <w:rsid w:val="001E2E96"/>
    <w:rsid w:val="001E6314"/>
    <w:rsid w:val="001F0EAC"/>
    <w:rsid w:val="001F1594"/>
    <w:rsid w:val="001F30D1"/>
    <w:rsid w:val="001F37E7"/>
    <w:rsid w:val="001F4D8B"/>
    <w:rsid w:val="001F5023"/>
    <w:rsid w:val="001F6CAA"/>
    <w:rsid w:val="001F711D"/>
    <w:rsid w:val="002001E6"/>
    <w:rsid w:val="00200298"/>
    <w:rsid w:val="00200A8D"/>
    <w:rsid w:val="00203531"/>
    <w:rsid w:val="00203911"/>
    <w:rsid w:val="00204895"/>
    <w:rsid w:val="002048AD"/>
    <w:rsid w:val="00204BFD"/>
    <w:rsid w:val="002056F5"/>
    <w:rsid w:val="00206389"/>
    <w:rsid w:val="00210EC2"/>
    <w:rsid w:val="0021151D"/>
    <w:rsid w:val="00211A6F"/>
    <w:rsid w:val="0021254A"/>
    <w:rsid w:val="00212706"/>
    <w:rsid w:val="002142D6"/>
    <w:rsid w:val="00215726"/>
    <w:rsid w:val="00216907"/>
    <w:rsid w:val="0021696C"/>
    <w:rsid w:val="002177E0"/>
    <w:rsid w:val="00221952"/>
    <w:rsid w:val="0022394C"/>
    <w:rsid w:val="002248BE"/>
    <w:rsid w:val="002249AA"/>
    <w:rsid w:val="002256FC"/>
    <w:rsid w:val="00230EE7"/>
    <w:rsid w:val="00232515"/>
    <w:rsid w:val="00232E0F"/>
    <w:rsid w:val="00235293"/>
    <w:rsid w:val="00235A1A"/>
    <w:rsid w:val="002367B7"/>
    <w:rsid w:val="00236A3B"/>
    <w:rsid w:val="00237248"/>
    <w:rsid w:val="0024089D"/>
    <w:rsid w:val="0024160B"/>
    <w:rsid w:val="00243686"/>
    <w:rsid w:val="002442E2"/>
    <w:rsid w:val="00245614"/>
    <w:rsid w:val="00245893"/>
    <w:rsid w:val="00245E40"/>
    <w:rsid w:val="00246271"/>
    <w:rsid w:val="00250757"/>
    <w:rsid w:val="00250EE0"/>
    <w:rsid w:val="00251AB8"/>
    <w:rsid w:val="00251CAF"/>
    <w:rsid w:val="0025225B"/>
    <w:rsid w:val="0025397E"/>
    <w:rsid w:val="0025420B"/>
    <w:rsid w:val="00254C9C"/>
    <w:rsid w:val="0025503A"/>
    <w:rsid w:val="002550BC"/>
    <w:rsid w:val="00255FE7"/>
    <w:rsid w:val="00256A2E"/>
    <w:rsid w:val="00256DBA"/>
    <w:rsid w:val="0026058F"/>
    <w:rsid w:val="0026085A"/>
    <w:rsid w:val="0026101A"/>
    <w:rsid w:val="002616C2"/>
    <w:rsid w:val="00262BA7"/>
    <w:rsid w:val="00263C4B"/>
    <w:rsid w:val="00267B80"/>
    <w:rsid w:val="00272B60"/>
    <w:rsid w:val="00272C06"/>
    <w:rsid w:val="00276DF2"/>
    <w:rsid w:val="0027703D"/>
    <w:rsid w:val="00280D39"/>
    <w:rsid w:val="00281C0D"/>
    <w:rsid w:val="002820D5"/>
    <w:rsid w:val="002834A1"/>
    <w:rsid w:val="00283D5F"/>
    <w:rsid w:val="0028698C"/>
    <w:rsid w:val="00286A2D"/>
    <w:rsid w:val="0029033E"/>
    <w:rsid w:val="00291C87"/>
    <w:rsid w:val="00292EF0"/>
    <w:rsid w:val="00293217"/>
    <w:rsid w:val="00293329"/>
    <w:rsid w:val="00293DAE"/>
    <w:rsid w:val="002943C0"/>
    <w:rsid w:val="002944B3"/>
    <w:rsid w:val="0029515A"/>
    <w:rsid w:val="00295A8C"/>
    <w:rsid w:val="00295C21"/>
    <w:rsid w:val="002A05FD"/>
    <w:rsid w:val="002A2A19"/>
    <w:rsid w:val="002A4E38"/>
    <w:rsid w:val="002A5670"/>
    <w:rsid w:val="002A6F30"/>
    <w:rsid w:val="002A7146"/>
    <w:rsid w:val="002B0C25"/>
    <w:rsid w:val="002B2484"/>
    <w:rsid w:val="002B2C2C"/>
    <w:rsid w:val="002B3067"/>
    <w:rsid w:val="002B3484"/>
    <w:rsid w:val="002B5C07"/>
    <w:rsid w:val="002B5EA4"/>
    <w:rsid w:val="002C0359"/>
    <w:rsid w:val="002C04EF"/>
    <w:rsid w:val="002C0EA1"/>
    <w:rsid w:val="002C11B7"/>
    <w:rsid w:val="002C208E"/>
    <w:rsid w:val="002C348C"/>
    <w:rsid w:val="002C515F"/>
    <w:rsid w:val="002C5B77"/>
    <w:rsid w:val="002C5C6E"/>
    <w:rsid w:val="002C6759"/>
    <w:rsid w:val="002D01F5"/>
    <w:rsid w:val="002D17DE"/>
    <w:rsid w:val="002D1856"/>
    <w:rsid w:val="002D19BD"/>
    <w:rsid w:val="002E09DE"/>
    <w:rsid w:val="002E10A6"/>
    <w:rsid w:val="002E23F4"/>
    <w:rsid w:val="002E2A06"/>
    <w:rsid w:val="002E6342"/>
    <w:rsid w:val="002E6F3E"/>
    <w:rsid w:val="002F0631"/>
    <w:rsid w:val="002F0AD1"/>
    <w:rsid w:val="002F2816"/>
    <w:rsid w:val="002F4E2C"/>
    <w:rsid w:val="002F5680"/>
    <w:rsid w:val="002F6027"/>
    <w:rsid w:val="002F6744"/>
    <w:rsid w:val="002F6BF4"/>
    <w:rsid w:val="002F6C5C"/>
    <w:rsid w:val="002F6CE6"/>
    <w:rsid w:val="002F6FCE"/>
    <w:rsid w:val="002F74E8"/>
    <w:rsid w:val="003001A4"/>
    <w:rsid w:val="003008A8"/>
    <w:rsid w:val="00300B36"/>
    <w:rsid w:val="00301106"/>
    <w:rsid w:val="003021CB"/>
    <w:rsid w:val="00304005"/>
    <w:rsid w:val="0030441C"/>
    <w:rsid w:val="00304A92"/>
    <w:rsid w:val="003052B2"/>
    <w:rsid w:val="00307AF1"/>
    <w:rsid w:val="00307B0B"/>
    <w:rsid w:val="00311E15"/>
    <w:rsid w:val="003129EF"/>
    <w:rsid w:val="00312CA8"/>
    <w:rsid w:val="0031431E"/>
    <w:rsid w:val="00315766"/>
    <w:rsid w:val="00315E86"/>
    <w:rsid w:val="00320D77"/>
    <w:rsid w:val="00320F1D"/>
    <w:rsid w:val="003228FB"/>
    <w:rsid w:val="00322F3A"/>
    <w:rsid w:val="00324295"/>
    <w:rsid w:val="003263BD"/>
    <w:rsid w:val="00326C4B"/>
    <w:rsid w:val="00327AAA"/>
    <w:rsid w:val="00330608"/>
    <w:rsid w:val="00330BB7"/>
    <w:rsid w:val="00331580"/>
    <w:rsid w:val="003327D1"/>
    <w:rsid w:val="00334648"/>
    <w:rsid w:val="00334CE0"/>
    <w:rsid w:val="00335956"/>
    <w:rsid w:val="0033646A"/>
    <w:rsid w:val="003371FF"/>
    <w:rsid w:val="0033781B"/>
    <w:rsid w:val="0033787D"/>
    <w:rsid w:val="00341B8D"/>
    <w:rsid w:val="00342AF9"/>
    <w:rsid w:val="003447A1"/>
    <w:rsid w:val="00345935"/>
    <w:rsid w:val="00352E5A"/>
    <w:rsid w:val="003530CD"/>
    <w:rsid w:val="00354DFB"/>
    <w:rsid w:val="003550FB"/>
    <w:rsid w:val="00355484"/>
    <w:rsid w:val="0035555F"/>
    <w:rsid w:val="00356CFE"/>
    <w:rsid w:val="00357D8E"/>
    <w:rsid w:val="003629A2"/>
    <w:rsid w:val="00362D98"/>
    <w:rsid w:val="00362E9A"/>
    <w:rsid w:val="00363331"/>
    <w:rsid w:val="00363B72"/>
    <w:rsid w:val="003661EC"/>
    <w:rsid w:val="00367F0A"/>
    <w:rsid w:val="00370C2F"/>
    <w:rsid w:val="00370DBE"/>
    <w:rsid w:val="00372BF2"/>
    <w:rsid w:val="00373563"/>
    <w:rsid w:val="00374181"/>
    <w:rsid w:val="00375BCB"/>
    <w:rsid w:val="00375CB5"/>
    <w:rsid w:val="00376613"/>
    <w:rsid w:val="003778D6"/>
    <w:rsid w:val="00377C26"/>
    <w:rsid w:val="003813D7"/>
    <w:rsid w:val="00382E56"/>
    <w:rsid w:val="00382F76"/>
    <w:rsid w:val="0038334F"/>
    <w:rsid w:val="00383A39"/>
    <w:rsid w:val="003861F0"/>
    <w:rsid w:val="003901AE"/>
    <w:rsid w:val="00390BBA"/>
    <w:rsid w:val="003926D2"/>
    <w:rsid w:val="00392BC1"/>
    <w:rsid w:val="00393D76"/>
    <w:rsid w:val="00394F42"/>
    <w:rsid w:val="00395F29"/>
    <w:rsid w:val="003979A2"/>
    <w:rsid w:val="003A00AE"/>
    <w:rsid w:val="003A0A1C"/>
    <w:rsid w:val="003A2E86"/>
    <w:rsid w:val="003A37CF"/>
    <w:rsid w:val="003A580D"/>
    <w:rsid w:val="003A6301"/>
    <w:rsid w:val="003A6D66"/>
    <w:rsid w:val="003A7F5E"/>
    <w:rsid w:val="003B1BF2"/>
    <w:rsid w:val="003B260D"/>
    <w:rsid w:val="003B28F5"/>
    <w:rsid w:val="003B498E"/>
    <w:rsid w:val="003B63D3"/>
    <w:rsid w:val="003B72CE"/>
    <w:rsid w:val="003B7719"/>
    <w:rsid w:val="003C7DF4"/>
    <w:rsid w:val="003D092E"/>
    <w:rsid w:val="003D0FC8"/>
    <w:rsid w:val="003D1678"/>
    <w:rsid w:val="003D2540"/>
    <w:rsid w:val="003D27B9"/>
    <w:rsid w:val="003D4885"/>
    <w:rsid w:val="003D62F8"/>
    <w:rsid w:val="003D6C6E"/>
    <w:rsid w:val="003D6FBA"/>
    <w:rsid w:val="003E0A8C"/>
    <w:rsid w:val="003E295A"/>
    <w:rsid w:val="003E53A4"/>
    <w:rsid w:val="003E7804"/>
    <w:rsid w:val="003F1025"/>
    <w:rsid w:val="003F1634"/>
    <w:rsid w:val="003F169B"/>
    <w:rsid w:val="003F16A8"/>
    <w:rsid w:val="003F2555"/>
    <w:rsid w:val="003F305A"/>
    <w:rsid w:val="003F41B8"/>
    <w:rsid w:val="003F5F7E"/>
    <w:rsid w:val="003F6DCA"/>
    <w:rsid w:val="00401073"/>
    <w:rsid w:val="0040125E"/>
    <w:rsid w:val="00402548"/>
    <w:rsid w:val="00402B52"/>
    <w:rsid w:val="00402C8D"/>
    <w:rsid w:val="0040531C"/>
    <w:rsid w:val="004055E7"/>
    <w:rsid w:val="00406543"/>
    <w:rsid w:val="00406F9D"/>
    <w:rsid w:val="00407C62"/>
    <w:rsid w:val="0041195A"/>
    <w:rsid w:val="00412E57"/>
    <w:rsid w:val="00415A19"/>
    <w:rsid w:val="00415F0E"/>
    <w:rsid w:val="0042098D"/>
    <w:rsid w:val="00420C65"/>
    <w:rsid w:val="00421800"/>
    <w:rsid w:val="004221D9"/>
    <w:rsid w:val="004222A8"/>
    <w:rsid w:val="00422F2A"/>
    <w:rsid w:val="004234D2"/>
    <w:rsid w:val="00424A2C"/>
    <w:rsid w:val="00426D47"/>
    <w:rsid w:val="00427644"/>
    <w:rsid w:val="00432B84"/>
    <w:rsid w:val="0043399F"/>
    <w:rsid w:val="0043483C"/>
    <w:rsid w:val="00434D3D"/>
    <w:rsid w:val="004357A9"/>
    <w:rsid w:val="00436404"/>
    <w:rsid w:val="004401AD"/>
    <w:rsid w:val="0044098D"/>
    <w:rsid w:val="00440CE4"/>
    <w:rsid w:val="004433C4"/>
    <w:rsid w:val="004466B4"/>
    <w:rsid w:val="0044718C"/>
    <w:rsid w:val="004478BC"/>
    <w:rsid w:val="004479A3"/>
    <w:rsid w:val="00450C42"/>
    <w:rsid w:val="004512B3"/>
    <w:rsid w:val="00451C78"/>
    <w:rsid w:val="00456605"/>
    <w:rsid w:val="00457FD3"/>
    <w:rsid w:val="0046320C"/>
    <w:rsid w:val="00463594"/>
    <w:rsid w:val="00465B38"/>
    <w:rsid w:val="00465DD0"/>
    <w:rsid w:val="0046630D"/>
    <w:rsid w:val="00466C5A"/>
    <w:rsid w:val="0047039A"/>
    <w:rsid w:val="0047119D"/>
    <w:rsid w:val="00471C81"/>
    <w:rsid w:val="00473E7A"/>
    <w:rsid w:val="004753C4"/>
    <w:rsid w:val="00475430"/>
    <w:rsid w:val="0047600A"/>
    <w:rsid w:val="00477438"/>
    <w:rsid w:val="00480D6D"/>
    <w:rsid w:val="00480E20"/>
    <w:rsid w:val="00481A1F"/>
    <w:rsid w:val="00481B35"/>
    <w:rsid w:val="0048345A"/>
    <w:rsid w:val="004834BD"/>
    <w:rsid w:val="004858AF"/>
    <w:rsid w:val="004870FE"/>
    <w:rsid w:val="00487930"/>
    <w:rsid w:val="00487DB2"/>
    <w:rsid w:val="004908FE"/>
    <w:rsid w:val="004909C4"/>
    <w:rsid w:val="0049171B"/>
    <w:rsid w:val="00493168"/>
    <w:rsid w:val="0049380C"/>
    <w:rsid w:val="00494F2A"/>
    <w:rsid w:val="004951ED"/>
    <w:rsid w:val="00495EAC"/>
    <w:rsid w:val="00496680"/>
    <w:rsid w:val="00497056"/>
    <w:rsid w:val="00497543"/>
    <w:rsid w:val="00497E57"/>
    <w:rsid w:val="004A0460"/>
    <w:rsid w:val="004A09CE"/>
    <w:rsid w:val="004A2025"/>
    <w:rsid w:val="004A477C"/>
    <w:rsid w:val="004A52C0"/>
    <w:rsid w:val="004A74E8"/>
    <w:rsid w:val="004A77DF"/>
    <w:rsid w:val="004B198C"/>
    <w:rsid w:val="004B1F98"/>
    <w:rsid w:val="004B2440"/>
    <w:rsid w:val="004B2C0E"/>
    <w:rsid w:val="004B3E90"/>
    <w:rsid w:val="004B6105"/>
    <w:rsid w:val="004B6434"/>
    <w:rsid w:val="004C28D7"/>
    <w:rsid w:val="004C3847"/>
    <w:rsid w:val="004C49ED"/>
    <w:rsid w:val="004C5AFB"/>
    <w:rsid w:val="004C7009"/>
    <w:rsid w:val="004C7BC0"/>
    <w:rsid w:val="004C7F4B"/>
    <w:rsid w:val="004D006B"/>
    <w:rsid w:val="004D21F8"/>
    <w:rsid w:val="004D51ED"/>
    <w:rsid w:val="004D5F25"/>
    <w:rsid w:val="004D7B32"/>
    <w:rsid w:val="004E0672"/>
    <w:rsid w:val="004E0A7B"/>
    <w:rsid w:val="004E0F07"/>
    <w:rsid w:val="004E444E"/>
    <w:rsid w:val="004E53FF"/>
    <w:rsid w:val="004E6C47"/>
    <w:rsid w:val="004E6F4E"/>
    <w:rsid w:val="004F004D"/>
    <w:rsid w:val="004F00F8"/>
    <w:rsid w:val="004F12AA"/>
    <w:rsid w:val="004F22D6"/>
    <w:rsid w:val="004F4EBD"/>
    <w:rsid w:val="004F5066"/>
    <w:rsid w:val="004F683F"/>
    <w:rsid w:val="00505A30"/>
    <w:rsid w:val="00506E22"/>
    <w:rsid w:val="00506F9A"/>
    <w:rsid w:val="00507D80"/>
    <w:rsid w:val="0051150B"/>
    <w:rsid w:val="005116E5"/>
    <w:rsid w:val="0051233A"/>
    <w:rsid w:val="00513319"/>
    <w:rsid w:val="00514766"/>
    <w:rsid w:val="005162B5"/>
    <w:rsid w:val="0051718F"/>
    <w:rsid w:val="005171C2"/>
    <w:rsid w:val="00517832"/>
    <w:rsid w:val="0051798D"/>
    <w:rsid w:val="00517FA3"/>
    <w:rsid w:val="005203FF"/>
    <w:rsid w:val="00520E15"/>
    <w:rsid w:val="005217FC"/>
    <w:rsid w:val="00525CD0"/>
    <w:rsid w:val="00525DA9"/>
    <w:rsid w:val="00527527"/>
    <w:rsid w:val="00534D55"/>
    <w:rsid w:val="00534FD6"/>
    <w:rsid w:val="00536125"/>
    <w:rsid w:val="005374C7"/>
    <w:rsid w:val="005379A4"/>
    <w:rsid w:val="00543BCD"/>
    <w:rsid w:val="00545C4A"/>
    <w:rsid w:val="00545D97"/>
    <w:rsid w:val="005463CC"/>
    <w:rsid w:val="00550727"/>
    <w:rsid w:val="00551FF9"/>
    <w:rsid w:val="00552102"/>
    <w:rsid w:val="00553BEA"/>
    <w:rsid w:val="00555B55"/>
    <w:rsid w:val="005561E9"/>
    <w:rsid w:val="005608D5"/>
    <w:rsid w:val="00561C67"/>
    <w:rsid w:val="00561F33"/>
    <w:rsid w:val="005624B7"/>
    <w:rsid w:val="00562D56"/>
    <w:rsid w:val="00562F01"/>
    <w:rsid w:val="00563B92"/>
    <w:rsid w:val="00564391"/>
    <w:rsid w:val="0056455D"/>
    <w:rsid w:val="00565C7A"/>
    <w:rsid w:val="00565E45"/>
    <w:rsid w:val="005671DF"/>
    <w:rsid w:val="0057132F"/>
    <w:rsid w:val="00571599"/>
    <w:rsid w:val="00572143"/>
    <w:rsid w:val="0057353F"/>
    <w:rsid w:val="005750A6"/>
    <w:rsid w:val="005751AE"/>
    <w:rsid w:val="005759CA"/>
    <w:rsid w:val="00575E67"/>
    <w:rsid w:val="00577265"/>
    <w:rsid w:val="00581E27"/>
    <w:rsid w:val="00582018"/>
    <w:rsid w:val="005840C3"/>
    <w:rsid w:val="0058579A"/>
    <w:rsid w:val="005861A4"/>
    <w:rsid w:val="00590687"/>
    <w:rsid w:val="00591B53"/>
    <w:rsid w:val="00592BB1"/>
    <w:rsid w:val="0059368A"/>
    <w:rsid w:val="00593896"/>
    <w:rsid w:val="00593C7F"/>
    <w:rsid w:val="00593CB9"/>
    <w:rsid w:val="00594201"/>
    <w:rsid w:val="00594DAB"/>
    <w:rsid w:val="00596718"/>
    <w:rsid w:val="005A0B2E"/>
    <w:rsid w:val="005A132C"/>
    <w:rsid w:val="005A1514"/>
    <w:rsid w:val="005A19F3"/>
    <w:rsid w:val="005A26D3"/>
    <w:rsid w:val="005A3742"/>
    <w:rsid w:val="005A37F9"/>
    <w:rsid w:val="005A474B"/>
    <w:rsid w:val="005A4C63"/>
    <w:rsid w:val="005A6A95"/>
    <w:rsid w:val="005A6C74"/>
    <w:rsid w:val="005A75FD"/>
    <w:rsid w:val="005A7F3C"/>
    <w:rsid w:val="005B06C3"/>
    <w:rsid w:val="005B11AB"/>
    <w:rsid w:val="005B2FF5"/>
    <w:rsid w:val="005B4A68"/>
    <w:rsid w:val="005B52DA"/>
    <w:rsid w:val="005B5557"/>
    <w:rsid w:val="005B7618"/>
    <w:rsid w:val="005B7BE9"/>
    <w:rsid w:val="005C15BC"/>
    <w:rsid w:val="005C35B3"/>
    <w:rsid w:val="005C5525"/>
    <w:rsid w:val="005C5B55"/>
    <w:rsid w:val="005C62D4"/>
    <w:rsid w:val="005C6A56"/>
    <w:rsid w:val="005C7C26"/>
    <w:rsid w:val="005D035B"/>
    <w:rsid w:val="005D1291"/>
    <w:rsid w:val="005D1934"/>
    <w:rsid w:val="005D21C0"/>
    <w:rsid w:val="005D2BFE"/>
    <w:rsid w:val="005D3B9C"/>
    <w:rsid w:val="005D3C12"/>
    <w:rsid w:val="005D3FC3"/>
    <w:rsid w:val="005D60C0"/>
    <w:rsid w:val="005D656D"/>
    <w:rsid w:val="005E05E9"/>
    <w:rsid w:val="005E1485"/>
    <w:rsid w:val="005E18EC"/>
    <w:rsid w:val="005E2255"/>
    <w:rsid w:val="005E2418"/>
    <w:rsid w:val="005E348D"/>
    <w:rsid w:val="005E391F"/>
    <w:rsid w:val="005E3F44"/>
    <w:rsid w:val="005E4729"/>
    <w:rsid w:val="005E691A"/>
    <w:rsid w:val="005F155A"/>
    <w:rsid w:val="005F1638"/>
    <w:rsid w:val="005F2498"/>
    <w:rsid w:val="005F2A27"/>
    <w:rsid w:val="005F4251"/>
    <w:rsid w:val="005F6511"/>
    <w:rsid w:val="005F660C"/>
    <w:rsid w:val="00600563"/>
    <w:rsid w:val="00600A78"/>
    <w:rsid w:val="00600D7E"/>
    <w:rsid w:val="00601C9F"/>
    <w:rsid w:val="00602146"/>
    <w:rsid w:val="006039B6"/>
    <w:rsid w:val="00603B68"/>
    <w:rsid w:val="006040DB"/>
    <w:rsid w:val="00605B42"/>
    <w:rsid w:val="00606251"/>
    <w:rsid w:val="0060678B"/>
    <w:rsid w:val="006077EA"/>
    <w:rsid w:val="006079CE"/>
    <w:rsid w:val="0061171B"/>
    <w:rsid w:val="00612C45"/>
    <w:rsid w:val="00613D8F"/>
    <w:rsid w:val="00613DAC"/>
    <w:rsid w:val="0061653C"/>
    <w:rsid w:val="00620B96"/>
    <w:rsid w:val="00622528"/>
    <w:rsid w:val="00623409"/>
    <w:rsid w:val="006238D4"/>
    <w:rsid w:val="006249D9"/>
    <w:rsid w:val="00625272"/>
    <w:rsid w:val="00626CB2"/>
    <w:rsid w:val="00630708"/>
    <w:rsid w:val="0063495F"/>
    <w:rsid w:val="00636775"/>
    <w:rsid w:val="00636A58"/>
    <w:rsid w:val="00636C78"/>
    <w:rsid w:val="006428C3"/>
    <w:rsid w:val="00643361"/>
    <w:rsid w:val="0064346B"/>
    <w:rsid w:val="0064481F"/>
    <w:rsid w:val="00645257"/>
    <w:rsid w:val="00645294"/>
    <w:rsid w:val="006458EC"/>
    <w:rsid w:val="00645A13"/>
    <w:rsid w:val="0064778D"/>
    <w:rsid w:val="00650929"/>
    <w:rsid w:val="00651851"/>
    <w:rsid w:val="00652599"/>
    <w:rsid w:val="00657757"/>
    <w:rsid w:val="006611BB"/>
    <w:rsid w:val="006615A5"/>
    <w:rsid w:val="00661854"/>
    <w:rsid w:val="00661992"/>
    <w:rsid w:val="00661F5C"/>
    <w:rsid w:val="0066551F"/>
    <w:rsid w:val="00666E74"/>
    <w:rsid w:val="006745FF"/>
    <w:rsid w:val="00674D80"/>
    <w:rsid w:val="00674EDF"/>
    <w:rsid w:val="00676F79"/>
    <w:rsid w:val="0067709C"/>
    <w:rsid w:val="006773F8"/>
    <w:rsid w:val="0068136D"/>
    <w:rsid w:val="00682BAC"/>
    <w:rsid w:val="00685B60"/>
    <w:rsid w:val="00690C36"/>
    <w:rsid w:val="006913A5"/>
    <w:rsid w:val="00691D07"/>
    <w:rsid w:val="00694BEB"/>
    <w:rsid w:val="006950AD"/>
    <w:rsid w:val="006979A4"/>
    <w:rsid w:val="006A0CE7"/>
    <w:rsid w:val="006A148E"/>
    <w:rsid w:val="006A3719"/>
    <w:rsid w:val="006A4CCC"/>
    <w:rsid w:val="006A686E"/>
    <w:rsid w:val="006A7B2D"/>
    <w:rsid w:val="006A7CD9"/>
    <w:rsid w:val="006B14AD"/>
    <w:rsid w:val="006B1938"/>
    <w:rsid w:val="006B1FF8"/>
    <w:rsid w:val="006B448D"/>
    <w:rsid w:val="006B77C6"/>
    <w:rsid w:val="006C21DB"/>
    <w:rsid w:val="006C3E55"/>
    <w:rsid w:val="006C4010"/>
    <w:rsid w:val="006C53BA"/>
    <w:rsid w:val="006C5B2A"/>
    <w:rsid w:val="006C7042"/>
    <w:rsid w:val="006C7498"/>
    <w:rsid w:val="006D0053"/>
    <w:rsid w:val="006D13D9"/>
    <w:rsid w:val="006D1EAF"/>
    <w:rsid w:val="006D22B2"/>
    <w:rsid w:val="006D28F6"/>
    <w:rsid w:val="006D4C1A"/>
    <w:rsid w:val="006D5597"/>
    <w:rsid w:val="006D5DB1"/>
    <w:rsid w:val="006E03BA"/>
    <w:rsid w:val="006E235B"/>
    <w:rsid w:val="006E2ADB"/>
    <w:rsid w:val="006E32D1"/>
    <w:rsid w:val="006E3AD2"/>
    <w:rsid w:val="006E5002"/>
    <w:rsid w:val="006E7048"/>
    <w:rsid w:val="006F0205"/>
    <w:rsid w:val="006F04C8"/>
    <w:rsid w:val="006F0819"/>
    <w:rsid w:val="006F2ADC"/>
    <w:rsid w:val="006F6E33"/>
    <w:rsid w:val="00700189"/>
    <w:rsid w:val="00702FE0"/>
    <w:rsid w:val="00703D81"/>
    <w:rsid w:val="00704007"/>
    <w:rsid w:val="007066D9"/>
    <w:rsid w:val="00706B26"/>
    <w:rsid w:val="00706E05"/>
    <w:rsid w:val="0071198D"/>
    <w:rsid w:val="00713E1D"/>
    <w:rsid w:val="00713F93"/>
    <w:rsid w:val="007141E8"/>
    <w:rsid w:val="0071452C"/>
    <w:rsid w:val="0071728B"/>
    <w:rsid w:val="007203BA"/>
    <w:rsid w:val="0072126A"/>
    <w:rsid w:val="00721A56"/>
    <w:rsid w:val="00721E18"/>
    <w:rsid w:val="00723B96"/>
    <w:rsid w:val="007244F0"/>
    <w:rsid w:val="00724B41"/>
    <w:rsid w:val="007260D0"/>
    <w:rsid w:val="007262A9"/>
    <w:rsid w:val="007262BA"/>
    <w:rsid w:val="00732527"/>
    <w:rsid w:val="00735090"/>
    <w:rsid w:val="007352F9"/>
    <w:rsid w:val="00735E76"/>
    <w:rsid w:val="00740F47"/>
    <w:rsid w:val="007414A8"/>
    <w:rsid w:val="0074435A"/>
    <w:rsid w:val="00745F93"/>
    <w:rsid w:val="00746B42"/>
    <w:rsid w:val="0074728C"/>
    <w:rsid w:val="00747B63"/>
    <w:rsid w:val="0075174E"/>
    <w:rsid w:val="007519E3"/>
    <w:rsid w:val="007524B7"/>
    <w:rsid w:val="00755C7B"/>
    <w:rsid w:val="007570D1"/>
    <w:rsid w:val="00757DA7"/>
    <w:rsid w:val="00757F92"/>
    <w:rsid w:val="00760A83"/>
    <w:rsid w:val="007614EF"/>
    <w:rsid w:val="00762ADB"/>
    <w:rsid w:val="00762C02"/>
    <w:rsid w:val="00764CCE"/>
    <w:rsid w:val="00765111"/>
    <w:rsid w:val="0076537E"/>
    <w:rsid w:val="00771C58"/>
    <w:rsid w:val="00773688"/>
    <w:rsid w:val="007747BD"/>
    <w:rsid w:val="00775D80"/>
    <w:rsid w:val="00777C93"/>
    <w:rsid w:val="00780364"/>
    <w:rsid w:val="0078256B"/>
    <w:rsid w:val="00782699"/>
    <w:rsid w:val="00783631"/>
    <w:rsid w:val="00783F51"/>
    <w:rsid w:val="00787D71"/>
    <w:rsid w:val="00790ABD"/>
    <w:rsid w:val="00791A9B"/>
    <w:rsid w:val="00792335"/>
    <w:rsid w:val="0079406E"/>
    <w:rsid w:val="00797F5C"/>
    <w:rsid w:val="007A1F3A"/>
    <w:rsid w:val="007A2275"/>
    <w:rsid w:val="007A40A5"/>
    <w:rsid w:val="007A4EFB"/>
    <w:rsid w:val="007A6E5E"/>
    <w:rsid w:val="007B08C9"/>
    <w:rsid w:val="007B185C"/>
    <w:rsid w:val="007B26E3"/>
    <w:rsid w:val="007B48C4"/>
    <w:rsid w:val="007B761E"/>
    <w:rsid w:val="007C096B"/>
    <w:rsid w:val="007C0B1F"/>
    <w:rsid w:val="007C165F"/>
    <w:rsid w:val="007C39BE"/>
    <w:rsid w:val="007C3B46"/>
    <w:rsid w:val="007C74ED"/>
    <w:rsid w:val="007C7A28"/>
    <w:rsid w:val="007C7D56"/>
    <w:rsid w:val="007D1C52"/>
    <w:rsid w:val="007D4952"/>
    <w:rsid w:val="007D49FD"/>
    <w:rsid w:val="007D568F"/>
    <w:rsid w:val="007D5828"/>
    <w:rsid w:val="007D5CEF"/>
    <w:rsid w:val="007D6B7E"/>
    <w:rsid w:val="007E0EE5"/>
    <w:rsid w:val="007E165A"/>
    <w:rsid w:val="007E343C"/>
    <w:rsid w:val="007E36CC"/>
    <w:rsid w:val="007E7B70"/>
    <w:rsid w:val="007F16A1"/>
    <w:rsid w:val="007F26A1"/>
    <w:rsid w:val="007F2F80"/>
    <w:rsid w:val="007F3A46"/>
    <w:rsid w:val="007F442B"/>
    <w:rsid w:val="007F4BD4"/>
    <w:rsid w:val="007F4EED"/>
    <w:rsid w:val="007F530F"/>
    <w:rsid w:val="007F5CD0"/>
    <w:rsid w:val="007F6A0C"/>
    <w:rsid w:val="007F707A"/>
    <w:rsid w:val="007F7562"/>
    <w:rsid w:val="007F78A3"/>
    <w:rsid w:val="007F7913"/>
    <w:rsid w:val="008001BE"/>
    <w:rsid w:val="00801883"/>
    <w:rsid w:val="008039F3"/>
    <w:rsid w:val="00804A7B"/>
    <w:rsid w:val="00804CDE"/>
    <w:rsid w:val="00804F1B"/>
    <w:rsid w:val="00806201"/>
    <w:rsid w:val="008064AB"/>
    <w:rsid w:val="00806823"/>
    <w:rsid w:val="00807D28"/>
    <w:rsid w:val="00810D70"/>
    <w:rsid w:val="00811320"/>
    <w:rsid w:val="00811446"/>
    <w:rsid w:val="0081231B"/>
    <w:rsid w:val="008124D0"/>
    <w:rsid w:val="00820DA9"/>
    <w:rsid w:val="00823012"/>
    <w:rsid w:val="00823AF0"/>
    <w:rsid w:val="00824F1E"/>
    <w:rsid w:val="0082613D"/>
    <w:rsid w:val="008263A9"/>
    <w:rsid w:val="008268E8"/>
    <w:rsid w:val="008275C7"/>
    <w:rsid w:val="00827A79"/>
    <w:rsid w:val="00827EA3"/>
    <w:rsid w:val="00830065"/>
    <w:rsid w:val="00830B84"/>
    <w:rsid w:val="00831714"/>
    <w:rsid w:val="00833CA8"/>
    <w:rsid w:val="00834DBE"/>
    <w:rsid w:val="00836BBB"/>
    <w:rsid w:val="00836BE4"/>
    <w:rsid w:val="00837D2E"/>
    <w:rsid w:val="00840298"/>
    <w:rsid w:val="0084112C"/>
    <w:rsid w:val="00843678"/>
    <w:rsid w:val="00843C83"/>
    <w:rsid w:val="0084425B"/>
    <w:rsid w:val="008446FC"/>
    <w:rsid w:val="00844FC7"/>
    <w:rsid w:val="00845F0C"/>
    <w:rsid w:val="00850DAE"/>
    <w:rsid w:val="00850E6F"/>
    <w:rsid w:val="00851DD2"/>
    <w:rsid w:val="00851E3B"/>
    <w:rsid w:val="008528A7"/>
    <w:rsid w:val="00853D0B"/>
    <w:rsid w:val="00855867"/>
    <w:rsid w:val="00855E20"/>
    <w:rsid w:val="00855F77"/>
    <w:rsid w:val="00856DBE"/>
    <w:rsid w:val="00857FBC"/>
    <w:rsid w:val="00860581"/>
    <w:rsid w:val="0086117A"/>
    <w:rsid w:val="00861432"/>
    <w:rsid w:val="008614B9"/>
    <w:rsid w:val="00861A3E"/>
    <w:rsid w:val="008623A4"/>
    <w:rsid w:val="00862B28"/>
    <w:rsid w:val="008641BC"/>
    <w:rsid w:val="008673F8"/>
    <w:rsid w:val="00867DE6"/>
    <w:rsid w:val="00870BB2"/>
    <w:rsid w:val="00870C0A"/>
    <w:rsid w:val="008718D9"/>
    <w:rsid w:val="00872959"/>
    <w:rsid w:val="008741D2"/>
    <w:rsid w:val="00875AAD"/>
    <w:rsid w:val="00875E41"/>
    <w:rsid w:val="00875F26"/>
    <w:rsid w:val="00875F6A"/>
    <w:rsid w:val="00876BF3"/>
    <w:rsid w:val="00877464"/>
    <w:rsid w:val="00877A3E"/>
    <w:rsid w:val="00877B0C"/>
    <w:rsid w:val="00880309"/>
    <w:rsid w:val="00881C02"/>
    <w:rsid w:val="00881F44"/>
    <w:rsid w:val="008833BF"/>
    <w:rsid w:val="0088656B"/>
    <w:rsid w:val="00887A07"/>
    <w:rsid w:val="008914A0"/>
    <w:rsid w:val="00891691"/>
    <w:rsid w:val="008927E2"/>
    <w:rsid w:val="008936D2"/>
    <w:rsid w:val="00894569"/>
    <w:rsid w:val="008959B6"/>
    <w:rsid w:val="008968D9"/>
    <w:rsid w:val="008A0027"/>
    <w:rsid w:val="008A1072"/>
    <w:rsid w:val="008A1A32"/>
    <w:rsid w:val="008A1C28"/>
    <w:rsid w:val="008A2F37"/>
    <w:rsid w:val="008A41CF"/>
    <w:rsid w:val="008A4F7D"/>
    <w:rsid w:val="008A5931"/>
    <w:rsid w:val="008A5AA9"/>
    <w:rsid w:val="008A6923"/>
    <w:rsid w:val="008A7D5F"/>
    <w:rsid w:val="008B006F"/>
    <w:rsid w:val="008B108D"/>
    <w:rsid w:val="008B229A"/>
    <w:rsid w:val="008B2E3D"/>
    <w:rsid w:val="008B3253"/>
    <w:rsid w:val="008B32AE"/>
    <w:rsid w:val="008B3F16"/>
    <w:rsid w:val="008B45A8"/>
    <w:rsid w:val="008B4D4C"/>
    <w:rsid w:val="008B71D0"/>
    <w:rsid w:val="008B730E"/>
    <w:rsid w:val="008C0899"/>
    <w:rsid w:val="008C212F"/>
    <w:rsid w:val="008C25F2"/>
    <w:rsid w:val="008C2CED"/>
    <w:rsid w:val="008C3AA7"/>
    <w:rsid w:val="008C443F"/>
    <w:rsid w:val="008C4F0D"/>
    <w:rsid w:val="008C74C3"/>
    <w:rsid w:val="008D1C81"/>
    <w:rsid w:val="008D20F7"/>
    <w:rsid w:val="008D39FF"/>
    <w:rsid w:val="008D49CB"/>
    <w:rsid w:val="008D5898"/>
    <w:rsid w:val="008D59A4"/>
    <w:rsid w:val="008D6148"/>
    <w:rsid w:val="008D69D1"/>
    <w:rsid w:val="008E1995"/>
    <w:rsid w:val="008E3038"/>
    <w:rsid w:val="008E321B"/>
    <w:rsid w:val="008E3E37"/>
    <w:rsid w:val="008E7ED5"/>
    <w:rsid w:val="008F2953"/>
    <w:rsid w:val="008F2C8F"/>
    <w:rsid w:val="008F3126"/>
    <w:rsid w:val="008F3911"/>
    <w:rsid w:val="008F4A52"/>
    <w:rsid w:val="008F4A85"/>
    <w:rsid w:val="008F7370"/>
    <w:rsid w:val="009022C8"/>
    <w:rsid w:val="00902BB4"/>
    <w:rsid w:val="009030F8"/>
    <w:rsid w:val="009062D2"/>
    <w:rsid w:val="00907065"/>
    <w:rsid w:val="00910510"/>
    <w:rsid w:val="00910585"/>
    <w:rsid w:val="00911E93"/>
    <w:rsid w:val="0091216B"/>
    <w:rsid w:val="009123C4"/>
    <w:rsid w:val="009128FC"/>
    <w:rsid w:val="00913085"/>
    <w:rsid w:val="00913D94"/>
    <w:rsid w:val="00914CAC"/>
    <w:rsid w:val="00914D57"/>
    <w:rsid w:val="00916076"/>
    <w:rsid w:val="00916618"/>
    <w:rsid w:val="00917D93"/>
    <w:rsid w:val="00920056"/>
    <w:rsid w:val="009208A9"/>
    <w:rsid w:val="00920CBC"/>
    <w:rsid w:val="00921535"/>
    <w:rsid w:val="00921AF2"/>
    <w:rsid w:val="00921D24"/>
    <w:rsid w:val="00924ABC"/>
    <w:rsid w:val="00925125"/>
    <w:rsid w:val="009266F9"/>
    <w:rsid w:val="009273DD"/>
    <w:rsid w:val="00927821"/>
    <w:rsid w:val="00930FD9"/>
    <w:rsid w:val="00931332"/>
    <w:rsid w:val="009319D8"/>
    <w:rsid w:val="0093233F"/>
    <w:rsid w:val="00932BA8"/>
    <w:rsid w:val="009335A1"/>
    <w:rsid w:val="009336DC"/>
    <w:rsid w:val="00934176"/>
    <w:rsid w:val="0093446E"/>
    <w:rsid w:val="00934C93"/>
    <w:rsid w:val="0094279A"/>
    <w:rsid w:val="009427E5"/>
    <w:rsid w:val="009430D8"/>
    <w:rsid w:val="00943872"/>
    <w:rsid w:val="00943A1D"/>
    <w:rsid w:val="00950DBD"/>
    <w:rsid w:val="0095126A"/>
    <w:rsid w:val="00952717"/>
    <w:rsid w:val="00953168"/>
    <w:rsid w:val="0095332C"/>
    <w:rsid w:val="00953C19"/>
    <w:rsid w:val="00953CEF"/>
    <w:rsid w:val="00953E93"/>
    <w:rsid w:val="0095432C"/>
    <w:rsid w:val="009548C3"/>
    <w:rsid w:val="00954CB8"/>
    <w:rsid w:val="0095547C"/>
    <w:rsid w:val="00955E79"/>
    <w:rsid w:val="00956CF0"/>
    <w:rsid w:val="00957844"/>
    <w:rsid w:val="0096179F"/>
    <w:rsid w:val="009624E6"/>
    <w:rsid w:val="00963FC8"/>
    <w:rsid w:val="009644A8"/>
    <w:rsid w:val="00965442"/>
    <w:rsid w:val="00965E83"/>
    <w:rsid w:val="0096624F"/>
    <w:rsid w:val="00966E7C"/>
    <w:rsid w:val="00966F4C"/>
    <w:rsid w:val="0096786C"/>
    <w:rsid w:val="00967D93"/>
    <w:rsid w:val="0097161A"/>
    <w:rsid w:val="00971D32"/>
    <w:rsid w:val="0097237E"/>
    <w:rsid w:val="0097366C"/>
    <w:rsid w:val="00974492"/>
    <w:rsid w:val="00975553"/>
    <w:rsid w:val="00975E65"/>
    <w:rsid w:val="0098090B"/>
    <w:rsid w:val="00981502"/>
    <w:rsid w:val="0098189D"/>
    <w:rsid w:val="00984280"/>
    <w:rsid w:val="00984560"/>
    <w:rsid w:val="009847BF"/>
    <w:rsid w:val="00985789"/>
    <w:rsid w:val="00985848"/>
    <w:rsid w:val="00985AF9"/>
    <w:rsid w:val="00990254"/>
    <w:rsid w:val="0099034A"/>
    <w:rsid w:val="00992E3C"/>
    <w:rsid w:val="00993391"/>
    <w:rsid w:val="00993417"/>
    <w:rsid w:val="009940BE"/>
    <w:rsid w:val="00994B8A"/>
    <w:rsid w:val="00994D2F"/>
    <w:rsid w:val="00997A12"/>
    <w:rsid w:val="00997DDA"/>
    <w:rsid w:val="009A0DCA"/>
    <w:rsid w:val="009A1210"/>
    <w:rsid w:val="009A32EC"/>
    <w:rsid w:val="009A3C12"/>
    <w:rsid w:val="009A4CC4"/>
    <w:rsid w:val="009A54E0"/>
    <w:rsid w:val="009B0780"/>
    <w:rsid w:val="009B0EBD"/>
    <w:rsid w:val="009B0F91"/>
    <w:rsid w:val="009B12FF"/>
    <w:rsid w:val="009B4E7A"/>
    <w:rsid w:val="009B5023"/>
    <w:rsid w:val="009B51AB"/>
    <w:rsid w:val="009B6C4A"/>
    <w:rsid w:val="009B6DAA"/>
    <w:rsid w:val="009B75B4"/>
    <w:rsid w:val="009B7788"/>
    <w:rsid w:val="009B7860"/>
    <w:rsid w:val="009C06E2"/>
    <w:rsid w:val="009C3FD6"/>
    <w:rsid w:val="009C521B"/>
    <w:rsid w:val="009C7191"/>
    <w:rsid w:val="009C7DAC"/>
    <w:rsid w:val="009D131A"/>
    <w:rsid w:val="009D5DBA"/>
    <w:rsid w:val="009D645C"/>
    <w:rsid w:val="009D76D3"/>
    <w:rsid w:val="009D7888"/>
    <w:rsid w:val="009E000C"/>
    <w:rsid w:val="009E4ABC"/>
    <w:rsid w:val="009E50F8"/>
    <w:rsid w:val="009E5810"/>
    <w:rsid w:val="009E71FE"/>
    <w:rsid w:val="009E799F"/>
    <w:rsid w:val="009E7F7F"/>
    <w:rsid w:val="009F0167"/>
    <w:rsid w:val="009F35F2"/>
    <w:rsid w:val="009F3B5B"/>
    <w:rsid w:val="009F3BB4"/>
    <w:rsid w:val="009F4429"/>
    <w:rsid w:val="009F65A0"/>
    <w:rsid w:val="009F724B"/>
    <w:rsid w:val="00A00170"/>
    <w:rsid w:val="00A01E60"/>
    <w:rsid w:val="00A0272A"/>
    <w:rsid w:val="00A03DD1"/>
    <w:rsid w:val="00A03E5D"/>
    <w:rsid w:val="00A050B2"/>
    <w:rsid w:val="00A052F4"/>
    <w:rsid w:val="00A057A6"/>
    <w:rsid w:val="00A06527"/>
    <w:rsid w:val="00A0735B"/>
    <w:rsid w:val="00A07409"/>
    <w:rsid w:val="00A07C49"/>
    <w:rsid w:val="00A1051F"/>
    <w:rsid w:val="00A108C6"/>
    <w:rsid w:val="00A12EBF"/>
    <w:rsid w:val="00A14A67"/>
    <w:rsid w:val="00A1557C"/>
    <w:rsid w:val="00A1694D"/>
    <w:rsid w:val="00A17150"/>
    <w:rsid w:val="00A178DD"/>
    <w:rsid w:val="00A202FC"/>
    <w:rsid w:val="00A22188"/>
    <w:rsid w:val="00A22EBA"/>
    <w:rsid w:val="00A265D7"/>
    <w:rsid w:val="00A27375"/>
    <w:rsid w:val="00A30923"/>
    <w:rsid w:val="00A30AF1"/>
    <w:rsid w:val="00A30C5A"/>
    <w:rsid w:val="00A31311"/>
    <w:rsid w:val="00A33A99"/>
    <w:rsid w:val="00A35F06"/>
    <w:rsid w:val="00A36AEB"/>
    <w:rsid w:val="00A36B8C"/>
    <w:rsid w:val="00A40004"/>
    <w:rsid w:val="00A40157"/>
    <w:rsid w:val="00A41ED2"/>
    <w:rsid w:val="00A4282D"/>
    <w:rsid w:val="00A43D09"/>
    <w:rsid w:val="00A43D45"/>
    <w:rsid w:val="00A445DC"/>
    <w:rsid w:val="00A46C73"/>
    <w:rsid w:val="00A47BB2"/>
    <w:rsid w:val="00A51E69"/>
    <w:rsid w:val="00A52642"/>
    <w:rsid w:val="00A52E68"/>
    <w:rsid w:val="00A55018"/>
    <w:rsid w:val="00A56BC2"/>
    <w:rsid w:val="00A61F18"/>
    <w:rsid w:val="00A62816"/>
    <w:rsid w:val="00A63116"/>
    <w:rsid w:val="00A63365"/>
    <w:rsid w:val="00A64067"/>
    <w:rsid w:val="00A641E9"/>
    <w:rsid w:val="00A65812"/>
    <w:rsid w:val="00A659A5"/>
    <w:rsid w:val="00A660A9"/>
    <w:rsid w:val="00A665C2"/>
    <w:rsid w:val="00A672F1"/>
    <w:rsid w:val="00A67D3E"/>
    <w:rsid w:val="00A721C1"/>
    <w:rsid w:val="00A7286A"/>
    <w:rsid w:val="00A729D3"/>
    <w:rsid w:val="00A73D40"/>
    <w:rsid w:val="00A741F0"/>
    <w:rsid w:val="00A75578"/>
    <w:rsid w:val="00A75B02"/>
    <w:rsid w:val="00A77B8D"/>
    <w:rsid w:val="00A803B4"/>
    <w:rsid w:val="00A81C09"/>
    <w:rsid w:val="00A81FAE"/>
    <w:rsid w:val="00A858CD"/>
    <w:rsid w:val="00A86F10"/>
    <w:rsid w:val="00A9099C"/>
    <w:rsid w:val="00A90E9D"/>
    <w:rsid w:val="00A929EB"/>
    <w:rsid w:val="00A95FCF"/>
    <w:rsid w:val="00A97C5A"/>
    <w:rsid w:val="00AA1CC6"/>
    <w:rsid w:val="00AA2A9C"/>
    <w:rsid w:val="00AA3573"/>
    <w:rsid w:val="00AA3B49"/>
    <w:rsid w:val="00AA3F66"/>
    <w:rsid w:val="00AA672B"/>
    <w:rsid w:val="00AA6BC7"/>
    <w:rsid w:val="00AA7EAC"/>
    <w:rsid w:val="00AB0D30"/>
    <w:rsid w:val="00AB3191"/>
    <w:rsid w:val="00AB4056"/>
    <w:rsid w:val="00AB581A"/>
    <w:rsid w:val="00AB5D0D"/>
    <w:rsid w:val="00AC0726"/>
    <w:rsid w:val="00AC09C8"/>
    <w:rsid w:val="00AC34D2"/>
    <w:rsid w:val="00AC3E44"/>
    <w:rsid w:val="00AC4E6A"/>
    <w:rsid w:val="00AC5507"/>
    <w:rsid w:val="00AC5B7D"/>
    <w:rsid w:val="00AC6BDE"/>
    <w:rsid w:val="00AD0EA1"/>
    <w:rsid w:val="00AD190A"/>
    <w:rsid w:val="00AD1BB0"/>
    <w:rsid w:val="00AD2CB9"/>
    <w:rsid w:val="00AD323D"/>
    <w:rsid w:val="00AD46F0"/>
    <w:rsid w:val="00AD7F79"/>
    <w:rsid w:val="00AE3302"/>
    <w:rsid w:val="00AE3B3B"/>
    <w:rsid w:val="00AE488A"/>
    <w:rsid w:val="00AE5E6D"/>
    <w:rsid w:val="00AF0320"/>
    <w:rsid w:val="00AF13B4"/>
    <w:rsid w:val="00AF1CB2"/>
    <w:rsid w:val="00AF2394"/>
    <w:rsid w:val="00AF6FB5"/>
    <w:rsid w:val="00B00310"/>
    <w:rsid w:val="00B01AC4"/>
    <w:rsid w:val="00B01EB9"/>
    <w:rsid w:val="00B024A7"/>
    <w:rsid w:val="00B04E0A"/>
    <w:rsid w:val="00B04E28"/>
    <w:rsid w:val="00B0503B"/>
    <w:rsid w:val="00B06D4B"/>
    <w:rsid w:val="00B06DB8"/>
    <w:rsid w:val="00B07409"/>
    <w:rsid w:val="00B074EE"/>
    <w:rsid w:val="00B10387"/>
    <w:rsid w:val="00B1515B"/>
    <w:rsid w:val="00B200C3"/>
    <w:rsid w:val="00B208ED"/>
    <w:rsid w:val="00B2333A"/>
    <w:rsid w:val="00B23C50"/>
    <w:rsid w:val="00B261E8"/>
    <w:rsid w:val="00B2644C"/>
    <w:rsid w:val="00B270DD"/>
    <w:rsid w:val="00B30CD5"/>
    <w:rsid w:val="00B348C9"/>
    <w:rsid w:val="00B36AD7"/>
    <w:rsid w:val="00B40647"/>
    <w:rsid w:val="00B412B2"/>
    <w:rsid w:val="00B423D1"/>
    <w:rsid w:val="00B428AA"/>
    <w:rsid w:val="00B42F37"/>
    <w:rsid w:val="00B4326D"/>
    <w:rsid w:val="00B4395F"/>
    <w:rsid w:val="00B462D2"/>
    <w:rsid w:val="00B477F9"/>
    <w:rsid w:val="00B51165"/>
    <w:rsid w:val="00B51192"/>
    <w:rsid w:val="00B51F9F"/>
    <w:rsid w:val="00B52F04"/>
    <w:rsid w:val="00B53942"/>
    <w:rsid w:val="00B53B8D"/>
    <w:rsid w:val="00B54049"/>
    <w:rsid w:val="00B54136"/>
    <w:rsid w:val="00B562EB"/>
    <w:rsid w:val="00B566AB"/>
    <w:rsid w:val="00B56EA7"/>
    <w:rsid w:val="00B573E0"/>
    <w:rsid w:val="00B57A7F"/>
    <w:rsid w:val="00B57C0A"/>
    <w:rsid w:val="00B6262A"/>
    <w:rsid w:val="00B627FB"/>
    <w:rsid w:val="00B649CD"/>
    <w:rsid w:val="00B64CE7"/>
    <w:rsid w:val="00B70AE8"/>
    <w:rsid w:val="00B7192A"/>
    <w:rsid w:val="00B71A6F"/>
    <w:rsid w:val="00B72716"/>
    <w:rsid w:val="00B73425"/>
    <w:rsid w:val="00B73A56"/>
    <w:rsid w:val="00B748C9"/>
    <w:rsid w:val="00B756EA"/>
    <w:rsid w:val="00B75F2C"/>
    <w:rsid w:val="00B766E2"/>
    <w:rsid w:val="00B7696C"/>
    <w:rsid w:val="00B77702"/>
    <w:rsid w:val="00B80410"/>
    <w:rsid w:val="00B80F8D"/>
    <w:rsid w:val="00B8275A"/>
    <w:rsid w:val="00B83CD3"/>
    <w:rsid w:val="00B857F6"/>
    <w:rsid w:val="00B90440"/>
    <w:rsid w:val="00B90A08"/>
    <w:rsid w:val="00B91603"/>
    <w:rsid w:val="00B92655"/>
    <w:rsid w:val="00B92C35"/>
    <w:rsid w:val="00B93258"/>
    <w:rsid w:val="00B9345E"/>
    <w:rsid w:val="00B9489D"/>
    <w:rsid w:val="00B95BC7"/>
    <w:rsid w:val="00B973DE"/>
    <w:rsid w:val="00BA018C"/>
    <w:rsid w:val="00BA1E7E"/>
    <w:rsid w:val="00BA2A17"/>
    <w:rsid w:val="00BA3DB6"/>
    <w:rsid w:val="00BA46B2"/>
    <w:rsid w:val="00BA5831"/>
    <w:rsid w:val="00BA59F9"/>
    <w:rsid w:val="00BA5EB1"/>
    <w:rsid w:val="00BA6660"/>
    <w:rsid w:val="00BA6E57"/>
    <w:rsid w:val="00BA6E8C"/>
    <w:rsid w:val="00BA7828"/>
    <w:rsid w:val="00BB15AE"/>
    <w:rsid w:val="00BC05FB"/>
    <w:rsid w:val="00BC201F"/>
    <w:rsid w:val="00BC3862"/>
    <w:rsid w:val="00BC3EF0"/>
    <w:rsid w:val="00BC447C"/>
    <w:rsid w:val="00BC46B1"/>
    <w:rsid w:val="00BC4C5C"/>
    <w:rsid w:val="00BC70E3"/>
    <w:rsid w:val="00BD1681"/>
    <w:rsid w:val="00BD2A7B"/>
    <w:rsid w:val="00BD4057"/>
    <w:rsid w:val="00BD6C5C"/>
    <w:rsid w:val="00BE070F"/>
    <w:rsid w:val="00BE08F4"/>
    <w:rsid w:val="00BE099B"/>
    <w:rsid w:val="00BE4554"/>
    <w:rsid w:val="00BE49C8"/>
    <w:rsid w:val="00BE4CE0"/>
    <w:rsid w:val="00BE5B96"/>
    <w:rsid w:val="00BE752A"/>
    <w:rsid w:val="00BF17E3"/>
    <w:rsid w:val="00BF1B4D"/>
    <w:rsid w:val="00BF2C56"/>
    <w:rsid w:val="00BF3B81"/>
    <w:rsid w:val="00C00C39"/>
    <w:rsid w:val="00C01F27"/>
    <w:rsid w:val="00C0214D"/>
    <w:rsid w:val="00C036FE"/>
    <w:rsid w:val="00C03FA8"/>
    <w:rsid w:val="00C0426C"/>
    <w:rsid w:val="00C05801"/>
    <w:rsid w:val="00C063A2"/>
    <w:rsid w:val="00C06498"/>
    <w:rsid w:val="00C104C8"/>
    <w:rsid w:val="00C104D5"/>
    <w:rsid w:val="00C11DA7"/>
    <w:rsid w:val="00C14E89"/>
    <w:rsid w:val="00C15348"/>
    <w:rsid w:val="00C201C2"/>
    <w:rsid w:val="00C2134C"/>
    <w:rsid w:val="00C21703"/>
    <w:rsid w:val="00C23C36"/>
    <w:rsid w:val="00C24E92"/>
    <w:rsid w:val="00C25299"/>
    <w:rsid w:val="00C256F4"/>
    <w:rsid w:val="00C265C9"/>
    <w:rsid w:val="00C26C06"/>
    <w:rsid w:val="00C27433"/>
    <w:rsid w:val="00C27C44"/>
    <w:rsid w:val="00C3025E"/>
    <w:rsid w:val="00C3074C"/>
    <w:rsid w:val="00C32A70"/>
    <w:rsid w:val="00C33462"/>
    <w:rsid w:val="00C336C8"/>
    <w:rsid w:val="00C33C05"/>
    <w:rsid w:val="00C3582E"/>
    <w:rsid w:val="00C3797B"/>
    <w:rsid w:val="00C40963"/>
    <w:rsid w:val="00C40C58"/>
    <w:rsid w:val="00C41871"/>
    <w:rsid w:val="00C42EB7"/>
    <w:rsid w:val="00C4764B"/>
    <w:rsid w:val="00C503A8"/>
    <w:rsid w:val="00C51F0E"/>
    <w:rsid w:val="00C525B6"/>
    <w:rsid w:val="00C529D6"/>
    <w:rsid w:val="00C53CF5"/>
    <w:rsid w:val="00C54276"/>
    <w:rsid w:val="00C54286"/>
    <w:rsid w:val="00C54352"/>
    <w:rsid w:val="00C54D8A"/>
    <w:rsid w:val="00C568CE"/>
    <w:rsid w:val="00C571D7"/>
    <w:rsid w:val="00C60C2D"/>
    <w:rsid w:val="00C61381"/>
    <w:rsid w:val="00C6160E"/>
    <w:rsid w:val="00C617CE"/>
    <w:rsid w:val="00C622FE"/>
    <w:rsid w:val="00C626E2"/>
    <w:rsid w:val="00C64D56"/>
    <w:rsid w:val="00C65FB5"/>
    <w:rsid w:val="00C66162"/>
    <w:rsid w:val="00C6665C"/>
    <w:rsid w:val="00C6693B"/>
    <w:rsid w:val="00C70435"/>
    <w:rsid w:val="00C70FBF"/>
    <w:rsid w:val="00C71309"/>
    <w:rsid w:val="00C71F15"/>
    <w:rsid w:val="00C7218B"/>
    <w:rsid w:val="00C73089"/>
    <w:rsid w:val="00C75960"/>
    <w:rsid w:val="00C76BA0"/>
    <w:rsid w:val="00C76DDD"/>
    <w:rsid w:val="00C77235"/>
    <w:rsid w:val="00C77E29"/>
    <w:rsid w:val="00C80578"/>
    <w:rsid w:val="00C80C43"/>
    <w:rsid w:val="00C81802"/>
    <w:rsid w:val="00C821A2"/>
    <w:rsid w:val="00C83003"/>
    <w:rsid w:val="00C8315E"/>
    <w:rsid w:val="00C83A16"/>
    <w:rsid w:val="00C8653A"/>
    <w:rsid w:val="00C86C57"/>
    <w:rsid w:val="00C875BF"/>
    <w:rsid w:val="00C90F85"/>
    <w:rsid w:val="00C92E08"/>
    <w:rsid w:val="00C93243"/>
    <w:rsid w:val="00C939AC"/>
    <w:rsid w:val="00C94D54"/>
    <w:rsid w:val="00C96D66"/>
    <w:rsid w:val="00C97E4B"/>
    <w:rsid w:val="00CA064A"/>
    <w:rsid w:val="00CA3AC2"/>
    <w:rsid w:val="00CA3C59"/>
    <w:rsid w:val="00CA4217"/>
    <w:rsid w:val="00CA507D"/>
    <w:rsid w:val="00CB0122"/>
    <w:rsid w:val="00CB0150"/>
    <w:rsid w:val="00CB0ADE"/>
    <w:rsid w:val="00CB0B1D"/>
    <w:rsid w:val="00CB3920"/>
    <w:rsid w:val="00CB5AC7"/>
    <w:rsid w:val="00CB77F7"/>
    <w:rsid w:val="00CC01AB"/>
    <w:rsid w:val="00CC0BDE"/>
    <w:rsid w:val="00CC1360"/>
    <w:rsid w:val="00CC1B97"/>
    <w:rsid w:val="00CC2772"/>
    <w:rsid w:val="00CC2F34"/>
    <w:rsid w:val="00CC4311"/>
    <w:rsid w:val="00CC4E72"/>
    <w:rsid w:val="00CC5DB6"/>
    <w:rsid w:val="00CD06F8"/>
    <w:rsid w:val="00CD35E9"/>
    <w:rsid w:val="00CD3CBB"/>
    <w:rsid w:val="00CD59D0"/>
    <w:rsid w:val="00CD7072"/>
    <w:rsid w:val="00CD79A5"/>
    <w:rsid w:val="00CD7C63"/>
    <w:rsid w:val="00CE0681"/>
    <w:rsid w:val="00CE0C26"/>
    <w:rsid w:val="00CE1781"/>
    <w:rsid w:val="00CE378E"/>
    <w:rsid w:val="00CE648E"/>
    <w:rsid w:val="00CE6F8E"/>
    <w:rsid w:val="00CF002C"/>
    <w:rsid w:val="00CF1F94"/>
    <w:rsid w:val="00CF2BD6"/>
    <w:rsid w:val="00CF2FEC"/>
    <w:rsid w:val="00CF3980"/>
    <w:rsid w:val="00CF4A60"/>
    <w:rsid w:val="00CF67B2"/>
    <w:rsid w:val="00CF7116"/>
    <w:rsid w:val="00D000AC"/>
    <w:rsid w:val="00D006D8"/>
    <w:rsid w:val="00D0076D"/>
    <w:rsid w:val="00D04EC0"/>
    <w:rsid w:val="00D0502F"/>
    <w:rsid w:val="00D0581E"/>
    <w:rsid w:val="00D05A6E"/>
    <w:rsid w:val="00D06824"/>
    <w:rsid w:val="00D06F1B"/>
    <w:rsid w:val="00D1080D"/>
    <w:rsid w:val="00D12703"/>
    <w:rsid w:val="00D128AD"/>
    <w:rsid w:val="00D15824"/>
    <w:rsid w:val="00D1593E"/>
    <w:rsid w:val="00D160BE"/>
    <w:rsid w:val="00D16D29"/>
    <w:rsid w:val="00D16DC5"/>
    <w:rsid w:val="00D177C1"/>
    <w:rsid w:val="00D206EE"/>
    <w:rsid w:val="00D213E9"/>
    <w:rsid w:val="00D222EE"/>
    <w:rsid w:val="00D2244D"/>
    <w:rsid w:val="00D22A04"/>
    <w:rsid w:val="00D232DF"/>
    <w:rsid w:val="00D25C78"/>
    <w:rsid w:val="00D26AD2"/>
    <w:rsid w:val="00D26BA7"/>
    <w:rsid w:val="00D27839"/>
    <w:rsid w:val="00D279FE"/>
    <w:rsid w:val="00D31EB0"/>
    <w:rsid w:val="00D346E7"/>
    <w:rsid w:val="00D34F25"/>
    <w:rsid w:val="00D37865"/>
    <w:rsid w:val="00D413D2"/>
    <w:rsid w:val="00D41462"/>
    <w:rsid w:val="00D41F4D"/>
    <w:rsid w:val="00D44A71"/>
    <w:rsid w:val="00D45041"/>
    <w:rsid w:val="00D45D4B"/>
    <w:rsid w:val="00D45DF2"/>
    <w:rsid w:val="00D46D88"/>
    <w:rsid w:val="00D4793E"/>
    <w:rsid w:val="00D50418"/>
    <w:rsid w:val="00D50E65"/>
    <w:rsid w:val="00D526D2"/>
    <w:rsid w:val="00D52E63"/>
    <w:rsid w:val="00D54D08"/>
    <w:rsid w:val="00D5637F"/>
    <w:rsid w:val="00D568B0"/>
    <w:rsid w:val="00D57E7F"/>
    <w:rsid w:val="00D6087B"/>
    <w:rsid w:val="00D60D81"/>
    <w:rsid w:val="00D611E5"/>
    <w:rsid w:val="00D6263A"/>
    <w:rsid w:val="00D67122"/>
    <w:rsid w:val="00D70E6C"/>
    <w:rsid w:val="00D711E6"/>
    <w:rsid w:val="00D72795"/>
    <w:rsid w:val="00D72825"/>
    <w:rsid w:val="00D739FB"/>
    <w:rsid w:val="00D76335"/>
    <w:rsid w:val="00D76567"/>
    <w:rsid w:val="00D81354"/>
    <w:rsid w:val="00D820A5"/>
    <w:rsid w:val="00D82310"/>
    <w:rsid w:val="00D857C2"/>
    <w:rsid w:val="00D85B2E"/>
    <w:rsid w:val="00D85C94"/>
    <w:rsid w:val="00D85F7B"/>
    <w:rsid w:val="00D866AE"/>
    <w:rsid w:val="00D87201"/>
    <w:rsid w:val="00D901F6"/>
    <w:rsid w:val="00D90758"/>
    <w:rsid w:val="00D9141E"/>
    <w:rsid w:val="00D914EE"/>
    <w:rsid w:val="00D91A03"/>
    <w:rsid w:val="00D932AE"/>
    <w:rsid w:val="00D9551A"/>
    <w:rsid w:val="00D958DC"/>
    <w:rsid w:val="00D959D5"/>
    <w:rsid w:val="00D96242"/>
    <w:rsid w:val="00D97E1F"/>
    <w:rsid w:val="00DA0565"/>
    <w:rsid w:val="00DA0B46"/>
    <w:rsid w:val="00DA0C5D"/>
    <w:rsid w:val="00DA1FAB"/>
    <w:rsid w:val="00DA2156"/>
    <w:rsid w:val="00DA30DC"/>
    <w:rsid w:val="00DA3ABC"/>
    <w:rsid w:val="00DA60C8"/>
    <w:rsid w:val="00DA61F1"/>
    <w:rsid w:val="00DA6296"/>
    <w:rsid w:val="00DA7EAD"/>
    <w:rsid w:val="00DB053D"/>
    <w:rsid w:val="00DB0908"/>
    <w:rsid w:val="00DB102D"/>
    <w:rsid w:val="00DB1BC3"/>
    <w:rsid w:val="00DB2105"/>
    <w:rsid w:val="00DB2916"/>
    <w:rsid w:val="00DB29EC"/>
    <w:rsid w:val="00DB2B75"/>
    <w:rsid w:val="00DB37E3"/>
    <w:rsid w:val="00DB41A4"/>
    <w:rsid w:val="00DB4771"/>
    <w:rsid w:val="00DB4A75"/>
    <w:rsid w:val="00DB4B8E"/>
    <w:rsid w:val="00DB67E2"/>
    <w:rsid w:val="00DB6D9F"/>
    <w:rsid w:val="00DB7014"/>
    <w:rsid w:val="00DB7208"/>
    <w:rsid w:val="00DC2806"/>
    <w:rsid w:val="00DC3371"/>
    <w:rsid w:val="00DC3FF2"/>
    <w:rsid w:val="00DC4279"/>
    <w:rsid w:val="00DC44EB"/>
    <w:rsid w:val="00DC4F28"/>
    <w:rsid w:val="00DC4FD3"/>
    <w:rsid w:val="00DC55E1"/>
    <w:rsid w:val="00DC5E39"/>
    <w:rsid w:val="00DC612B"/>
    <w:rsid w:val="00DC7BD8"/>
    <w:rsid w:val="00DD0623"/>
    <w:rsid w:val="00DD1FBA"/>
    <w:rsid w:val="00DD21D2"/>
    <w:rsid w:val="00DD2BBF"/>
    <w:rsid w:val="00DD3185"/>
    <w:rsid w:val="00DD3BAB"/>
    <w:rsid w:val="00DD4562"/>
    <w:rsid w:val="00DD4EDA"/>
    <w:rsid w:val="00DD5684"/>
    <w:rsid w:val="00DD5714"/>
    <w:rsid w:val="00DD5C98"/>
    <w:rsid w:val="00DD6A93"/>
    <w:rsid w:val="00DD7297"/>
    <w:rsid w:val="00DD764E"/>
    <w:rsid w:val="00DE50C0"/>
    <w:rsid w:val="00DE5AB5"/>
    <w:rsid w:val="00DF0563"/>
    <w:rsid w:val="00DF1573"/>
    <w:rsid w:val="00DF34E7"/>
    <w:rsid w:val="00DF3737"/>
    <w:rsid w:val="00DF49C1"/>
    <w:rsid w:val="00DF6235"/>
    <w:rsid w:val="00DF6BA7"/>
    <w:rsid w:val="00E000B8"/>
    <w:rsid w:val="00E0015D"/>
    <w:rsid w:val="00E018F1"/>
    <w:rsid w:val="00E04617"/>
    <w:rsid w:val="00E051C6"/>
    <w:rsid w:val="00E06949"/>
    <w:rsid w:val="00E06FC3"/>
    <w:rsid w:val="00E07523"/>
    <w:rsid w:val="00E11DA9"/>
    <w:rsid w:val="00E120C8"/>
    <w:rsid w:val="00E12E7F"/>
    <w:rsid w:val="00E1307E"/>
    <w:rsid w:val="00E15EA7"/>
    <w:rsid w:val="00E16B6A"/>
    <w:rsid w:val="00E17523"/>
    <w:rsid w:val="00E176EF"/>
    <w:rsid w:val="00E17E94"/>
    <w:rsid w:val="00E2058E"/>
    <w:rsid w:val="00E206BC"/>
    <w:rsid w:val="00E21F93"/>
    <w:rsid w:val="00E252DF"/>
    <w:rsid w:val="00E27727"/>
    <w:rsid w:val="00E278B9"/>
    <w:rsid w:val="00E2790C"/>
    <w:rsid w:val="00E30412"/>
    <w:rsid w:val="00E32636"/>
    <w:rsid w:val="00E34272"/>
    <w:rsid w:val="00E34B90"/>
    <w:rsid w:val="00E35D1C"/>
    <w:rsid w:val="00E360E3"/>
    <w:rsid w:val="00E369F1"/>
    <w:rsid w:val="00E36CB8"/>
    <w:rsid w:val="00E36FEB"/>
    <w:rsid w:val="00E37377"/>
    <w:rsid w:val="00E40A0F"/>
    <w:rsid w:val="00E40FB0"/>
    <w:rsid w:val="00E42877"/>
    <w:rsid w:val="00E435C8"/>
    <w:rsid w:val="00E44D92"/>
    <w:rsid w:val="00E450EE"/>
    <w:rsid w:val="00E45F3E"/>
    <w:rsid w:val="00E46CCF"/>
    <w:rsid w:val="00E47F42"/>
    <w:rsid w:val="00E50692"/>
    <w:rsid w:val="00E51457"/>
    <w:rsid w:val="00E52B9B"/>
    <w:rsid w:val="00E53A2A"/>
    <w:rsid w:val="00E559D2"/>
    <w:rsid w:val="00E571C4"/>
    <w:rsid w:val="00E573FD"/>
    <w:rsid w:val="00E606F3"/>
    <w:rsid w:val="00E60866"/>
    <w:rsid w:val="00E619FF"/>
    <w:rsid w:val="00E6298B"/>
    <w:rsid w:val="00E63FC1"/>
    <w:rsid w:val="00E645C4"/>
    <w:rsid w:val="00E65C5A"/>
    <w:rsid w:val="00E66853"/>
    <w:rsid w:val="00E678C8"/>
    <w:rsid w:val="00E70EF9"/>
    <w:rsid w:val="00E71643"/>
    <w:rsid w:val="00E71675"/>
    <w:rsid w:val="00E717AB"/>
    <w:rsid w:val="00E71BA4"/>
    <w:rsid w:val="00E73167"/>
    <w:rsid w:val="00E76098"/>
    <w:rsid w:val="00E7749D"/>
    <w:rsid w:val="00E77993"/>
    <w:rsid w:val="00E80005"/>
    <w:rsid w:val="00E809B5"/>
    <w:rsid w:val="00E80ECA"/>
    <w:rsid w:val="00E80FDB"/>
    <w:rsid w:val="00E855B1"/>
    <w:rsid w:val="00E87DF1"/>
    <w:rsid w:val="00E91927"/>
    <w:rsid w:val="00E91B99"/>
    <w:rsid w:val="00E93D67"/>
    <w:rsid w:val="00E93E1D"/>
    <w:rsid w:val="00E94B89"/>
    <w:rsid w:val="00E95A58"/>
    <w:rsid w:val="00EA0BDA"/>
    <w:rsid w:val="00EA0E8E"/>
    <w:rsid w:val="00EA1612"/>
    <w:rsid w:val="00EA2968"/>
    <w:rsid w:val="00EA2E2B"/>
    <w:rsid w:val="00EA3D2C"/>
    <w:rsid w:val="00EA4BFA"/>
    <w:rsid w:val="00EA55AE"/>
    <w:rsid w:val="00EA5627"/>
    <w:rsid w:val="00EA6328"/>
    <w:rsid w:val="00EB25FB"/>
    <w:rsid w:val="00EB4A06"/>
    <w:rsid w:val="00EB6E41"/>
    <w:rsid w:val="00EB711E"/>
    <w:rsid w:val="00EB749D"/>
    <w:rsid w:val="00EC13FA"/>
    <w:rsid w:val="00EC29E4"/>
    <w:rsid w:val="00EC2AD9"/>
    <w:rsid w:val="00EC4199"/>
    <w:rsid w:val="00EC621C"/>
    <w:rsid w:val="00EC67AE"/>
    <w:rsid w:val="00EC6EDC"/>
    <w:rsid w:val="00ED0B82"/>
    <w:rsid w:val="00ED26A8"/>
    <w:rsid w:val="00ED523F"/>
    <w:rsid w:val="00ED587E"/>
    <w:rsid w:val="00ED6AD2"/>
    <w:rsid w:val="00ED7546"/>
    <w:rsid w:val="00ED7F3A"/>
    <w:rsid w:val="00EE0B47"/>
    <w:rsid w:val="00EE284E"/>
    <w:rsid w:val="00EE2ED7"/>
    <w:rsid w:val="00EE4A3A"/>
    <w:rsid w:val="00EE5E4C"/>
    <w:rsid w:val="00EE6E60"/>
    <w:rsid w:val="00EE706F"/>
    <w:rsid w:val="00EF04A8"/>
    <w:rsid w:val="00EF0D6A"/>
    <w:rsid w:val="00EF0DC1"/>
    <w:rsid w:val="00EF234B"/>
    <w:rsid w:val="00EF2401"/>
    <w:rsid w:val="00EF4D3E"/>
    <w:rsid w:val="00EF540F"/>
    <w:rsid w:val="00EF54BB"/>
    <w:rsid w:val="00EF5DAD"/>
    <w:rsid w:val="00EF725A"/>
    <w:rsid w:val="00F0163E"/>
    <w:rsid w:val="00F02061"/>
    <w:rsid w:val="00F022D3"/>
    <w:rsid w:val="00F0246C"/>
    <w:rsid w:val="00F034F2"/>
    <w:rsid w:val="00F04280"/>
    <w:rsid w:val="00F0450D"/>
    <w:rsid w:val="00F0639E"/>
    <w:rsid w:val="00F07EA3"/>
    <w:rsid w:val="00F104BA"/>
    <w:rsid w:val="00F131F7"/>
    <w:rsid w:val="00F135AC"/>
    <w:rsid w:val="00F139F7"/>
    <w:rsid w:val="00F1457E"/>
    <w:rsid w:val="00F150E4"/>
    <w:rsid w:val="00F155C8"/>
    <w:rsid w:val="00F15CE6"/>
    <w:rsid w:val="00F17FB3"/>
    <w:rsid w:val="00F2050D"/>
    <w:rsid w:val="00F20F0E"/>
    <w:rsid w:val="00F20FFD"/>
    <w:rsid w:val="00F2424D"/>
    <w:rsid w:val="00F25EE1"/>
    <w:rsid w:val="00F35013"/>
    <w:rsid w:val="00F35378"/>
    <w:rsid w:val="00F35527"/>
    <w:rsid w:val="00F4124B"/>
    <w:rsid w:val="00F4264C"/>
    <w:rsid w:val="00F42F51"/>
    <w:rsid w:val="00F44D03"/>
    <w:rsid w:val="00F46113"/>
    <w:rsid w:val="00F510B6"/>
    <w:rsid w:val="00F523A5"/>
    <w:rsid w:val="00F52BFC"/>
    <w:rsid w:val="00F542BE"/>
    <w:rsid w:val="00F54530"/>
    <w:rsid w:val="00F54537"/>
    <w:rsid w:val="00F54561"/>
    <w:rsid w:val="00F55174"/>
    <w:rsid w:val="00F56C20"/>
    <w:rsid w:val="00F56ECF"/>
    <w:rsid w:val="00F575ED"/>
    <w:rsid w:val="00F57E89"/>
    <w:rsid w:val="00F6059C"/>
    <w:rsid w:val="00F60B96"/>
    <w:rsid w:val="00F6430A"/>
    <w:rsid w:val="00F645DA"/>
    <w:rsid w:val="00F65387"/>
    <w:rsid w:val="00F65633"/>
    <w:rsid w:val="00F66D9E"/>
    <w:rsid w:val="00F70192"/>
    <w:rsid w:val="00F7065C"/>
    <w:rsid w:val="00F70E69"/>
    <w:rsid w:val="00F729A9"/>
    <w:rsid w:val="00F72AEB"/>
    <w:rsid w:val="00F72EA1"/>
    <w:rsid w:val="00F730A8"/>
    <w:rsid w:val="00F7364E"/>
    <w:rsid w:val="00F8026E"/>
    <w:rsid w:val="00F808FE"/>
    <w:rsid w:val="00F81019"/>
    <w:rsid w:val="00F81619"/>
    <w:rsid w:val="00F83925"/>
    <w:rsid w:val="00F844BE"/>
    <w:rsid w:val="00F8492B"/>
    <w:rsid w:val="00F84B20"/>
    <w:rsid w:val="00F85A95"/>
    <w:rsid w:val="00F90421"/>
    <w:rsid w:val="00F91FBF"/>
    <w:rsid w:val="00F9289A"/>
    <w:rsid w:val="00F92E69"/>
    <w:rsid w:val="00F93E85"/>
    <w:rsid w:val="00F958E0"/>
    <w:rsid w:val="00F95913"/>
    <w:rsid w:val="00F96BD9"/>
    <w:rsid w:val="00F96EEC"/>
    <w:rsid w:val="00F97D1D"/>
    <w:rsid w:val="00FA00CA"/>
    <w:rsid w:val="00FA23FF"/>
    <w:rsid w:val="00FA31A5"/>
    <w:rsid w:val="00FA5164"/>
    <w:rsid w:val="00FA57B6"/>
    <w:rsid w:val="00FA644E"/>
    <w:rsid w:val="00FA7F86"/>
    <w:rsid w:val="00FB06AC"/>
    <w:rsid w:val="00FB1483"/>
    <w:rsid w:val="00FB17AD"/>
    <w:rsid w:val="00FB1C92"/>
    <w:rsid w:val="00FB1D57"/>
    <w:rsid w:val="00FB2CC7"/>
    <w:rsid w:val="00FB3FE6"/>
    <w:rsid w:val="00FB4DDC"/>
    <w:rsid w:val="00FB6663"/>
    <w:rsid w:val="00FB6FC0"/>
    <w:rsid w:val="00FC00D5"/>
    <w:rsid w:val="00FC1E77"/>
    <w:rsid w:val="00FC51B3"/>
    <w:rsid w:val="00FC66D7"/>
    <w:rsid w:val="00FD23FF"/>
    <w:rsid w:val="00FD4641"/>
    <w:rsid w:val="00FD5C35"/>
    <w:rsid w:val="00FD6D5C"/>
    <w:rsid w:val="00FD7434"/>
    <w:rsid w:val="00FE0047"/>
    <w:rsid w:val="00FE0492"/>
    <w:rsid w:val="00FE058F"/>
    <w:rsid w:val="00FE127B"/>
    <w:rsid w:val="00FE35E5"/>
    <w:rsid w:val="00FE47F4"/>
    <w:rsid w:val="00FE5FF8"/>
    <w:rsid w:val="00FE6245"/>
    <w:rsid w:val="00FE7AD7"/>
    <w:rsid w:val="00FF14BE"/>
    <w:rsid w:val="00FF3A81"/>
    <w:rsid w:val="00FF6B4A"/>
    <w:rsid w:val="00FF73F1"/>
    <w:rsid w:val="00FF74A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hm"/>
  <w:smartTagType w:namespaceuri="schemas-houaiss/mini" w:name="verbetes"/>
  <w:smartTagType w:namespaceuri="schemas-houaiss/acao" w:name="dm"/>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EC0"/>
    <w:pPr>
      <w:jc w:val="both"/>
    </w:pPr>
    <w:rPr>
      <w:sz w:val="22"/>
      <w:szCs w:val="22"/>
    </w:rPr>
  </w:style>
  <w:style w:type="paragraph" w:styleId="Heading1">
    <w:name w:val="heading 1"/>
    <w:basedOn w:val="Normal"/>
    <w:next w:val="Normal"/>
    <w:qFormat/>
    <w:rsid w:val="00CF2FEC"/>
    <w:pPr>
      <w:keepNext/>
      <w:numPr>
        <w:numId w:val="35"/>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CF2FEC"/>
    <w:pPr>
      <w:keepNext/>
      <w:numPr>
        <w:ilvl w:val="1"/>
        <w:numId w:val="35"/>
      </w:numPr>
      <w:shd w:val="clear" w:color="auto" w:fill="F2F2F2" w:themeFill="background1" w:themeFillShade="F2"/>
      <w:spacing w:before="60" w:after="240"/>
      <w:outlineLvl w:val="1"/>
    </w:pPr>
    <w:rPr>
      <w:b/>
      <w:bCs/>
      <w:iCs/>
      <w:sz w:val="24"/>
      <w:szCs w:val="24"/>
    </w:rPr>
  </w:style>
  <w:style w:type="paragraph" w:styleId="Heading3">
    <w:name w:val="heading 3"/>
    <w:basedOn w:val="Normal"/>
    <w:next w:val="Normal"/>
    <w:link w:val="Heading3Char"/>
    <w:qFormat/>
    <w:rsid w:val="00CF2FEC"/>
    <w:pPr>
      <w:keepNext/>
      <w:numPr>
        <w:ilvl w:val="2"/>
        <w:numId w:val="35"/>
      </w:numPr>
      <w:tabs>
        <w:tab w:val="left" w:pos="720"/>
      </w:tabs>
      <w:spacing w:before="60" w:after="240"/>
      <w:outlineLvl w:val="2"/>
    </w:pPr>
    <w:rPr>
      <w:rFonts w:cs="Arial"/>
      <w:b/>
      <w:bCs/>
      <w:szCs w:val="26"/>
    </w:rPr>
  </w:style>
  <w:style w:type="paragraph" w:styleId="Heading4">
    <w:name w:val="heading 4"/>
    <w:basedOn w:val="Normal"/>
    <w:next w:val="Normal"/>
    <w:link w:val="Heading4Char"/>
    <w:semiHidden/>
    <w:unhideWhenUsed/>
    <w:qFormat/>
    <w:rsid w:val="00CF2FEC"/>
    <w:pPr>
      <w:keepNext/>
      <w:numPr>
        <w:ilvl w:val="3"/>
        <w:numId w:val="35"/>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F2FEC"/>
    <w:pPr>
      <w:numPr>
        <w:ilvl w:val="4"/>
        <w:numId w:val="35"/>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F2FEC"/>
    <w:pPr>
      <w:numPr>
        <w:ilvl w:val="5"/>
        <w:numId w:val="35"/>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CF2FEC"/>
    <w:pPr>
      <w:numPr>
        <w:ilvl w:val="6"/>
        <w:numId w:val="35"/>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CF2FEC"/>
    <w:pPr>
      <w:numPr>
        <w:ilvl w:val="7"/>
        <w:numId w:val="35"/>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CF2FEC"/>
    <w:pPr>
      <w:numPr>
        <w:ilvl w:val="8"/>
        <w:numId w:val="35"/>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BA59F9"/>
    <w:rPr>
      <w:rFonts w:ascii="Verdana" w:hAnsi="Verdana"/>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rsid w:val="000B28CA"/>
    <w:pPr>
      <w:tabs>
        <w:tab w:val="center" w:pos="4252"/>
        <w:tab w:val="right" w:pos="8504"/>
      </w:tabs>
    </w:pPr>
  </w:style>
  <w:style w:type="table" w:styleId="TableGrid">
    <w:name w:val="Table Grid"/>
    <w:basedOn w:val="TableNormal"/>
    <w:rsid w:val="000B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B4326D"/>
    <w:pPr>
      <w:spacing w:after="360"/>
      <w:outlineLvl w:val="0"/>
    </w:pPr>
    <w:rPr>
      <w:rFonts w:ascii="Verdana" w:hAnsi="Verdana"/>
      <w:b/>
      <w:bCs/>
      <w:kern w:val="28"/>
      <w:sz w:val="20"/>
      <w:szCs w:val="20"/>
    </w:rPr>
  </w:style>
  <w:style w:type="character" w:customStyle="1" w:styleId="TitleChar">
    <w:name w:val="Title Char"/>
    <w:basedOn w:val="DefaultParagraphFont"/>
    <w:link w:val="Title"/>
    <w:rsid w:val="00B4326D"/>
    <w:rPr>
      <w:rFonts w:ascii="Verdana" w:eastAsia="Times New Roman" w:hAnsi="Verdana" w:cs="Times New Roman"/>
      <w:b/>
      <w:bCs/>
      <w:kern w:val="28"/>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qFormat/>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A6A95"/>
    <w:pPr>
      <w:tabs>
        <w:tab w:val="right" w:leader="dot" w:pos="480"/>
        <w:tab w:val="right" w:leader="dot" w:pos="9072"/>
      </w:tabs>
      <w:spacing w:before="120" w:after="120" w:line="276" w:lineRule="auto"/>
      <w:ind w:left="426" w:hanging="426"/>
    </w:pPr>
    <w:rPr>
      <w:b/>
      <w:noProof/>
      <w:szCs w:val="18"/>
    </w:rPr>
  </w:style>
  <w:style w:type="paragraph" w:styleId="TOC2">
    <w:name w:val="toc 2"/>
    <w:basedOn w:val="Normal"/>
    <w:next w:val="Normal"/>
    <w:autoRedefine/>
    <w:uiPriority w:val="39"/>
    <w:qFormat/>
    <w:rsid w:val="005A6A95"/>
    <w:pPr>
      <w:tabs>
        <w:tab w:val="left" w:pos="880"/>
        <w:tab w:val="left" w:leader="dot" w:pos="8789"/>
      </w:tabs>
      <w:ind w:left="426"/>
    </w:pPr>
    <w:rPr>
      <w:noProof/>
      <w:szCs w:val="18"/>
    </w:rPr>
  </w:style>
  <w:style w:type="paragraph" w:styleId="TOC3">
    <w:name w:val="toc 3"/>
    <w:basedOn w:val="Normal"/>
    <w:next w:val="Normal"/>
    <w:autoRedefine/>
    <w:uiPriority w:val="39"/>
    <w:qFormat/>
    <w:rsid w:val="00CF2FEC"/>
    <w:pPr>
      <w:tabs>
        <w:tab w:val="left" w:pos="1200"/>
        <w:tab w:val="right" w:leader="dot" w:pos="8789"/>
      </w:tabs>
      <w:spacing w:after="100"/>
      <w:ind w:left="440"/>
    </w:p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5A132C"/>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paragraph" w:styleId="Subtitle">
    <w:name w:val="Subtitle"/>
    <w:basedOn w:val="Normal"/>
    <w:next w:val="Normal"/>
    <w:link w:val="SubtitleChar"/>
    <w:qFormat/>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hAnsi="Calibri"/>
      <w:b/>
      <w:bCs/>
      <w:sz w:val="28"/>
      <w:szCs w:val="28"/>
    </w:rPr>
  </w:style>
  <w:style w:type="character" w:customStyle="1" w:styleId="Heading5Char">
    <w:name w:val="Heading 5 Char"/>
    <w:basedOn w:val="DefaultParagraphFont"/>
    <w:link w:val="Heading5"/>
    <w:semiHidden/>
    <w:rsid w:val="00606251"/>
    <w:rPr>
      <w:rFonts w:ascii="Calibri" w:hAnsi="Calibri"/>
      <w:b/>
      <w:bCs/>
      <w:i/>
      <w:iCs/>
      <w:sz w:val="26"/>
      <w:szCs w:val="26"/>
    </w:rPr>
  </w:style>
  <w:style w:type="character" w:customStyle="1" w:styleId="Heading6Char">
    <w:name w:val="Heading 6 Char"/>
    <w:basedOn w:val="DefaultParagraphFont"/>
    <w:link w:val="Heading6"/>
    <w:semiHidden/>
    <w:rsid w:val="00606251"/>
    <w:rPr>
      <w:rFonts w:ascii="Calibri" w:hAnsi="Calibri"/>
      <w:b/>
      <w:bCs/>
      <w:sz w:val="22"/>
      <w:szCs w:val="22"/>
    </w:rPr>
  </w:style>
  <w:style w:type="character" w:customStyle="1" w:styleId="Heading7Char">
    <w:name w:val="Heading 7 Char"/>
    <w:basedOn w:val="DefaultParagraphFont"/>
    <w:link w:val="Heading7"/>
    <w:semiHidden/>
    <w:rsid w:val="00606251"/>
    <w:rPr>
      <w:rFonts w:ascii="Calibri" w:hAnsi="Calibri"/>
      <w:sz w:val="22"/>
      <w:szCs w:val="22"/>
    </w:rPr>
  </w:style>
  <w:style w:type="character" w:customStyle="1" w:styleId="Heading8Char">
    <w:name w:val="Heading 8 Char"/>
    <w:basedOn w:val="DefaultParagraphFont"/>
    <w:link w:val="Heading8"/>
    <w:semiHidden/>
    <w:rsid w:val="00606251"/>
    <w:rPr>
      <w:rFonts w:ascii="Calibri" w:hAnsi="Calibri"/>
      <w:i/>
      <w:iCs/>
      <w:sz w:val="22"/>
      <w:szCs w:val="22"/>
    </w:rPr>
  </w:style>
  <w:style w:type="character" w:customStyle="1" w:styleId="Heading9Char">
    <w:name w:val="Heading 9 Char"/>
    <w:basedOn w:val="DefaultParagraphFont"/>
    <w:link w:val="Heading9"/>
    <w:semiHidden/>
    <w:rsid w:val="00606251"/>
    <w:rPr>
      <w:rFonts w:ascii="Cambria" w:hAnsi="Cambria"/>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basedOn w:val="BodyTextInden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character" w:customStyle="1" w:styleId="NoSpacingChar">
    <w:name w:val="No Spacing Char"/>
    <w:basedOn w:val="DefaultParagraphFont"/>
    <w:link w:val="NoSpacing"/>
    <w:uiPriority w:val="1"/>
    <w:rsid w:val="00661854"/>
    <w:rPr>
      <w:sz w:val="24"/>
      <w:szCs w:val="24"/>
    </w:rPr>
  </w:style>
  <w:style w:type="paragraph" w:styleId="Revision">
    <w:name w:val="Revision"/>
    <w:hidden/>
    <w:uiPriority w:val="99"/>
    <w:semiHidden/>
    <w:rsid w:val="002B3067"/>
    <w:rPr>
      <w:sz w:val="22"/>
      <w:szCs w:val="22"/>
    </w:rPr>
  </w:style>
  <w:style w:type="character" w:customStyle="1" w:styleId="FootnoteTextChar">
    <w:name w:val="Footnote Text Char"/>
    <w:basedOn w:val="DefaultParagraphFont"/>
    <w:link w:val="FootnoteText"/>
    <w:uiPriority w:val="99"/>
    <w:semiHidden/>
    <w:rsid w:val="00EC13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EC0"/>
    <w:pPr>
      <w:jc w:val="both"/>
    </w:pPr>
    <w:rPr>
      <w:sz w:val="22"/>
      <w:szCs w:val="22"/>
    </w:rPr>
  </w:style>
  <w:style w:type="paragraph" w:styleId="Heading1">
    <w:name w:val="heading 1"/>
    <w:basedOn w:val="Normal"/>
    <w:next w:val="Normal"/>
    <w:qFormat/>
    <w:rsid w:val="00CF2FEC"/>
    <w:pPr>
      <w:keepNext/>
      <w:numPr>
        <w:numId w:val="35"/>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CF2FEC"/>
    <w:pPr>
      <w:keepNext/>
      <w:numPr>
        <w:ilvl w:val="1"/>
        <w:numId w:val="35"/>
      </w:numPr>
      <w:shd w:val="clear" w:color="auto" w:fill="F2F2F2" w:themeFill="background1" w:themeFillShade="F2"/>
      <w:spacing w:before="60" w:after="240"/>
      <w:outlineLvl w:val="1"/>
    </w:pPr>
    <w:rPr>
      <w:b/>
      <w:bCs/>
      <w:iCs/>
      <w:sz w:val="24"/>
      <w:szCs w:val="24"/>
    </w:rPr>
  </w:style>
  <w:style w:type="paragraph" w:styleId="Heading3">
    <w:name w:val="heading 3"/>
    <w:basedOn w:val="Normal"/>
    <w:next w:val="Normal"/>
    <w:link w:val="Heading3Char"/>
    <w:qFormat/>
    <w:rsid w:val="00CF2FEC"/>
    <w:pPr>
      <w:keepNext/>
      <w:numPr>
        <w:ilvl w:val="2"/>
        <w:numId w:val="35"/>
      </w:numPr>
      <w:tabs>
        <w:tab w:val="left" w:pos="720"/>
      </w:tabs>
      <w:spacing w:before="60" w:after="240"/>
      <w:outlineLvl w:val="2"/>
    </w:pPr>
    <w:rPr>
      <w:rFonts w:cs="Arial"/>
      <w:b/>
      <w:bCs/>
      <w:szCs w:val="26"/>
    </w:rPr>
  </w:style>
  <w:style w:type="paragraph" w:styleId="Heading4">
    <w:name w:val="heading 4"/>
    <w:basedOn w:val="Normal"/>
    <w:next w:val="Normal"/>
    <w:link w:val="Heading4Char"/>
    <w:semiHidden/>
    <w:unhideWhenUsed/>
    <w:qFormat/>
    <w:rsid w:val="00CF2FEC"/>
    <w:pPr>
      <w:keepNext/>
      <w:numPr>
        <w:ilvl w:val="3"/>
        <w:numId w:val="35"/>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F2FEC"/>
    <w:pPr>
      <w:numPr>
        <w:ilvl w:val="4"/>
        <w:numId w:val="35"/>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F2FEC"/>
    <w:pPr>
      <w:numPr>
        <w:ilvl w:val="5"/>
        <w:numId w:val="35"/>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CF2FEC"/>
    <w:pPr>
      <w:numPr>
        <w:ilvl w:val="6"/>
        <w:numId w:val="35"/>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CF2FEC"/>
    <w:pPr>
      <w:numPr>
        <w:ilvl w:val="7"/>
        <w:numId w:val="35"/>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CF2FEC"/>
    <w:pPr>
      <w:numPr>
        <w:ilvl w:val="8"/>
        <w:numId w:val="35"/>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BA59F9"/>
    <w:rPr>
      <w:rFonts w:ascii="Verdana" w:hAnsi="Verdana"/>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rsid w:val="000B28CA"/>
    <w:pPr>
      <w:tabs>
        <w:tab w:val="center" w:pos="4252"/>
        <w:tab w:val="right" w:pos="8504"/>
      </w:tabs>
    </w:pPr>
  </w:style>
  <w:style w:type="table" w:styleId="TableGrid">
    <w:name w:val="Table Grid"/>
    <w:basedOn w:val="TableNormal"/>
    <w:rsid w:val="000B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B4326D"/>
    <w:pPr>
      <w:spacing w:after="360"/>
      <w:outlineLvl w:val="0"/>
    </w:pPr>
    <w:rPr>
      <w:rFonts w:ascii="Verdana" w:hAnsi="Verdana"/>
      <w:b/>
      <w:bCs/>
      <w:kern w:val="28"/>
      <w:sz w:val="20"/>
      <w:szCs w:val="20"/>
    </w:rPr>
  </w:style>
  <w:style w:type="character" w:customStyle="1" w:styleId="TitleChar">
    <w:name w:val="Title Char"/>
    <w:basedOn w:val="DefaultParagraphFont"/>
    <w:link w:val="Title"/>
    <w:rsid w:val="00B4326D"/>
    <w:rPr>
      <w:rFonts w:ascii="Verdana" w:eastAsia="Times New Roman" w:hAnsi="Verdana" w:cs="Times New Roman"/>
      <w:b/>
      <w:bCs/>
      <w:kern w:val="28"/>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qFormat/>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A6A95"/>
    <w:pPr>
      <w:tabs>
        <w:tab w:val="right" w:leader="dot" w:pos="480"/>
        <w:tab w:val="right" w:leader="dot" w:pos="9072"/>
      </w:tabs>
      <w:spacing w:before="120" w:after="120" w:line="276" w:lineRule="auto"/>
      <w:ind w:left="426" w:hanging="426"/>
    </w:pPr>
    <w:rPr>
      <w:b/>
      <w:noProof/>
      <w:szCs w:val="18"/>
    </w:rPr>
  </w:style>
  <w:style w:type="paragraph" w:styleId="TOC2">
    <w:name w:val="toc 2"/>
    <w:basedOn w:val="Normal"/>
    <w:next w:val="Normal"/>
    <w:autoRedefine/>
    <w:uiPriority w:val="39"/>
    <w:qFormat/>
    <w:rsid w:val="005A6A95"/>
    <w:pPr>
      <w:tabs>
        <w:tab w:val="left" w:pos="880"/>
        <w:tab w:val="left" w:leader="dot" w:pos="8789"/>
      </w:tabs>
      <w:ind w:left="426"/>
    </w:pPr>
    <w:rPr>
      <w:noProof/>
      <w:szCs w:val="18"/>
    </w:rPr>
  </w:style>
  <w:style w:type="paragraph" w:styleId="TOC3">
    <w:name w:val="toc 3"/>
    <w:basedOn w:val="Normal"/>
    <w:next w:val="Normal"/>
    <w:autoRedefine/>
    <w:uiPriority w:val="39"/>
    <w:qFormat/>
    <w:rsid w:val="00CF2FEC"/>
    <w:pPr>
      <w:tabs>
        <w:tab w:val="left" w:pos="1200"/>
        <w:tab w:val="right" w:leader="dot" w:pos="8789"/>
      </w:tabs>
      <w:spacing w:after="100"/>
      <w:ind w:left="440"/>
    </w:p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5A132C"/>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paragraph" w:styleId="Subtitle">
    <w:name w:val="Subtitle"/>
    <w:basedOn w:val="Normal"/>
    <w:next w:val="Normal"/>
    <w:link w:val="SubtitleChar"/>
    <w:qFormat/>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hAnsi="Calibri"/>
      <w:b/>
      <w:bCs/>
      <w:sz w:val="28"/>
      <w:szCs w:val="28"/>
    </w:rPr>
  </w:style>
  <w:style w:type="character" w:customStyle="1" w:styleId="Heading5Char">
    <w:name w:val="Heading 5 Char"/>
    <w:basedOn w:val="DefaultParagraphFont"/>
    <w:link w:val="Heading5"/>
    <w:semiHidden/>
    <w:rsid w:val="00606251"/>
    <w:rPr>
      <w:rFonts w:ascii="Calibri" w:hAnsi="Calibri"/>
      <w:b/>
      <w:bCs/>
      <w:i/>
      <w:iCs/>
      <w:sz w:val="26"/>
      <w:szCs w:val="26"/>
    </w:rPr>
  </w:style>
  <w:style w:type="character" w:customStyle="1" w:styleId="Heading6Char">
    <w:name w:val="Heading 6 Char"/>
    <w:basedOn w:val="DefaultParagraphFont"/>
    <w:link w:val="Heading6"/>
    <w:semiHidden/>
    <w:rsid w:val="00606251"/>
    <w:rPr>
      <w:rFonts w:ascii="Calibri" w:hAnsi="Calibri"/>
      <w:b/>
      <w:bCs/>
      <w:sz w:val="22"/>
      <w:szCs w:val="22"/>
    </w:rPr>
  </w:style>
  <w:style w:type="character" w:customStyle="1" w:styleId="Heading7Char">
    <w:name w:val="Heading 7 Char"/>
    <w:basedOn w:val="DefaultParagraphFont"/>
    <w:link w:val="Heading7"/>
    <w:semiHidden/>
    <w:rsid w:val="00606251"/>
    <w:rPr>
      <w:rFonts w:ascii="Calibri" w:hAnsi="Calibri"/>
      <w:sz w:val="22"/>
      <w:szCs w:val="22"/>
    </w:rPr>
  </w:style>
  <w:style w:type="character" w:customStyle="1" w:styleId="Heading8Char">
    <w:name w:val="Heading 8 Char"/>
    <w:basedOn w:val="DefaultParagraphFont"/>
    <w:link w:val="Heading8"/>
    <w:semiHidden/>
    <w:rsid w:val="00606251"/>
    <w:rPr>
      <w:rFonts w:ascii="Calibri" w:hAnsi="Calibri"/>
      <w:i/>
      <w:iCs/>
      <w:sz w:val="22"/>
      <w:szCs w:val="22"/>
    </w:rPr>
  </w:style>
  <w:style w:type="character" w:customStyle="1" w:styleId="Heading9Char">
    <w:name w:val="Heading 9 Char"/>
    <w:basedOn w:val="DefaultParagraphFont"/>
    <w:link w:val="Heading9"/>
    <w:semiHidden/>
    <w:rsid w:val="00606251"/>
    <w:rPr>
      <w:rFonts w:ascii="Cambria" w:hAnsi="Cambria"/>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basedOn w:val="BodyTextInden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character" w:customStyle="1" w:styleId="NoSpacingChar">
    <w:name w:val="No Spacing Char"/>
    <w:basedOn w:val="DefaultParagraphFont"/>
    <w:link w:val="NoSpacing"/>
    <w:uiPriority w:val="1"/>
    <w:rsid w:val="00661854"/>
    <w:rPr>
      <w:sz w:val="24"/>
      <w:szCs w:val="24"/>
    </w:rPr>
  </w:style>
  <w:style w:type="paragraph" w:styleId="Revision">
    <w:name w:val="Revision"/>
    <w:hidden/>
    <w:uiPriority w:val="99"/>
    <w:semiHidden/>
    <w:rsid w:val="002B3067"/>
    <w:rPr>
      <w:sz w:val="22"/>
      <w:szCs w:val="22"/>
    </w:rPr>
  </w:style>
  <w:style w:type="character" w:customStyle="1" w:styleId="FootnoteTextChar">
    <w:name w:val="Footnote Text Char"/>
    <w:basedOn w:val="DefaultParagraphFont"/>
    <w:link w:val="FootnoteText"/>
    <w:uiPriority w:val="99"/>
    <w:semiHidden/>
    <w:rsid w:val="00EC1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21134538">
      <w:bodyDiv w:val="1"/>
      <w:marLeft w:val="0"/>
      <w:marRight w:val="0"/>
      <w:marTop w:val="0"/>
      <w:marBottom w:val="0"/>
      <w:divBdr>
        <w:top w:val="none" w:sz="0" w:space="0" w:color="auto"/>
        <w:left w:val="none" w:sz="0" w:space="0" w:color="auto"/>
        <w:bottom w:val="none" w:sz="0" w:space="0" w:color="auto"/>
        <w:right w:val="none" w:sz="0" w:space="0" w:color="auto"/>
      </w:divBdr>
    </w:div>
    <w:div w:id="46148509">
      <w:bodyDiv w:val="1"/>
      <w:marLeft w:val="0"/>
      <w:marRight w:val="0"/>
      <w:marTop w:val="0"/>
      <w:marBottom w:val="0"/>
      <w:divBdr>
        <w:top w:val="none" w:sz="0" w:space="0" w:color="auto"/>
        <w:left w:val="none" w:sz="0" w:space="0" w:color="auto"/>
        <w:bottom w:val="none" w:sz="0" w:space="0" w:color="auto"/>
        <w:right w:val="none" w:sz="0" w:space="0" w:color="auto"/>
      </w:divBdr>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57618416">
      <w:bodyDiv w:val="1"/>
      <w:marLeft w:val="0"/>
      <w:marRight w:val="0"/>
      <w:marTop w:val="0"/>
      <w:marBottom w:val="0"/>
      <w:divBdr>
        <w:top w:val="none" w:sz="0" w:space="0" w:color="auto"/>
        <w:left w:val="none" w:sz="0" w:space="0" w:color="auto"/>
        <w:bottom w:val="none" w:sz="0" w:space="0" w:color="auto"/>
        <w:right w:val="none" w:sz="0" w:space="0" w:color="auto"/>
      </w:divBdr>
    </w:div>
    <w:div w:id="245725788">
      <w:bodyDiv w:val="1"/>
      <w:marLeft w:val="0"/>
      <w:marRight w:val="0"/>
      <w:marTop w:val="0"/>
      <w:marBottom w:val="0"/>
      <w:divBdr>
        <w:top w:val="none" w:sz="0" w:space="0" w:color="auto"/>
        <w:left w:val="none" w:sz="0" w:space="0" w:color="auto"/>
        <w:bottom w:val="none" w:sz="0" w:space="0" w:color="auto"/>
        <w:right w:val="none" w:sz="0" w:space="0" w:color="auto"/>
      </w:divBdr>
    </w:div>
    <w:div w:id="349071900">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530845423">
      <w:bodyDiv w:val="1"/>
      <w:marLeft w:val="0"/>
      <w:marRight w:val="0"/>
      <w:marTop w:val="0"/>
      <w:marBottom w:val="0"/>
      <w:divBdr>
        <w:top w:val="none" w:sz="0" w:space="0" w:color="auto"/>
        <w:left w:val="none" w:sz="0" w:space="0" w:color="auto"/>
        <w:bottom w:val="none" w:sz="0" w:space="0" w:color="auto"/>
        <w:right w:val="none" w:sz="0" w:space="0" w:color="auto"/>
      </w:divBdr>
    </w:div>
    <w:div w:id="656688039">
      <w:bodyDiv w:val="1"/>
      <w:marLeft w:val="0"/>
      <w:marRight w:val="0"/>
      <w:marTop w:val="0"/>
      <w:marBottom w:val="0"/>
      <w:divBdr>
        <w:top w:val="none" w:sz="0" w:space="0" w:color="auto"/>
        <w:left w:val="none" w:sz="0" w:space="0" w:color="auto"/>
        <w:bottom w:val="none" w:sz="0" w:space="0" w:color="auto"/>
        <w:right w:val="none" w:sz="0" w:space="0" w:color="auto"/>
      </w:divBdr>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811672299">
      <w:bodyDiv w:val="1"/>
      <w:marLeft w:val="0"/>
      <w:marRight w:val="0"/>
      <w:marTop w:val="0"/>
      <w:marBottom w:val="0"/>
      <w:divBdr>
        <w:top w:val="none" w:sz="0" w:space="0" w:color="auto"/>
        <w:left w:val="none" w:sz="0" w:space="0" w:color="auto"/>
        <w:bottom w:val="none" w:sz="0" w:space="0" w:color="auto"/>
        <w:right w:val="none" w:sz="0" w:space="0" w:color="auto"/>
      </w:divBdr>
    </w:div>
    <w:div w:id="864251762">
      <w:bodyDiv w:val="1"/>
      <w:marLeft w:val="0"/>
      <w:marRight w:val="0"/>
      <w:marTop w:val="0"/>
      <w:marBottom w:val="0"/>
      <w:divBdr>
        <w:top w:val="none" w:sz="0" w:space="0" w:color="auto"/>
        <w:left w:val="none" w:sz="0" w:space="0" w:color="auto"/>
        <w:bottom w:val="none" w:sz="0" w:space="0" w:color="auto"/>
        <w:right w:val="none" w:sz="0" w:space="0" w:color="auto"/>
      </w:divBdr>
    </w:div>
    <w:div w:id="928201985">
      <w:bodyDiv w:val="1"/>
      <w:marLeft w:val="0"/>
      <w:marRight w:val="0"/>
      <w:marTop w:val="0"/>
      <w:marBottom w:val="0"/>
      <w:divBdr>
        <w:top w:val="none" w:sz="0" w:space="0" w:color="auto"/>
        <w:left w:val="none" w:sz="0" w:space="0" w:color="auto"/>
        <w:bottom w:val="none" w:sz="0" w:space="0" w:color="auto"/>
        <w:right w:val="none" w:sz="0" w:space="0" w:color="auto"/>
      </w:divBdr>
    </w:div>
    <w:div w:id="986083581">
      <w:bodyDiv w:val="1"/>
      <w:marLeft w:val="0"/>
      <w:marRight w:val="0"/>
      <w:marTop w:val="0"/>
      <w:marBottom w:val="0"/>
      <w:divBdr>
        <w:top w:val="none" w:sz="0" w:space="0" w:color="auto"/>
        <w:left w:val="none" w:sz="0" w:space="0" w:color="auto"/>
        <w:bottom w:val="none" w:sz="0" w:space="0" w:color="auto"/>
        <w:right w:val="none" w:sz="0" w:space="0" w:color="auto"/>
      </w:divBdr>
    </w:div>
    <w:div w:id="1027482252">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10407199">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361784754">
      <w:bodyDiv w:val="1"/>
      <w:marLeft w:val="0"/>
      <w:marRight w:val="0"/>
      <w:marTop w:val="0"/>
      <w:marBottom w:val="0"/>
      <w:divBdr>
        <w:top w:val="none" w:sz="0" w:space="0" w:color="auto"/>
        <w:left w:val="none" w:sz="0" w:space="0" w:color="auto"/>
        <w:bottom w:val="none" w:sz="0" w:space="0" w:color="auto"/>
        <w:right w:val="none" w:sz="0" w:space="0" w:color="auto"/>
      </w:divBdr>
    </w:div>
    <w:div w:id="1402942981">
      <w:bodyDiv w:val="1"/>
      <w:marLeft w:val="0"/>
      <w:marRight w:val="0"/>
      <w:marTop w:val="0"/>
      <w:marBottom w:val="0"/>
      <w:divBdr>
        <w:top w:val="none" w:sz="0" w:space="0" w:color="auto"/>
        <w:left w:val="none" w:sz="0" w:space="0" w:color="auto"/>
        <w:bottom w:val="none" w:sz="0" w:space="0" w:color="auto"/>
        <w:right w:val="none" w:sz="0" w:space="0" w:color="auto"/>
      </w:divBdr>
    </w:div>
    <w:div w:id="1445543407">
      <w:bodyDiv w:val="1"/>
      <w:marLeft w:val="0"/>
      <w:marRight w:val="0"/>
      <w:marTop w:val="0"/>
      <w:marBottom w:val="0"/>
      <w:divBdr>
        <w:top w:val="none" w:sz="0" w:space="0" w:color="auto"/>
        <w:left w:val="none" w:sz="0" w:space="0" w:color="auto"/>
        <w:bottom w:val="none" w:sz="0" w:space="0" w:color="auto"/>
        <w:right w:val="none" w:sz="0" w:space="0" w:color="auto"/>
      </w:divBdr>
    </w:div>
    <w:div w:id="1449465772">
      <w:bodyDiv w:val="1"/>
      <w:marLeft w:val="0"/>
      <w:marRight w:val="0"/>
      <w:marTop w:val="0"/>
      <w:marBottom w:val="0"/>
      <w:divBdr>
        <w:top w:val="none" w:sz="0" w:space="0" w:color="auto"/>
        <w:left w:val="none" w:sz="0" w:space="0" w:color="auto"/>
        <w:bottom w:val="none" w:sz="0" w:space="0" w:color="auto"/>
        <w:right w:val="none" w:sz="0" w:space="0" w:color="auto"/>
      </w:divBdr>
    </w:div>
    <w:div w:id="1565293609">
      <w:bodyDiv w:val="1"/>
      <w:marLeft w:val="0"/>
      <w:marRight w:val="0"/>
      <w:marTop w:val="0"/>
      <w:marBottom w:val="0"/>
      <w:divBdr>
        <w:top w:val="none" w:sz="0" w:space="0" w:color="auto"/>
        <w:left w:val="none" w:sz="0" w:space="0" w:color="auto"/>
        <w:bottom w:val="none" w:sz="0" w:space="0" w:color="auto"/>
        <w:right w:val="none" w:sz="0" w:space="0" w:color="auto"/>
      </w:divBdr>
    </w:div>
    <w:div w:id="1646083364">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788811926">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911185861">
      <w:bodyDiv w:val="1"/>
      <w:marLeft w:val="0"/>
      <w:marRight w:val="0"/>
      <w:marTop w:val="0"/>
      <w:marBottom w:val="0"/>
      <w:divBdr>
        <w:top w:val="none" w:sz="0" w:space="0" w:color="auto"/>
        <w:left w:val="none" w:sz="0" w:space="0" w:color="auto"/>
        <w:bottom w:val="none" w:sz="0" w:space="0" w:color="auto"/>
        <w:right w:val="none" w:sz="0" w:space="0" w:color="auto"/>
      </w:divBdr>
    </w:div>
    <w:div w:id="196229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endnotes" Target="endnotes.xml"/><Relationship Id="rId19" Type="http://schemas.openxmlformats.org/officeDocument/2006/relationships/customXml" Target="../customXml/item8.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D3113A4DDDCAB1459BD9A3F21222F654" ma:contentTypeVersion="3519" ma:contentTypeDescription="The base project type from which other project content types inherit their information." ma:contentTypeScope="" ma:versionID="a1232c3ce07e2fcfadeb4694d331f728">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overPageProperties xmlns="http://schemas.microsoft.com/office/2006/coverPageProps">
  <PublishDate>2011-09-13T00:00:00</PublishDate>
  <Abstract/>
  <CompanyAddress/>
  <CompanyPhone/>
  <CompanyFax/>
  <CompanyEmail/>
</CoverPage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R0002799090</Record_x0020_Number>
    <Key_x0020_Document xmlns="cdc7663a-08f0-4737-9e8c-148ce897a09c">false</Key_x0020_Document>
    <Division_x0020_or_x0020_Unit xmlns="cdc7663a-08f0-4737-9e8c-148ce897a09c">IFD/ICS</Division_x0020_or_x0020_Unit>
    <Other_x0020_Author xmlns="cdc7663a-08f0-4737-9e8c-148ce897a09c" xsi:nil="true"/>
    <IDBDocs_x0020_Number xmlns="cdc7663a-08f0-4737-9e8c-148ce897a09c">35421473</IDBDocs_x0020_Number>
    <Document_x0020_Author xmlns="cdc7663a-08f0-4737-9e8c-148ce897a09c">Cordovez, Carlos</Document_x0020_Author>
    <Operation_x0020_Type xmlns="cdc7663a-08f0-4737-9e8c-148ce897a09c" xsi:nil="true"/>
    <TaxCatchAll xmlns="cdc7663a-08f0-4737-9e8c-148ce897a09c"/>
    <Fiscal_x0020_Year_x0020_IDB xmlns="cdc7663a-08f0-4737-9e8c-148ce897a09c">2010</Fiscal_x0020_Year_x0020_IDB>
    <Project_x0020_Number xmlns="cdc7663a-08f0-4737-9e8c-148ce897a09c">BR-L1277</Project_x0020_Number>
    <Package_x0020_Code xmlns="cdc7663a-08f0-4737-9e8c-148ce897a09c" xsi:nil="true"/>
    <Migration_x0020_Info xmlns="cdc7663a-08f0-4737-9e8c-148ce897a09c">MS WORDLPLoan Proposal0NPO-BR-L1277-Anl109564215</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EZSHARE-1253337450-72</_dlc_DocId>
    <From_x003a_ xmlns="cdc7663a-08f0-4737-9e8c-148ce897a09c" xsi:nil="true"/>
    <To_x003a_ xmlns="cdc7663a-08f0-4737-9e8c-148ce897a09c" xsi:nil="true"/>
    <_dlc_DocIdUrl xmlns="cdc7663a-08f0-4737-9e8c-148ce897a09c">
      <Url>https://idbg.sharepoint.com/teams/EZ-BR-LON/BR-L1277/_layouts/15/DocIdRedir.aspx?ID=EZSHARE-1253337450-72</Url>
      <Description>EZSHARE-1253337450-72</Description>
    </_dlc_DocIdUrl>
  </documentManagement>
</p:propertie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819A3F9-7A48-4E6B-ADA1-C03D7606A444}"/>
</file>

<file path=customXml/itemProps10.xml><?xml version="1.0" encoding="utf-8"?>
<ds:datastoreItem xmlns:ds="http://schemas.openxmlformats.org/officeDocument/2006/customXml" ds:itemID="{36036C01-9B21-4570-80B1-B364AB13F65A}"/>
</file>

<file path=customXml/itemProps11.xml><?xml version="1.0" encoding="utf-8"?>
<ds:datastoreItem xmlns:ds="http://schemas.openxmlformats.org/officeDocument/2006/customXml" ds:itemID="{BD4DD376-3972-47E3-B1DE-7A8AD290B95C}"/>
</file>

<file path=customXml/itemProps12.xml><?xml version="1.0" encoding="utf-8"?>
<ds:datastoreItem xmlns:ds="http://schemas.openxmlformats.org/officeDocument/2006/customXml" ds:itemID="{A97AE8C7-F434-463D-8C97-87A308B71FAF}"/>
</file>

<file path=customXml/itemProps13.xml><?xml version="1.0" encoding="utf-8"?>
<ds:datastoreItem xmlns:ds="http://schemas.openxmlformats.org/officeDocument/2006/customXml" ds:itemID="{614D2FF6-A46E-4406-A50D-AC79C270217E}"/>
</file>

<file path=customXml/itemProps2.xml><?xml version="1.0" encoding="utf-8"?>
<ds:datastoreItem xmlns:ds="http://schemas.openxmlformats.org/officeDocument/2006/customXml" ds:itemID="{697AC1B2-DC31-4A2E-989F-6FCF3A5DA038}"/>
</file>

<file path=customXml/itemProps3.xml><?xml version="1.0" encoding="utf-8"?>
<ds:datastoreItem xmlns:ds="http://schemas.openxmlformats.org/officeDocument/2006/customXml" ds:itemID="{DC0FFEAA-1E8D-4D73-8975-B326C72FE956}"/>
</file>

<file path=customXml/itemProps4.xml><?xml version="1.0" encoding="utf-8"?>
<ds:datastoreItem xmlns:ds="http://schemas.openxmlformats.org/officeDocument/2006/customXml" ds:itemID="{6DCF4B7F-BB99-4F4A-A5F3-6F6F37789D1F}"/>
</file>

<file path=customXml/itemProps5.xml><?xml version="1.0" encoding="utf-8"?>
<ds:datastoreItem xmlns:ds="http://schemas.openxmlformats.org/officeDocument/2006/customXml" ds:itemID="{8D50062D-DA9F-4C21-8208-D1618243C2B4}"/>
</file>

<file path=customXml/itemProps6.xml><?xml version="1.0" encoding="utf-8"?>
<ds:datastoreItem xmlns:ds="http://schemas.openxmlformats.org/officeDocument/2006/customXml" ds:itemID="{55AF091B-3C7A-41E3-B477-F2FDAA23CFDA}"/>
</file>

<file path=customXml/itemProps7.xml><?xml version="1.0" encoding="utf-8"?>
<ds:datastoreItem xmlns:ds="http://schemas.openxmlformats.org/officeDocument/2006/customXml" ds:itemID="{27179836-738B-4880-B5CF-EFFA47883B26}"/>
</file>

<file path=customXml/itemProps8.xml><?xml version="1.0" encoding="utf-8"?>
<ds:datastoreItem xmlns:ds="http://schemas.openxmlformats.org/officeDocument/2006/customXml" ds:itemID="{0A5070AF-8DB6-4F87-922D-D8DFA83D3C16}"/>
</file>

<file path=customXml/itemProps9.xml><?xml version="1.0" encoding="utf-8"?>
<ds:datastoreItem xmlns:ds="http://schemas.openxmlformats.org/officeDocument/2006/customXml" ds:itemID="{F2998C76-0CBB-47A4-906C-0067E98C9E4D}"/>
</file>

<file path=docProps/app.xml><?xml version="1.0" encoding="utf-8"?>
<Properties xmlns="http://schemas.openxmlformats.org/officeDocument/2006/extended-properties" xmlns:vt="http://schemas.openxmlformats.org/officeDocument/2006/docPropsVTypes">
  <Template>Normal Informe TNR A4.dotm</Template>
  <TotalTime>8</TotalTime>
  <Pages>32</Pages>
  <Words>10595</Words>
  <Characters>59597</Characters>
  <Application>Microsoft Office Word</Application>
  <DocSecurity>0</DocSecurity>
  <Lines>496</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APOYO A LA ABOGACÍA GENERAL DE LA UNIÓN</vt:lpstr>
      <vt:lpstr>PROGRAMA DE APOYO A LA ABOGACÍA GENERAL DE LA UNIÓN</vt:lpstr>
    </vt:vector>
  </TitlesOfParts>
  <Company/>
  <LinksUpToDate>false</LinksUpToDate>
  <CharactersWithSpaces>70052</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2_ Análisis Económico del Proyecto</dc:title>
  <dc:subject>Versión borrador</dc:subject>
  <dc:creator>Fernando Grafe</dc:creator>
  <cp:lastModifiedBy>Inter-American Development Bank</cp:lastModifiedBy>
  <cp:revision>5</cp:revision>
  <cp:lastPrinted>2011-07-09T18:08:00Z</cp:lastPrinted>
  <dcterms:created xsi:type="dcterms:W3CDTF">2013-06-20T19:10:00Z</dcterms:created>
  <dcterms:modified xsi:type="dcterms:W3CDTF">2014-04-14T17:17:00Z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0x010100ACF722E9F6B0B149B0CD8BE2560A667200D3113A4DDDCAB1459BD9A3F21222F654</vt:lpwstr>
  </property>
  <property fmtid="{D5CDD505-2E9C-101B-9397-08002B2CF9AE}" pid="5" name="TaxKeywordTaxHTField">
    <vt:lpwstr/>
  </property>
  <property fmtid="{D5CDD505-2E9C-101B-9397-08002B2CF9AE}" pid="6" name="Series Operations IDB">
    <vt:lpwstr>20;#Loan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Government and Public Institutions</vt:lpwstr>
  </property>
  <property fmtid="{D5CDD505-2E9C-101B-9397-08002B2CF9AE}" pid="22" name="Disclosed">
    <vt:bool>true</vt:bool>
  </property>
  <property fmtid="{D5CDD505-2E9C-101B-9397-08002B2CF9AE}" pid="26" name="_dlc_DocIdItemGuid">
    <vt:lpwstr>15c58084-98bf-41b7-a7e1-e9d9aa42066c</vt:lpwstr>
  </property>
</Properties>
</file>