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8"/>
      </w:tblGrid>
      <w:tr w:rsidR="006C74B4">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r>
              <w:rPr>
                <w:rFonts w:ascii="Arial" w:eastAsia="Times New Roman" w:hAnsi="Arial" w:cs="Arial"/>
                <w:sz w:val="20"/>
                <w:szCs w:val="20"/>
              </w:rPr>
              <w:br/>
            </w:r>
          </w:p>
          <w:p w:rsidR="006C74B4" w:rsidRDefault="00A3554E" w:rsidP="00C11702">
            <w:pPr>
              <w:divId w:val="44527484"/>
              <w:rPr>
                <w:rFonts w:ascii="Arial" w:eastAsia="Times New Roman" w:hAnsi="Arial" w:cs="Arial"/>
                <w:sz w:val="20"/>
                <w:szCs w:val="20"/>
              </w:rPr>
            </w:pPr>
            <w:r>
              <w:rPr>
                <w:rFonts w:ascii="Arial" w:eastAsia="Times New Roman" w:hAnsi="Arial" w:cs="Arial"/>
                <w:sz w:val="20"/>
                <w:szCs w:val="20"/>
              </w:rPr>
              <w:t>This Report provides guidance for project teams on safeguard policy triggers and should be attached as an annex to the PP (or equivalent) together with the Safeguard Screening Form, and sent to ESR.</w:t>
            </w:r>
          </w:p>
          <w:p w:rsidR="006C74B4" w:rsidRDefault="006C74B4" w:rsidP="00C11702">
            <w:pPr>
              <w:rPr>
                <w:rFonts w:ascii="Arial" w:eastAsia="Times New Roman" w:hAnsi="Arial" w:cs="Arial"/>
                <w:sz w:val="20"/>
                <w:szCs w:val="20"/>
              </w:rPr>
            </w:pPr>
          </w:p>
          <w:p w:rsidR="006C74B4" w:rsidRDefault="00A3554E" w:rsidP="00C11702">
            <w:pPr>
              <w:divId w:val="434521682"/>
              <w:rPr>
                <w:rFonts w:ascii="Arial" w:eastAsia="Times New Roman" w:hAnsi="Arial" w:cs="Arial"/>
                <w:sz w:val="20"/>
                <w:szCs w:val="20"/>
              </w:rPr>
            </w:pPr>
            <w:r>
              <w:rPr>
                <w:rFonts w:ascii="Arial" w:eastAsia="Times New Roman" w:hAnsi="Arial" w:cs="Arial"/>
                <w:sz w:val="20"/>
                <w:szCs w:val="20"/>
              </w:rPr>
              <w:t>1. Save as a Word document. 2. Enter additional information in the spaces provided, where applicable. 3. Save new changes.</w:t>
            </w:r>
          </w:p>
          <w:p w:rsidR="006C74B4" w:rsidRDefault="006C74B4" w:rsidP="00C11702">
            <w:pPr>
              <w:rPr>
                <w:rFonts w:ascii="Arial" w:eastAsia="Times New Roman" w:hAnsi="Arial" w:cs="Arial"/>
                <w:sz w:val="20"/>
                <w:szCs w:val="20"/>
              </w:rPr>
            </w:pPr>
          </w:p>
          <w:tbl>
            <w:tblPr>
              <w:tblW w:w="935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11"/>
              <w:gridCol w:w="3046"/>
              <w:gridCol w:w="4995"/>
            </w:tblGrid>
            <w:tr w:rsidR="006C74B4" w:rsidTr="00C11702">
              <w:tc>
                <w:tcPr>
                  <w:tcW w:w="1346"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jc w:val="center"/>
                    <w:rPr>
                      <w:rFonts w:ascii="Arial" w:eastAsia="Times New Roman" w:hAnsi="Arial" w:cs="Arial"/>
                      <w:b/>
                      <w:bCs/>
                      <w:sz w:val="20"/>
                      <w:szCs w:val="20"/>
                    </w:rPr>
                  </w:pPr>
                  <w:r>
                    <w:rPr>
                      <w:rFonts w:ascii="Arial" w:eastAsia="Times New Roman" w:hAnsi="Arial" w:cs="Arial"/>
                      <w:b/>
                      <w:bCs/>
                      <w:sz w:val="20"/>
                      <w:szCs w:val="20"/>
                    </w:rPr>
                    <w:t>PROJECT DETAILS</w:t>
                  </w:r>
                </w:p>
              </w:tc>
              <w:tc>
                <w:tcPr>
                  <w:tcW w:w="2509"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IDB Sector</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[Not Set]</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Type of Operation</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Policy Based Loan (PBL)</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6C74B4" w:rsidP="00C11702">
                  <w:pPr>
                    <w:rPr>
                      <w:rFonts w:ascii="Arial" w:eastAsia="Times New Roman" w:hAnsi="Arial" w:cs="Arial"/>
                      <w:sz w:val="20"/>
                      <w:szCs w:val="20"/>
                    </w:rPr>
                  </w:pP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Generic Checklist</w:t>
                  </w:r>
                </w:p>
              </w:tc>
            </w:tr>
            <w:tr w:rsidR="006C74B4" w:rsidRPr="00DB229A"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Team Leader</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Pr="008B10F2" w:rsidRDefault="00A3554E" w:rsidP="00C11702">
                  <w:pPr>
                    <w:rPr>
                      <w:rFonts w:ascii="Arial" w:eastAsia="Times New Roman" w:hAnsi="Arial" w:cs="Arial"/>
                      <w:sz w:val="20"/>
                      <w:szCs w:val="20"/>
                      <w:lang w:val="pt-BR"/>
                    </w:rPr>
                  </w:pPr>
                  <w:r w:rsidRPr="008B10F2">
                    <w:rPr>
                      <w:rFonts w:ascii="Arial" w:eastAsia="Times New Roman" w:hAnsi="Arial" w:cs="Arial"/>
                      <w:sz w:val="20"/>
                      <w:szCs w:val="20"/>
                      <w:lang w:val="pt-BR"/>
                    </w:rPr>
                    <w:t>Mac Dowell Dourado de Azevedo, Maria Cristina (MMACDOWELL@iadb.org)</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Pr="008B10F2" w:rsidRDefault="006C74B4" w:rsidP="00C11702">
                  <w:pPr>
                    <w:rPr>
                      <w:rFonts w:ascii="Arial" w:eastAsia="Times New Roman" w:hAnsi="Arial" w:cs="Arial"/>
                      <w:b/>
                      <w:bCs/>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Project Title</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Fiscal consolidation program for Amazonas</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Project Number</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BR-L1385</w:t>
                  </w:r>
                </w:p>
              </w:tc>
            </w:tr>
            <w:tr w:rsidR="006C74B4" w:rsidRPr="00DB229A"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Pr="008B10F2" w:rsidRDefault="00A3554E" w:rsidP="00C11702">
                  <w:pPr>
                    <w:rPr>
                      <w:rFonts w:ascii="Arial" w:eastAsia="Times New Roman" w:hAnsi="Arial" w:cs="Arial"/>
                      <w:sz w:val="20"/>
                      <w:szCs w:val="20"/>
                      <w:lang w:val="fr-FR"/>
                    </w:rPr>
                  </w:pPr>
                  <w:r w:rsidRPr="008B10F2">
                    <w:rPr>
                      <w:rFonts w:ascii="Arial" w:eastAsia="Times New Roman" w:hAnsi="Arial" w:cs="Arial"/>
                      <w:sz w:val="20"/>
                      <w:szCs w:val="20"/>
                      <w:lang w:val="fr-FR"/>
                    </w:rPr>
                    <w:t>Villela, Luiz A. (LUIZVI@iadb.org)</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Pr="008B10F2" w:rsidRDefault="006C74B4" w:rsidP="00C11702">
                  <w:pPr>
                    <w:rPr>
                      <w:rFonts w:ascii="Arial" w:eastAsia="Times New Roman" w:hAnsi="Arial" w:cs="Arial"/>
                      <w:b/>
                      <w:bCs/>
                      <w:sz w:val="20"/>
                      <w:szCs w:val="20"/>
                      <w:lang w:val="fr-F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Assessment Date</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2013-07-18</w:t>
                  </w:r>
                </w:p>
              </w:tc>
            </w:tr>
            <w:tr w:rsidR="006C74B4" w:rsidTr="00C11702">
              <w:trPr>
                <w:trHeight w:val="2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54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6C74B4" w:rsidP="00C11702">
                  <w:pPr>
                    <w:rPr>
                      <w:rFonts w:ascii="Arial" w:eastAsia="Times New Roman" w:hAnsi="Arial" w:cs="Arial"/>
                      <w:sz w:val="20"/>
                      <w:szCs w:val="20"/>
                    </w:rPr>
                  </w:pPr>
                </w:p>
              </w:tc>
            </w:tr>
          </w:tbl>
          <w:p w:rsidR="006C74B4" w:rsidRDefault="006C74B4" w:rsidP="00C11702">
            <w:pPr>
              <w:rPr>
                <w:rFonts w:ascii="Arial" w:eastAsia="Times New Roman" w:hAnsi="Arial" w:cs="Arial"/>
                <w:sz w:val="20"/>
                <w:szCs w:val="20"/>
              </w:rPr>
            </w:pPr>
          </w:p>
          <w:tbl>
            <w:tblPr>
              <w:tblW w:w="935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91"/>
              <w:gridCol w:w="2270"/>
              <w:gridCol w:w="4131"/>
              <w:gridCol w:w="1460"/>
            </w:tblGrid>
            <w:tr w:rsidR="006C74B4" w:rsidTr="00C11702">
              <w:tc>
                <w:tcPr>
                  <w:tcW w:w="1491"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jc w:val="center"/>
                    <w:rPr>
                      <w:rFonts w:ascii="Arial" w:eastAsia="Times New Roman" w:hAnsi="Arial" w:cs="Arial"/>
                      <w:b/>
                      <w:bCs/>
                      <w:sz w:val="20"/>
                      <w:szCs w:val="20"/>
                    </w:rPr>
                  </w:pPr>
                  <w:r>
                    <w:rPr>
                      <w:rFonts w:ascii="Arial" w:eastAsia="Times New Roman" w:hAnsi="Arial" w:cs="Arial"/>
                      <w:b/>
                      <w:bCs/>
                      <w:sz w:val="20"/>
                      <w:szCs w:val="20"/>
                    </w:rPr>
                    <w:t>SAFEGUARD POLICY FILTER RESULTS</w:t>
                  </w: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Type of Operation</w:t>
                  </w:r>
                </w:p>
              </w:tc>
              <w:tc>
                <w:tcPr>
                  <w:tcW w:w="5591"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Loan Operation</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227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14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14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14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Operation for which ex-ante impact classification may not be feasible. These loans are: Policy-based loans, Financial Intermediaries (FIs) or loans that are based on performance criteria, sector-based approaches, or conditional credit lines for investment projects.</w:t>
                  </w:r>
                </w:p>
              </w:tc>
              <w:tc>
                <w:tcPr>
                  <w:tcW w:w="14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color w:val="0000FF"/>
                      <w:sz w:val="20"/>
                      <w:szCs w:val="20"/>
                    </w:rPr>
                  </w:pPr>
                  <w:r>
                    <w:rPr>
                      <w:rFonts w:ascii="Arial" w:eastAsia="Times New Roman" w:hAnsi="Arial" w:cs="Arial"/>
                      <w:color w:val="0000FF"/>
                      <w:sz w:val="20"/>
                      <w:szCs w:val="20"/>
                    </w:rPr>
                    <w:t>(B.13)</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14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Potential Safeguard Policy</w:t>
                  </w:r>
                  <w:r>
                    <w:rPr>
                      <w:rFonts w:ascii="Arial" w:eastAsia="Times New Roman" w:hAnsi="Arial" w:cs="Arial"/>
                      <w:b/>
                      <w:bCs/>
                      <w:sz w:val="20"/>
                      <w:szCs w:val="20"/>
                    </w:rPr>
                    <w:br/>
                    <w:t>Items</w:t>
                  </w:r>
                  <w:r>
                    <w:rPr>
                      <w:rFonts w:ascii="Arial" w:eastAsia="Times New Roman" w:hAnsi="Arial" w:cs="Arial"/>
                      <w:b/>
                      <w:bCs/>
                      <w:color w:val="FF0000"/>
                      <w:sz w:val="20"/>
                      <w:szCs w:val="20"/>
                    </w:rPr>
                    <w:t>(?)</w:t>
                  </w:r>
                </w:p>
              </w:tc>
              <w:tc>
                <w:tcPr>
                  <w:tcW w:w="4131"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No potential issues identified</w:t>
                  </w:r>
                </w:p>
              </w:tc>
              <w:tc>
                <w:tcPr>
                  <w:tcW w:w="14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6C74B4" w:rsidP="00C11702">
                  <w:pPr>
                    <w:rPr>
                      <w:rFonts w:ascii="Arial" w:eastAsia="Times New Roman" w:hAnsi="Arial" w:cs="Arial"/>
                      <w:sz w:val="20"/>
                      <w:szCs w:val="20"/>
                    </w:rPr>
                  </w:pPr>
                </w:p>
              </w:tc>
            </w:tr>
            <w:tr w:rsidR="006C74B4" w:rsidTr="00C1170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5591"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including B13, for guidance. No project classification required. Submit Report and PP (or equivalent) to ESR.</w:t>
                  </w:r>
                </w:p>
              </w:tc>
            </w:tr>
            <w:tr w:rsidR="006C74B4" w:rsidTr="00C11702">
              <w:trPr>
                <w:trHeight w:val="33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227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5591"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6C74B4" w:rsidP="00C11702">
                  <w:pPr>
                    <w:rPr>
                      <w:rFonts w:ascii="Arial" w:eastAsia="Times New Roman" w:hAnsi="Arial" w:cs="Arial"/>
                      <w:sz w:val="20"/>
                      <w:szCs w:val="20"/>
                    </w:rPr>
                  </w:pPr>
                </w:p>
              </w:tc>
            </w:tr>
          </w:tbl>
          <w:p w:rsidR="006C74B4" w:rsidRDefault="006C74B4" w:rsidP="00C11702">
            <w:pPr>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50"/>
              <w:gridCol w:w="2505"/>
              <w:gridCol w:w="5397"/>
            </w:tblGrid>
            <w:tr w:rsidR="006C74B4" w:rsidRPr="00DB229A">
              <w:trPr>
                <w:trHeight w:val="300"/>
              </w:trPr>
              <w:tc>
                <w:tcPr>
                  <w:tcW w:w="15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jc w:val="center"/>
                    <w:rPr>
                      <w:rFonts w:ascii="Arial" w:eastAsia="Times New Roman" w:hAnsi="Arial" w:cs="Arial"/>
                      <w:b/>
                      <w:bCs/>
                      <w:sz w:val="20"/>
                      <w:szCs w:val="20"/>
                    </w:rPr>
                  </w:pPr>
                  <w:r>
                    <w:rPr>
                      <w:rFonts w:ascii="Arial" w:eastAsia="Times New Roman" w:hAnsi="Arial" w:cs="Arial"/>
                      <w:b/>
                      <w:bCs/>
                      <w:sz w:val="20"/>
                      <w:szCs w:val="20"/>
                    </w:rPr>
                    <w:t>ASSESSOR DETAILS</w:t>
                  </w:r>
                </w:p>
              </w:tc>
              <w:tc>
                <w:tcPr>
                  <w:tcW w:w="30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67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Pr="008B10F2" w:rsidRDefault="00A3554E" w:rsidP="00C11702">
                  <w:pPr>
                    <w:rPr>
                      <w:rFonts w:ascii="Arial" w:eastAsia="Times New Roman" w:hAnsi="Arial" w:cs="Arial"/>
                      <w:sz w:val="20"/>
                      <w:szCs w:val="20"/>
                      <w:lang w:val="fr-FR"/>
                    </w:rPr>
                  </w:pPr>
                  <w:r w:rsidRPr="008B10F2">
                    <w:rPr>
                      <w:rFonts w:ascii="Arial" w:eastAsia="Times New Roman" w:hAnsi="Arial" w:cs="Arial"/>
                      <w:sz w:val="20"/>
                      <w:szCs w:val="20"/>
                      <w:lang w:val="fr-FR"/>
                    </w:rPr>
                    <w:t>Villela, Luiz A. (LUIZVI@iadb.org)</w:t>
                  </w:r>
                </w:p>
              </w:tc>
            </w:tr>
            <w:tr w:rsidR="006C74B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Pr="008B10F2" w:rsidRDefault="006C74B4" w:rsidP="00C11702">
                  <w:pPr>
                    <w:rPr>
                      <w:rFonts w:ascii="Arial" w:eastAsia="Times New Roman" w:hAnsi="Arial" w:cs="Arial"/>
                      <w:b/>
                      <w:bCs/>
                      <w:sz w:val="20"/>
                      <w:szCs w:val="20"/>
                      <w:lang w:val="fr-FR"/>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6C74B4" w:rsidP="00C11702">
                  <w:pPr>
                    <w:rPr>
                      <w:rFonts w:ascii="Arial" w:eastAsia="Times New Roman" w:hAnsi="Arial" w:cs="Arial"/>
                      <w:sz w:val="20"/>
                      <w:szCs w:val="20"/>
                    </w:rPr>
                  </w:pPr>
                </w:p>
              </w:tc>
            </w:tr>
            <w:tr w:rsidR="006C74B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74B4" w:rsidRDefault="006C74B4" w:rsidP="00C11702">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6C74B4" w:rsidRDefault="00A3554E" w:rsidP="00C11702">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6C74B4" w:rsidRDefault="00A3554E" w:rsidP="00C11702">
                  <w:pPr>
                    <w:rPr>
                      <w:rFonts w:ascii="Arial" w:eastAsia="Times New Roman" w:hAnsi="Arial" w:cs="Arial"/>
                      <w:sz w:val="20"/>
                      <w:szCs w:val="20"/>
                    </w:rPr>
                  </w:pPr>
                  <w:r>
                    <w:rPr>
                      <w:rFonts w:ascii="Arial" w:eastAsia="Times New Roman" w:hAnsi="Arial" w:cs="Arial"/>
                      <w:sz w:val="20"/>
                      <w:szCs w:val="20"/>
                    </w:rPr>
                    <w:t>2013-07-18</w:t>
                  </w:r>
                </w:p>
              </w:tc>
            </w:tr>
          </w:tbl>
          <w:p w:rsidR="006C74B4" w:rsidRDefault="006C74B4" w:rsidP="00C11702">
            <w:pPr>
              <w:rPr>
                <w:rFonts w:ascii="Arial" w:eastAsia="Times New Roman" w:hAnsi="Arial" w:cs="Arial"/>
                <w:sz w:val="20"/>
                <w:szCs w:val="20"/>
              </w:rPr>
            </w:pPr>
          </w:p>
        </w:tc>
      </w:tr>
    </w:tbl>
    <w:p w:rsidR="006C74B4" w:rsidRDefault="006C74B4" w:rsidP="00C11702">
      <w:pPr>
        <w:rPr>
          <w:rFonts w:eastAsia="Times New Roman"/>
        </w:rPr>
      </w:pPr>
    </w:p>
    <w:sectPr w:rsidR="006C74B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0F2" w:rsidRDefault="008B10F2" w:rsidP="008B10F2">
      <w:r>
        <w:separator/>
      </w:r>
    </w:p>
  </w:endnote>
  <w:endnote w:type="continuationSeparator" w:id="0">
    <w:p w:rsidR="008B10F2" w:rsidRDefault="008B10F2" w:rsidP="008B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0F2" w:rsidRDefault="008B10F2" w:rsidP="008B10F2">
      <w:r>
        <w:separator/>
      </w:r>
    </w:p>
  </w:footnote>
  <w:footnote w:type="continuationSeparator" w:id="0">
    <w:p w:rsidR="008B10F2" w:rsidRDefault="008B10F2" w:rsidP="008B1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0F2" w:rsidRPr="00C11702" w:rsidRDefault="00C11702">
    <w:pPr>
      <w:pStyle w:val="Header"/>
      <w:jc w:val="right"/>
      <w:rPr>
        <w:b/>
        <w:lang w:val="pt-BR"/>
      </w:rPr>
    </w:pPr>
    <w:r w:rsidRPr="00C11702">
      <w:rPr>
        <w:b/>
        <w:lang w:val="pt-BR"/>
      </w:rPr>
      <w:t>A</w:t>
    </w:r>
    <w:r w:rsidR="00DB229A">
      <w:rPr>
        <w:b/>
        <w:lang w:val="pt-BR"/>
      </w:rPr>
      <w:t>nexo</w:t>
    </w:r>
    <w:r w:rsidRPr="00C11702">
      <w:rPr>
        <w:b/>
        <w:lang w:val="pt-BR"/>
      </w:rPr>
      <w:t xml:space="preserve"> II – BR-L1385</w:t>
    </w:r>
  </w:p>
  <w:p w:rsidR="008B10F2" w:rsidRPr="00C11702" w:rsidRDefault="008B10F2">
    <w:pPr>
      <w:pStyle w:val="Header"/>
      <w:jc w:val="right"/>
      <w:rPr>
        <w:sz w:val="20"/>
        <w:lang w:val="pt-BR"/>
      </w:rPr>
    </w:pPr>
    <w:r w:rsidRPr="00C11702">
      <w:rPr>
        <w:sz w:val="20"/>
        <w:lang w:val="pt-BR"/>
      </w:rPr>
      <w:t xml:space="preserve">Página </w:t>
    </w:r>
    <w:sdt>
      <w:sdtPr>
        <w:rPr>
          <w:sz w:val="20"/>
        </w:rPr>
        <w:id w:val="-1121151278"/>
        <w:docPartObj>
          <w:docPartGallery w:val="Page Numbers (Top of Page)"/>
          <w:docPartUnique/>
        </w:docPartObj>
      </w:sdtPr>
      <w:sdtEndPr>
        <w:rPr>
          <w:noProof/>
        </w:rPr>
      </w:sdtEndPr>
      <w:sdtContent>
        <w:r w:rsidRPr="008B10F2">
          <w:rPr>
            <w:sz w:val="20"/>
          </w:rPr>
          <w:fldChar w:fldCharType="begin"/>
        </w:r>
        <w:r w:rsidRPr="00C11702">
          <w:rPr>
            <w:sz w:val="20"/>
            <w:lang w:val="pt-BR"/>
          </w:rPr>
          <w:instrText xml:space="preserve"> PAGE   \* MERGEFORMAT </w:instrText>
        </w:r>
        <w:r w:rsidRPr="008B10F2">
          <w:rPr>
            <w:sz w:val="20"/>
          </w:rPr>
          <w:fldChar w:fldCharType="separate"/>
        </w:r>
        <w:r w:rsidR="00DB229A">
          <w:rPr>
            <w:noProof/>
            <w:sz w:val="20"/>
            <w:lang w:val="pt-BR"/>
          </w:rPr>
          <w:t>1</w:t>
        </w:r>
        <w:r w:rsidRPr="008B10F2">
          <w:rPr>
            <w:noProof/>
            <w:sz w:val="20"/>
          </w:rPr>
          <w:fldChar w:fldCharType="end"/>
        </w:r>
        <w:r w:rsidRPr="00C11702">
          <w:rPr>
            <w:noProof/>
            <w:sz w:val="20"/>
            <w:lang w:val="pt-BR"/>
          </w:rPr>
          <w:t xml:space="preserve"> de 2</w:t>
        </w:r>
      </w:sdtContent>
    </w:sdt>
  </w:p>
  <w:p w:rsidR="008B10F2" w:rsidRPr="00C11702" w:rsidRDefault="008B10F2" w:rsidP="008B10F2">
    <w:pPr>
      <w:pStyle w:val="Header"/>
      <w:rPr>
        <w:lang w:val="pt-B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A3554E"/>
    <w:rsid w:val="006C74B4"/>
    <w:rsid w:val="008B10F2"/>
    <w:rsid w:val="00A3554E"/>
    <w:rsid w:val="00C11702"/>
    <w:rsid w:val="00DB2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8B10F2"/>
    <w:pPr>
      <w:tabs>
        <w:tab w:val="center" w:pos="4680"/>
        <w:tab w:val="right" w:pos="9360"/>
      </w:tabs>
    </w:pPr>
  </w:style>
  <w:style w:type="character" w:customStyle="1" w:styleId="HeaderChar">
    <w:name w:val="Header Char"/>
    <w:basedOn w:val="DefaultParagraphFont"/>
    <w:link w:val="Header"/>
    <w:uiPriority w:val="99"/>
    <w:rsid w:val="008B10F2"/>
    <w:rPr>
      <w:rFonts w:eastAsiaTheme="minorEastAsia"/>
      <w:sz w:val="24"/>
      <w:szCs w:val="24"/>
    </w:rPr>
  </w:style>
  <w:style w:type="paragraph" w:styleId="Footer">
    <w:name w:val="footer"/>
    <w:basedOn w:val="Normal"/>
    <w:link w:val="FooterChar"/>
    <w:uiPriority w:val="99"/>
    <w:unhideWhenUsed/>
    <w:rsid w:val="008B10F2"/>
    <w:pPr>
      <w:tabs>
        <w:tab w:val="center" w:pos="4680"/>
        <w:tab w:val="right" w:pos="9360"/>
      </w:tabs>
    </w:pPr>
  </w:style>
  <w:style w:type="character" w:customStyle="1" w:styleId="FooterChar">
    <w:name w:val="Footer Char"/>
    <w:basedOn w:val="DefaultParagraphFont"/>
    <w:link w:val="Footer"/>
    <w:uiPriority w:val="99"/>
    <w:rsid w:val="008B10F2"/>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tablehead">
    <w:name w:val="tablehead"/>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styleId="Header">
    <w:name w:val="header"/>
    <w:basedOn w:val="Normal"/>
    <w:link w:val="HeaderChar"/>
    <w:uiPriority w:val="99"/>
    <w:unhideWhenUsed/>
    <w:rsid w:val="008B10F2"/>
    <w:pPr>
      <w:tabs>
        <w:tab w:val="center" w:pos="4680"/>
        <w:tab w:val="right" w:pos="9360"/>
      </w:tabs>
    </w:pPr>
  </w:style>
  <w:style w:type="character" w:customStyle="1" w:styleId="HeaderChar">
    <w:name w:val="Header Char"/>
    <w:basedOn w:val="DefaultParagraphFont"/>
    <w:link w:val="Header"/>
    <w:uiPriority w:val="99"/>
    <w:rsid w:val="008B10F2"/>
    <w:rPr>
      <w:rFonts w:eastAsiaTheme="minorEastAsia"/>
      <w:sz w:val="24"/>
      <w:szCs w:val="24"/>
    </w:rPr>
  </w:style>
  <w:style w:type="paragraph" w:styleId="Footer">
    <w:name w:val="footer"/>
    <w:basedOn w:val="Normal"/>
    <w:link w:val="FooterChar"/>
    <w:uiPriority w:val="99"/>
    <w:unhideWhenUsed/>
    <w:rsid w:val="008B10F2"/>
    <w:pPr>
      <w:tabs>
        <w:tab w:val="center" w:pos="4680"/>
        <w:tab w:val="right" w:pos="9360"/>
      </w:tabs>
    </w:pPr>
  </w:style>
  <w:style w:type="character" w:customStyle="1" w:styleId="FooterChar">
    <w:name w:val="Footer Char"/>
    <w:basedOn w:val="DefaultParagraphFont"/>
    <w:link w:val="Footer"/>
    <w:uiPriority w:val="99"/>
    <w:rsid w:val="008B10F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7484">
      <w:marLeft w:val="0"/>
      <w:marRight w:val="0"/>
      <w:marTop w:val="0"/>
      <w:marBottom w:val="0"/>
      <w:divBdr>
        <w:top w:val="none" w:sz="0" w:space="0" w:color="auto"/>
        <w:left w:val="none" w:sz="0" w:space="0" w:color="auto"/>
        <w:bottom w:val="none" w:sz="0" w:space="0" w:color="auto"/>
        <w:right w:val="none" w:sz="0" w:space="0" w:color="auto"/>
      </w:divBdr>
    </w:div>
    <w:div w:id="43452168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37928759</IDBDocs_x0020_Number>
    <TaxCatchAll xmlns="cdc7663a-08f0-4737-9e8c-148ce897a09c">
      <Value>18</Value>
      <Value>30</Value>
      <Value>1</Value>
    </TaxCatchAll>
    <Phase xmlns="cdc7663a-08f0-4737-9e8c-148ce897a09c" xsi:nil="true"/>
    <SISCOR_x0020_Number xmlns="cdc7663a-08f0-4737-9e8c-148ce897a09c" xsi:nil="true"/>
    <Division_x0020_or_x0020_Unit xmlns="cdc7663a-08f0-4737-9e8c-148ce897a09c">IFD/FMM</Division_x0020_or_x0020_Unit>
    <Approval_x0020_Number xmlns="cdc7663a-08f0-4737-9e8c-148ce897a09c" xsi:nil="true"/>
    <Document_x0020_Author xmlns="cdc7663a-08f0-4737-9e8c-148ce897a09c">Maria Crsitina Mac Dowell</Document_x0020_Author>
    <Fiscal_x0020_Year_x0020_IDB xmlns="cdc7663a-08f0-4737-9e8c-148ce897a09c">2013</Fiscal_x0020_Year_x0020_IDB>
    <Other_x0020_Author xmlns="cdc7663a-08f0-4737-9e8c-148ce897a09c" xsi:nil="true"/>
    <Project_x0020_Number xmlns="cdc7663a-08f0-4737-9e8c-148ce897a09c">BR-L1385</Project_x0020_Number>
    <Package_x0020_Code xmlns="cdc7663a-08f0-4737-9e8c-148ce897a09c" xsi:nil="true"/>
    <Key_x0020_Document xmlns="cdc7663a-08f0-4737-9e8c-148ce897a09c">false</Key_x0020_Document>
    <Migration_x0020_Info xmlns="cdc7663a-08f0-4737-9e8c-148ce897a09c">&lt;div class="ExternalClass51E70BDFE18A4C1AAD113E0E9030E745"&gt;MS WORDPPProject Profile0N&lt;/div&gt;</Migration_x0020_Info>
    <Operation_x0020_Type xmlns="cdc7663a-08f0-4737-9e8c-148ce897a09c" xsi:nil="true"/>
    <Record_x0020_Number xmlns="cdc7663a-08f0-4737-9e8c-148ce897a09c">R0002799555</Record_x0020_Number>
    <Document_x0020_Language_x0020_IDB xmlns="cdc7663a-08f0-4737-9e8c-148ce897a09c">Spanish</Document_x0020_Language_x0020_IDB>
    <Identifier xmlns="cdc7663a-08f0-4737-9e8c-148ce897a09c"> ANNEX</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Project Profile</Disclosure_x0020_Activity>
    <Region xmlns="cdc7663a-08f0-4737-9e8c-148ce897a09c" xsi:nil="true"/>
    <_dlc_DocId xmlns="cdc7663a-08f0-4737-9e8c-148ce897a09c">EZSHARE-1257625239-38</_dlc_DocId>
    <Publication_x0020_Type xmlns="cdc7663a-08f0-4737-9e8c-148ce897a09c" xsi:nil="true"/>
    <Issue_x0020_Date xmlns="cdc7663a-08f0-4737-9e8c-148ce897a09c" xsi:nil="true"/>
    <KP_x0020_Topics xmlns="cdc7663a-08f0-4737-9e8c-148ce897a09c" xsi:nil="true"/>
    <Webtopic xmlns="cdc7663a-08f0-4737-9e8c-148ce897a09c">Fiscal Issues and Public Finance</Webtopic>
    <Publishing_x0020_House xmlns="cdc7663a-08f0-4737-9e8c-148ce897a09c" xsi:nil="true"/>
    <Disclosed xmlns="cdc7663a-08f0-4737-9e8c-148ce897a09c">true</Disclosed>
    <_dlc_DocIdUrl xmlns="cdc7663a-08f0-4737-9e8c-148ce897a09c">
      <Url>https://idbg.sharepoint.com/teams/EZ-BR-LON/BR-L1385/_layouts/15/DocIdRedir.aspx?ID=EZSHARE-1257625239-38</Url>
      <Description>EZSHARE-1257625239-38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631495ABAD3064593C5997C1BE35703" ma:contentTypeVersion="3519" ma:contentTypeDescription="A content type to manage public (operations) IDB documents" ma:contentTypeScope="" ma:versionID="31171290c3d79ec7a7097512a87f1656">
  <xsd:schema xmlns:xsd="http://www.w3.org/2001/XMLSchema" xmlns:xs="http://www.w3.org/2001/XMLSchema" xmlns:p="http://schemas.microsoft.com/office/2006/metadata/properties" xmlns:ns2="cdc7663a-08f0-4737-9e8c-148ce897a09c" targetNamespace="http://schemas.microsoft.com/office/2006/metadata/properties" ma:root="true" ma:fieldsID="5d3781321cad55452cadae92803181b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7C8E0045-03D3-40EA-82F1-0709FA08707D}"/>
</file>

<file path=customXml/itemProps2.xml><?xml version="1.0" encoding="utf-8"?>
<ds:datastoreItem xmlns:ds="http://schemas.openxmlformats.org/officeDocument/2006/customXml" ds:itemID="{85091ECD-274B-44CD-A949-FC4EFC2BCF1D}"/>
</file>

<file path=customXml/itemProps3.xml><?xml version="1.0" encoding="utf-8"?>
<ds:datastoreItem xmlns:ds="http://schemas.openxmlformats.org/officeDocument/2006/customXml" ds:itemID="{476CE5FA-4A11-43B6-9DE9-4ADC726DE3F3}"/>
</file>

<file path=customXml/itemProps4.xml><?xml version="1.0" encoding="utf-8"?>
<ds:datastoreItem xmlns:ds="http://schemas.openxmlformats.org/officeDocument/2006/customXml" ds:itemID="{D7C784A6-4E7A-4EE2-B696-8C29F70BAA18}"/>
</file>

<file path=customXml/itemProps5.xml><?xml version="1.0" encoding="utf-8"?>
<ds:datastoreItem xmlns:ds="http://schemas.openxmlformats.org/officeDocument/2006/customXml" ds:itemID="{75083BF3-3FA8-4C56-BF61-3EBC6FCCBC6B}"/>
</file>

<file path=customXml/itemProps6.xml><?xml version="1.0" encoding="utf-8"?>
<ds:datastoreItem xmlns:ds="http://schemas.openxmlformats.org/officeDocument/2006/customXml" ds:itemID="{866BBD43-22E0-4134-BC0F-2FB7E10A2E8E}"/>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2186</Characters>
  <Application>Microsoft Office Word</Application>
  <DocSecurity>0</DocSecurity>
  <Lines>18</Lines>
  <Paragraphs>5</Paragraphs>
  <ScaleCrop>false</ScaleCrop>
  <Company>Inter-American Development Bank</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 - Anexo II - Filtros de Salvaguardas (BR-L1385)</dc:title>
  <dc:creator>Inter-American Development Bank</dc:creator>
  <cp:lastModifiedBy>Test</cp:lastModifiedBy>
  <cp:revision>5</cp:revision>
  <cp:lastPrinted>2013-08-16T14:06:00Z</cp:lastPrinted>
  <dcterms:created xsi:type="dcterms:W3CDTF">2013-07-24T21:08:00Z</dcterms:created>
  <dcterms:modified xsi:type="dcterms:W3CDTF">2013-08-16T14:06:00Z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0x0101001A458A224826124E8B45B1D613300CFC00F631495ABAD3064593C5997C1BE35703</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20;#Project Profile (PP)|ac5f0c28-f2f6-431c-8d05-62f851b6a822</vt:lpwstr>
  </property>
  <property fmtid="{D5CDD505-2E9C-101B-9397-08002B2CF9AE}" pid="8" name="Country">
    <vt:lpwstr>30;#Brazil|7deb27ec-6837-4974-9aa8-6cfbac841ef8</vt:lpwstr>
  </property>
  <property fmtid="{D5CDD505-2E9C-101B-9397-08002B2CF9AE}" pid="9" name="Fund IDB">
    <vt:lpwstr/>
  </property>
  <property fmtid="{D5CDD505-2E9C-101B-9397-08002B2CF9AE}" pid="10" name="Series_x0020_Operations_x0020_IDB">
    <vt:lpwstr>20;#Project Profile (PP)|ac5f0c28-f2f6-431c-8d05-62f851b6a822</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3800</vt:r8>
  </property>
  <property fmtid="{D5CDD505-2E9C-101B-9397-08002B2CF9AE}" pid="17" name="_dlc_DocIdItemGuid">
    <vt:lpwstr>41d08ad0-2e78-4739-9bbe-5c21f3a713bc</vt:lpwstr>
  </property>
</Properties>
</file>