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8C8C1" w14:textId="77777777" w:rsidR="00897905" w:rsidRDefault="00476736">
      <w:pPr>
        <w:spacing w:before="200" w:after="200"/>
        <w:jc w:val="center"/>
      </w:pPr>
      <w:r>
        <w:rPr>
          <w:rFonts w:ascii="Arial" w:hAnsi="Arial" w:cs="Arial"/>
          <w:b/>
        </w:rPr>
        <w:t>TC ABSTRACT</w:t>
      </w:r>
    </w:p>
    <w:p w14:paraId="0D88C8C2" w14:textId="77777777" w:rsidR="00897905" w:rsidRDefault="00476736">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04"/>
        <w:gridCol w:w="5138"/>
      </w:tblGrid>
      <w:tr w:rsidR="00897905" w14:paraId="0D88C8C5" w14:textId="77777777" w:rsidTr="006A1BA4">
        <w:trPr>
          <w:jc w:val="center"/>
        </w:trPr>
        <w:tc>
          <w:tcPr>
            <w:tcW w:w="4104" w:type="dxa"/>
          </w:tcPr>
          <w:p w14:paraId="0D88C8C3"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138" w:type="dxa"/>
          </w:tcPr>
          <w:p w14:paraId="0D88C8C4" w14:textId="77777777" w:rsidR="00897905" w:rsidRDefault="00476736">
            <w:pPr>
              <w:spacing w:before="40" w:after="40"/>
            </w:pPr>
            <w:r>
              <w:rPr>
                <w:rFonts w:ascii="Arial" w:hAnsi="Arial" w:cs="Arial"/>
                <w:sz w:val="18"/>
                <w:szCs w:val="18"/>
              </w:rPr>
              <w:t>BAHAMAS/CCB - Caribbean Group</w:t>
            </w:r>
          </w:p>
        </w:tc>
      </w:tr>
      <w:tr w:rsidR="00897905" w14:paraId="0D88C8C8" w14:textId="77777777" w:rsidTr="006A1BA4">
        <w:trPr>
          <w:jc w:val="center"/>
        </w:trPr>
        <w:tc>
          <w:tcPr>
            <w:tcW w:w="4104" w:type="dxa"/>
          </w:tcPr>
          <w:p w14:paraId="0D88C8C6"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138" w:type="dxa"/>
          </w:tcPr>
          <w:p w14:paraId="0D88C8C7" w14:textId="77777777" w:rsidR="00897905" w:rsidRDefault="00476736">
            <w:pPr>
              <w:spacing w:before="40" w:after="40"/>
            </w:pPr>
            <w:r>
              <w:rPr>
                <w:rFonts w:ascii="Arial" w:hAnsi="Arial" w:cs="Arial"/>
                <w:sz w:val="18"/>
                <w:szCs w:val="18"/>
              </w:rPr>
              <w:t>Institutional and Regulatory Strengthening of The Energy Sector</w:t>
            </w:r>
          </w:p>
        </w:tc>
      </w:tr>
      <w:tr w:rsidR="00897905" w14:paraId="0D88C8CB" w14:textId="77777777" w:rsidTr="006A1BA4">
        <w:trPr>
          <w:jc w:val="center"/>
        </w:trPr>
        <w:tc>
          <w:tcPr>
            <w:tcW w:w="4104" w:type="dxa"/>
          </w:tcPr>
          <w:p w14:paraId="0D88C8C9"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138" w:type="dxa"/>
          </w:tcPr>
          <w:p w14:paraId="0D88C8CA" w14:textId="77777777" w:rsidR="00897905" w:rsidRDefault="00476736">
            <w:pPr>
              <w:spacing w:before="40" w:after="40"/>
            </w:pPr>
            <w:r>
              <w:rPr>
                <w:rFonts w:ascii="Arial" w:hAnsi="Arial" w:cs="Arial"/>
                <w:sz w:val="18"/>
                <w:szCs w:val="18"/>
              </w:rPr>
              <w:t>BH-T1091</w:t>
            </w:r>
          </w:p>
        </w:tc>
      </w:tr>
      <w:tr w:rsidR="00897905" w14:paraId="0D88C8CE" w14:textId="77777777" w:rsidTr="006A1BA4">
        <w:trPr>
          <w:jc w:val="center"/>
        </w:trPr>
        <w:tc>
          <w:tcPr>
            <w:tcW w:w="4104" w:type="dxa"/>
          </w:tcPr>
          <w:p w14:paraId="0D88C8CC"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138" w:type="dxa"/>
          </w:tcPr>
          <w:p w14:paraId="0D88C8CD" w14:textId="5C206030" w:rsidR="00897905" w:rsidRDefault="00476736" w:rsidP="001308C2">
            <w:pPr>
              <w:spacing w:before="40" w:after="40"/>
              <w:jc w:val="both"/>
            </w:pPr>
            <w:r>
              <w:rPr>
                <w:rFonts w:ascii="Arial" w:hAnsi="Arial" w:cs="Arial"/>
                <w:sz w:val="18"/>
                <w:szCs w:val="18"/>
              </w:rPr>
              <w:t>R</w:t>
            </w:r>
            <w:r w:rsidR="002F6F01">
              <w:rPr>
                <w:rFonts w:ascii="Arial" w:hAnsi="Arial" w:cs="Arial"/>
                <w:sz w:val="18"/>
                <w:szCs w:val="18"/>
              </w:rPr>
              <w:t>oberto</w:t>
            </w:r>
            <w:r>
              <w:rPr>
                <w:rFonts w:ascii="Arial" w:hAnsi="Arial" w:cs="Arial"/>
                <w:sz w:val="18"/>
                <w:szCs w:val="18"/>
              </w:rPr>
              <w:t xml:space="preserve"> </w:t>
            </w:r>
            <w:r w:rsidR="00616486">
              <w:rPr>
                <w:rFonts w:ascii="Arial" w:hAnsi="Arial" w:cs="Arial"/>
                <w:sz w:val="18"/>
                <w:szCs w:val="18"/>
              </w:rPr>
              <w:t>A</w:t>
            </w:r>
            <w:r w:rsidR="002F6F01">
              <w:rPr>
                <w:rFonts w:ascii="Arial" w:hAnsi="Arial" w:cs="Arial"/>
                <w:sz w:val="18"/>
                <w:szCs w:val="18"/>
              </w:rPr>
              <w:t>iello</w:t>
            </w:r>
            <w:r w:rsidR="00616486">
              <w:rPr>
                <w:rFonts w:ascii="Arial" w:hAnsi="Arial" w:cs="Arial"/>
                <w:sz w:val="18"/>
                <w:szCs w:val="18"/>
              </w:rPr>
              <w:t xml:space="preserve"> </w:t>
            </w:r>
            <w:r>
              <w:rPr>
                <w:rFonts w:ascii="Arial" w:hAnsi="Arial" w:cs="Arial"/>
                <w:sz w:val="18"/>
                <w:szCs w:val="18"/>
              </w:rPr>
              <w:t>(INE/ENE)</w:t>
            </w:r>
            <w:r w:rsidR="002F6F01">
              <w:rPr>
                <w:rFonts w:ascii="Arial" w:hAnsi="Arial" w:cs="Arial"/>
                <w:sz w:val="18"/>
                <w:szCs w:val="18"/>
              </w:rPr>
              <w:t>,</w:t>
            </w:r>
            <w:r>
              <w:rPr>
                <w:rFonts w:ascii="Arial" w:hAnsi="Arial" w:cs="Arial"/>
                <w:sz w:val="18"/>
                <w:szCs w:val="18"/>
              </w:rPr>
              <w:t xml:space="preserve"> Team </w:t>
            </w:r>
            <w:r>
              <w:rPr>
                <w:rFonts w:ascii="Arial" w:hAnsi="Arial" w:cs="Arial"/>
                <w:sz w:val="18"/>
                <w:szCs w:val="18"/>
              </w:rPr>
              <w:t>Leader;</w:t>
            </w:r>
            <w:r>
              <w:rPr>
                <w:rFonts w:ascii="Arial" w:hAnsi="Arial" w:cs="Arial"/>
                <w:sz w:val="18"/>
                <w:szCs w:val="18"/>
              </w:rPr>
              <w:t xml:space="preserve"> M</w:t>
            </w:r>
            <w:r w:rsidR="00BD77E6">
              <w:rPr>
                <w:rFonts w:ascii="Arial" w:hAnsi="Arial" w:cs="Arial"/>
                <w:sz w:val="18"/>
                <w:szCs w:val="18"/>
              </w:rPr>
              <w:t>arcelino</w:t>
            </w:r>
            <w:r>
              <w:rPr>
                <w:rFonts w:ascii="Arial" w:hAnsi="Arial" w:cs="Arial"/>
                <w:sz w:val="18"/>
                <w:szCs w:val="18"/>
              </w:rPr>
              <w:t xml:space="preserve"> </w:t>
            </w:r>
            <w:r w:rsidR="00616486">
              <w:rPr>
                <w:rFonts w:ascii="Arial" w:hAnsi="Arial" w:cs="Arial"/>
                <w:sz w:val="18"/>
                <w:szCs w:val="18"/>
              </w:rPr>
              <w:t>M</w:t>
            </w:r>
            <w:r w:rsidR="00BD77E6">
              <w:rPr>
                <w:rFonts w:ascii="Arial" w:hAnsi="Arial" w:cs="Arial"/>
                <w:sz w:val="18"/>
                <w:szCs w:val="18"/>
              </w:rPr>
              <w:t>adrigal</w:t>
            </w:r>
            <w:r w:rsidR="00616486">
              <w:rPr>
                <w:rFonts w:ascii="Arial" w:hAnsi="Arial" w:cs="Arial"/>
                <w:sz w:val="18"/>
                <w:szCs w:val="18"/>
              </w:rPr>
              <w:t xml:space="preserve"> </w:t>
            </w:r>
            <w:r>
              <w:rPr>
                <w:rFonts w:ascii="Arial" w:hAnsi="Arial" w:cs="Arial"/>
                <w:sz w:val="18"/>
                <w:szCs w:val="18"/>
              </w:rPr>
              <w:t>(INE/ENE)</w:t>
            </w:r>
            <w:r w:rsidR="00BD77E6">
              <w:rPr>
                <w:rFonts w:ascii="Arial" w:hAnsi="Arial" w:cs="Arial"/>
                <w:sz w:val="18"/>
                <w:szCs w:val="18"/>
              </w:rPr>
              <w:t>,</w:t>
            </w:r>
            <w:r>
              <w:rPr>
                <w:rFonts w:ascii="Arial" w:hAnsi="Arial" w:cs="Arial"/>
                <w:sz w:val="18"/>
                <w:szCs w:val="18"/>
              </w:rPr>
              <w:t xml:space="preserve"> Alternate Team Leader; </w:t>
            </w:r>
            <w:r w:rsidR="0070116C">
              <w:rPr>
                <w:rFonts w:ascii="Arial" w:hAnsi="Arial" w:cs="Arial"/>
                <w:sz w:val="18"/>
                <w:szCs w:val="18"/>
              </w:rPr>
              <w:t>A</w:t>
            </w:r>
            <w:r w:rsidR="00BD77E6">
              <w:rPr>
                <w:rFonts w:ascii="Arial" w:hAnsi="Arial" w:cs="Arial"/>
                <w:sz w:val="18"/>
                <w:szCs w:val="18"/>
              </w:rPr>
              <w:t>lberto</w:t>
            </w:r>
            <w:r w:rsidR="0070116C">
              <w:rPr>
                <w:rFonts w:ascii="Arial" w:hAnsi="Arial" w:cs="Arial"/>
                <w:sz w:val="18"/>
                <w:szCs w:val="18"/>
              </w:rPr>
              <w:t xml:space="preserve"> </w:t>
            </w:r>
            <w:r>
              <w:rPr>
                <w:rFonts w:ascii="Arial" w:hAnsi="Arial" w:cs="Arial"/>
                <w:sz w:val="18"/>
                <w:szCs w:val="18"/>
              </w:rPr>
              <w:t>E</w:t>
            </w:r>
            <w:r w:rsidR="00BD77E6">
              <w:rPr>
                <w:rFonts w:ascii="Arial" w:hAnsi="Arial" w:cs="Arial"/>
                <w:sz w:val="18"/>
                <w:szCs w:val="18"/>
              </w:rPr>
              <w:t>lizalde</w:t>
            </w:r>
            <w:r>
              <w:rPr>
                <w:rFonts w:ascii="Arial" w:hAnsi="Arial" w:cs="Arial"/>
                <w:sz w:val="18"/>
                <w:szCs w:val="18"/>
              </w:rPr>
              <w:t xml:space="preserve">; </w:t>
            </w:r>
            <w:r w:rsidR="0070116C">
              <w:rPr>
                <w:rFonts w:ascii="Arial" w:hAnsi="Arial" w:cs="Arial"/>
                <w:sz w:val="18"/>
                <w:szCs w:val="18"/>
              </w:rPr>
              <w:t>F</w:t>
            </w:r>
            <w:r w:rsidR="00BD77E6">
              <w:rPr>
                <w:rFonts w:ascii="Arial" w:hAnsi="Arial" w:cs="Arial"/>
                <w:sz w:val="18"/>
                <w:szCs w:val="18"/>
              </w:rPr>
              <w:t>abiola</w:t>
            </w:r>
            <w:r w:rsidR="0070116C">
              <w:rPr>
                <w:rFonts w:ascii="Arial" w:hAnsi="Arial" w:cs="Arial"/>
                <w:sz w:val="18"/>
                <w:szCs w:val="18"/>
              </w:rPr>
              <w:t xml:space="preserve"> </w:t>
            </w:r>
            <w:r>
              <w:rPr>
                <w:rFonts w:ascii="Arial" w:hAnsi="Arial" w:cs="Arial"/>
                <w:sz w:val="18"/>
                <w:szCs w:val="18"/>
              </w:rPr>
              <w:t>B</w:t>
            </w:r>
            <w:r w:rsidR="00BD77E6">
              <w:rPr>
                <w:rFonts w:ascii="Arial" w:hAnsi="Arial" w:cs="Arial"/>
                <w:sz w:val="18"/>
                <w:szCs w:val="18"/>
              </w:rPr>
              <w:t>altodano</w:t>
            </w:r>
            <w:r>
              <w:rPr>
                <w:rFonts w:ascii="Arial" w:hAnsi="Arial" w:cs="Arial"/>
                <w:sz w:val="18"/>
                <w:szCs w:val="18"/>
              </w:rPr>
              <w:t xml:space="preserve">; </w:t>
            </w:r>
            <w:r w:rsidR="0070116C">
              <w:rPr>
                <w:rFonts w:ascii="Arial" w:hAnsi="Arial" w:cs="Arial"/>
                <w:sz w:val="18"/>
                <w:szCs w:val="18"/>
              </w:rPr>
              <w:t>F</w:t>
            </w:r>
            <w:r w:rsidR="00BD77E6">
              <w:rPr>
                <w:rFonts w:ascii="Arial" w:hAnsi="Arial" w:cs="Arial"/>
                <w:sz w:val="18"/>
                <w:szCs w:val="18"/>
              </w:rPr>
              <w:t>e</w:t>
            </w:r>
            <w:r w:rsidR="007A2C18">
              <w:rPr>
                <w:rFonts w:ascii="Arial" w:hAnsi="Arial" w:cs="Arial"/>
                <w:sz w:val="18"/>
                <w:szCs w:val="18"/>
              </w:rPr>
              <w:t>derico</w:t>
            </w:r>
            <w:r w:rsidR="0070116C">
              <w:rPr>
                <w:rFonts w:ascii="Arial" w:hAnsi="Arial" w:cs="Arial"/>
                <w:sz w:val="18"/>
                <w:szCs w:val="18"/>
              </w:rPr>
              <w:t xml:space="preserve"> </w:t>
            </w:r>
            <w:r>
              <w:rPr>
                <w:rFonts w:ascii="Arial" w:hAnsi="Arial" w:cs="Arial"/>
                <w:sz w:val="18"/>
                <w:szCs w:val="18"/>
              </w:rPr>
              <w:t>G</w:t>
            </w:r>
            <w:r w:rsidR="007A2C18">
              <w:rPr>
                <w:rFonts w:ascii="Arial" w:hAnsi="Arial" w:cs="Arial"/>
                <w:sz w:val="18"/>
                <w:szCs w:val="18"/>
              </w:rPr>
              <w:t>oldenberg</w:t>
            </w:r>
            <w:r>
              <w:rPr>
                <w:rFonts w:ascii="Arial" w:hAnsi="Arial" w:cs="Arial"/>
                <w:sz w:val="18"/>
                <w:szCs w:val="18"/>
              </w:rPr>
              <w:t xml:space="preserve">; </w:t>
            </w:r>
            <w:r w:rsidR="0070116C">
              <w:rPr>
                <w:rFonts w:ascii="Arial" w:hAnsi="Arial" w:cs="Arial"/>
                <w:sz w:val="18"/>
                <w:szCs w:val="18"/>
              </w:rPr>
              <w:t>J</w:t>
            </w:r>
            <w:r w:rsidR="007A2C18">
              <w:rPr>
                <w:rFonts w:ascii="Arial" w:hAnsi="Arial" w:cs="Arial"/>
                <w:sz w:val="18"/>
                <w:szCs w:val="18"/>
              </w:rPr>
              <w:t>uan</w:t>
            </w:r>
            <w:r w:rsidR="0070116C">
              <w:rPr>
                <w:rFonts w:ascii="Arial" w:hAnsi="Arial" w:cs="Arial"/>
                <w:sz w:val="18"/>
                <w:szCs w:val="18"/>
              </w:rPr>
              <w:t xml:space="preserve"> </w:t>
            </w:r>
            <w:r>
              <w:rPr>
                <w:rFonts w:ascii="Arial" w:hAnsi="Arial" w:cs="Arial"/>
                <w:sz w:val="18"/>
                <w:szCs w:val="18"/>
              </w:rPr>
              <w:t>P</w:t>
            </w:r>
            <w:r w:rsidR="007A2C18">
              <w:rPr>
                <w:rFonts w:ascii="Arial" w:hAnsi="Arial" w:cs="Arial"/>
                <w:sz w:val="18"/>
                <w:szCs w:val="18"/>
              </w:rPr>
              <w:t>aredes</w:t>
            </w:r>
            <w:r>
              <w:rPr>
                <w:rFonts w:ascii="Arial" w:hAnsi="Arial" w:cs="Arial"/>
                <w:sz w:val="18"/>
                <w:szCs w:val="18"/>
              </w:rPr>
              <w:t xml:space="preserve">; </w:t>
            </w:r>
            <w:r w:rsidR="0070116C">
              <w:rPr>
                <w:rFonts w:ascii="Arial" w:hAnsi="Arial" w:cs="Arial"/>
                <w:sz w:val="18"/>
                <w:szCs w:val="18"/>
              </w:rPr>
              <w:t>A</w:t>
            </w:r>
            <w:r w:rsidR="009A5FB4">
              <w:rPr>
                <w:rFonts w:ascii="Arial" w:hAnsi="Arial" w:cs="Arial"/>
                <w:sz w:val="18"/>
                <w:szCs w:val="18"/>
              </w:rPr>
              <w:t>ugusto</w:t>
            </w:r>
            <w:r w:rsidR="0070116C">
              <w:rPr>
                <w:rFonts w:ascii="Arial" w:hAnsi="Arial" w:cs="Arial"/>
                <w:sz w:val="18"/>
                <w:szCs w:val="18"/>
              </w:rPr>
              <w:t xml:space="preserve"> </w:t>
            </w:r>
            <w:r>
              <w:rPr>
                <w:rFonts w:ascii="Arial" w:hAnsi="Arial" w:cs="Arial"/>
                <w:sz w:val="18"/>
                <w:szCs w:val="18"/>
              </w:rPr>
              <w:t>B</w:t>
            </w:r>
            <w:r w:rsidR="009A5FB4">
              <w:rPr>
                <w:rFonts w:ascii="Arial" w:hAnsi="Arial" w:cs="Arial"/>
                <w:sz w:val="18"/>
                <w:szCs w:val="18"/>
              </w:rPr>
              <w:t xml:space="preserve">onzi </w:t>
            </w:r>
            <w:r w:rsidR="003B04BD">
              <w:rPr>
                <w:rFonts w:ascii="Arial" w:hAnsi="Arial" w:cs="Arial"/>
                <w:sz w:val="18"/>
                <w:szCs w:val="18"/>
              </w:rPr>
              <w:t xml:space="preserve">and </w:t>
            </w:r>
            <w:r w:rsidR="009A5FB4">
              <w:rPr>
                <w:rFonts w:ascii="Arial" w:hAnsi="Arial" w:cs="Arial"/>
                <w:sz w:val="18"/>
                <w:szCs w:val="18"/>
              </w:rPr>
              <w:t xml:space="preserve">Fidel Márquez </w:t>
            </w:r>
            <w:r w:rsidR="003B04BD">
              <w:rPr>
                <w:rFonts w:ascii="Arial" w:hAnsi="Arial" w:cs="Arial"/>
                <w:sz w:val="18"/>
                <w:szCs w:val="18"/>
              </w:rPr>
              <w:t>(INE/ENE)</w:t>
            </w:r>
            <w:r>
              <w:rPr>
                <w:rFonts w:ascii="Arial" w:hAnsi="Arial" w:cs="Arial"/>
                <w:sz w:val="18"/>
                <w:szCs w:val="18"/>
              </w:rPr>
              <w:t xml:space="preserve">; </w:t>
            </w:r>
            <w:r w:rsidR="0070116C">
              <w:rPr>
                <w:rFonts w:ascii="Arial" w:hAnsi="Arial" w:cs="Arial"/>
                <w:sz w:val="18"/>
                <w:szCs w:val="18"/>
              </w:rPr>
              <w:t>A</w:t>
            </w:r>
            <w:r w:rsidR="00BA1DDF">
              <w:rPr>
                <w:rFonts w:ascii="Arial" w:hAnsi="Arial" w:cs="Arial"/>
                <w:sz w:val="18"/>
                <w:szCs w:val="18"/>
              </w:rPr>
              <w:t>na</w:t>
            </w:r>
            <w:r w:rsidR="0070116C">
              <w:rPr>
                <w:rFonts w:ascii="Arial" w:hAnsi="Arial" w:cs="Arial"/>
                <w:sz w:val="18"/>
                <w:szCs w:val="18"/>
              </w:rPr>
              <w:t xml:space="preserve"> </w:t>
            </w:r>
            <w:r>
              <w:rPr>
                <w:rFonts w:ascii="Arial" w:hAnsi="Arial" w:cs="Arial"/>
                <w:sz w:val="18"/>
                <w:szCs w:val="18"/>
              </w:rPr>
              <w:t>P</w:t>
            </w:r>
            <w:r w:rsidR="00BA1DDF">
              <w:rPr>
                <w:rFonts w:ascii="Arial" w:hAnsi="Arial" w:cs="Arial"/>
                <w:sz w:val="18"/>
                <w:szCs w:val="18"/>
              </w:rPr>
              <w:t>az</w:t>
            </w:r>
            <w:r>
              <w:rPr>
                <w:rFonts w:ascii="Arial" w:hAnsi="Arial" w:cs="Arial"/>
                <w:sz w:val="18"/>
                <w:szCs w:val="18"/>
              </w:rPr>
              <w:t xml:space="preserve"> D</w:t>
            </w:r>
            <w:r w:rsidR="00BA1DDF">
              <w:rPr>
                <w:rFonts w:ascii="Arial" w:hAnsi="Arial" w:cs="Arial"/>
                <w:sz w:val="18"/>
                <w:szCs w:val="18"/>
              </w:rPr>
              <w:t>oblado</w:t>
            </w:r>
            <w:r w:rsidR="0070116C">
              <w:rPr>
                <w:rFonts w:ascii="Arial" w:hAnsi="Arial" w:cs="Arial"/>
                <w:sz w:val="18"/>
                <w:szCs w:val="18"/>
              </w:rPr>
              <w:t xml:space="preserve"> (</w:t>
            </w:r>
            <w:r>
              <w:rPr>
                <w:rFonts w:ascii="Arial" w:hAnsi="Arial" w:cs="Arial"/>
                <w:sz w:val="18"/>
                <w:szCs w:val="18"/>
              </w:rPr>
              <w:t xml:space="preserve">VPC/FMP); </w:t>
            </w:r>
            <w:r w:rsidR="0070116C">
              <w:rPr>
                <w:rFonts w:ascii="Arial" w:hAnsi="Arial" w:cs="Arial"/>
                <w:sz w:val="18"/>
                <w:szCs w:val="18"/>
              </w:rPr>
              <w:t>H</w:t>
            </w:r>
            <w:r w:rsidR="00BA1DDF">
              <w:rPr>
                <w:rFonts w:ascii="Arial" w:hAnsi="Arial" w:cs="Arial"/>
                <w:sz w:val="18"/>
                <w:szCs w:val="18"/>
              </w:rPr>
              <w:t>oracio Mendoza</w:t>
            </w:r>
            <w:r>
              <w:rPr>
                <w:rFonts w:ascii="Arial" w:hAnsi="Arial" w:cs="Arial"/>
                <w:sz w:val="18"/>
                <w:szCs w:val="18"/>
              </w:rPr>
              <w:t xml:space="preserve"> </w:t>
            </w:r>
            <w:r>
              <w:rPr>
                <w:rFonts w:ascii="Arial" w:hAnsi="Arial" w:cs="Arial"/>
                <w:sz w:val="18"/>
                <w:szCs w:val="18"/>
              </w:rPr>
              <w:t>(LEG/SGO)</w:t>
            </w:r>
            <w:r w:rsidR="0070116C">
              <w:rPr>
                <w:rFonts w:ascii="Arial" w:hAnsi="Arial" w:cs="Arial"/>
                <w:sz w:val="18"/>
                <w:szCs w:val="18"/>
              </w:rPr>
              <w:t>.</w:t>
            </w:r>
          </w:p>
        </w:tc>
      </w:tr>
      <w:tr w:rsidR="00897905" w14:paraId="0D88C8D1" w14:textId="77777777" w:rsidTr="006A1BA4">
        <w:trPr>
          <w:jc w:val="center"/>
        </w:trPr>
        <w:tc>
          <w:tcPr>
            <w:tcW w:w="4104" w:type="dxa"/>
          </w:tcPr>
          <w:p w14:paraId="0D88C8CF"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5138" w:type="dxa"/>
          </w:tcPr>
          <w:p w14:paraId="0D88C8D0" w14:textId="77777777" w:rsidR="00897905" w:rsidRDefault="00476736">
            <w:pPr>
              <w:spacing w:before="40" w:after="40"/>
            </w:pPr>
            <w:r>
              <w:rPr>
                <w:rFonts w:ascii="Arial" w:hAnsi="Arial" w:cs="Arial"/>
                <w:sz w:val="18"/>
                <w:szCs w:val="18"/>
              </w:rPr>
              <w:t>Client Support</w:t>
            </w:r>
          </w:p>
        </w:tc>
      </w:tr>
      <w:tr w:rsidR="00897905" w14:paraId="0D88C8D4" w14:textId="77777777" w:rsidTr="006A1BA4">
        <w:trPr>
          <w:jc w:val="center"/>
        </w:trPr>
        <w:tc>
          <w:tcPr>
            <w:tcW w:w="4104" w:type="dxa"/>
          </w:tcPr>
          <w:p w14:paraId="0D88C8D2"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138" w:type="dxa"/>
          </w:tcPr>
          <w:p w14:paraId="0D88C8D3" w14:textId="77777777" w:rsidR="00897905" w:rsidRDefault="00476736">
            <w:pPr>
              <w:spacing w:before="40" w:after="40"/>
            </w:pPr>
            <w:r>
              <w:rPr>
                <w:rFonts w:ascii="Arial" w:hAnsi="Arial" w:cs="Arial"/>
                <w:sz w:val="18"/>
                <w:szCs w:val="18"/>
              </w:rPr>
              <w:t>N/A</w:t>
            </w:r>
          </w:p>
        </w:tc>
      </w:tr>
      <w:tr w:rsidR="00897905" w14:paraId="0D88C8D7" w14:textId="77777777" w:rsidTr="006A1BA4">
        <w:trPr>
          <w:jc w:val="center"/>
        </w:trPr>
        <w:tc>
          <w:tcPr>
            <w:tcW w:w="4104" w:type="dxa"/>
          </w:tcPr>
          <w:p w14:paraId="0D88C8D5"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138" w:type="dxa"/>
          </w:tcPr>
          <w:p w14:paraId="0D88C8D6" w14:textId="77777777" w:rsidR="00897905" w:rsidRDefault="00476736">
            <w:pPr>
              <w:spacing w:before="40" w:after="40"/>
            </w:pPr>
            <w:r>
              <w:rPr>
                <w:rFonts w:ascii="Arial" w:hAnsi="Arial" w:cs="Arial"/>
                <w:sz w:val="18"/>
                <w:szCs w:val="18"/>
              </w:rPr>
              <w:t>09 Aug 2021</w:t>
            </w:r>
          </w:p>
        </w:tc>
      </w:tr>
      <w:tr w:rsidR="00897905" w14:paraId="0D88C8DA" w14:textId="77777777" w:rsidTr="006A1BA4">
        <w:trPr>
          <w:jc w:val="center"/>
        </w:trPr>
        <w:tc>
          <w:tcPr>
            <w:tcW w:w="4104" w:type="dxa"/>
          </w:tcPr>
          <w:p w14:paraId="0D88C8D8"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Beneficiary:</w:t>
            </w:r>
          </w:p>
        </w:tc>
        <w:tc>
          <w:tcPr>
            <w:tcW w:w="5138" w:type="dxa"/>
          </w:tcPr>
          <w:p w14:paraId="0D88C8D9" w14:textId="77777777" w:rsidR="00897905" w:rsidRDefault="00476736">
            <w:pPr>
              <w:spacing w:before="40" w:after="40"/>
            </w:pPr>
            <w:r>
              <w:rPr>
                <w:rFonts w:ascii="Arial" w:hAnsi="Arial" w:cs="Arial"/>
                <w:sz w:val="18"/>
                <w:szCs w:val="18"/>
              </w:rPr>
              <w:t>The Commonwealth of The Bahamas</w:t>
            </w:r>
          </w:p>
        </w:tc>
      </w:tr>
      <w:tr w:rsidR="00897905" w14:paraId="0D88C8DD" w14:textId="77777777" w:rsidTr="006A1BA4">
        <w:trPr>
          <w:jc w:val="center"/>
        </w:trPr>
        <w:tc>
          <w:tcPr>
            <w:tcW w:w="4104" w:type="dxa"/>
          </w:tcPr>
          <w:p w14:paraId="0D88C8DB"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5138" w:type="dxa"/>
          </w:tcPr>
          <w:p w14:paraId="0D88C8DC" w14:textId="7A41A895" w:rsidR="00897905" w:rsidRDefault="00476736">
            <w:pPr>
              <w:spacing w:before="40" w:after="40"/>
            </w:pPr>
            <w:r>
              <w:rPr>
                <w:rFonts w:ascii="Arial" w:hAnsi="Arial" w:cs="Arial"/>
                <w:sz w:val="18"/>
                <w:szCs w:val="18"/>
              </w:rPr>
              <w:t>I</w:t>
            </w:r>
            <w:r w:rsidR="00334725">
              <w:rPr>
                <w:rFonts w:ascii="Arial" w:hAnsi="Arial" w:cs="Arial"/>
                <w:sz w:val="18"/>
                <w:szCs w:val="18"/>
              </w:rPr>
              <w:t>nter</w:t>
            </w:r>
            <w:r>
              <w:rPr>
                <w:rFonts w:ascii="Arial" w:hAnsi="Arial" w:cs="Arial"/>
                <w:sz w:val="18"/>
                <w:szCs w:val="18"/>
              </w:rPr>
              <w:t>-A</w:t>
            </w:r>
            <w:r w:rsidR="00334725">
              <w:rPr>
                <w:rFonts w:ascii="Arial" w:hAnsi="Arial" w:cs="Arial"/>
                <w:sz w:val="18"/>
                <w:szCs w:val="18"/>
              </w:rPr>
              <w:t>merican</w:t>
            </w:r>
            <w:r>
              <w:rPr>
                <w:rFonts w:ascii="Arial" w:hAnsi="Arial" w:cs="Arial"/>
                <w:sz w:val="18"/>
                <w:szCs w:val="18"/>
              </w:rPr>
              <w:t xml:space="preserve"> D</w:t>
            </w:r>
            <w:r w:rsidR="00334725">
              <w:rPr>
                <w:rFonts w:ascii="Arial" w:hAnsi="Arial" w:cs="Arial"/>
                <w:sz w:val="18"/>
                <w:szCs w:val="18"/>
              </w:rPr>
              <w:t>evelopment</w:t>
            </w:r>
            <w:r>
              <w:rPr>
                <w:rFonts w:ascii="Arial" w:hAnsi="Arial" w:cs="Arial"/>
                <w:sz w:val="18"/>
                <w:szCs w:val="18"/>
              </w:rPr>
              <w:t xml:space="preserve"> B</w:t>
            </w:r>
            <w:r w:rsidR="00334725">
              <w:rPr>
                <w:rFonts w:ascii="Arial" w:hAnsi="Arial" w:cs="Arial"/>
                <w:sz w:val="18"/>
                <w:szCs w:val="18"/>
              </w:rPr>
              <w:t>ank</w:t>
            </w:r>
          </w:p>
        </w:tc>
      </w:tr>
      <w:tr w:rsidR="00897905" w14:paraId="0D88C8E0" w14:textId="77777777" w:rsidTr="006A1BA4">
        <w:trPr>
          <w:jc w:val="center"/>
        </w:trPr>
        <w:tc>
          <w:tcPr>
            <w:tcW w:w="4104" w:type="dxa"/>
          </w:tcPr>
          <w:p w14:paraId="0D88C8DE"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138" w:type="dxa"/>
          </w:tcPr>
          <w:p w14:paraId="0D88C8DF" w14:textId="77777777" w:rsidR="00897905" w:rsidRDefault="00476736" w:rsidP="001308C2">
            <w:pPr>
              <w:bidi/>
              <w:spacing w:before="40" w:after="40"/>
              <w:jc w:val="right"/>
            </w:pPr>
            <w:r>
              <w:rPr>
                <w:rFonts w:ascii="Arial" w:hAnsi="Arial" w:cs="Arial"/>
                <w:sz w:val="18"/>
                <w:szCs w:val="18"/>
              </w:rPr>
              <w:t>US$150,000.00</w:t>
            </w:r>
          </w:p>
        </w:tc>
      </w:tr>
      <w:tr w:rsidR="00897905" w14:paraId="0D88C8E3" w14:textId="77777777" w:rsidTr="006A1BA4">
        <w:trPr>
          <w:jc w:val="center"/>
        </w:trPr>
        <w:tc>
          <w:tcPr>
            <w:tcW w:w="4104" w:type="dxa"/>
          </w:tcPr>
          <w:p w14:paraId="0D88C8E1"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138" w:type="dxa"/>
          </w:tcPr>
          <w:p w14:paraId="0D88C8E2" w14:textId="77777777" w:rsidR="00897905" w:rsidRDefault="00476736" w:rsidP="001308C2">
            <w:pPr>
              <w:bidi/>
              <w:spacing w:before="40" w:after="40"/>
              <w:jc w:val="right"/>
            </w:pPr>
            <w:r>
              <w:rPr>
                <w:rFonts w:ascii="Arial" w:hAnsi="Arial" w:cs="Arial"/>
                <w:sz w:val="18"/>
                <w:szCs w:val="18"/>
              </w:rPr>
              <w:t>US$0.00</w:t>
            </w:r>
          </w:p>
        </w:tc>
      </w:tr>
      <w:tr w:rsidR="00897905" w14:paraId="0D88C8E6" w14:textId="77777777" w:rsidTr="006A1BA4">
        <w:trPr>
          <w:jc w:val="center"/>
        </w:trPr>
        <w:tc>
          <w:tcPr>
            <w:tcW w:w="4104" w:type="dxa"/>
          </w:tcPr>
          <w:p w14:paraId="0D88C8E4"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138" w:type="dxa"/>
          </w:tcPr>
          <w:p w14:paraId="0D88C8E5" w14:textId="77777777" w:rsidR="00897905" w:rsidRDefault="00476736" w:rsidP="001308C2">
            <w:pPr>
              <w:bidi/>
              <w:spacing w:before="40" w:after="40"/>
              <w:jc w:val="right"/>
            </w:pPr>
            <w:r>
              <w:rPr>
                <w:rFonts w:ascii="Arial" w:hAnsi="Arial" w:cs="Arial"/>
                <w:sz w:val="18"/>
                <w:szCs w:val="18"/>
              </w:rPr>
              <w:t>36 months</w:t>
            </w:r>
          </w:p>
        </w:tc>
      </w:tr>
      <w:tr w:rsidR="00897905" w14:paraId="0D88C8E9" w14:textId="77777777" w:rsidTr="006A1BA4">
        <w:trPr>
          <w:jc w:val="center"/>
        </w:trPr>
        <w:tc>
          <w:tcPr>
            <w:tcW w:w="4104" w:type="dxa"/>
          </w:tcPr>
          <w:p w14:paraId="0D88C8E7"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138" w:type="dxa"/>
          </w:tcPr>
          <w:p w14:paraId="0D88C8E8" w14:textId="77777777" w:rsidR="00897905" w:rsidRDefault="00476736">
            <w:pPr>
              <w:spacing w:before="40" w:after="40"/>
            </w:pPr>
            <w:r>
              <w:rPr>
                <w:rFonts w:ascii="Arial" w:hAnsi="Arial" w:cs="Arial"/>
                <w:sz w:val="18"/>
                <w:szCs w:val="18"/>
              </w:rPr>
              <w:t>Individuals; Firms</w:t>
            </w:r>
          </w:p>
        </w:tc>
      </w:tr>
      <w:tr w:rsidR="00897905" w14:paraId="0D88C8EC" w14:textId="77777777" w:rsidTr="006A1BA4">
        <w:trPr>
          <w:jc w:val="center"/>
        </w:trPr>
        <w:tc>
          <w:tcPr>
            <w:tcW w:w="4104" w:type="dxa"/>
          </w:tcPr>
          <w:p w14:paraId="0D88C8EA"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5138" w:type="dxa"/>
          </w:tcPr>
          <w:p w14:paraId="0D88C8EB" w14:textId="77777777" w:rsidR="00897905" w:rsidRDefault="00476736">
            <w:pPr>
              <w:spacing w:before="40" w:after="40"/>
            </w:pPr>
            <w:r>
              <w:rPr>
                <w:rFonts w:ascii="Arial" w:hAnsi="Arial" w:cs="Arial"/>
                <w:sz w:val="18"/>
                <w:szCs w:val="18"/>
              </w:rPr>
              <w:t>INE/ENE - Energy</w:t>
            </w:r>
          </w:p>
        </w:tc>
      </w:tr>
      <w:tr w:rsidR="00897905" w14:paraId="0D88C8EF" w14:textId="77777777" w:rsidTr="006A1BA4">
        <w:trPr>
          <w:jc w:val="center"/>
        </w:trPr>
        <w:tc>
          <w:tcPr>
            <w:tcW w:w="4104" w:type="dxa"/>
          </w:tcPr>
          <w:p w14:paraId="0D88C8ED"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5138" w:type="dxa"/>
          </w:tcPr>
          <w:p w14:paraId="0D88C8EE" w14:textId="77777777" w:rsidR="00897905" w:rsidRDefault="00476736">
            <w:pPr>
              <w:spacing w:before="40" w:after="40"/>
            </w:pPr>
            <w:r>
              <w:rPr>
                <w:rFonts w:ascii="Arial" w:hAnsi="Arial" w:cs="Arial"/>
                <w:sz w:val="18"/>
                <w:szCs w:val="18"/>
              </w:rPr>
              <w:t>CCB/CBH - Country Office Bahamas</w:t>
            </w:r>
          </w:p>
        </w:tc>
      </w:tr>
      <w:tr w:rsidR="00897905" w14:paraId="0D88C8F2" w14:textId="77777777" w:rsidTr="006A1BA4">
        <w:trPr>
          <w:jc w:val="center"/>
        </w:trPr>
        <w:tc>
          <w:tcPr>
            <w:tcW w:w="4104" w:type="dxa"/>
          </w:tcPr>
          <w:p w14:paraId="0D88C8F0" w14:textId="60158646" w:rsidR="00897905" w:rsidRDefault="00476736">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t>▪ TC included in CPD (y/n):</w:t>
            </w:r>
          </w:p>
        </w:tc>
        <w:tc>
          <w:tcPr>
            <w:tcW w:w="5138" w:type="dxa"/>
          </w:tcPr>
          <w:p w14:paraId="0D88C8F1" w14:textId="34CD208B" w:rsidR="00897905" w:rsidRDefault="00476736">
            <w:pPr>
              <w:spacing w:before="40" w:after="40"/>
            </w:pPr>
            <w:r>
              <w:rPr>
                <w:rFonts w:ascii="Arial" w:hAnsi="Arial" w:cs="Arial"/>
                <w:sz w:val="18"/>
                <w:szCs w:val="18"/>
              </w:rPr>
              <w:t>Yes</w:t>
            </w:r>
            <w:r>
              <w:rPr>
                <w:rFonts w:ascii="Arial" w:hAnsi="Arial" w:cs="Arial"/>
                <w:sz w:val="18"/>
                <w:szCs w:val="18"/>
              </w:rPr>
              <w:br/>
              <w:t>No</w:t>
            </w:r>
          </w:p>
        </w:tc>
      </w:tr>
      <w:tr w:rsidR="00897905" w14:paraId="0D88C8F5" w14:textId="77777777" w:rsidTr="006A1BA4">
        <w:trPr>
          <w:jc w:val="center"/>
        </w:trPr>
        <w:tc>
          <w:tcPr>
            <w:tcW w:w="4104" w:type="dxa"/>
          </w:tcPr>
          <w:p w14:paraId="0D88C8F3" w14:textId="77777777" w:rsidR="00897905" w:rsidRDefault="00476736">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w:t>
            </w:r>
            <w:r>
              <w:rPr>
                <w:rFonts w:ascii="Arial" w:hAnsi="Arial" w:cs="Arial"/>
                <w:sz w:val="18"/>
                <w:szCs w:val="18"/>
              </w:rPr>
              <w:t>Institutional Strategy 2010-2020:</w:t>
            </w:r>
          </w:p>
        </w:tc>
        <w:tc>
          <w:tcPr>
            <w:tcW w:w="5138" w:type="dxa"/>
          </w:tcPr>
          <w:p w14:paraId="0D88C8F4" w14:textId="7B1829DE" w:rsidR="00897905" w:rsidRDefault="00476736">
            <w:pPr>
              <w:spacing w:before="40" w:after="40"/>
            </w:pPr>
            <w:r>
              <w:rPr>
                <w:rFonts w:ascii="Arial" w:hAnsi="Arial" w:cs="Arial"/>
                <w:sz w:val="18"/>
                <w:szCs w:val="18"/>
              </w:rPr>
              <w:t xml:space="preserve">Productivity and </w:t>
            </w:r>
            <w:r w:rsidR="002446A4">
              <w:rPr>
                <w:rFonts w:ascii="Arial" w:hAnsi="Arial" w:cs="Arial"/>
                <w:sz w:val="18"/>
                <w:szCs w:val="18"/>
              </w:rPr>
              <w:t>innovation;</w:t>
            </w:r>
            <w:r>
              <w:rPr>
                <w:rFonts w:ascii="Arial" w:hAnsi="Arial" w:cs="Arial"/>
                <w:sz w:val="18"/>
                <w:szCs w:val="18"/>
              </w:rPr>
              <w:t xml:space="preserve"> Institutional capacity and rule of law; Environmental sustainability</w:t>
            </w:r>
          </w:p>
        </w:tc>
      </w:tr>
    </w:tbl>
    <w:p w14:paraId="0D88C8F9" w14:textId="77777777" w:rsidR="00897905" w:rsidRDefault="00476736" w:rsidP="006A1BA4">
      <w:pPr>
        <w:spacing w:before="240" w:after="120"/>
        <w:ind w:left="576" w:hanging="576"/>
      </w:pPr>
      <w:r>
        <w:rPr>
          <w:rFonts w:ascii="Arial" w:hAnsi="Arial" w:cs="Arial"/>
          <w:b/>
        </w:rPr>
        <w:t>II.</w:t>
      </w:r>
      <w:r>
        <w:rPr>
          <w:rFonts w:ascii="Arial" w:hAnsi="Arial" w:cs="Arial"/>
          <w:b/>
        </w:rPr>
        <w:tab/>
        <w:t>Objective and Justification</w:t>
      </w:r>
    </w:p>
    <w:p w14:paraId="0D88C8FA" w14:textId="77777777" w:rsidR="00897905" w:rsidRDefault="00476736">
      <w:pPr>
        <w:spacing w:before="120" w:after="120"/>
        <w:ind w:left="579" w:hanging="579"/>
        <w:jc w:val="both"/>
      </w:pPr>
      <w:r>
        <w:rPr>
          <w:rFonts w:ascii="Arial" w:hAnsi="Arial" w:cs="Arial"/>
        </w:rPr>
        <w:t>2.1</w:t>
      </w:r>
      <w:r>
        <w:rPr>
          <w:rFonts w:ascii="Arial" w:hAnsi="Arial" w:cs="Arial"/>
        </w:rPr>
        <w:tab/>
        <w:t xml:space="preserve">The objective of the proposed Technical Cooperation (TC) is to support </w:t>
      </w:r>
      <w:r>
        <w:rPr>
          <w:rFonts w:ascii="Arial" w:hAnsi="Arial" w:cs="Arial"/>
        </w:rPr>
        <w:t>government counterparts and relevant entities in The Bahamas to strengthen the energy sector institutional and regulatory framework in the context of the sustainable energy transition. The proposed support includes technical assistances, analytical assessm</w:t>
      </w:r>
      <w:r>
        <w:rPr>
          <w:rFonts w:ascii="Arial" w:hAnsi="Arial" w:cs="Arial"/>
        </w:rPr>
        <w:t>ents, and support for knowledge exchange and dissemination events.</w:t>
      </w:r>
    </w:p>
    <w:p w14:paraId="0D88C8FB" w14:textId="77777777" w:rsidR="00897905" w:rsidRDefault="00476736">
      <w:pPr>
        <w:spacing w:before="120" w:after="120"/>
        <w:ind w:left="579" w:hanging="579"/>
        <w:jc w:val="both"/>
      </w:pPr>
      <w:r>
        <w:rPr>
          <w:rFonts w:ascii="Arial" w:hAnsi="Arial" w:cs="Arial"/>
        </w:rPr>
        <w:t>2.2</w:t>
      </w:r>
      <w:r>
        <w:rPr>
          <w:rFonts w:ascii="Arial" w:hAnsi="Arial" w:cs="Arial"/>
        </w:rPr>
        <w:tab/>
        <w:t xml:space="preserve">The Bahamas, a small open archipelagic economy, has continued to experience low growth rates and rising debt levels since the global financial crisis. Fiscal deficits and national debt </w:t>
      </w:r>
      <w:r>
        <w:rPr>
          <w:rFonts w:ascii="Arial" w:hAnsi="Arial" w:cs="Arial"/>
        </w:rPr>
        <w:t>levels are deteriorating, more importantly in the COVID-19 context, and foreign direct investments have declined. Together with an old power generation infrastructure, The Bahamas suffers from a high fuel import bill (7% of Gross Domestic Product-GDP), hig</w:t>
      </w:r>
      <w:r>
        <w:rPr>
          <w:rFonts w:ascii="Arial" w:hAnsi="Arial" w:cs="Arial"/>
        </w:rPr>
        <w:t>h electricity prices as well as a large and financially challenged utility - The Bahamas Power and Light (BPL) which experiences frequent power outages and elevated system losses. Volatile oil prices have contributed to make electricity tariffs among the h</w:t>
      </w:r>
      <w:r>
        <w:rPr>
          <w:rFonts w:ascii="Arial" w:hAnsi="Arial" w:cs="Arial"/>
        </w:rPr>
        <w:t>ighest in the Caribbean.</w:t>
      </w:r>
    </w:p>
    <w:p w14:paraId="0D88C8FC" w14:textId="77777777" w:rsidR="00897905" w:rsidRDefault="00476736">
      <w:pPr>
        <w:spacing w:before="120" w:after="120"/>
        <w:ind w:left="579" w:hanging="579"/>
        <w:jc w:val="both"/>
      </w:pPr>
      <w:r>
        <w:rPr>
          <w:rFonts w:ascii="Arial" w:hAnsi="Arial" w:cs="Arial"/>
        </w:rPr>
        <w:t>2.3</w:t>
      </w:r>
      <w:r>
        <w:rPr>
          <w:rFonts w:ascii="Arial" w:hAnsi="Arial" w:cs="Arial"/>
        </w:rPr>
        <w:tab/>
        <w:t>Despite the potential for solar and wind power generation and the steady cost decline of such technologies, The Bahamas ranks lowest in the region for Renewable Energy (RE) penetration. Accelerating the transition to a clean en</w:t>
      </w:r>
      <w:r>
        <w:rPr>
          <w:rFonts w:ascii="Arial" w:hAnsi="Arial" w:cs="Arial"/>
        </w:rPr>
        <w:t>ergy represents a unique opportunity for country to enhance its energy security, meet its climate change action goals, contribute to economic development and employment opportunities. To address these objectives, the Bahamian National Energy Policy 2013-20</w:t>
      </w:r>
      <w:r>
        <w:rPr>
          <w:rFonts w:ascii="Arial" w:hAnsi="Arial" w:cs="Arial"/>
        </w:rPr>
        <w:t xml:space="preserve">33 set in 2014 the target of reaching approx. 30% of RE in the mix by 2030. In 2015, the Electricity Act of </w:t>
      </w:r>
      <w:r>
        <w:rPr>
          <w:rFonts w:ascii="Arial" w:hAnsi="Arial" w:cs="Arial"/>
        </w:rPr>
        <w:lastRenderedPageBreak/>
        <w:t>1956 was repealed with the aim to allow RE utility-scale power generation as well as self-generation. In recent years, there has been increasing int</w:t>
      </w:r>
      <w:r>
        <w:rPr>
          <w:rFonts w:ascii="Arial" w:hAnsi="Arial" w:cs="Arial"/>
        </w:rPr>
        <w:t>erest from commercial entities to pursue RE self-generation projects selling the surplus energy to BPL. However, the current market governance and regulatory framework pose barriers to such developments in RE and private sector participation.</w:t>
      </w:r>
    </w:p>
    <w:p w14:paraId="0D88C8FD" w14:textId="77777777" w:rsidR="00897905" w:rsidRDefault="00476736">
      <w:pPr>
        <w:spacing w:before="120" w:after="120"/>
        <w:ind w:left="579" w:hanging="579"/>
        <w:jc w:val="both"/>
      </w:pPr>
      <w:r>
        <w:rPr>
          <w:rFonts w:ascii="Arial" w:hAnsi="Arial" w:cs="Arial"/>
        </w:rPr>
        <w:t>2.4</w:t>
      </w:r>
      <w:r>
        <w:rPr>
          <w:rFonts w:ascii="Arial" w:hAnsi="Arial" w:cs="Arial"/>
        </w:rPr>
        <w:tab/>
        <w:t>The Baham</w:t>
      </w:r>
      <w:r>
        <w:rPr>
          <w:rFonts w:ascii="Arial" w:hAnsi="Arial" w:cs="Arial"/>
        </w:rPr>
        <w:t>as also faces challenges on natural hazards. On September 1st, 2019, the country was impacted by category 5 Hurricane Dorian, the strongest hurricane in modern history of the country. Abaco and the East Grand Bahama are among the most critically affected a</w:t>
      </w:r>
      <w:r>
        <w:rPr>
          <w:rFonts w:ascii="Arial" w:hAnsi="Arial" w:cs="Arial"/>
        </w:rPr>
        <w:t>reas. In Abaco Island, 90% of housing and infrastructure is damaged or destroyed. These areas are also two of the fastest-growing travel destinations in a country with an economy that is mainly driven by the Service Sector (79.1% of its GDP in 2018), due t</w:t>
      </w:r>
      <w:r>
        <w:rPr>
          <w:rFonts w:ascii="Arial" w:hAnsi="Arial" w:cs="Arial"/>
        </w:rPr>
        <w:t>o tourism.</w:t>
      </w:r>
    </w:p>
    <w:p w14:paraId="0D88C8FE" w14:textId="77777777" w:rsidR="00897905" w:rsidRDefault="00476736">
      <w:pPr>
        <w:spacing w:before="120" w:after="120"/>
        <w:ind w:left="579" w:hanging="579"/>
        <w:jc w:val="both"/>
      </w:pPr>
      <w:r>
        <w:rPr>
          <w:rFonts w:ascii="Arial" w:hAnsi="Arial" w:cs="Arial"/>
        </w:rPr>
        <w:t>2.5</w:t>
      </w:r>
      <w:r>
        <w:rPr>
          <w:rFonts w:ascii="Arial" w:hAnsi="Arial" w:cs="Arial"/>
        </w:rPr>
        <w:tab/>
        <w:t xml:space="preserve">This TC is aligned with IDB Group´s Vision 2025 priority area of Climate-change action by the design of enabling policies and regulatory instruments to leverage private-sector investment and promote climate-resilient development. It is also </w:t>
      </w:r>
      <w:r>
        <w:rPr>
          <w:rFonts w:ascii="Arial" w:hAnsi="Arial" w:cs="Arial"/>
        </w:rPr>
        <w:t>aligned with the Second Update of the Institutional Strategy 2020-2023 (AB-3190-2) through the development challenge of Productivity and Innovation by promoting innovative solutions for the institutional and regulatory development of the energy sector in t</w:t>
      </w:r>
      <w:r>
        <w:rPr>
          <w:rFonts w:ascii="Arial" w:hAnsi="Arial" w:cs="Arial"/>
        </w:rPr>
        <w:t>he country and with the cross-cutting area of Institutional Capacity and Rule of law by improving the delivery of the electricity service, facilitating strong business climates, and fostering transparency and integrity. The TC is also aligned with the Ener</w:t>
      </w:r>
      <w:r>
        <w:rPr>
          <w:rFonts w:ascii="Arial" w:hAnsi="Arial" w:cs="Arial"/>
        </w:rPr>
        <w:t>gy Sector Framework (GN-2830-8) through the priority area of Energy Sustainability in terms of increased efficiency in energy use and a more prominent role for RE, and the IDB´s Climate Change Framework by contributing to combating climate change and enhan</w:t>
      </w:r>
      <w:r>
        <w:rPr>
          <w:rFonts w:ascii="Arial" w:hAnsi="Arial" w:cs="Arial"/>
        </w:rPr>
        <w:t>cing adaptation and resiliency.</w:t>
      </w:r>
    </w:p>
    <w:p w14:paraId="0D88C8FF" w14:textId="77777777" w:rsidR="00897905" w:rsidRDefault="00476736" w:rsidP="00D917B6">
      <w:pPr>
        <w:spacing w:before="240" w:after="120"/>
        <w:ind w:left="576" w:hanging="576"/>
      </w:pPr>
      <w:r>
        <w:rPr>
          <w:rFonts w:ascii="Arial" w:hAnsi="Arial" w:cs="Arial"/>
          <w:b/>
        </w:rPr>
        <w:t>III.</w:t>
      </w:r>
      <w:r>
        <w:rPr>
          <w:rFonts w:ascii="Arial" w:hAnsi="Arial" w:cs="Arial"/>
          <w:b/>
        </w:rPr>
        <w:tab/>
        <w:t>Description of Activities and Outputs</w:t>
      </w:r>
    </w:p>
    <w:p w14:paraId="0D88C900" w14:textId="0999B885" w:rsidR="00897905" w:rsidRDefault="00476736">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w:t>
      </w:r>
      <w:r w:rsidR="00651FE3">
        <w:rPr>
          <w:rFonts w:ascii="Arial" w:hAnsi="Arial" w:cs="Arial"/>
          <w:b/>
        </w:rPr>
        <w:t>I</w:t>
      </w:r>
      <w:r>
        <w:rPr>
          <w:rFonts w:ascii="Arial" w:hAnsi="Arial" w:cs="Arial"/>
          <w:b/>
        </w:rPr>
        <w:t>. Institutional and regulatory strengthening (US$130,000)</w:t>
      </w:r>
      <w:r>
        <w:rPr>
          <w:rFonts w:ascii="Arial" w:hAnsi="Arial" w:cs="Arial"/>
          <w:b/>
        </w:rPr>
        <w:t xml:space="preserve">. </w:t>
      </w:r>
      <w:r>
        <w:rPr>
          <w:rFonts w:ascii="Arial" w:hAnsi="Arial" w:cs="Arial"/>
        </w:rPr>
        <w:t xml:space="preserve">Will finance a diagnosis of the current institutional and regulatory framework as a </w:t>
      </w:r>
      <w:r>
        <w:rPr>
          <w:rFonts w:ascii="Arial" w:hAnsi="Arial" w:cs="Arial"/>
        </w:rPr>
        <w:t>baseline, including a gap analysis, to be followed by recommendations for strengthening the institutional and regulatory set up to enable an inclusive and sustainable clean energy roadmap, as well as, inter alia, recommendations of policy and regulatory in</w:t>
      </w:r>
      <w:r>
        <w:rPr>
          <w:rFonts w:ascii="Arial" w:hAnsi="Arial" w:cs="Arial"/>
        </w:rPr>
        <w:t>struments to promote the energy transition in other sectors (e.g., the transport sector through e-mobility and green hydrogen).</w:t>
      </w:r>
    </w:p>
    <w:p w14:paraId="0D88C901" w14:textId="24FC737F" w:rsidR="00897905" w:rsidRDefault="00476736">
      <w:pPr>
        <w:spacing w:before="120" w:after="120"/>
        <w:ind w:left="579" w:hanging="579"/>
        <w:jc w:val="both"/>
      </w:pPr>
      <w:r>
        <w:rPr>
          <w:rFonts w:ascii="Arial" w:hAnsi="Arial" w:cs="Arial"/>
        </w:rPr>
        <w:t>3.</w:t>
      </w:r>
      <w:r>
        <w:rPr>
          <w:rFonts w:ascii="Arial" w:hAnsi="Arial" w:cs="Arial"/>
        </w:rPr>
        <w:t>2</w:t>
      </w:r>
      <w:r>
        <w:rPr>
          <w:rFonts w:ascii="Arial" w:hAnsi="Arial" w:cs="Arial"/>
        </w:rPr>
        <w:tab/>
      </w:r>
      <w:r>
        <w:rPr>
          <w:rFonts w:ascii="Arial" w:hAnsi="Arial" w:cs="Arial"/>
          <w:b/>
        </w:rPr>
        <w:t xml:space="preserve">Component </w:t>
      </w:r>
      <w:r w:rsidR="00651FE3">
        <w:rPr>
          <w:rFonts w:ascii="Arial" w:hAnsi="Arial" w:cs="Arial"/>
          <w:b/>
        </w:rPr>
        <w:t>II</w:t>
      </w:r>
      <w:r>
        <w:rPr>
          <w:rFonts w:ascii="Arial" w:hAnsi="Arial" w:cs="Arial"/>
          <w:b/>
        </w:rPr>
        <w:t>. Knowledge exchange and dissemination of results (US$20,000)</w:t>
      </w:r>
      <w:r>
        <w:rPr>
          <w:rFonts w:ascii="Arial" w:hAnsi="Arial" w:cs="Arial"/>
          <w:b/>
        </w:rPr>
        <w:t xml:space="preserve">. </w:t>
      </w:r>
      <w:r>
        <w:rPr>
          <w:rFonts w:ascii="Arial" w:hAnsi="Arial" w:cs="Arial"/>
        </w:rPr>
        <w:t>This component will finance kno</w:t>
      </w:r>
      <w:r>
        <w:rPr>
          <w:rFonts w:ascii="Arial" w:hAnsi="Arial" w:cs="Arial"/>
        </w:rPr>
        <w:t xml:space="preserve">wledge exchanges, consultations, and communication, as well as dissemination of results based on lessons learned during the implementation of this TC. </w:t>
      </w:r>
      <w:r>
        <w:rPr>
          <w:rFonts w:ascii="Arial" w:hAnsi="Arial" w:cs="Arial"/>
        </w:rPr>
        <w:t>A technical note on findings and lessons learned through the TC support will be prepared.</w:t>
      </w:r>
    </w:p>
    <w:p w14:paraId="0D88C902" w14:textId="77777777" w:rsidR="00897905" w:rsidRDefault="00476736" w:rsidP="00D917B6">
      <w:pPr>
        <w:spacing w:before="240" w:after="120"/>
        <w:ind w:left="576" w:hanging="576"/>
      </w:pPr>
      <w:r>
        <w:rPr>
          <w:rFonts w:ascii="Arial" w:hAnsi="Arial" w:cs="Arial"/>
          <w:b/>
        </w:rPr>
        <w:t>IV.</w:t>
      </w:r>
      <w:r>
        <w:rPr>
          <w:rFonts w:ascii="Arial" w:hAnsi="Arial" w:cs="Arial"/>
          <w:b/>
        </w:rPr>
        <w:tab/>
        <w:t>Budget</w:t>
      </w:r>
    </w:p>
    <w:p w14:paraId="0D88C903" w14:textId="77777777" w:rsidR="00897905" w:rsidRDefault="00476736" w:rsidP="007D3CAD">
      <w:pPr>
        <w:spacing w:before="120" w:after="120"/>
        <w:jc w:val="center"/>
      </w:pPr>
      <w:r>
        <w:rPr>
          <w:rFonts w:ascii="Arial" w:hAnsi="Arial" w:cs="Arial"/>
          <w:b/>
          <w:sz w:val="18"/>
          <w:szCs w:val="18"/>
        </w:rPr>
        <w:t>Ind</w:t>
      </w:r>
      <w:r>
        <w:rPr>
          <w:rFonts w:ascii="Arial" w:hAnsi="Arial" w:cs="Arial"/>
          <w:b/>
          <w:sz w:val="18"/>
          <w:szCs w:val="18"/>
        </w:rPr>
        <w:t>icative Budget</w:t>
      </w:r>
    </w:p>
    <w:tbl>
      <w:tblPr>
        <w:tblStyle w:val="TableGrid"/>
        <w:tblW w:w="0" w:type="auto"/>
        <w:tblLook w:val="04A0" w:firstRow="1" w:lastRow="0" w:firstColumn="1" w:lastColumn="0" w:noHBand="0" w:noVBand="1"/>
      </w:tblPr>
      <w:tblGrid>
        <w:gridCol w:w="2808"/>
        <w:gridCol w:w="1812"/>
        <w:gridCol w:w="2310"/>
        <w:gridCol w:w="2310"/>
      </w:tblGrid>
      <w:tr w:rsidR="00897905" w14:paraId="0D88C908" w14:textId="77777777" w:rsidTr="007D3CAD">
        <w:tc>
          <w:tcPr>
            <w:tcW w:w="2808" w:type="dxa"/>
            <w:vAlign w:val="center"/>
          </w:tcPr>
          <w:p w14:paraId="0D88C904" w14:textId="77777777" w:rsidR="00897905" w:rsidRDefault="00476736" w:rsidP="00D917B6">
            <w:pPr>
              <w:jc w:val="center"/>
            </w:pPr>
            <w:r>
              <w:rPr>
                <w:rFonts w:ascii="Arial" w:hAnsi="Arial" w:cs="Arial"/>
                <w:b/>
                <w:sz w:val="18"/>
                <w:szCs w:val="18"/>
              </w:rPr>
              <w:t>Activity/Component</w:t>
            </w:r>
          </w:p>
        </w:tc>
        <w:tc>
          <w:tcPr>
            <w:tcW w:w="1812" w:type="dxa"/>
          </w:tcPr>
          <w:p w14:paraId="0D88C905" w14:textId="77777777" w:rsidR="00897905" w:rsidRDefault="00476736" w:rsidP="00D917B6">
            <w:pPr>
              <w:jc w:val="center"/>
            </w:pPr>
            <w:r>
              <w:rPr>
                <w:rFonts w:ascii="Arial" w:hAnsi="Arial" w:cs="Arial"/>
                <w:b/>
                <w:sz w:val="18"/>
                <w:szCs w:val="18"/>
              </w:rPr>
              <w:t>IDB/Fund Funding</w:t>
            </w:r>
          </w:p>
        </w:tc>
        <w:tc>
          <w:tcPr>
            <w:tcW w:w="2310" w:type="dxa"/>
          </w:tcPr>
          <w:p w14:paraId="0D88C906" w14:textId="77777777" w:rsidR="00897905" w:rsidRDefault="00476736" w:rsidP="00D917B6">
            <w:pPr>
              <w:jc w:val="center"/>
            </w:pPr>
            <w:r>
              <w:rPr>
                <w:rFonts w:ascii="Arial" w:hAnsi="Arial" w:cs="Arial"/>
                <w:b/>
                <w:sz w:val="18"/>
                <w:szCs w:val="18"/>
              </w:rPr>
              <w:t>Counterpart Funding</w:t>
            </w:r>
          </w:p>
        </w:tc>
        <w:tc>
          <w:tcPr>
            <w:tcW w:w="2310" w:type="dxa"/>
          </w:tcPr>
          <w:p w14:paraId="0D88C907" w14:textId="77777777" w:rsidR="00897905" w:rsidRDefault="00476736" w:rsidP="00D917B6">
            <w:pPr>
              <w:jc w:val="center"/>
            </w:pPr>
            <w:r>
              <w:rPr>
                <w:rFonts w:ascii="Arial" w:hAnsi="Arial" w:cs="Arial"/>
                <w:b/>
                <w:sz w:val="18"/>
                <w:szCs w:val="18"/>
              </w:rPr>
              <w:t>Total Funding</w:t>
            </w:r>
          </w:p>
        </w:tc>
      </w:tr>
      <w:tr w:rsidR="00897905" w14:paraId="0D88C90D" w14:textId="77777777" w:rsidTr="007D3CAD">
        <w:tc>
          <w:tcPr>
            <w:tcW w:w="2808" w:type="dxa"/>
            <w:vAlign w:val="center"/>
          </w:tcPr>
          <w:p w14:paraId="0D88C909" w14:textId="44A5BD08" w:rsidR="00897905" w:rsidRDefault="00476736" w:rsidP="00D917B6">
            <w:r>
              <w:rPr>
                <w:rFonts w:ascii="Arial" w:hAnsi="Arial" w:cs="Arial"/>
                <w:sz w:val="18"/>
                <w:szCs w:val="18"/>
              </w:rPr>
              <w:t xml:space="preserve">Component </w:t>
            </w:r>
            <w:r w:rsidR="007D3CAD">
              <w:rPr>
                <w:rFonts w:ascii="Arial" w:hAnsi="Arial" w:cs="Arial"/>
                <w:sz w:val="18"/>
                <w:szCs w:val="18"/>
              </w:rPr>
              <w:t>I</w:t>
            </w:r>
            <w:r>
              <w:rPr>
                <w:rFonts w:ascii="Arial" w:hAnsi="Arial" w:cs="Arial"/>
                <w:sz w:val="18"/>
                <w:szCs w:val="18"/>
              </w:rPr>
              <w:t>.</w:t>
            </w:r>
            <w:r>
              <w:rPr>
                <w:rFonts w:ascii="Arial" w:hAnsi="Arial" w:cs="Arial"/>
                <w:sz w:val="18"/>
                <w:szCs w:val="18"/>
              </w:rPr>
              <w:t xml:space="preserve"> </w:t>
            </w:r>
            <w:r>
              <w:rPr>
                <w:rFonts w:ascii="Arial" w:hAnsi="Arial" w:cs="Arial"/>
                <w:sz w:val="18"/>
                <w:szCs w:val="18"/>
              </w:rPr>
              <w:t>Institutional and regulatory strengthening</w:t>
            </w:r>
            <w:r>
              <w:rPr>
                <w:rFonts w:ascii="Arial" w:hAnsi="Arial" w:cs="Arial"/>
                <w:sz w:val="18"/>
                <w:szCs w:val="18"/>
              </w:rPr>
              <w:t xml:space="preserve"> </w:t>
            </w:r>
          </w:p>
        </w:tc>
        <w:tc>
          <w:tcPr>
            <w:tcW w:w="1812" w:type="dxa"/>
            <w:vAlign w:val="center"/>
          </w:tcPr>
          <w:p w14:paraId="0D88C90A" w14:textId="77777777" w:rsidR="00897905" w:rsidRDefault="00476736" w:rsidP="00D917B6">
            <w:pPr>
              <w:jc w:val="right"/>
            </w:pPr>
            <w:r>
              <w:rPr>
                <w:rFonts w:ascii="Arial" w:hAnsi="Arial" w:cs="Arial"/>
                <w:sz w:val="18"/>
                <w:szCs w:val="18"/>
              </w:rPr>
              <w:t>US$130,000.00</w:t>
            </w:r>
          </w:p>
        </w:tc>
        <w:tc>
          <w:tcPr>
            <w:tcW w:w="2310" w:type="dxa"/>
            <w:vAlign w:val="center"/>
          </w:tcPr>
          <w:p w14:paraId="0D88C90B" w14:textId="77777777" w:rsidR="00897905" w:rsidRDefault="00476736" w:rsidP="00D917B6">
            <w:pPr>
              <w:jc w:val="right"/>
            </w:pPr>
            <w:r>
              <w:rPr>
                <w:rFonts w:ascii="Arial" w:hAnsi="Arial" w:cs="Arial"/>
                <w:sz w:val="18"/>
                <w:szCs w:val="18"/>
              </w:rPr>
              <w:t>US$0.00</w:t>
            </w:r>
          </w:p>
        </w:tc>
        <w:tc>
          <w:tcPr>
            <w:tcW w:w="2310" w:type="dxa"/>
            <w:vAlign w:val="center"/>
          </w:tcPr>
          <w:p w14:paraId="0D88C90C" w14:textId="77777777" w:rsidR="00897905" w:rsidRDefault="00476736" w:rsidP="00D917B6">
            <w:pPr>
              <w:jc w:val="right"/>
            </w:pPr>
            <w:r>
              <w:rPr>
                <w:rFonts w:ascii="Arial" w:hAnsi="Arial" w:cs="Arial"/>
                <w:sz w:val="18"/>
                <w:szCs w:val="18"/>
              </w:rPr>
              <w:t>US$130,000.00</w:t>
            </w:r>
          </w:p>
        </w:tc>
      </w:tr>
      <w:tr w:rsidR="00897905" w14:paraId="0D88C912" w14:textId="77777777" w:rsidTr="007D3CAD">
        <w:tc>
          <w:tcPr>
            <w:tcW w:w="2808" w:type="dxa"/>
            <w:vAlign w:val="center"/>
          </w:tcPr>
          <w:p w14:paraId="0D88C90E" w14:textId="5F7703C6" w:rsidR="00897905" w:rsidRDefault="00476736" w:rsidP="00D917B6">
            <w:r>
              <w:rPr>
                <w:rFonts w:ascii="Arial" w:hAnsi="Arial" w:cs="Arial"/>
                <w:sz w:val="18"/>
                <w:szCs w:val="18"/>
              </w:rPr>
              <w:t xml:space="preserve">Component </w:t>
            </w:r>
            <w:r w:rsidR="007D3CAD">
              <w:rPr>
                <w:rFonts w:ascii="Arial" w:hAnsi="Arial" w:cs="Arial"/>
                <w:sz w:val="18"/>
                <w:szCs w:val="18"/>
              </w:rPr>
              <w:t>II</w:t>
            </w:r>
            <w:r>
              <w:rPr>
                <w:rFonts w:ascii="Arial" w:hAnsi="Arial" w:cs="Arial"/>
                <w:sz w:val="18"/>
                <w:szCs w:val="18"/>
              </w:rPr>
              <w:t xml:space="preserve">. Knowledge exchange and </w:t>
            </w:r>
            <w:r>
              <w:rPr>
                <w:rFonts w:ascii="Arial" w:hAnsi="Arial" w:cs="Arial"/>
                <w:sz w:val="18"/>
                <w:szCs w:val="18"/>
              </w:rPr>
              <w:t>dissemination of result</w:t>
            </w:r>
            <w:r w:rsidR="007D3CAD">
              <w:rPr>
                <w:rFonts w:ascii="Arial" w:hAnsi="Arial" w:cs="Arial"/>
                <w:sz w:val="18"/>
                <w:szCs w:val="18"/>
              </w:rPr>
              <w:t>s</w:t>
            </w:r>
            <w:r>
              <w:rPr>
                <w:rFonts w:ascii="Arial" w:hAnsi="Arial" w:cs="Arial"/>
                <w:sz w:val="18"/>
                <w:szCs w:val="18"/>
              </w:rPr>
              <w:t>.</w:t>
            </w:r>
          </w:p>
        </w:tc>
        <w:tc>
          <w:tcPr>
            <w:tcW w:w="1812" w:type="dxa"/>
            <w:vAlign w:val="center"/>
          </w:tcPr>
          <w:p w14:paraId="0D88C90F" w14:textId="77777777" w:rsidR="00897905" w:rsidRDefault="00476736" w:rsidP="00D917B6">
            <w:pPr>
              <w:jc w:val="right"/>
            </w:pPr>
            <w:r>
              <w:rPr>
                <w:rFonts w:ascii="Arial" w:hAnsi="Arial" w:cs="Arial"/>
                <w:sz w:val="18"/>
                <w:szCs w:val="18"/>
              </w:rPr>
              <w:t>US$20,000.00</w:t>
            </w:r>
          </w:p>
        </w:tc>
        <w:tc>
          <w:tcPr>
            <w:tcW w:w="2310" w:type="dxa"/>
            <w:vAlign w:val="center"/>
          </w:tcPr>
          <w:p w14:paraId="0D88C910" w14:textId="77777777" w:rsidR="00897905" w:rsidRDefault="00476736" w:rsidP="00D917B6">
            <w:pPr>
              <w:jc w:val="right"/>
            </w:pPr>
            <w:r>
              <w:rPr>
                <w:rFonts w:ascii="Arial" w:hAnsi="Arial" w:cs="Arial"/>
                <w:sz w:val="18"/>
                <w:szCs w:val="18"/>
              </w:rPr>
              <w:t>US$0.00</w:t>
            </w:r>
          </w:p>
        </w:tc>
        <w:tc>
          <w:tcPr>
            <w:tcW w:w="2310" w:type="dxa"/>
            <w:vAlign w:val="center"/>
          </w:tcPr>
          <w:p w14:paraId="0D88C911" w14:textId="77777777" w:rsidR="00897905" w:rsidRDefault="00476736" w:rsidP="00D917B6">
            <w:pPr>
              <w:jc w:val="right"/>
            </w:pPr>
            <w:r>
              <w:rPr>
                <w:rFonts w:ascii="Arial" w:hAnsi="Arial" w:cs="Arial"/>
                <w:sz w:val="18"/>
                <w:szCs w:val="18"/>
              </w:rPr>
              <w:t>US$20,000.00</w:t>
            </w:r>
          </w:p>
        </w:tc>
      </w:tr>
      <w:tr w:rsidR="00897905" w14:paraId="0D88C917" w14:textId="77777777" w:rsidTr="007D3CAD">
        <w:tc>
          <w:tcPr>
            <w:tcW w:w="2808" w:type="dxa"/>
            <w:vAlign w:val="center"/>
          </w:tcPr>
          <w:p w14:paraId="0D88C913" w14:textId="77777777" w:rsidR="00897905" w:rsidRDefault="00476736" w:rsidP="00D917B6">
            <w:r>
              <w:rPr>
                <w:rFonts w:ascii="Arial" w:hAnsi="Arial" w:cs="Arial"/>
                <w:b/>
                <w:sz w:val="18"/>
                <w:szCs w:val="18"/>
              </w:rPr>
              <w:t>Total</w:t>
            </w:r>
          </w:p>
        </w:tc>
        <w:tc>
          <w:tcPr>
            <w:tcW w:w="1812" w:type="dxa"/>
            <w:vAlign w:val="center"/>
          </w:tcPr>
          <w:p w14:paraId="0D88C914" w14:textId="77777777" w:rsidR="00897905" w:rsidRDefault="00476736" w:rsidP="00D917B6">
            <w:pPr>
              <w:jc w:val="right"/>
            </w:pPr>
            <w:r>
              <w:rPr>
                <w:rFonts w:ascii="Arial" w:hAnsi="Arial" w:cs="Arial"/>
                <w:b/>
                <w:sz w:val="18"/>
                <w:szCs w:val="18"/>
              </w:rPr>
              <w:t>US$150,000.00</w:t>
            </w:r>
          </w:p>
        </w:tc>
        <w:tc>
          <w:tcPr>
            <w:tcW w:w="2310" w:type="dxa"/>
            <w:vAlign w:val="center"/>
          </w:tcPr>
          <w:p w14:paraId="0D88C915" w14:textId="77777777" w:rsidR="00897905" w:rsidRDefault="00476736" w:rsidP="00D917B6">
            <w:pPr>
              <w:jc w:val="right"/>
            </w:pPr>
            <w:r>
              <w:rPr>
                <w:rFonts w:ascii="Arial" w:hAnsi="Arial" w:cs="Arial"/>
                <w:b/>
                <w:sz w:val="18"/>
                <w:szCs w:val="18"/>
              </w:rPr>
              <w:t>US$0.00</w:t>
            </w:r>
          </w:p>
        </w:tc>
        <w:tc>
          <w:tcPr>
            <w:tcW w:w="2310" w:type="dxa"/>
            <w:vAlign w:val="center"/>
          </w:tcPr>
          <w:p w14:paraId="0D88C916" w14:textId="77777777" w:rsidR="00897905" w:rsidRDefault="00476736" w:rsidP="00D917B6">
            <w:pPr>
              <w:jc w:val="right"/>
            </w:pPr>
            <w:r>
              <w:rPr>
                <w:rFonts w:ascii="Arial" w:hAnsi="Arial" w:cs="Arial"/>
                <w:b/>
                <w:sz w:val="18"/>
                <w:szCs w:val="18"/>
              </w:rPr>
              <w:t>US$150,000.00</w:t>
            </w:r>
          </w:p>
        </w:tc>
      </w:tr>
    </w:tbl>
    <w:p w14:paraId="0D88C918" w14:textId="77777777" w:rsidR="00897905" w:rsidRDefault="00476736">
      <w:pPr>
        <w:spacing w:before="120" w:after="120"/>
        <w:ind w:left="579" w:hanging="579"/>
      </w:pPr>
      <w:r>
        <w:rPr>
          <w:rFonts w:ascii="Arial" w:hAnsi="Arial" w:cs="Arial"/>
          <w:b/>
        </w:rPr>
        <w:t>V.</w:t>
      </w:r>
      <w:r>
        <w:rPr>
          <w:rFonts w:ascii="Arial" w:hAnsi="Arial" w:cs="Arial"/>
          <w:b/>
        </w:rPr>
        <w:tab/>
        <w:t>Executing Agency and Execution Structure</w:t>
      </w:r>
    </w:p>
    <w:p w14:paraId="0D88C919" w14:textId="226D747A" w:rsidR="00897905" w:rsidRDefault="00476736">
      <w:pPr>
        <w:spacing w:before="200" w:after="200"/>
        <w:ind w:left="579" w:hanging="579"/>
        <w:jc w:val="both"/>
      </w:pPr>
      <w:r>
        <w:rPr>
          <w:rFonts w:ascii="Arial" w:hAnsi="Arial" w:cs="Arial"/>
        </w:rPr>
        <w:t>5.1</w:t>
      </w:r>
      <w:r>
        <w:rPr>
          <w:rFonts w:ascii="Arial" w:hAnsi="Arial" w:cs="Arial"/>
        </w:rPr>
        <w:tab/>
        <w:t xml:space="preserve">The Executing Agency (EA) of the TC will be the IDB, through the Energy Division (INE/ENE), </w:t>
      </w:r>
      <w:r>
        <w:rPr>
          <w:rFonts w:ascii="Arial" w:hAnsi="Arial" w:cs="Arial"/>
        </w:rPr>
        <w:t xml:space="preserve">in coordination with IDB Country Office in The Bahamas. The Bank will be </w:t>
      </w:r>
      <w:r>
        <w:rPr>
          <w:rFonts w:ascii="Arial" w:hAnsi="Arial" w:cs="Arial"/>
        </w:rPr>
        <w:lastRenderedPageBreak/>
        <w:t>responsible for the selection and contracting of consulting firms and individual consultants, which will be carried out in accordance with the policies for the selection of consultant</w:t>
      </w:r>
      <w:r>
        <w:rPr>
          <w:rFonts w:ascii="Arial" w:hAnsi="Arial" w:cs="Arial"/>
        </w:rPr>
        <w:t>s (GN-2765-1) and the operational guidelines (OP-1155-4) for the contracting of consulting firms, and the human resources standards (AM-650) for the hiring of individual consultants. In compliance with the Operational Guidelines for TC Products -Revised ve</w:t>
      </w:r>
      <w:r>
        <w:rPr>
          <w:rFonts w:ascii="Arial" w:hAnsi="Arial" w:cs="Arial"/>
        </w:rPr>
        <w:t>rsion (GN-2629-1), this TC is classified as Client Support. The technical responsibility will be overseen by INE/ENE. The focal point designated and sector specialist responsible for executing this TC will be Roberto Aiello, based in Jamaica, and will be s</w:t>
      </w:r>
      <w:r>
        <w:rPr>
          <w:rFonts w:ascii="Arial" w:hAnsi="Arial" w:cs="Arial"/>
        </w:rPr>
        <w:t>upported by INE/ENE team based in Washington D.C. and the Country Office in The Bahamas with responsibilities well defined among team members according to their positions. This Bank’s structure will provide the TC with experience gained in the execution of</w:t>
      </w:r>
      <w:r>
        <w:rPr>
          <w:rFonts w:ascii="Arial" w:hAnsi="Arial" w:cs="Arial"/>
        </w:rPr>
        <w:t xml:space="preserve"> energy loans and </w:t>
      </w:r>
      <w:r w:rsidR="002B0D82">
        <w:rPr>
          <w:rFonts w:ascii="Arial" w:hAnsi="Arial" w:cs="Arial"/>
        </w:rPr>
        <w:t>TCs</w:t>
      </w:r>
      <w:r>
        <w:rPr>
          <w:rFonts w:ascii="Arial" w:hAnsi="Arial" w:cs="Arial"/>
        </w:rPr>
        <w:t xml:space="preserve"> related to institutional and regulatory strengthening of the energy sector in The Bahamas and beyond.</w:t>
      </w:r>
    </w:p>
    <w:p w14:paraId="0D88C91A" w14:textId="0E879A74" w:rsidR="00897905" w:rsidRDefault="00476736">
      <w:pPr>
        <w:spacing w:before="200" w:after="200"/>
        <w:ind w:left="579" w:hanging="579"/>
        <w:jc w:val="both"/>
      </w:pPr>
      <w:r>
        <w:rPr>
          <w:rFonts w:ascii="Arial" w:hAnsi="Arial" w:cs="Arial"/>
        </w:rPr>
        <w:t>5.2</w:t>
      </w:r>
      <w:r>
        <w:rPr>
          <w:rFonts w:ascii="Arial" w:hAnsi="Arial" w:cs="Arial"/>
        </w:rPr>
        <w:tab/>
        <w:t>The Bank is the proposed executing agency because the Government of The Bahamas (GoBH) has not previous exper</w:t>
      </w:r>
      <w:r>
        <w:rPr>
          <w:rFonts w:ascii="Arial" w:hAnsi="Arial" w:cs="Arial"/>
        </w:rPr>
        <w:t xml:space="preserve">ience in this kind of activities in the energy sector. Furthermore, ENE is being executing satisfactorily two </w:t>
      </w:r>
      <w:r w:rsidR="002B0D82">
        <w:rPr>
          <w:rFonts w:ascii="Arial" w:hAnsi="Arial" w:cs="Arial"/>
        </w:rPr>
        <w:t>TCs</w:t>
      </w:r>
      <w:r>
        <w:rPr>
          <w:rFonts w:ascii="Arial" w:hAnsi="Arial" w:cs="Arial"/>
        </w:rPr>
        <w:t xml:space="preserve"> in the energy sector in The Bahamas (BH-T1064 and BH-T1075) and the GoBH has agreed and supported this arrangement. For exa</w:t>
      </w:r>
      <w:r>
        <w:rPr>
          <w:rFonts w:ascii="Arial" w:hAnsi="Arial" w:cs="Arial"/>
        </w:rPr>
        <w:t>mple, the IDB has been supervising a contract to provide the Utilities Regulation and Competition Authority (URCA), the national electric regulator, with a series of studies related to this operation to improve the regulatory framework of distributed gener</w:t>
      </w:r>
      <w:r>
        <w:rPr>
          <w:rFonts w:ascii="Arial" w:hAnsi="Arial" w:cs="Arial"/>
        </w:rPr>
        <w:t>ation based on renewable energies, through the BH</w:t>
      </w:r>
      <w:r w:rsidR="002B0D82">
        <w:rPr>
          <w:rFonts w:ascii="Arial" w:hAnsi="Arial" w:cs="Arial"/>
        </w:rPr>
        <w:noBreakHyphen/>
      </w:r>
      <w:r>
        <w:rPr>
          <w:rFonts w:ascii="Arial" w:hAnsi="Arial" w:cs="Arial"/>
        </w:rPr>
        <w:t>T1064 operation. Additionally, the proposed Bank’s structure has been bidding and supervising several contracts, funded by the BH-T1075</w:t>
      </w:r>
      <w:r>
        <w:rPr>
          <w:rFonts w:ascii="Arial" w:hAnsi="Arial" w:cs="Arial"/>
        </w:rPr>
        <w:t>, to support the execution of the BH-L1048 loan as it relates to ana</w:t>
      </w:r>
      <w:r>
        <w:rPr>
          <w:rFonts w:ascii="Arial" w:hAnsi="Arial" w:cs="Arial"/>
        </w:rPr>
        <w:t>lysis and assessments to create the renewable energy entity/fund. It is expected that this operation will deal with institutions involved in the development of this new entity/fund, such as URCA, the Ministry of Finance or BPL.</w:t>
      </w:r>
    </w:p>
    <w:p w14:paraId="0D88C91B" w14:textId="77777777" w:rsidR="00897905" w:rsidRDefault="00476736" w:rsidP="002B0D82">
      <w:pPr>
        <w:spacing w:before="240" w:after="120"/>
        <w:ind w:left="576" w:hanging="576"/>
      </w:pPr>
      <w:r>
        <w:rPr>
          <w:rFonts w:ascii="Arial" w:hAnsi="Arial" w:cs="Arial"/>
          <w:b/>
        </w:rPr>
        <w:t>VI.</w:t>
      </w:r>
      <w:r>
        <w:rPr>
          <w:rFonts w:ascii="Arial" w:hAnsi="Arial" w:cs="Arial"/>
          <w:b/>
        </w:rPr>
        <w:tab/>
        <w:t>Project Risks and Issues</w:t>
      </w:r>
    </w:p>
    <w:p w14:paraId="0D88C91C" w14:textId="77777777" w:rsidR="00897905" w:rsidRDefault="00476736">
      <w:pPr>
        <w:spacing w:before="200" w:after="200"/>
        <w:ind w:left="579" w:hanging="579"/>
        <w:jc w:val="both"/>
      </w:pPr>
      <w:r>
        <w:rPr>
          <w:rFonts w:ascii="Arial" w:hAnsi="Arial" w:cs="Arial"/>
        </w:rPr>
        <w:t>6.1</w:t>
      </w:r>
      <w:r>
        <w:rPr>
          <w:rFonts w:ascii="Arial" w:hAnsi="Arial" w:cs="Arial"/>
        </w:rPr>
        <w:tab/>
        <w:t xml:space="preserve">A potential risk associated with this TC is related to the lack of coordination among relevant stakeholders (BPL, MoF, PMDU, Ministry of Public Works, MoEH, URCA) in a timely fashion. This risk will be mitigated by undertaking inclusive </w:t>
      </w:r>
      <w:r>
        <w:rPr>
          <w:rFonts w:ascii="Arial" w:hAnsi="Arial" w:cs="Arial"/>
        </w:rPr>
        <w:t>consultations coupled with communication and awareness-raising activities with key stakeholders, based on best international practices on institutional development in the energy sector.</w:t>
      </w:r>
    </w:p>
    <w:p w14:paraId="0D88C91D" w14:textId="61DD6CCC" w:rsidR="00897905" w:rsidRDefault="00476736">
      <w:pPr>
        <w:spacing w:before="200" w:after="200"/>
        <w:ind w:left="579" w:hanging="579"/>
        <w:jc w:val="both"/>
      </w:pPr>
      <w:r>
        <w:rPr>
          <w:rFonts w:ascii="Arial" w:hAnsi="Arial" w:cs="Arial"/>
        </w:rPr>
        <w:t>6.2</w:t>
      </w:r>
      <w:r>
        <w:rPr>
          <w:rFonts w:ascii="Arial" w:hAnsi="Arial" w:cs="Arial"/>
        </w:rPr>
        <w:tab/>
        <w:t xml:space="preserve">Restrictions related to the COVID-19 pandemic can have a negative </w:t>
      </w:r>
      <w:r>
        <w:rPr>
          <w:rFonts w:ascii="Arial" w:hAnsi="Arial" w:cs="Arial"/>
        </w:rPr>
        <w:t xml:space="preserve">impact in some activities of the TC, </w:t>
      </w:r>
      <w:r w:rsidR="002B0D82">
        <w:rPr>
          <w:rFonts w:ascii="Arial" w:hAnsi="Arial" w:cs="Arial"/>
        </w:rPr>
        <w:t>some</w:t>
      </w:r>
      <w:r>
        <w:rPr>
          <w:rFonts w:ascii="Arial" w:hAnsi="Arial" w:cs="Arial"/>
        </w:rPr>
        <w:t xml:space="preserve"> of </w:t>
      </w:r>
      <w:r w:rsidR="007C5775">
        <w:rPr>
          <w:rFonts w:ascii="Arial" w:hAnsi="Arial" w:cs="Arial"/>
        </w:rPr>
        <w:t>its</w:t>
      </w:r>
      <w:r>
        <w:rPr>
          <w:rFonts w:ascii="Arial" w:hAnsi="Arial" w:cs="Arial"/>
        </w:rPr>
        <w:t xml:space="preserve"> dissemination activities. This risk will be mitigated using digital communication tools and adapting the activities to these restrictions.</w:t>
      </w:r>
    </w:p>
    <w:p w14:paraId="0D88C91E" w14:textId="77777777" w:rsidR="00897905" w:rsidRDefault="00476736" w:rsidP="002B0D82">
      <w:pPr>
        <w:spacing w:before="240" w:after="120"/>
        <w:ind w:left="576" w:hanging="576"/>
      </w:pPr>
      <w:r>
        <w:rPr>
          <w:rFonts w:ascii="Arial" w:hAnsi="Arial" w:cs="Arial"/>
          <w:b/>
        </w:rPr>
        <w:t>VII.</w:t>
      </w:r>
      <w:r>
        <w:rPr>
          <w:rFonts w:ascii="Arial" w:hAnsi="Arial" w:cs="Arial"/>
          <w:b/>
        </w:rPr>
        <w:tab/>
        <w:t>Environmental and Social Classification</w:t>
      </w:r>
    </w:p>
    <w:p w14:paraId="0D88C91F" w14:textId="77777777" w:rsidR="00897905" w:rsidRDefault="00476736">
      <w:pPr>
        <w:spacing w:before="240" w:after="120"/>
        <w:ind w:left="579" w:hanging="579"/>
        <w:jc w:val="both"/>
      </w:pPr>
      <w:r>
        <w:rPr>
          <w:rFonts w:ascii="Arial" w:hAnsi="Arial" w:cs="Arial"/>
        </w:rPr>
        <w:t>7.1</w:t>
      </w:r>
      <w:r>
        <w:rPr>
          <w:rFonts w:ascii="Arial" w:hAnsi="Arial" w:cs="Arial"/>
        </w:rPr>
        <w:tab/>
        <w:t>The E</w:t>
      </w:r>
      <w:r>
        <w:rPr>
          <w:rFonts w:ascii="Arial" w:hAnsi="Arial" w:cs="Arial"/>
        </w:rPr>
        <w:t>SG classification for this operation is "C".</w:t>
      </w:r>
    </w:p>
    <w:sectPr w:rsidR="00897905"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8C925" w14:textId="77777777" w:rsidR="00000000" w:rsidRDefault="00476736">
      <w:r>
        <w:separator/>
      </w:r>
    </w:p>
  </w:endnote>
  <w:endnote w:type="continuationSeparator" w:id="0">
    <w:p w14:paraId="0D88C927" w14:textId="77777777" w:rsidR="00000000" w:rsidRDefault="00476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8C920" w14:textId="1F566E9D" w:rsidR="00897905" w:rsidRDefault="00476736">
    <w:pPr>
      <w:pStyle w:val="FooterStyle"/>
      <w:jc w:val="center"/>
    </w:pPr>
    <w:r>
      <w:t xml:space="preserve"> - </w:t>
    </w:r>
    <w:r>
      <w:fldChar w:fldCharType="begin"/>
    </w:r>
    <w:r>
      <w:instrText xml:space="preserve"> PAGE </w:instrText>
    </w:r>
    <w:r>
      <w:fldChar w:fldCharType="separate"/>
    </w:r>
    <w:r w:rsidR="001308C2">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8C921" w14:textId="77777777" w:rsidR="00000000" w:rsidRDefault="00476736">
      <w:r>
        <w:separator/>
      </w:r>
    </w:p>
  </w:footnote>
  <w:footnote w:type="continuationSeparator" w:id="0">
    <w:p w14:paraId="0D88C923" w14:textId="77777777" w:rsidR="00000000" w:rsidRDefault="004767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1308C2"/>
    <w:rsid w:val="001915A3"/>
    <w:rsid w:val="00217F62"/>
    <w:rsid w:val="002446A4"/>
    <w:rsid w:val="002B0D82"/>
    <w:rsid w:val="002F6F01"/>
    <w:rsid w:val="00334725"/>
    <w:rsid w:val="003B04BD"/>
    <w:rsid w:val="00476736"/>
    <w:rsid w:val="00616486"/>
    <w:rsid w:val="00651FE3"/>
    <w:rsid w:val="006A1BA4"/>
    <w:rsid w:val="0070116C"/>
    <w:rsid w:val="007A2C18"/>
    <w:rsid w:val="007C5775"/>
    <w:rsid w:val="007D3CAD"/>
    <w:rsid w:val="00897905"/>
    <w:rsid w:val="009A5FB4"/>
    <w:rsid w:val="00A906D8"/>
    <w:rsid w:val="00AB5A74"/>
    <w:rsid w:val="00BA1DDF"/>
    <w:rsid w:val="00BD77E6"/>
    <w:rsid w:val="00D917B6"/>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8C8C1"/>
  <w15:docId w15:val="{86AC980A-4466-498F-9DEE-587C244D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E1F966900FC29448DEEC8D55A97F847" ma:contentTypeVersion="923" ma:contentTypeDescription="The base project type from which other project content types inherit their information." ma:contentTypeScope="" ma:versionID="9ea80d59c7d58f7c3a5152325aac3e13">
  <xsd:schema xmlns:xsd="http://www.w3.org/2001/XMLSchema" xmlns:xs="http://www.w3.org/2001/XMLSchema" xmlns:p="http://schemas.microsoft.com/office/2006/metadata/properties" xmlns:ns2="cdc7663a-08f0-4737-9e8c-148ce897a09c" targetNamespace="http://schemas.microsoft.com/office/2006/metadata/properties" ma:root="true" ma:fieldsID="f9afd351de93fc3a6e8494204e69277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H-T109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2425177C6E4EA4F9B64E07A38EE3E74" ma:contentTypeVersion="0" ma:contentTypeDescription="A content type to manage public (operations) IDB documents" ma:contentTypeScope="" ma:versionID="e649c9b1ea1d6a4f28d1e567f6f622c6">
  <xsd:schema xmlns:xsd="http://www.w3.org/2001/XMLSchema" xmlns:xs="http://www.w3.org/2001/XMLSchema" xmlns:p="http://schemas.microsoft.com/office/2006/metadata/properties" xmlns:ns2="cdc7663a-08f0-4737-9e8c-148ce897a09c" targetNamespace="http://schemas.microsoft.com/office/2006/metadata/properties" ma:root="true" ma:fieldsID="b7a200aad66e0a83838614623f341ca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H-T109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Marquez Barroeta Fidel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134</Value>
      <Value>24</Value>
      <Value>135</Value>
      <Value>1</Value>
      <Value>133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BH-T1091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EZSHARE-1261270220-10</_dlc_DocId>
    <_dlc_DocIdUrl xmlns="cdc7663a-08f0-4737-9e8c-148ce897a09c">
      <Url>https://idbg.sharepoint.com/teams/EZ-BH-TCP/BH-T1091/_layouts/15/DocIdRedir.aspx?ID=EZSHARE-1261270220-10</Url>
      <Description>EZSHARE-1261270220-10</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2B8A72D-46B3-4A7F-89A6-ABFFCE7CBAD5}"/>
</file>

<file path=customXml/itemProps2.xml><?xml version="1.0" encoding="utf-8"?>
<ds:datastoreItem xmlns:ds="http://schemas.openxmlformats.org/officeDocument/2006/customXml" ds:itemID="{0233204A-7EF3-47B9-B7B3-F58570BAF186}"/>
</file>

<file path=customXml/itemProps3.xml><?xml version="1.0" encoding="utf-8"?>
<ds:datastoreItem xmlns:ds="http://schemas.openxmlformats.org/officeDocument/2006/customXml" ds:itemID="{4BED18FF-7539-4C2E-A519-6CB2BA4F46F4}"/>
</file>

<file path=customXml/itemProps4.xml><?xml version="1.0" encoding="utf-8"?>
<ds:datastoreItem xmlns:ds="http://schemas.openxmlformats.org/officeDocument/2006/customXml" ds:itemID="{FC67572A-F4CD-4AF1-8F13-6EE9CBC537F3}"/>
</file>

<file path=customXml/itemProps5.xml><?xml version="1.0" encoding="utf-8"?>
<ds:datastoreItem xmlns:ds="http://schemas.openxmlformats.org/officeDocument/2006/customXml" ds:itemID="{944F7078-727A-4A2E-BB6F-AF4314F6A763}"/>
</file>

<file path=customXml/itemProps6.xml><?xml version="1.0" encoding="utf-8"?>
<ds:datastoreItem xmlns:ds="http://schemas.openxmlformats.org/officeDocument/2006/customXml" ds:itemID="{140C220D-EDBF-452F-BCCD-E4E4E4126BE6}"/>
</file>

<file path=docProps/app.xml><?xml version="1.0" encoding="utf-8"?>
<Properties xmlns="http://schemas.openxmlformats.org/officeDocument/2006/extended-properties" xmlns:vt="http://schemas.openxmlformats.org/officeDocument/2006/docPropsVTypes">
  <Template>Normal</Template>
  <TotalTime>19</TotalTime>
  <Pages>3</Pages>
  <Words>1400</Words>
  <Characters>7981</Characters>
  <Application>Microsoft Office Word</Application>
  <DocSecurity>0</DocSecurity>
  <Lines>66</Lines>
  <Paragraphs>18</Paragraphs>
  <ScaleCrop>false</ScaleCrop>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Marquez Barroeta, Fidel</cp:lastModifiedBy>
  <cp:revision>18</cp:revision>
  <dcterms:created xsi:type="dcterms:W3CDTF">2021-11-01T13:38:00Z</dcterms:created>
  <dcterms:modified xsi:type="dcterms:W3CDTF">2021-11-01T13:57:00Z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24;#Bahamas|7662ea91-358d-4300-9a3d-1bdfe066f698</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135;#ENERGY INSTITUTIONAL STRENGTHENING AND CAPACITY BUILDING|83f37b93-89a4-4e9a-88eb-1c116bee7b97</vt:lpwstr>
  </property>
  <property fmtid="{D5CDD505-2E9C-101B-9397-08002B2CF9AE}" pid="13" name="Fund IDB">
    <vt:lpwstr>133;#INF|474aab72-0205-4196-bca7-4b288939fcb3</vt:lpwstr>
  </property>
  <property fmtid="{D5CDD505-2E9C-101B-9397-08002B2CF9AE}" pid="14" name="Sector IDB">
    <vt:lpwstr>134;#ENERGY|4fed196a-cd0b-4970-87de-42da17f9b203</vt:lpwstr>
  </property>
  <property fmtid="{D5CDD505-2E9C-101B-9397-08002B2CF9AE}" pid="15" name="_dlc_DocIdItemGuid">
    <vt:lpwstr>9d865ab6-3f78-4946-a8f2-92dcaf61ecaf</vt:lpwstr>
  </property>
  <property fmtid="{D5CDD505-2E9C-101B-9397-08002B2CF9AE}" pid="16" name="Disclosure Activity">
    <vt:lpwstr>TC Abstract</vt:lpwstr>
  </property>
  <property fmtid="{D5CDD505-2E9C-101B-9397-08002B2CF9AE}" pid="18" name="ContentTypeId">
    <vt:lpwstr>0x0101001A458A224826124E8B45B1D613300CFC0032425177C6E4EA4F9B64E07A38EE3E74</vt:lpwstr>
  </property>
  <property fmtid="{D5CDD505-2E9C-101B-9397-08002B2CF9AE}" pid="19" name="Series Operations IDB">
    <vt:lpwstr/>
  </property>
</Properties>
</file>