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973" w:rsidRPr="00045E69" w:rsidRDefault="002C3973" w:rsidP="00C82F81">
      <w:pPr>
        <w:pStyle w:val="Title"/>
        <w:tabs>
          <w:tab w:val="clear" w:pos="1440"/>
          <w:tab w:val="clear" w:pos="3060"/>
        </w:tabs>
        <w:spacing w:line="360" w:lineRule="auto"/>
        <w:outlineLvl w:val="9"/>
        <w:rPr>
          <w:smallCaps/>
          <w:sz w:val="22"/>
          <w:szCs w:val="22"/>
          <w:lang w:val="es-ES"/>
        </w:rPr>
      </w:pPr>
      <w:bookmarkStart w:id="0" w:name="_GoBack"/>
      <w:bookmarkEnd w:id="0"/>
      <w:r w:rsidRPr="00045E69">
        <w:rPr>
          <w:smallCaps/>
          <w:sz w:val="22"/>
          <w:szCs w:val="22"/>
          <w:lang w:val="es-ES"/>
        </w:rPr>
        <w:t>Documento del Banco Inter-Americano de Desarrollo</w:t>
      </w:r>
    </w:p>
    <w:p w:rsidR="002C3973" w:rsidRPr="00045E69" w:rsidRDefault="002C3973" w:rsidP="00C82F81">
      <w:pPr>
        <w:pStyle w:val="ColorfulList-Accent11"/>
        <w:spacing w:after="0" w:line="360" w:lineRule="auto"/>
        <w:ind w:left="1080"/>
        <w:jc w:val="center"/>
        <w:rPr>
          <w:rFonts w:ascii="Times New Roman" w:hAnsi="Times New Roman"/>
          <w:b/>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highlight w:val="lightGray"/>
          <w:lang w:val="es-ES"/>
        </w:rPr>
      </w:pPr>
      <w:r w:rsidRPr="00045E69">
        <w:rPr>
          <w:rFonts w:ascii="Times New Roman" w:hAnsi="Times New Roman"/>
          <w:b/>
          <w:smallCaps/>
          <w:highlight w:val="lightGray"/>
          <w:lang w:val="es-ES"/>
        </w:rPr>
        <w:t>BRAZIL</w:t>
      </w:r>
    </w:p>
    <w:p w:rsidR="002C3973" w:rsidRPr="00045E69" w:rsidRDefault="002C3973" w:rsidP="00C82F81">
      <w:pPr>
        <w:tabs>
          <w:tab w:val="left" w:pos="1440"/>
          <w:tab w:val="left" w:pos="3060"/>
        </w:tabs>
        <w:spacing w:after="0" w:line="360" w:lineRule="auto"/>
        <w:jc w:val="center"/>
        <w:rPr>
          <w:rFonts w:ascii="Times New Roman" w:hAnsi="Times New Roman"/>
          <w:b/>
          <w:smallCaps/>
          <w:highlight w:val="lightGray"/>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highlight w:val="lightGray"/>
          <w:lang w:val="es-ES"/>
        </w:rPr>
      </w:pPr>
    </w:p>
    <w:p w:rsidR="002C3973" w:rsidRPr="00045E69" w:rsidRDefault="002C3973" w:rsidP="00C82F81">
      <w:pPr>
        <w:tabs>
          <w:tab w:val="left" w:pos="1440"/>
          <w:tab w:val="left" w:pos="3060"/>
        </w:tabs>
        <w:spacing w:after="0" w:line="360" w:lineRule="auto"/>
        <w:jc w:val="center"/>
        <w:rPr>
          <w:rFonts w:ascii="Times New Roman" w:hAnsi="Times New Roman"/>
          <w:b/>
          <w:smallCaps/>
          <w:highlight w:val="lightGray"/>
          <w:lang w:val="es-ES"/>
        </w:rPr>
      </w:pPr>
      <w:r w:rsidRPr="00045E69">
        <w:rPr>
          <w:rFonts w:ascii="Times New Roman" w:hAnsi="Times New Roman"/>
          <w:b/>
          <w:smallCaps/>
          <w:highlight w:val="lightGray"/>
          <w:lang w:val="es-ES"/>
        </w:rPr>
        <w:t>Programa de Desarrollo Turístico Regional- espirito santo</w:t>
      </w: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r w:rsidRPr="00045E69">
        <w:rPr>
          <w:rFonts w:ascii="Times New Roman" w:hAnsi="Times New Roman"/>
          <w:b/>
          <w:smallCaps/>
          <w:lang w:val="es-ES"/>
        </w:rPr>
        <w:t>prodetur espirito santo</w:t>
      </w:r>
    </w:p>
    <w:p w:rsidR="002C3973" w:rsidRPr="00045E69" w:rsidRDefault="002C3973" w:rsidP="00C82F81">
      <w:pPr>
        <w:tabs>
          <w:tab w:val="left" w:pos="1440"/>
          <w:tab w:val="left" w:pos="3060"/>
        </w:tabs>
        <w:spacing w:after="0" w:line="360" w:lineRule="auto"/>
        <w:jc w:val="center"/>
        <w:rPr>
          <w:rFonts w:ascii="Times New Roman" w:hAnsi="Times New Roman"/>
          <w:b/>
          <w:smallCaps/>
          <w:lang w:val="es-ES"/>
        </w:rPr>
      </w:pPr>
      <w:r w:rsidRPr="00045E69">
        <w:rPr>
          <w:rFonts w:ascii="Times New Roman" w:hAnsi="Times New Roman"/>
          <w:b/>
          <w:smallCaps/>
          <w:lang w:val="es-ES"/>
        </w:rPr>
        <w:t>BR-L1219</w:t>
      </w:r>
    </w:p>
    <w:p w:rsidR="002C3973" w:rsidRPr="00045E69" w:rsidRDefault="002C3973" w:rsidP="00C82F81">
      <w:pPr>
        <w:pStyle w:val="Newpage"/>
        <w:spacing w:line="360" w:lineRule="auto"/>
        <w:rPr>
          <w:rFonts w:cs="Times New Roman"/>
          <w:b w:val="0"/>
          <w:caps/>
          <w:smallCaps w:val="0"/>
          <w:sz w:val="22"/>
          <w:szCs w:val="22"/>
          <w:lang w:val="es-ES"/>
        </w:rPr>
      </w:pPr>
    </w:p>
    <w:p w:rsidR="002C3973" w:rsidRPr="00045E69" w:rsidRDefault="002C3973" w:rsidP="00C82F81">
      <w:pPr>
        <w:pStyle w:val="Newpage"/>
        <w:spacing w:line="360" w:lineRule="auto"/>
        <w:rPr>
          <w:rFonts w:cs="Times New Roman"/>
          <w:b w:val="0"/>
          <w:caps/>
          <w:smallCaps w:val="0"/>
          <w:sz w:val="22"/>
          <w:szCs w:val="22"/>
          <w:lang w:val="es-ES"/>
        </w:rPr>
      </w:pPr>
    </w:p>
    <w:p w:rsidR="002C3973" w:rsidRPr="00045E69" w:rsidRDefault="002C3973" w:rsidP="00C82F81">
      <w:pPr>
        <w:pStyle w:val="Newpage"/>
        <w:spacing w:line="360" w:lineRule="auto"/>
        <w:rPr>
          <w:rFonts w:cs="Times New Roman"/>
          <w:b w:val="0"/>
          <w:caps/>
          <w:smallCaps w:val="0"/>
          <w:sz w:val="22"/>
          <w:szCs w:val="22"/>
          <w:lang w:val="es-ES"/>
        </w:rPr>
      </w:pPr>
    </w:p>
    <w:p w:rsidR="002C3973" w:rsidRPr="00045E69" w:rsidRDefault="002C3973" w:rsidP="00C82F81">
      <w:pPr>
        <w:tabs>
          <w:tab w:val="left" w:pos="1440"/>
          <w:tab w:val="left" w:pos="3060"/>
        </w:tabs>
        <w:spacing w:after="0" w:line="360" w:lineRule="auto"/>
        <w:jc w:val="center"/>
        <w:rPr>
          <w:rFonts w:ascii="Times New Roman" w:hAnsi="Times New Roman"/>
          <w:smallCaps/>
          <w:lang w:val="es-ES"/>
        </w:rPr>
      </w:pPr>
    </w:p>
    <w:p w:rsidR="002C3973" w:rsidRPr="00045E69" w:rsidRDefault="002C3973" w:rsidP="00C82F81">
      <w:pPr>
        <w:tabs>
          <w:tab w:val="left" w:pos="1440"/>
          <w:tab w:val="left" w:pos="3060"/>
        </w:tabs>
        <w:spacing w:after="0" w:line="360" w:lineRule="auto"/>
        <w:jc w:val="center"/>
        <w:outlineLvl w:val="0"/>
        <w:rPr>
          <w:rFonts w:ascii="Times New Roman" w:hAnsi="Times New Roman"/>
          <w:b/>
          <w:smallCaps/>
          <w:lang w:val="es-ES"/>
        </w:rPr>
      </w:pPr>
      <w:r w:rsidRPr="00045E69">
        <w:rPr>
          <w:rFonts w:ascii="Times New Roman" w:hAnsi="Times New Roman"/>
          <w:b/>
          <w:smallCaps/>
          <w:lang w:val="es-ES"/>
        </w:rPr>
        <w:t>Plan de Monitoreo y Evaluación de Impacto Económico Ex-Post</w:t>
      </w:r>
    </w:p>
    <w:p w:rsidR="002C3973" w:rsidRPr="00045E69" w:rsidRDefault="002C3973" w:rsidP="00C82F81">
      <w:pPr>
        <w:tabs>
          <w:tab w:val="left" w:pos="1440"/>
          <w:tab w:val="left" w:pos="3060"/>
        </w:tabs>
        <w:spacing w:after="0" w:line="360" w:lineRule="auto"/>
        <w:outlineLvl w:val="0"/>
        <w:rPr>
          <w:rFonts w:ascii="Times New Roman" w:hAnsi="Times New Roman"/>
          <w:b/>
          <w:smallCaps/>
          <w:lang w:val="es-ES"/>
        </w:rPr>
      </w:pPr>
    </w:p>
    <w:p w:rsidR="002C3973" w:rsidRPr="00045E69" w:rsidRDefault="002C3973" w:rsidP="00C82F81">
      <w:pPr>
        <w:pStyle w:val="ColorfulList-Accent11"/>
        <w:spacing w:after="0" w:line="360" w:lineRule="auto"/>
        <w:ind w:left="1080"/>
        <w:jc w:val="center"/>
        <w:rPr>
          <w:rFonts w:ascii="Times New Roman" w:hAnsi="Times New Roman"/>
          <w:b/>
          <w:lang w:val="es-ES"/>
        </w:rPr>
      </w:pPr>
    </w:p>
    <w:p w:rsidR="002C3973" w:rsidRPr="00045E69" w:rsidRDefault="002C3973" w:rsidP="00C82F81">
      <w:pPr>
        <w:pStyle w:val="ColorfulList-Accent11"/>
        <w:spacing w:after="0" w:line="360" w:lineRule="auto"/>
        <w:ind w:left="1080"/>
        <w:jc w:val="center"/>
        <w:rPr>
          <w:rFonts w:ascii="Times New Roman" w:hAnsi="Times New Roman"/>
          <w:b/>
          <w:lang w:val="es-ES"/>
        </w:rPr>
      </w:pPr>
    </w:p>
    <w:p w:rsidR="002C3973" w:rsidRPr="00045E69" w:rsidRDefault="002C3973" w:rsidP="00C82F81">
      <w:pPr>
        <w:pStyle w:val="ColorfulList-Accent11"/>
        <w:spacing w:after="0" w:line="360" w:lineRule="auto"/>
        <w:ind w:left="1080"/>
        <w:jc w:val="center"/>
        <w:rPr>
          <w:rFonts w:ascii="Times New Roman" w:hAnsi="Times New Roman"/>
          <w:b/>
          <w:lang w:val="es-ES"/>
        </w:rPr>
      </w:pPr>
    </w:p>
    <w:p w:rsidR="002C3973" w:rsidRPr="00045E69" w:rsidRDefault="002C3973" w:rsidP="00C82F81">
      <w:pPr>
        <w:pStyle w:val="ColorfulList-Accent11"/>
        <w:spacing w:after="0" w:line="360" w:lineRule="auto"/>
        <w:ind w:left="1080"/>
        <w:jc w:val="center"/>
        <w:rPr>
          <w:rFonts w:ascii="Times New Roman" w:hAnsi="Times New Roman"/>
          <w:b/>
          <w:lang w:val="es-ES"/>
        </w:rPr>
      </w:pPr>
    </w:p>
    <w:p w:rsidR="002C3973" w:rsidRPr="00045E69" w:rsidRDefault="002C3973" w:rsidP="00C82F81">
      <w:pPr>
        <w:pStyle w:val="ColorfulList-Accent11"/>
        <w:spacing w:after="0" w:line="360" w:lineRule="auto"/>
        <w:ind w:left="1080"/>
        <w:jc w:val="center"/>
        <w:rPr>
          <w:rFonts w:ascii="Times New Roman" w:hAnsi="Times New Roman"/>
          <w:b/>
          <w:lang w:val="es-ES"/>
        </w:rPr>
      </w:pPr>
    </w:p>
    <w:p w:rsidR="002C3973" w:rsidRPr="00045E69" w:rsidRDefault="002C3973" w:rsidP="00C82F81">
      <w:pPr>
        <w:tabs>
          <w:tab w:val="left" w:pos="1440"/>
          <w:tab w:val="left" w:pos="3060"/>
        </w:tabs>
        <w:spacing w:after="0" w:line="360" w:lineRule="auto"/>
        <w:jc w:val="center"/>
        <w:rPr>
          <w:rFonts w:ascii="Times New Roman" w:hAnsi="Times New Roman"/>
          <w:lang w:val="es-ES"/>
        </w:rPr>
      </w:pPr>
    </w:p>
    <w:p w:rsidR="002C3973" w:rsidRPr="00045E69" w:rsidRDefault="002C3973" w:rsidP="00C82F81">
      <w:pPr>
        <w:pStyle w:val="ColorfulList-Accent11"/>
        <w:spacing w:after="0" w:line="360" w:lineRule="auto"/>
        <w:ind w:left="1080"/>
        <w:jc w:val="center"/>
        <w:rPr>
          <w:rFonts w:ascii="Times New Roman" w:hAnsi="Times New Roman"/>
          <w:b/>
          <w:lang w:val="es-ES"/>
        </w:rPr>
      </w:pPr>
      <w:r w:rsidRPr="00045E69">
        <w:rPr>
          <w:rFonts w:ascii="Times New Roman" w:hAnsi="Times New Roman"/>
          <w:b/>
          <w:lang w:val="es-ES"/>
        </w:rPr>
        <w:br w:type="page"/>
      </w:r>
    </w:p>
    <w:p w:rsidR="002C3973" w:rsidRPr="00045E69" w:rsidRDefault="002C3973" w:rsidP="00C82F81">
      <w:pPr>
        <w:pStyle w:val="ListParagraph"/>
        <w:numPr>
          <w:ilvl w:val="0"/>
          <w:numId w:val="31"/>
        </w:numPr>
        <w:spacing w:line="240" w:lineRule="auto"/>
        <w:jc w:val="center"/>
        <w:rPr>
          <w:rFonts w:ascii="Times New Roman" w:eastAsia="ヒラギノ角ゴ Pro W3" w:hAnsi="Times New Roman" w:cs="Times New Roman"/>
          <w:b/>
          <w:color w:val="000000"/>
          <w:sz w:val="24"/>
          <w:szCs w:val="24"/>
          <w:lang w:val="es-ES"/>
        </w:rPr>
      </w:pPr>
      <w:r w:rsidRPr="00045E69">
        <w:rPr>
          <w:rFonts w:ascii="Times New Roman" w:eastAsia="ヒラギノ角ゴ Pro W3" w:hAnsi="Times New Roman" w:cs="Times New Roman"/>
          <w:b/>
          <w:color w:val="000000"/>
          <w:sz w:val="24"/>
          <w:szCs w:val="24"/>
          <w:lang w:val="es-ES"/>
        </w:rPr>
        <w:lastRenderedPageBreak/>
        <w:t xml:space="preserve">INTRODUCCIÓN </w:t>
      </w:r>
    </w:p>
    <w:p w:rsidR="002C3973" w:rsidRPr="00045E69" w:rsidRDefault="002C3973" w:rsidP="00C82F81">
      <w:pPr>
        <w:pStyle w:val="ListParagraph"/>
        <w:spacing w:line="240" w:lineRule="auto"/>
        <w:ind w:left="0"/>
        <w:rPr>
          <w:rFonts w:ascii="Times New Roman" w:eastAsia="ヒラギノ角ゴ Pro W3" w:hAnsi="Times New Roman" w:cs="Times New Roman"/>
          <w:b/>
          <w:color w:val="000000"/>
          <w:sz w:val="24"/>
          <w:szCs w:val="24"/>
          <w:lang w:val="es-ES"/>
        </w:rPr>
      </w:pPr>
    </w:p>
    <w:p w:rsidR="002C3973" w:rsidRPr="00045E69" w:rsidRDefault="002C3973" w:rsidP="00F6068F">
      <w:pPr>
        <w:spacing w:line="360" w:lineRule="auto"/>
        <w:jc w:val="both"/>
        <w:rPr>
          <w:rFonts w:ascii="Times New Roman" w:eastAsia="ヒラギノ角ゴ Pro W3" w:hAnsi="Times New Roman"/>
          <w:color w:val="000000"/>
          <w:sz w:val="24"/>
          <w:szCs w:val="24"/>
          <w:lang w:val="es-ES"/>
        </w:rPr>
      </w:pPr>
      <w:r w:rsidRPr="00045E69">
        <w:rPr>
          <w:rFonts w:ascii="Times New Roman" w:eastAsia="ヒラギノ角ゴ Pro W3" w:hAnsi="Times New Roman"/>
          <w:color w:val="000000"/>
          <w:sz w:val="24"/>
          <w:szCs w:val="24"/>
          <w:lang w:val="es-ES"/>
        </w:rPr>
        <w:t>El objetivo general del programa es contribuir a la generación de empleo formal a través del turismo. El objetivo específico es incrementar el gasto turístico en los municipios beneficiarios a través de inversiones con un enfoque en el turismo gastronómico. Para alcanzar estos objetivos y abordar los desafíos identificados, el programa financiará estudios, el diseño final, construcción, equipamiento y asistencia técnica agrupados en torno a cinco componentes: 1. Producto turístico; 2. Promoción; 3. Fortalecimiento institucional; 4. Infraestructura y Servicios Básicos, y; 5. La gestión socio-ambiental.</w:t>
      </w:r>
    </w:p>
    <w:p w:rsidR="002C3973" w:rsidRPr="00045E69" w:rsidRDefault="002C3973" w:rsidP="00F6068F">
      <w:pPr>
        <w:spacing w:line="360" w:lineRule="auto"/>
        <w:jc w:val="both"/>
        <w:rPr>
          <w:rFonts w:ascii="Times New Roman" w:eastAsia="ヒラギノ角ゴ Pro W3" w:hAnsi="Times New Roman"/>
          <w:color w:val="000000"/>
          <w:sz w:val="24"/>
          <w:szCs w:val="24"/>
          <w:lang w:val="es-ES"/>
        </w:rPr>
      </w:pPr>
      <w:r w:rsidRPr="00045E69">
        <w:rPr>
          <w:rFonts w:ascii="Times New Roman" w:eastAsia="ヒラギノ角ゴ Pro W3" w:hAnsi="Times New Roman"/>
          <w:color w:val="000000"/>
          <w:sz w:val="24"/>
          <w:szCs w:val="24"/>
          <w:lang w:val="es-ES"/>
        </w:rPr>
        <w:t>El diseño del programa propuesto se base en el aprendizaje adquirido durante la preparación y ejecución de las operaciones Prodetur Nacional NE I y NE II, y operaciones similares en América Latina y el Caribe (LAC). Además, el programa incorpora los resultados de varios estudios emergentes basados en metodologías de evaluación rigurosos, que demuestran que el turismo puede ser un vehículo para la mitigación de la pobreza.</w:t>
      </w:r>
    </w:p>
    <w:p w:rsidR="002C3973" w:rsidRPr="00045E69" w:rsidRDefault="002C3973" w:rsidP="00F6068F">
      <w:pPr>
        <w:spacing w:line="360" w:lineRule="auto"/>
        <w:jc w:val="both"/>
        <w:rPr>
          <w:rFonts w:ascii="Times New Roman" w:eastAsia="ヒラギノ角ゴ Pro W3" w:hAnsi="Times New Roman"/>
          <w:color w:val="000000"/>
          <w:sz w:val="24"/>
          <w:szCs w:val="24"/>
          <w:lang w:val="es-ES"/>
        </w:rPr>
      </w:pPr>
      <w:r w:rsidRPr="00045E69">
        <w:rPr>
          <w:rFonts w:ascii="Times New Roman" w:eastAsia="ヒラギノ角ゴ Pro W3" w:hAnsi="Times New Roman"/>
          <w:color w:val="000000"/>
          <w:sz w:val="24"/>
          <w:szCs w:val="24"/>
          <w:lang w:val="es-ES"/>
        </w:rPr>
        <w:t>El programa cuenta con un Plan de Monitoreo y Evaluación para garantizar el logro de los resultados y el cumplimiento de los objetivos establecidos en la Matriz de Resultados. Incluye: (i) indicadores para monitorear los niveles de base y medios de producción; (ii) la ruta crítica de actividades y productos durante la ejecución del programa; (iii) descripción, cronograma y los agentes responsables de las herramientas básicas para el control de la operación, y; (iv) la metodología, las actividades y el presupuesto para la ejecución del plan. La metodología establecida por el plan de evaluación de los impactos es consistente con las Directrices Técnicas (No. IDB-TN-229) desarrollado conjuntamente entre SPD/SDV y RND para evaluar los impactos de turismo utilizando modelos de simulación.</w:t>
      </w:r>
    </w:p>
    <w:p w:rsidR="002C3973" w:rsidRPr="00045E69" w:rsidRDefault="002C3973" w:rsidP="00F6068F">
      <w:pPr>
        <w:pStyle w:val="ListParagraph"/>
        <w:spacing w:line="360" w:lineRule="auto"/>
        <w:ind w:left="0"/>
        <w:jc w:val="both"/>
        <w:rPr>
          <w:rFonts w:ascii="Times New Roman" w:eastAsia="ヒラギノ角ゴ Pro W3" w:hAnsi="Times New Roman" w:cs="Times New Roman"/>
          <w:color w:val="000000"/>
          <w:sz w:val="24"/>
          <w:szCs w:val="24"/>
          <w:lang w:val="es-ES"/>
        </w:rPr>
      </w:pPr>
      <w:r w:rsidRPr="00045E69">
        <w:rPr>
          <w:rFonts w:ascii="Times New Roman" w:eastAsia="ヒラギノ角ゴ Pro W3" w:hAnsi="Times New Roman" w:cs="Times New Roman"/>
          <w:color w:val="000000"/>
          <w:sz w:val="24"/>
          <w:szCs w:val="24"/>
          <w:lang w:val="es-ES"/>
        </w:rPr>
        <w:t>Este artículo presenta las principales líneas de supervisión, que forma parte del Plan de seguimiento y evaluación del impacto del programa. En concreto, en la sección II del plan de vigilancia o monitoreo donde se presentan los indicadores de resultados, los principales informes, el plan de trabajo y el presupuesto.</w:t>
      </w:r>
    </w:p>
    <w:p w:rsidR="002C3973" w:rsidRPr="00045E69" w:rsidRDefault="002C3973" w:rsidP="00F6068F">
      <w:pPr>
        <w:pStyle w:val="ListParagraph"/>
        <w:spacing w:line="360" w:lineRule="auto"/>
        <w:ind w:left="0"/>
        <w:rPr>
          <w:rFonts w:ascii="Times New Roman" w:eastAsia="ヒラギノ角ゴ Pro W3" w:hAnsi="Times New Roman" w:cs="Times New Roman"/>
          <w:color w:val="000000"/>
          <w:sz w:val="24"/>
          <w:szCs w:val="24"/>
          <w:lang w:val="es-ES"/>
        </w:rPr>
      </w:pPr>
    </w:p>
    <w:p w:rsidR="002C3973" w:rsidRPr="00045E69" w:rsidRDefault="002C3973" w:rsidP="00F6068F">
      <w:pPr>
        <w:pStyle w:val="ListParagraph"/>
        <w:numPr>
          <w:ilvl w:val="0"/>
          <w:numId w:val="31"/>
        </w:numPr>
        <w:spacing w:line="360" w:lineRule="auto"/>
        <w:jc w:val="center"/>
        <w:rPr>
          <w:rFonts w:ascii="Times New Roman" w:eastAsia="ヒラギノ角ゴ Pro W3" w:hAnsi="Times New Roman" w:cs="Times New Roman"/>
          <w:b/>
          <w:color w:val="000000"/>
          <w:sz w:val="24"/>
          <w:szCs w:val="24"/>
          <w:lang w:val="es-ES"/>
        </w:rPr>
      </w:pPr>
      <w:r w:rsidRPr="00045E69">
        <w:rPr>
          <w:rFonts w:ascii="Times New Roman" w:eastAsia="ヒラギノ角ゴ Pro W3" w:hAnsi="Times New Roman" w:cs="Times New Roman"/>
          <w:b/>
          <w:color w:val="000000"/>
          <w:sz w:val="24"/>
          <w:szCs w:val="24"/>
          <w:lang w:val="es-ES"/>
        </w:rPr>
        <w:t>PLAN DE MONITOREO</w:t>
      </w:r>
    </w:p>
    <w:p w:rsidR="002C3973" w:rsidRPr="00045E69" w:rsidRDefault="002C3973" w:rsidP="00F6068F">
      <w:pPr>
        <w:pStyle w:val="ListParagraph"/>
        <w:spacing w:line="360" w:lineRule="auto"/>
        <w:ind w:left="0"/>
        <w:rPr>
          <w:rFonts w:ascii="Times New Roman" w:eastAsia="ヒラギノ角ゴ Pro W3" w:hAnsi="Times New Roman" w:cs="Times New Roman"/>
          <w:color w:val="000000"/>
          <w:sz w:val="24"/>
          <w:szCs w:val="24"/>
          <w:lang w:val="es-ES"/>
        </w:rPr>
      </w:pPr>
    </w:p>
    <w:p w:rsidR="002C3973" w:rsidRPr="00045E69" w:rsidRDefault="002C3973" w:rsidP="00F6068F">
      <w:pPr>
        <w:pStyle w:val="ListParagraph"/>
        <w:numPr>
          <w:ilvl w:val="0"/>
          <w:numId w:val="32"/>
        </w:numPr>
        <w:spacing w:line="360" w:lineRule="auto"/>
        <w:rPr>
          <w:rFonts w:ascii="Times New Roman" w:eastAsia="ヒラギノ角ゴ Pro W3" w:hAnsi="Times New Roman" w:cs="Times New Roman"/>
          <w:b/>
          <w:color w:val="000000"/>
          <w:sz w:val="24"/>
          <w:szCs w:val="24"/>
          <w:lang w:val="es-ES"/>
        </w:rPr>
      </w:pPr>
      <w:r w:rsidRPr="00045E69">
        <w:rPr>
          <w:rFonts w:ascii="Times New Roman" w:eastAsia="ヒラギノ角ゴ Pro W3" w:hAnsi="Times New Roman" w:cs="Times New Roman"/>
          <w:b/>
          <w:color w:val="000000"/>
          <w:sz w:val="24"/>
          <w:szCs w:val="24"/>
          <w:lang w:val="es-ES"/>
        </w:rPr>
        <w:lastRenderedPageBreak/>
        <w:t>INDICADORES DE PRODUCTOS</w:t>
      </w:r>
    </w:p>
    <w:p w:rsidR="002C3973" w:rsidRPr="00045E69" w:rsidRDefault="002C3973" w:rsidP="00F6068F">
      <w:pPr>
        <w:pStyle w:val="ListParagraph"/>
        <w:spacing w:line="360" w:lineRule="auto"/>
        <w:rPr>
          <w:rFonts w:ascii="Times New Roman" w:eastAsia="ヒラギノ角ゴ Pro W3" w:hAnsi="Times New Roman" w:cs="Times New Roman"/>
          <w:b/>
          <w:color w:val="000000"/>
          <w:sz w:val="24"/>
          <w:szCs w:val="24"/>
          <w:lang w:val="es-ES"/>
        </w:rPr>
      </w:pPr>
    </w:p>
    <w:p w:rsidR="002C3973" w:rsidRPr="00045E69" w:rsidRDefault="002C3973" w:rsidP="00F6068F">
      <w:pPr>
        <w:pStyle w:val="ListParagraph"/>
        <w:spacing w:line="360" w:lineRule="auto"/>
        <w:ind w:left="0"/>
        <w:jc w:val="both"/>
        <w:rPr>
          <w:rFonts w:ascii="Times New Roman" w:eastAsia="ヒラギノ角ゴ Pro W3" w:hAnsi="Times New Roman" w:cs="Times New Roman"/>
          <w:color w:val="000000"/>
          <w:sz w:val="24"/>
          <w:szCs w:val="24"/>
          <w:lang w:val="es-ES"/>
        </w:rPr>
      </w:pPr>
      <w:r w:rsidRPr="00045E69">
        <w:rPr>
          <w:rFonts w:ascii="Times New Roman" w:eastAsia="ヒラギノ角ゴ Pro W3" w:hAnsi="Times New Roman" w:cs="Times New Roman"/>
          <w:color w:val="000000"/>
          <w:sz w:val="24"/>
          <w:szCs w:val="24"/>
          <w:lang w:val="es-ES"/>
        </w:rPr>
        <w:t>El seguimiento del programa se vincula principalmente al monitoreo de los productos. La siguiente Tabla 1 presenta los indicadores, la frecuencia de medición y fuentes de verificación para cada uno de los indicadores de producción de cada componente</w:t>
      </w:r>
    </w:p>
    <w:p w:rsidR="002C3973" w:rsidRPr="00045E69" w:rsidRDefault="002C3973" w:rsidP="00C82F81">
      <w:pPr>
        <w:pStyle w:val="ListParagraph"/>
        <w:spacing w:line="240" w:lineRule="auto"/>
        <w:ind w:left="0"/>
        <w:jc w:val="both"/>
        <w:rPr>
          <w:rFonts w:ascii="Times New Roman" w:eastAsia="ヒラギノ角ゴ Pro W3" w:hAnsi="Times New Roman" w:cs="Times New Roman"/>
          <w:color w:val="000000"/>
          <w:sz w:val="24"/>
          <w:szCs w:val="24"/>
          <w:lang w:val="es-ES"/>
        </w:rPr>
      </w:pPr>
    </w:p>
    <w:p w:rsidR="002C3973" w:rsidRPr="00045E69" w:rsidRDefault="002C3973" w:rsidP="00C82F81">
      <w:pPr>
        <w:pStyle w:val="ListParagraph"/>
        <w:spacing w:line="240" w:lineRule="auto"/>
        <w:ind w:left="0"/>
        <w:jc w:val="both"/>
        <w:rPr>
          <w:rFonts w:ascii="Times New Roman" w:eastAsia="Times New Roman" w:hAnsi="Times New Roman" w:cs="Times New Roman"/>
          <w:sz w:val="24"/>
          <w:szCs w:val="20"/>
          <w:lang w:val="es-ES"/>
        </w:rPr>
        <w:sectPr w:rsidR="002C3973" w:rsidRPr="00045E69" w:rsidSect="00C82F81">
          <w:pgSz w:w="12240" w:h="15840"/>
          <w:pgMar w:top="1440" w:right="1440" w:bottom="1440" w:left="1440" w:header="720" w:footer="720" w:gutter="0"/>
          <w:cols w:space="720"/>
          <w:docGrid w:linePitch="360"/>
        </w:sectPr>
      </w:pPr>
    </w:p>
    <w:p w:rsidR="002C3973" w:rsidRPr="00045E69" w:rsidRDefault="002C3973" w:rsidP="00C82F81">
      <w:pPr>
        <w:widowControl w:val="0"/>
        <w:suppressAutoHyphens/>
        <w:autoSpaceDN w:val="0"/>
        <w:spacing w:after="0" w:line="240" w:lineRule="auto"/>
        <w:jc w:val="center"/>
        <w:textAlignment w:val="baseline"/>
        <w:rPr>
          <w:rFonts w:ascii="Times New Roman" w:eastAsia="ヒラギノ角ゴ Pro W3" w:hAnsi="Times New Roman"/>
          <w:b/>
          <w:color w:val="000000"/>
          <w:sz w:val="24"/>
          <w:szCs w:val="24"/>
          <w:lang w:val="es-ES"/>
        </w:rPr>
      </w:pPr>
      <w:r w:rsidRPr="00045E69">
        <w:rPr>
          <w:rFonts w:ascii="Times New Roman" w:eastAsia="ヒラギノ角ゴ Pro W3" w:hAnsi="Times New Roman"/>
          <w:b/>
          <w:color w:val="000000"/>
          <w:sz w:val="24"/>
          <w:szCs w:val="24"/>
          <w:lang w:val="es-ES"/>
        </w:rPr>
        <w:lastRenderedPageBreak/>
        <w:t>Tabla 1. Indicadores de Productos</w:t>
      </w:r>
    </w:p>
    <w:p w:rsidR="002C3973" w:rsidRPr="00045E69" w:rsidRDefault="002C3973" w:rsidP="00C82F81">
      <w:pPr>
        <w:widowControl w:val="0"/>
        <w:suppressAutoHyphens/>
        <w:autoSpaceDN w:val="0"/>
        <w:spacing w:after="0" w:line="240" w:lineRule="auto"/>
        <w:jc w:val="center"/>
        <w:textAlignment w:val="baseline"/>
        <w:rPr>
          <w:rFonts w:ascii="Times New Roman" w:eastAsia="ヒラギノ角ゴ Pro W3" w:hAnsi="Times New Roman"/>
          <w:b/>
          <w:color w:val="000000"/>
          <w:sz w:val="24"/>
          <w:szCs w:val="24"/>
          <w:lang w:val="es-ES"/>
        </w:rPr>
      </w:pPr>
    </w:p>
    <w:tbl>
      <w:tblPr>
        <w:tblW w:w="12960" w:type="dxa"/>
        <w:jc w:val="center"/>
        <w:tblCellMar>
          <w:left w:w="10" w:type="dxa"/>
          <w:right w:w="10" w:type="dxa"/>
        </w:tblCellMar>
        <w:tblLook w:val="0000" w:firstRow="0" w:lastRow="0" w:firstColumn="0" w:lastColumn="0" w:noHBand="0" w:noVBand="0"/>
      </w:tblPr>
      <w:tblGrid>
        <w:gridCol w:w="5606"/>
        <w:gridCol w:w="3426"/>
        <w:gridCol w:w="3928"/>
      </w:tblGrid>
      <w:tr w:rsidR="002C3973" w:rsidRPr="00045E69" w:rsidTr="00C82F81">
        <w:trPr>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548DD4"/>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center"/>
              <w:textAlignment w:val="baseline"/>
              <w:rPr>
                <w:rFonts w:ascii="Times New Roman" w:eastAsia="ヒラギノ角ゴ Pro W3" w:hAnsi="Times New Roman"/>
                <w:b/>
                <w:bCs/>
                <w:color w:val="000000"/>
                <w:sz w:val="20"/>
                <w:szCs w:val="20"/>
                <w:lang w:val="es-ES"/>
              </w:rPr>
            </w:pPr>
            <w:r w:rsidRPr="00045E69">
              <w:rPr>
                <w:rFonts w:ascii="Times New Roman" w:eastAsia="ヒラギノ角ゴ Pro W3" w:hAnsi="Times New Roman"/>
                <w:b/>
                <w:bCs/>
                <w:color w:val="000000"/>
                <w:sz w:val="20"/>
                <w:szCs w:val="20"/>
                <w:lang w:val="es-ES"/>
              </w:rPr>
              <w:t>Indicador</w:t>
            </w:r>
          </w:p>
          <w:p w:rsidR="002C3973" w:rsidRPr="00045E69" w:rsidRDefault="002C3973" w:rsidP="00C82F81">
            <w:pPr>
              <w:suppressAutoHyphens/>
              <w:autoSpaceDE w:val="0"/>
              <w:autoSpaceDN w:val="0"/>
              <w:spacing w:after="0" w:line="240" w:lineRule="auto"/>
              <w:jc w:val="center"/>
              <w:textAlignment w:val="baseline"/>
              <w:rPr>
                <w:rFonts w:ascii="Times New Roman" w:eastAsia="ヒラギノ角ゴ Pro W3" w:hAnsi="Times New Roman"/>
                <w:b/>
                <w:bCs/>
                <w:color w:val="000000"/>
                <w:sz w:val="20"/>
                <w:szCs w:val="20"/>
                <w:lang w:val="es-ES"/>
              </w:rPr>
            </w:pPr>
          </w:p>
        </w:tc>
        <w:tc>
          <w:tcPr>
            <w:tcW w:w="3426" w:type="dxa"/>
            <w:tcBorders>
              <w:top w:val="single" w:sz="4" w:space="0" w:color="000000"/>
              <w:left w:val="single" w:sz="4" w:space="0" w:color="000000"/>
              <w:bottom w:val="single" w:sz="4" w:space="0" w:color="000000"/>
              <w:right w:val="single" w:sz="4" w:space="0" w:color="000000"/>
            </w:tcBorders>
            <w:shd w:val="clear" w:color="auto" w:fill="548DD4"/>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center"/>
              <w:textAlignment w:val="baseline"/>
              <w:rPr>
                <w:rFonts w:ascii="Times New Roman" w:eastAsia="ヒラギノ角ゴ Pro W3" w:hAnsi="Times New Roman"/>
                <w:b/>
                <w:bCs/>
                <w:color w:val="000000"/>
                <w:sz w:val="20"/>
                <w:szCs w:val="20"/>
                <w:lang w:val="es-ES"/>
              </w:rPr>
            </w:pPr>
            <w:r w:rsidRPr="00045E69">
              <w:rPr>
                <w:rFonts w:ascii="Times New Roman" w:eastAsia="ヒラギノ角ゴ Pro W3" w:hAnsi="Times New Roman"/>
                <w:b/>
                <w:bCs/>
                <w:color w:val="000000"/>
                <w:sz w:val="20"/>
                <w:szCs w:val="20"/>
                <w:lang w:val="es-ES"/>
              </w:rPr>
              <w:t>Frecuencia de Medición</w:t>
            </w:r>
          </w:p>
        </w:tc>
        <w:tc>
          <w:tcPr>
            <w:tcW w:w="3928" w:type="dxa"/>
            <w:tcBorders>
              <w:top w:val="single" w:sz="4" w:space="0" w:color="000000"/>
              <w:left w:val="single" w:sz="4" w:space="0" w:color="000000"/>
              <w:bottom w:val="single" w:sz="4" w:space="0" w:color="000000"/>
              <w:right w:val="single" w:sz="4" w:space="0" w:color="000000"/>
            </w:tcBorders>
            <w:shd w:val="clear" w:color="auto" w:fill="548DD4"/>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center"/>
              <w:textAlignment w:val="baseline"/>
              <w:rPr>
                <w:rFonts w:ascii="Times New Roman" w:eastAsia="ヒラギノ角ゴ Pro W3" w:hAnsi="Times New Roman"/>
                <w:b/>
                <w:bCs/>
                <w:color w:val="000000"/>
                <w:sz w:val="20"/>
                <w:szCs w:val="20"/>
                <w:lang w:val="es-ES"/>
              </w:rPr>
            </w:pPr>
            <w:r w:rsidRPr="00045E69">
              <w:rPr>
                <w:rFonts w:ascii="Times New Roman" w:eastAsia="ヒラギノ角ゴ Pro W3" w:hAnsi="Times New Roman"/>
                <w:b/>
                <w:bCs/>
                <w:color w:val="000000"/>
                <w:sz w:val="20"/>
                <w:szCs w:val="20"/>
                <w:lang w:val="es-ES"/>
              </w:rPr>
              <w:t>Fuente de Verificación</w:t>
            </w:r>
          </w:p>
        </w:tc>
      </w:tr>
      <w:tr w:rsidR="002C3973" w:rsidRPr="00045E69" w:rsidTr="00C82F81">
        <w:trPr>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8DB3E2"/>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r w:rsidRPr="00045E69">
              <w:rPr>
                <w:rFonts w:ascii="Times New Roman" w:eastAsia="ヒラギノ角ゴ Pro W3" w:hAnsi="Times New Roman"/>
                <w:b/>
                <w:bCs/>
                <w:color w:val="000000"/>
                <w:sz w:val="20"/>
                <w:szCs w:val="20"/>
                <w:lang w:val="es-ES"/>
              </w:rPr>
              <w:t xml:space="preserve">Componente I: </w:t>
            </w:r>
            <w:r w:rsidRPr="00045E69">
              <w:rPr>
                <w:rFonts w:ascii="Times New Roman" w:eastAsia="ヒラギノ角ゴ Pro W3" w:hAnsi="Times New Roman"/>
                <w:b/>
                <w:color w:val="000000"/>
                <w:sz w:val="20"/>
                <w:szCs w:val="20"/>
                <w:lang w:val="es-ES"/>
              </w:rPr>
              <w:t>Estrategia de producto turístico</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c>
          <w:tcPr>
            <w:tcW w:w="3426" w:type="dxa"/>
            <w:tcBorders>
              <w:top w:val="single" w:sz="4" w:space="0" w:color="000000"/>
              <w:left w:val="single" w:sz="4" w:space="0" w:color="000000"/>
              <w:bottom w:val="single" w:sz="4" w:space="0" w:color="000000"/>
              <w:right w:val="single" w:sz="4" w:space="0" w:color="000000"/>
            </w:tcBorders>
            <w:shd w:val="clear" w:color="auto" w:fill="8DB3E2"/>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8DB3E2"/>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r>
      <w:tr w:rsidR="002C3973" w:rsidRPr="00045E69" w:rsidTr="00C82F81">
        <w:trPr>
          <w:trHeight w:val="1286"/>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b/>
                <w:color w:val="000000"/>
                <w:sz w:val="20"/>
                <w:szCs w:val="20"/>
                <w:lang w:val="es-ES"/>
              </w:rPr>
              <w:t>Producto 1.1:</w:t>
            </w:r>
            <w:r w:rsidRPr="00045E69">
              <w:rPr>
                <w:rFonts w:ascii="Times New Roman" w:eastAsia="ヒラギノ角ゴ Pro W3" w:hAnsi="Times New Roman"/>
                <w:color w:val="000000"/>
                <w:sz w:val="20"/>
                <w:szCs w:val="20"/>
                <w:lang w:val="es-ES"/>
              </w:rPr>
              <w:t xml:space="preserve"> Identificación de segmentos emisores prioritarios (con mayor disposición al pago) para el programa. </w:t>
            </w:r>
          </w:p>
          <w:p w:rsidR="002C3973" w:rsidRPr="00045E69" w:rsidRDefault="002C3973" w:rsidP="00C82F81">
            <w:pPr>
              <w:suppressAutoHyphens/>
              <w:autoSpaceDN w:val="0"/>
              <w:textAlignment w:val="baseline"/>
              <w:rPr>
                <w:rFonts w:ascii="Times New Roman" w:eastAsia="ヒラギノ角ゴ Pro W3" w:hAnsi="Times New Roman"/>
                <w:color w:val="000000"/>
                <w:szCs w:val="24"/>
                <w:lang w:val="es-ES"/>
              </w:rPr>
            </w:pPr>
            <w:r w:rsidRPr="00045E69">
              <w:rPr>
                <w:rFonts w:ascii="Times New Roman" w:eastAsia="ヒラギノ角ゴ Pro W3" w:hAnsi="Times New Roman"/>
                <w:b/>
                <w:color w:val="000000"/>
                <w:sz w:val="20"/>
                <w:szCs w:val="20"/>
                <w:lang w:val="es-ES"/>
              </w:rPr>
              <w:t>Indicador 1.1:</w:t>
            </w:r>
            <w:r w:rsidRPr="00045E69">
              <w:rPr>
                <w:rFonts w:ascii="Times New Roman" w:eastAsia="ヒラギノ角ゴ Pro W3" w:hAnsi="Times New Roman"/>
                <w:color w:val="000000"/>
                <w:sz w:val="20"/>
                <w:szCs w:val="20"/>
                <w:lang w:val="es-ES"/>
              </w:rPr>
              <w:t xml:space="preserve"> Estudio de mercado de demanda gastronómica y otros segmentos potenciales (náutico) elaborado</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1º año</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bCs/>
                <w:color w:val="000000"/>
                <w:sz w:val="20"/>
                <w:szCs w:val="20"/>
                <w:lang w:val="es-ES"/>
              </w:rPr>
              <w:t xml:space="preserve">PMR, </w:t>
            </w:r>
            <w:r w:rsidRPr="00045E69">
              <w:rPr>
                <w:rFonts w:ascii="Times New Roman" w:eastAsia="ヒラギノ角ゴ Pro W3" w:hAnsi="Times New Roman"/>
                <w:color w:val="000000"/>
                <w:sz w:val="20"/>
                <w:szCs w:val="20"/>
                <w:lang w:val="es-ES"/>
              </w:rPr>
              <w:t>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r w:rsidRPr="00045E69">
              <w:rPr>
                <w:rFonts w:ascii="Times New Roman" w:eastAsia="ヒラギノ角ゴ Pro W3" w:hAnsi="Times New Roman"/>
                <w:bCs/>
                <w:color w:val="000000"/>
                <w:sz w:val="20"/>
                <w:szCs w:val="20"/>
                <w:lang w:val="es-ES"/>
              </w:rPr>
              <w:t xml:space="preserve">. </w:t>
            </w:r>
          </w:p>
        </w:tc>
      </w:tr>
      <w:tr w:rsidR="002C3973" w:rsidRPr="00045E69" w:rsidTr="00C82F81">
        <w:trPr>
          <w:trHeight w:val="1439"/>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eastAsia="Times New Roman" w:hAnsi="Times New Roman"/>
                <w:i/>
                <w:sz w:val="20"/>
                <w:szCs w:val="20"/>
                <w:u w:val="single"/>
                <w:lang w:val="es-ES"/>
              </w:rPr>
            </w:pPr>
            <w:r w:rsidRPr="00045E69">
              <w:rPr>
                <w:rFonts w:ascii="Times New Roman" w:eastAsia="ヒラギノ角ゴ Pro W3" w:hAnsi="Times New Roman"/>
                <w:b/>
                <w:color w:val="000000"/>
                <w:sz w:val="20"/>
                <w:szCs w:val="20"/>
                <w:lang w:val="es-ES"/>
              </w:rPr>
              <w:t>Producto 1.2:</w:t>
            </w:r>
            <w:r w:rsidRPr="00045E69">
              <w:rPr>
                <w:rFonts w:ascii="Times New Roman" w:eastAsia="ヒラギノ角ゴ Pro W3" w:hAnsi="Times New Roman"/>
                <w:color w:val="000000"/>
                <w:sz w:val="20"/>
                <w:szCs w:val="20"/>
                <w:lang w:val="es-ES"/>
              </w:rPr>
              <w:t xml:space="preserve"> </w:t>
            </w:r>
            <w:r w:rsidRPr="00045E69">
              <w:rPr>
                <w:rFonts w:ascii="Times New Roman" w:hAnsi="Times New Roman"/>
                <w:sz w:val="20"/>
                <w:szCs w:val="20"/>
                <w:lang w:val="es-ES"/>
              </w:rPr>
              <w:t xml:space="preserve">Plan estratégico y operativo con portafolio de productos y segmentos en los que focalizar esfuerzos </w:t>
            </w:r>
          </w:p>
          <w:p w:rsidR="002C3973" w:rsidRPr="00045E69" w:rsidRDefault="002C3973" w:rsidP="00C82F81">
            <w:pPr>
              <w:spacing w:after="0" w:line="240" w:lineRule="auto"/>
              <w:rPr>
                <w:rFonts w:ascii="Times New Roman" w:eastAsia="Times New Roman" w:hAnsi="Times New Roman"/>
                <w:b/>
                <w:i/>
                <w:sz w:val="20"/>
                <w:szCs w:val="20"/>
                <w:u w:val="single"/>
                <w:lang w:val="es-ES"/>
              </w:rPr>
            </w:pPr>
            <w:r w:rsidRPr="00045E69">
              <w:rPr>
                <w:rFonts w:ascii="Times New Roman" w:eastAsia="Times New Roman" w:hAnsi="Times New Roman"/>
                <w:b/>
                <w:i/>
                <w:sz w:val="20"/>
                <w:szCs w:val="20"/>
                <w:u w:val="single"/>
                <w:lang w:val="es-ES"/>
              </w:rPr>
              <w:t xml:space="preserve">Indicador </w:t>
            </w:r>
          </w:p>
          <w:p w:rsidR="002C3973" w:rsidRPr="00045E69" w:rsidRDefault="002C3973" w:rsidP="00C82F81">
            <w:pPr>
              <w:suppressAutoHyphens/>
              <w:autoSpaceDN w:val="0"/>
              <w:textAlignment w:val="baseline"/>
              <w:rPr>
                <w:rFonts w:ascii="Times New Roman" w:eastAsia="ヒラギノ角ゴ Pro W3" w:hAnsi="Times New Roman"/>
                <w:color w:val="000000"/>
                <w:szCs w:val="24"/>
                <w:lang w:val="es-ES"/>
              </w:rPr>
            </w:pPr>
            <w:r w:rsidRPr="00045E69">
              <w:rPr>
                <w:rFonts w:ascii="Times New Roman" w:eastAsia="ヒラギノ角ゴ Pro W3" w:hAnsi="Times New Roman"/>
                <w:b/>
                <w:color w:val="000000"/>
                <w:sz w:val="20"/>
                <w:szCs w:val="20"/>
                <w:lang w:val="es-ES"/>
              </w:rPr>
              <w:t>Indicador 1.2:</w:t>
            </w:r>
            <w:r w:rsidRPr="00045E69">
              <w:rPr>
                <w:rFonts w:ascii="Times New Roman" w:eastAsia="ヒラギノ角ゴ Pro W3" w:hAnsi="Times New Roman"/>
                <w:color w:val="000000"/>
                <w:sz w:val="20"/>
                <w:szCs w:val="20"/>
                <w:lang w:val="es-ES"/>
              </w:rPr>
              <w:t xml:space="preserve"> Plan estratégico y operativo de turismo gastronómico ejecutado</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Anual a partir de 2º año</w:t>
            </w:r>
          </w:p>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bCs/>
                <w:color w:val="000000"/>
                <w:sz w:val="20"/>
                <w:szCs w:val="20"/>
                <w:lang w:val="es-ES"/>
              </w:rPr>
              <w:t xml:space="preserve">PMR, </w:t>
            </w:r>
            <w:r w:rsidRPr="00045E69">
              <w:rPr>
                <w:rFonts w:ascii="Times New Roman" w:eastAsia="ヒラギノ角ゴ Pro W3" w:hAnsi="Times New Roman"/>
                <w:color w:val="000000"/>
                <w:sz w:val="20"/>
                <w:szCs w:val="20"/>
                <w:lang w:val="es-ES"/>
              </w:rPr>
              <w:t>Informes de progreso UCP</w:t>
            </w:r>
          </w:p>
        </w:tc>
      </w:tr>
      <w:tr w:rsidR="002C3973" w:rsidRPr="00045E69" w:rsidTr="00C82F81">
        <w:trPr>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tabs>
                <w:tab w:val="left" w:pos="567"/>
              </w:tabs>
              <w:suppressAutoHyphens/>
              <w:autoSpaceDN w:val="0"/>
              <w:spacing w:after="0" w:line="240" w:lineRule="auto"/>
              <w:ind w:left="18"/>
              <w:jc w:val="both"/>
              <w:textAlignment w:val="baseline"/>
              <w:rPr>
                <w:rFonts w:ascii="Times New Roman" w:hAnsi="Times New Roman"/>
                <w:color w:val="000000"/>
                <w:sz w:val="20"/>
                <w:szCs w:val="20"/>
                <w:lang w:val="es-ES"/>
              </w:rPr>
            </w:pPr>
            <w:r w:rsidRPr="00045E69">
              <w:rPr>
                <w:rFonts w:ascii="Times New Roman" w:eastAsia="ヒラギノ角ゴ Pro W3" w:hAnsi="Times New Roman"/>
                <w:b/>
                <w:color w:val="000000"/>
                <w:sz w:val="20"/>
                <w:szCs w:val="20"/>
                <w:lang w:val="es-ES"/>
              </w:rPr>
              <w:t>Producto 1.3:</w:t>
            </w:r>
            <w:r w:rsidRPr="00045E69">
              <w:rPr>
                <w:rFonts w:ascii="Times New Roman" w:eastAsia="ヒラギノ角ゴ Pro W3" w:hAnsi="Times New Roman"/>
                <w:color w:val="000000"/>
                <w:sz w:val="20"/>
                <w:szCs w:val="20"/>
                <w:lang w:val="es-ES"/>
              </w:rPr>
              <w:t xml:space="preserve"> </w:t>
            </w:r>
            <w:r w:rsidRPr="00045E69">
              <w:rPr>
                <w:rFonts w:ascii="Times New Roman" w:hAnsi="Times New Roman"/>
                <w:color w:val="000000"/>
                <w:sz w:val="20"/>
                <w:szCs w:val="20"/>
                <w:lang w:val="es-ES"/>
              </w:rPr>
              <w:t>Diseño e implantación de prototipos y de un modelo de gestión de bases náuticas.</w:t>
            </w:r>
          </w:p>
          <w:p w:rsidR="002C3973" w:rsidRPr="00045E69" w:rsidRDefault="002C3973" w:rsidP="00C82F81">
            <w:pPr>
              <w:tabs>
                <w:tab w:val="left" w:pos="567"/>
              </w:tabs>
              <w:suppressAutoHyphens/>
              <w:autoSpaceDN w:val="0"/>
              <w:spacing w:after="0" w:line="240" w:lineRule="auto"/>
              <w:ind w:left="18"/>
              <w:jc w:val="both"/>
              <w:textAlignment w:val="baseline"/>
              <w:rPr>
                <w:rFonts w:ascii="Times New Roman" w:hAnsi="Times New Roman"/>
                <w:color w:val="000000"/>
                <w:sz w:val="20"/>
                <w:szCs w:val="20"/>
                <w:lang w:val="es-ES"/>
              </w:rPr>
            </w:pPr>
          </w:p>
          <w:p w:rsidR="002C3973" w:rsidRPr="005F57F5" w:rsidRDefault="002C3973" w:rsidP="00C82F81">
            <w:pPr>
              <w:tabs>
                <w:tab w:val="left" w:pos="567"/>
              </w:tabs>
              <w:suppressAutoHyphens/>
              <w:autoSpaceDN w:val="0"/>
              <w:spacing w:after="0" w:line="240" w:lineRule="auto"/>
              <w:ind w:left="18"/>
              <w:jc w:val="both"/>
              <w:textAlignment w:val="baseline"/>
              <w:rPr>
                <w:rFonts w:ascii="Times New Roman" w:hAnsi="Times New Roman"/>
                <w:color w:val="000000"/>
                <w:sz w:val="20"/>
                <w:szCs w:val="20"/>
                <w:lang w:val="pt-BR"/>
              </w:rPr>
            </w:pPr>
            <w:r w:rsidRPr="005F57F5">
              <w:rPr>
                <w:rFonts w:ascii="Times New Roman" w:eastAsia="ヒラギノ角ゴ Pro W3" w:hAnsi="Times New Roman"/>
                <w:b/>
                <w:color w:val="000000"/>
                <w:sz w:val="20"/>
                <w:szCs w:val="20"/>
                <w:lang w:val="pt-BR"/>
              </w:rPr>
              <w:t>Indicador 1.3:</w:t>
            </w:r>
            <w:r w:rsidRPr="005F57F5">
              <w:rPr>
                <w:rFonts w:ascii="Times New Roman" w:eastAsia="ヒラギノ角ゴ Pro W3" w:hAnsi="Times New Roman"/>
                <w:color w:val="000000"/>
                <w:sz w:val="20"/>
                <w:szCs w:val="20"/>
                <w:lang w:val="pt-BR"/>
              </w:rPr>
              <w:t xml:space="preserve"> 3 bases náuticas piloto implantadas</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Anual a partir de 3º año</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r w:rsidRPr="00045E69">
              <w:rPr>
                <w:rFonts w:ascii="Times New Roman" w:eastAsia="ヒラギノ角ゴ Pro W3" w:hAnsi="Times New Roman"/>
                <w:bCs/>
                <w:color w:val="000000"/>
                <w:sz w:val="20"/>
                <w:szCs w:val="20"/>
                <w:lang w:val="es-ES"/>
              </w:rPr>
              <w:t xml:space="preserve">PMR, </w:t>
            </w:r>
            <w:r w:rsidRPr="00045E69">
              <w:rPr>
                <w:rFonts w:ascii="Times New Roman" w:eastAsia="ヒラギノ角ゴ Pro W3" w:hAnsi="Times New Roman"/>
                <w:color w:val="000000"/>
                <w:sz w:val="20"/>
                <w:szCs w:val="20"/>
                <w:lang w:val="es-ES"/>
              </w:rPr>
              <w:t>Informes de progreso UCP</w:t>
            </w:r>
          </w:p>
        </w:tc>
      </w:tr>
      <w:tr w:rsidR="002C3973" w:rsidRPr="00045E69" w:rsidTr="00C82F81">
        <w:trPr>
          <w:trHeight w:val="1421"/>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eastAsia="Times New Roman" w:hAnsi="Times New Roman"/>
                <w:i/>
                <w:sz w:val="20"/>
                <w:szCs w:val="20"/>
                <w:u w:val="single"/>
                <w:lang w:val="es-ES"/>
              </w:rPr>
            </w:pPr>
            <w:r w:rsidRPr="00045E69">
              <w:rPr>
                <w:rFonts w:ascii="Times New Roman" w:eastAsia="ヒラギノ角ゴ Pro W3" w:hAnsi="Times New Roman"/>
                <w:b/>
                <w:color w:val="000000"/>
                <w:sz w:val="20"/>
                <w:szCs w:val="20"/>
                <w:lang w:val="es-ES"/>
              </w:rPr>
              <w:t>Producto 1.4:</w:t>
            </w:r>
            <w:r w:rsidRPr="00045E69">
              <w:rPr>
                <w:rFonts w:ascii="Times New Roman" w:eastAsia="ヒラギノ角ゴ Pro W3" w:hAnsi="Times New Roman"/>
                <w:color w:val="000000"/>
                <w:sz w:val="20"/>
                <w:szCs w:val="20"/>
                <w:lang w:val="es-ES"/>
              </w:rPr>
              <w:t xml:space="preserve"> </w:t>
            </w:r>
            <w:r w:rsidRPr="00045E69">
              <w:rPr>
                <w:rFonts w:ascii="Times New Roman" w:eastAsia="Times New Roman" w:hAnsi="Times New Roman"/>
                <w:sz w:val="20"/>
                <w:szCs w:val="20"/>
                <w:lang w:val="es-ES"/>
              </w:rPr>
              <w:t xml:space="preserve">Implantación de equipamiento para recorridos turísticos y acogida de visitantes en unidades naturales de conservación (UCs) en destinos gastronómicos. </w:t>
            </w:r>
          </w:p>
          <w:p w:rsidR="002C3973" w:rsidRPr="00045E69" w:rsidRDefault="002C3973" w:rsidP="00C82F81">
            <w:pPr>
              <w:suppressAutoHyphens/>
              <w:autoSpaceDN w:val="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b/>
                <w:color w:val="000000"/>
                <w:sz w:val="20"/>
                <w:szCs w:val="20"/>
                <w:lang w:val="es-ES"/>
              </w:rPr>
              <w:t>Indicador 1.4:</w:t>
            </w:r>
            <w:r w:rsidRPr="00045E69">
              <w:rPr>
                <w:rFonts w:ascii="Times New Roman" w:eastAsia="ヒラギノ角ゴ Pro W3" w:hAnsi="Times New Roman"/>
                <w:color w:val="000000"/>
                <w:sz w:val="20"/>
                <w:szCs w:val="20"/>
                <w:lang w:val="es-ES"/>
              </w:rPr>
              <w:t xml:space="preserve"> 4 UCs con nuevo equipamiento para uso público implantado</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pacing w:before="60" w:after="60" w:line="240" w:lineRule="auto"/>
              <w:rPr>
                <w:rFonts w:ascii="Times New Roman" w:eastAsia="Times New Roman" w:hAnsi="Times New Roman"/>
                <w:sz w:val="20"/>
                <w:szCs w:val="20"/>
                <w:lang w:val="es-ES"/>
              </w:rPr>
            </w:pPr>
            <w:r w:rsidRPr="00045E69">
              <w:rPr>
                <w:rFonts w:ascii="Times New Roman" w:eastAsia="Times New Roman" w:hAnsi="Times New Roman"/>
                <w:sz w:val="20"/>
                <w:szCs w:val="20"/>
                <w:lang w:val="es-ES"/>
              </w:rPr>
              <w:t>Anual a partir de 3º año</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r>
      <w:tr w:rsidR="002C3973" w:rsidRPr="00045E69" w:rsidTr="00C82F81">
        <w:trPr>
          <w:jc w:val="center"/>
        </w:trPr>
        <w:tc>
          <w:tcPr>
            <w:tcW w:w="560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hAnsi="Times New Roman"/>
                <w:sz w:val="20"/>
                <w:szCs w:val="20"/>
                <w:lang w:val="es-ES"/>
              </w:rPr>
            </w:pPr>
            <w:r w:rsidRPr="00045E69">
              <w:rPr>
                <w:rFonts w:ascii="Times New Roman" w:eastAsia="ヒラギノ角ゴ Pro W3" w:hAnsi="Times New Roman"/>
                <w:b/>
                <w:color w:val="000000"/>
                <w:sz w:val="20"/>
                <w:szCs w:val="20"/>
                <w:lang w:val="es-ES"/>
              </w:rPr>
              <w:t>Producto 1.5:</w:t>
            </w:r>
            <w:r w:rsidRPr="00045E69">
              <w:rPr>
                <w:rFonts w:ascii="Times New Roman" w:eastAsia="ヒラギノ角ゴ Pro W3" w:hAnsi="Times New Roman"/>
                <w:color w:val="000000"/>
                <w:sz w:val="20"/>
                <w:szCs w:val="20"/>
                <w:lang w:val="es-ES"/>
              </w:rPr>
              <w:t xml:space="preserve"> Arreglos productivos locales para comunidades locales con bajos ingresos (hasta ½ salario mínimo)</w:t>
            </w:r>
          </w:p>
          <w:p w:rsidR="002C3973" w:rsidRPr="00045E69" w:rsidRDefault="002C3973" w:rsidP="00C82F81">
            <w:pPr>
              <w:tabs>
                <w:tab w:val="left" w:pos="567"/>
              </w:tabs>
              <w:suppressAutoHyphens/>
              <w:autoSpaceDN w:val="0"/>
              <w:spacing w:after="0" w:line="240" w:lineRule="auto"/>
              <w:jc w:val="both"/>
              <w:textAlignment w:val="baseline"/>
              <w:rPr>
                <w:rFonts w:ascii="Times New Roman" w:hAnsi="Times New Roman"/>
                <w:color w:val="000000"/>
                <w:sz w:val="20"/>
                <w:szCs w:val="20"/>
                <w:lang w:val="es-ES"/>
              </w:rPr>
            </w:pPr>
            <w:r w:rsidRPr="00045E69">
              <w:rPr>
                <w:rFonts w:ascii="Times New Roman" w:hAnsi="Times New Roman"/>
                <w:b/>
                <w:color w:val="000000"/>
                <w:sz w:val="20"/>
                <w:szCs w:val="20"/>
                <w:lang w:val="es-ES"/>
              </w:rPr>
              <w:t>Indicador 1.5:</w:t>
            </w:r>
            <w:r w:rsidRPr="00045E69">
              <w:rPr>
                <w:rFonts w:ascii="Times New Roman" w:hAnsi="Times New Roman"/>
                <w:color w:val="000000"/>
                <w:sz w:val="20"/>
                <w:szCs w:val="20"/>
                <w:lang w:val="es-ES"/>
              </w:rPr>
              <w:t xml:space="preserve"> </w:t>
            </w:r>
            <w:r w:rsidRPr="00045E69">
              <w:rPr>
                <w:rFonts w:ascii="Times New Roman" w:eastAsia="ヒラギノ角ゴ Pro W3" w:hAnsi="Times New Roman"/>
                <w:color w:val="000000"/>
                <w:sz w:val="20"/>
                <w:szCs w:val="20"/>
                <w:lang w:val="es-ES"/>
              </w:rPr>
              <w:t>Al menos 30 planes de negocio viables elaborados y 150 personas cualificadas y que reciben ayudas no reembolsables</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 xml:space="preserve">Anual </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r>
      <w:tr w:rsidR="002C3973" w:rsidRPr="00045E69" w:rsidTr="00C82F81">
        <w:trPr>
          <w:jc w:val="center"/>
        </w:trPr>
        <w:tc>
          <w:tcPr>
            <w:tcW w:w="560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b/>
                <w:color w:val="000000"/>
                <w:sz w:val="20"/>
                <w:szCs w:val="20"/>
                <w:lang w:val="es-ES"/>
              </w:rPr>
              <w:t>Producto 1.6:</w:t>
            </w:r>
            <w:r w:rsidRPr="00045E69">
              <w:rPr>
                <w:rFonts w:ascii="Times New Roman" w:eastAsia="ヒラギノ角ゴ Pro W3" w:hAnsi="Times New Roman"/>
                <w:color w:val="000000"/>
                <w:sz w:val="20"/>
                <w:szCs w:val="20"/>
                <w:lang w:val="es-ES"/>
              </w:rPr>
              <w:t xml:space="preserve"> </w:t>
            </w:r>
            <w:r w:rsidRPr="00045E69">
              <w:rPr>
                <w:rFonts w:ascii="Times New Roman" w:hAnsi="Times New Roman"/>
                <w:color w:val="000000"/>
                <w:sz w:val="20"/>
                <w:szCs w:val="20"/>
                <w:lang w:val="es-ES"/>
              </w:rPr>
              <w:t>Identificación de causas que contribuyen a informalidad turística laboral.</w:t>
            </w:r>
          </w:p>
          <w:p w:rsidR="002C3973" w:rsidRPr="00045E69" w:rsidRDefault="002C3973" w:rsidP="00C82F81">
            <w:pPr>
              <w:tabs>
                <w:tab w:val="left" w:pos="567"/>
              </w:tabs>
              <w:suppressAutoHyphens/>
              <w:autoSpaceDN w:val="0"/>
              <w:spacing w:after="0" w:line="240" w:lineRule="auto"/>
              <w:jc w:val="both"/>
              <w:textAlignment w:val="baseline"/>
              <w:rPr>
                <w:rFonts w:ascii="Times New Roman" w:hAnsi="Times New Roman"/>
                <w:color w:val="000000"/>
                <w:sz w:val="20"/>
                <w:szCs w:val="20"/>
                <w:lang w:val="es-ES"/>
              </w:rPr>
            </w:pPr>
            <w:r w:rsidRPr="00045E69">
              <w:rPr>
                <w:rFonts w:ascii="Times New Roman" w:hAnsi="Times New Roman"/>
                <w:b/>
                <w:color w:val="000000"/>
                <w:sz w:val="20"/>
                <w:szCs w:val="20"/>
                <w:lang w:val="es-ES"/>
              </w:rPr>
              <w:lastRenderedPageBreak/>
              <w:t>Indicador 1.6:</w:t>
            </w:r>
            <w:r w:rsidRPr="00045E69">
              <w:rPr>
                <w:rFonts w:ascii="Times New Roman" w:hAnsi="Times New Roman"/>
                <w:color w:val="000000"/>
                <w:sz w:val="20"/>
                <w:szCs w:val="20"/>
                <w:lang w:val="es-ES"/>
              </w:rPr>
              <w:t xml:space="preserve"> Estudio de causas de informalidad turística y estrategia de incentivos a la formalización de la cadena de valor turística elaborados. </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lastRenderedPageBreak/>
              <w:t>2º año</w:t>
            </w:r>
          </w:p>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lastRenderedPageBreak/>
              <w:t>PMR, Informes de progreso UCP</w:t>
            </w:r>
          </w:p>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r>
      <w:tr w:rsidR="002C3973" w:rsidRPr="00045E69" w:rsidTr="00C82F81">
        <w:trPr>
          <w:jc w:val="center"/>
        </w:trPr>
        <w:tc>
          <w:tcPr>
            <w:tcW w:w="560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hAnsi="Times New Roman"/>
                <w:sz w:val="20"/>
                <w:szCs w:val="20"/>
                <w:lang w:val="es-ES"/>
              </w:rPr>
            </w:pPr>
            <w:r w:rsidRPr="00045E69">
              <w:rPr>
                <w:rFonts w:ascii="Times New Roman" w:eastAsia="ヒラギノ角ゴ Pro W3" w:hAnsi="Times New Roman"/>
                <w:b/>
                <w:color w:val="000000"/>
                <w:sz w:val="20"/>
                <w:szCs w:val="20"/>
                <w:lang w:val="es-ES"/>
              </w:rPr>
              <w:lastRenderedPageBreak/>
              <w:t xml:space="preserve">Producto </w:t>
            </w:r>
            <w:r w:rsidRPr="00045E69">
              <w:rPr>
                <w:rFonts w:ascii="Times New Roman" w:hAnsi="Times New Roman"/>
                <w:b/>
                <w:color w:val="000000"/>
                <w:sz w:val="20"/>
                <w:szCs w:val="20"/>
                <w:lang w:val="es-ES"/>
              </w:rPr>
              <w:t>1.7:</w:t>
            </w:r>
            <w:r w:rsidRPr="00045E69">
              <w:rPr>
                <w:rFonts w:ascii="Times New Roman" w:hAnsi="Times New Roman"/>
                <w:color w:val="000000"/>
                <w:sz w:val="20"/>
                <w:szCs w:val="20"/>
                <w:lang w:val="es-ES"/>
              </w:rPr>
              <w:t xml:space="preserve"> </w:t>
            </w:r>
            <w:r w:rsidRPr="00045E69">
              <w:rPr>
                <w:rFonts w:ascii="Times New Roman" w:hAnsi="Times New Roman"/>
                <w:sz w:val="20"/>
                <w:szCs w:val="20"/>
                <w:lang w:val="es-ES"/>
              </w:rPr>
              <w:t>Apoyo a la mejora de gestión empresarial</w:t>
            </w:r>
          </w:p>
          <w:p w:rsidR="002C3973" w:rsidRPr="00045E69" w:rsidRDefault="002C3973" w:rsidP="00C82F81">
            <w:pPr>
              <w:tabs>
                <w:tab w:val="left" w:pos="567"/>
              </w:tabs>
              <w:suppressAutoHyphens/>
              <w:autoSpaceDN w:val="0"/>
              <w:spacing w:after="0" w:line="240" w:lineRule="auto"/>
              <w:jc w:val="both"/>
              <w:textAlignment w:val="baseline"/>
              <w:rPr>
                <w:rFonts w:ascii="Times New Roman" w:hAnsi="Times New Roman"/>
                <w:color w:val="000000"/>
                <w:sz w:val="20"/>
                <w:szCs w:val="20"/>
                <w:lang w:val="es-ES"/>
              </w:rPr>
            </w:pPr>
            <w:r w:rsidRPr="00045E69">
              <w:rPr>
                <w:rFonts w:ascii="Times New Roman" w:hAnsi="Times New Roman"/>
                <w:b/>
                <w:color w:val="000000"/>
                <w:sz w:val="20"/>
                <w:szCs w:val="20"/>
                <w:lang w:val="es-ES"/>
              </w:rPr>
              <w:t>Indicador 1.7:</w:t>
            </w:r>
            <w:r w:rsidRPr="00045E69">
              <w:rPr>
                <w:rFonts w:ascii="Times New Roman" w:hAnsi="Times New Roman"/>
                <w:color w:val="000000"/>
                <w:sz w:val="20"/>
                <w:szCs w:val="20"/>
                <w:lang w:val="es-ES"/>
              </w:rPr>
              <w:t xml:space="preserve"> </w:t>
            </w:r>
            <w:r w:rsidRPr="00045E69">
              <w:rPr>
                <w:rFonts w:ascii="Times New Roman" w:eastAsia="ヒラギノ角ゴ Pro W3" w:hAnsi="Times New Roman"/>
                <w:color w:val="000000"/>
                <w:sz w:val="20"/>
                <w:szCs w:val="20"/>
                <w:lang w:val="es-ES"/>
              </w:rPr>
              <w:t>Al menos 200 empresarios turísticos que reciben asistencia técnica</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pacing w:before="60" w:after="60" w:line="240" w:lineRule="auto"/>
              <w:rPr>
                <w:rFonts w:ascii="Times New Roman" w:eastAsia="Times New Roman" w:hAnsi="Times New Roman"/>
                <w:sz w:val="20"/>
                <w:szCs w:val="20"/>
                <w:lang w:val="es-ES"/>
              </w:rPr>
            </w:pPr>
            <w:r w:rsidRPr="00045E69">
              <w:rPr>
                <w:rFonts w:ascii="Times New Roman" w:eastAsia="Times New Roman" w:hAnsi="Times New Roman"/>
                <w:sz w:val="20"/>
                <w:szCs w:val="20"/>
                <w:lang w:val="es-ES"/>
              </w:rPr>
              <w:t>Anual a partir de 2º año</w:t>
            </w:r>
          </w:p>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r>
      <w:tr w:rsidR="002C3973" w:rsidRPr="00045E69" w:rsidTr="00C82F81">
        <w:trPr>
          <w:trHeight w:val="701"/>
          <w:jc w:val="center"/>
        </w:trPr>
        <w:tc>
          <w:tcPr>
            <w:tcW w:w="560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Producto 1.8:</w:t>
            </w:r>
            <w:r w:rsidRPr="00045E69">
              <w:rPr>
                <w:rFonts w:ascii="Times New Roman" w:eastAsia="ヒラギノ角ゴ Pro W3" w:hAnsi="Times New Roman"/>
                <w:color w:val="000000"/>
                <w:sz w:val="20"/>
                <w:szCs w:val="20"/>
                <w:lang w:val="es-ES"/>
              </w:rPr>
              <w:t xml:space="preserve"> </w:t>
            </w:r>
            <w:r w:rsidRPr="00045E69">
              <w:rPr>
                <w:rFonts w:ascii="Times New Roman" w:eastAsia="Times New Roman" w:hAnsi="Times New Roman"/>
                <w:sz w:val="20"/>
                <w:szCs w:val="20"/>
                <w:lang w:val="es-ES"/>
              </w:rPr>
              <w:t xml:space="preserve">Plan de señalización e interpretación turística </w:t>
            </w:r>
          </w:p>
          <w:p w:rsidR="002C3973" w:rsidRPr="00045E69" w:rsidRDefault="002C3973" w:rsidP="00C82F81">
            <w:pPr>
              <w:suppressAutoHyphens/>
              <w:autoSpaceDN w:val="0"/>
              <w:textAlignment w:val="baseline"/>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Indicador 1.8:</w:t>
            </w:r>
            <w:r w:rsidRPr="00045E69">
              <w:rPr>
                <w:rFonts w:ascii="Times New Roman" w:eastAsia="ヒラギノ角ゴ Pro W3" w:hAnsi="Times New Roman"/>
                <w:color w:val="000000"/>
                <w:sz w:val="20"/>
                <w:szCs w:val="20"/>
                <w:lang w:val="es-ES"/>
              </w:rPr>
              <w:t xml:space="preserve"> </w:t>
            </w:r>
            <w:r w:rsidRPr="00045E69">
              <w:rPr>
                <w:rFonts w:ascii="Times New Roman" w:eastAsia="Times New Roman" w:hAnsi="Times New Roman"/>
                <w:sz w:val="20"/>
                <w:szCs w:val="20"/>
                <w:lang w:val="es-ES"/>
              </w:rPr>
              <w:t>Plan diseñado e implementado</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Anual a partir de 3º año</w:t>
            </w:r>
          </w:p>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r>
      <w:tr w:rsidR="002C3973" w:rsidRPr="00045E69" w:rsidTr="00C82F81">
        <w:trPr>
          <w:trHeight w:val="836"/>
          <w:jc w:val="center"/>
        </w:trPr>
        <w:tc>
          <w:tcPr>
            <w:tcW w:w="560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C3973" w:rsidRPr="00045E69" w:rsidRDefault="002C3973" w:rsidP="00C82F81">
            <w:pPr>
              <w:spacing w:after="0" w:line="240" w:lineRule="auto"/>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 xml:space="preserve">Producto 1.9 </w:t>
            </w:r>
            <w:r w:rsidRPr="00045E69">
              <w:rPr>
                <w:rFonts w:ascii="Times New Roman" w:eastAsia="Times New Roman" w:hAnsi="Times New Roman"/>
                <w:sz w:val="20"/>
                <w:szCs w:val="20"/>
                <w:lang w:val="es-ES"/>
              </w:rPr>
              <w:t>Obras de mejora urbanística y paisajismo en destinos</w:t>
            </w:r>
          </w:p>
          <w:p w:rsidR="002C3973" w:rsidRPr="00045E69" w:rsidRDefault="002C3973" w:rsidP="00C82F81">
            <w:pPr>
              <w:spacing w:after="0" w:line="240" w:lineRule="auto"/>
              <w:rPr>
                <w:rFonts w:ascii="Times New Roman" w:eastAsia="Times New Roman" w:hAnsi="Times New Roman"/>
                <w:sz w:val="20"/>
                <w:szCs w:val="20"/>
                <w:lang w:val="es-ES"/>
              </w:rPr>
            </w:pPr>
          </w:p>
          <w:p w:rsidR="002C3973" w:rsidRPr="00045E69" w:rsidRDefault="002C3973" w:rsidP="00C82F81">
            <w:pPr>
              <w:spacing w:after="0" w:line="240" w:lineRule="auto"/>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Indicador 1.9:</w:t>
            </w:r>
            <w:r w:rsidRPr="00045E69">
              <w:rPr>
                <w:rFonts w:ascii="Times New Roman" w:eastAsia="ヒラギノ角ゴ Pro W3" w:hAnsi="Times New Roman"/>
                <w:color w:val="000000"/>
                <w:sz w:val="20"/>
                <w:szCs w:val="20"/>
                <w:lang w:val="es-ES"/>
              </w:rPr>
              <w:t xml:space="preserve"> </w:t>
            </w:r>
            <w:r w:rsidRPr="00045E69">
              <w:rPr>
                <w:rFonts w:ascii="Times New Roman" w:eastAsia="Times New Roman" w:hAnsi="Times New Roman"/>
                <w:sz w:val="20"/>
                <w:szCs w:val="20"/>
                <w:lang w:val="es-ES"/>
              </w:rPr>
              <w:t>Al menos 4 destinos en Región Metropolitana que reciben obras de recualificación urbana y paisajismo</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Anual</w:t>
            </w: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tc>
      </w:tr>
      <w:tr w:rsidR="002C3973" w:rsidRPr="00045E69" w:rsidTr="00C82F81">
        <w:trPr>
          <w:jc w:val="center"/>
        </w:trPr>
        <w:tc>
          <w:tcPr>
            <w:tcW w:w="5606" w:type="dxa"/>
            <w:tcBorders>
              <w:top w:val="single" w:sz="4" w:space="0" w:color="auto"/>
              <w:left w:val="single" w:sz="4" w:space="0" w:color="000000"/>
              <w:bottom w:val="single" w:sz="4" w:space="0" w:color="000000"/>
              <w:right w:val="single" w:sz="4" w:space="0" w:color="000000"/>
            </w:tcBorders>
            <w:shd w:val="clear" w:color="auto" w:fill="8DB3E2"/>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r w:rsidRPr="00045E69">
              <w:rPr>
                <w:rFonts w:ascii="Times New Roman" w:eastAsia="ヒラギノ角ゴ Pro W3" w:hAnsi="Times New Roman"/>
                <w:b/>
                <w:bCs/>
                <w:color w:val="000000"/>
                <w:sz w:val="20"/>
                <w:szCs w:val="20"/>
                <w:lang w:val="es-ES"/>
              </w:rPr>
              <w:t xml:space="preserve">Componente II: </w:t>
            </w:r>
            <w:r w:rsidRPr="00045E69">
              <w:rPr>
                <w:rFonts w:ascii="Times New Roman" w:eastAsia="ヒラギノ角ゴ Pro W3" w:hAnsi="Times New Roman"/>
                <w:b/>
                <w:color w:val="000000"/>
                <w:sz w:val="20"/>
                <w:szCs w:val="20"/>
                <w:lang w:val="es-ES"/>
              </w:rPr>
              <w:t>Promoción turística</w:t>
            </w:r>
            <w:r w:rsidRPr="00045E69">
              <w:rPr>
                <w:rFonts w:ascii="Times New Roman" w:eastAsia="ヒラギノ角ゴ Pro W3" w:hAnsi="Times New Roman"/>
                <w:b/>
                <w:bCs/>
                <w:color w:val="000000"/>
                <w:sz w:val="20"/>
                <w:szCs w:val="20"/>
                <w:lang w:val="es-ES"/>
              </w:rPr>
              <w:t xml:space="preserve"> </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c>
          <w:tcPr>
            <w:tcW w:w="3426" w:type="dxa"/>
            <w:tcBorders>
              <w:top w:val="single" w:sz="4" w:space="0" w:color="000000"/>
              <w:left w:val="single" w:sz="4" w:space="0" w:color="000000"/>
              <w:bottom w:val="single" w:sz="4" w:space="0" w:color="000000"/>
              <w:right w:val="single" w:sz="4" w:space="0" w:color="000000"/>
            </w:tcBorders>
            <w:shd w:val="clear" w:color="auto" w:fill="8DB3E2"/>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8DB3E2"/>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r>
      <w:tr w:rsidR="002C3973" w:rsidRPr="00045E69" w:rsidTr="00C82F81">
        <w:trPr>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Cs w:val="24"/>
                <w:lang w:val="es-ES"/>
              </w:rPr>
            </w:pPr>
            <w:r w:rsidRPr="00045E69">
              <w:rPr>
                <w:rFonts w:ascii="Times New Roman" w:eastAsia="ヒラギノ角ゴ Pro W3" w:hAnsi="Times New Roman"/>
                <w:b/>
                <w:color w:val="000000"/>
                <w:sz w:val="20"/>
                <w:szCs w:val="20"/>
                <w:lang w:val="es-ES"/>
              </w:rPr>
              <w:t xml:space="preserve">Producto 2.1: </w:t>
            </w:r>
            <w:r w:rsidRPr="00045E69">
              <w:rPr>
                <w:rFonts w:ascii="Times New Roman" w:eastAsia="ヒラギノ角ゴ Pro W3" w:hAnsi="Times New Roman"/>
                <w:color w:val="000000"/>
                <w:sz w:val="20"/>
                <w:szCs w:val="20"/>
                <w:lang w:val="es-ES"/>
              </w:rPr>
              <w:t>Refuerzo de promoción turística estadual y de polo beneficiario del programa.</w:t>
            </w:r>
          </w:p>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Cs w:val="24"/>
                <w:lang w:val="es-ES"/>
              </w:rPr>
            </w:pPr>
            <w:r w:rsidRPr="00045E69">
              <w:rPr>
                <w:rFonts w:ascii="Times New Roman" w:eastAsia="ヒラギノ角ゴ Pro W3" w:hAnsi="Times New Roman"/>
                <w:b/>
                <w:color w:val="000000"/>
                <w:sz w:val="20"/>
                <w:szCs w:val="20"/>
                <w:lang w:val="es-ES"/>
              </w:rPr>
              <w:t>Indicador 2.1:</w:t>
            </w:r>
            <w:r w:rsidRPr="00045E69">
              <w:rPr>
                <w:rFonts w:ascii="Times New Roman" w:eastAsia="ヒラギノ角ゴ Pro W3" w:hAnsi="Times New Roman"/>
                <w:color w:val="000000"/>
                <w:sz w:val="20"/>
                <w:szCs w:val="20"/>
                <w:lang w:val="es-ES"/>
              </w:rPr>
              <w:t xml:space="preserve"> Plan de marketing actualizado (para el segmento gastronómico y estrategia </w:t>
            </w:r>
            <w:r w:rsidRPr="00045E69">
              <w:rPr>
                <w:rFonts w:ascii="Times New Roman" w:eastAsia="ヒラギノ角ゴ Pro W3" w:hAnsi="Times New Roman"/>
                <w:i/>
                <w:color w:val="000000"/>
                <w:sz w:val="20"/>
                <w:szCs w:val="20"/>
                <w:lang w:val="es-ES"/>
              </w:rPr>
              <w:t>on-line</w:t>
            </w:r>
            <w:r w:rsidRPr="00045E69">
              <w:rPr>
                <w:rFonts w:ascii="Times New Roman" w:eastAsia="ヒラギノ角ゴ Pro W3" w:hAnsi="Times New Roman"/>
                <w:color w:val="000000"/>
                <w:sz w:val="20"/>
                <w:szCs w:val="20"/>
                <w:lang w:val="es-ES"/>
              </w:rPr>
              <w:t>) y resultados de implementación de plano operativo medidos</w:t>
            </w:r>
            <w:r w:rsidRPr="00045E69">
              <w:rPr>
                <w:rFonts w:ascii="Times New Roman" w:eastAsia="ヒラギノ角ゴ Pro W3" w:hAnsi="Times New Roman"/>
                <w:color w:val="000000"/>
                <w:szCs w:val="24"/>
                <w:lang w:val="es-ES"/>
              </w:rPr>
              <w:t>.</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Anual a partir 2º año</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r>
      <w:tr w:rsidR="002C3973" w:rsidRPr="00045E69" w:rsidTr="00C82F81">
        <w:trPr>
          <w:trHeight w:val="359"/>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8DB3E2"/>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r w:rsidRPr="00045E69">
              <w:rPr>
                <w:rFonts w:ascii="Times New Roman" w:eastAsia="ヒラギノ角ゴ Pro W3" w:hAnsi="Times New Roman"/>
                <w:b/>
                <w:bCs/>
                <w:color w:val="000000"/>
                <w:sz w:val="20"/>
                <w:szCs w:val="20"/>
                <w:lang w:val="es-ES"/>
              </w:rPr>
              <w:t xml:space="preserve">Componente III: </w:t>
            </w:r>
            <w:r w:rsidRPr="00045E69">
              <w:rPr>
                <w:rFonts w:ascii="Times New Roman" w:eastAsia="ヒラギノ角ゴ Pro W3" w:hAnsi="Times New Roman"/>
                <w:b/>
                <w:color w:val="000000"/>
                <w:sz w:val="20"/>
                <w:szCs w:val="20"/>
                <w:lang w:val="es-ES"/>
              </w:rPr>
              <w:t>Fortalecimiento institucional</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c>
          <w:tcPr>
            <w:tcW w:w="3426" w:type="dxa"/>
            <w:tcBorders>
              <w:top w:val="single" w:sz="4" w:space="0" w:color="000000"/>
              <w:left w:val="single" w:sz="4" w:space="0" w:color="000000"/>
              <w:bottom w:val="single" w:sz="4" w:space="0" w:color="000000"/>
              <w:right w:val="single" w:sz="4" w:space="0" w:color="000000"/>
            </w:tcBorders>
            <w:shd w:val="clear" w:color="auto" w:fill="8DB3E2"/>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8DB3E2"/>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r>
      <w:tr w:rsidR="002C3973" w:rsidRPr="00045E69" w:rsidTr="00C82F81">
        <w:trPr>
          <w:trHeight w:val="755"/>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tabs>
                <w:tab w:val="left" w:pos="176"/>
              </w:tabs>
              <w:suppressAutoHyphens/>
              <w:autoSpaceDN w:val="0"/>
              <w:spacing w:after="0" w:line="240" w:lineRule="auto"/>
              <w:jc w:val="both"/>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b/>
                <w:color w:val="000000"/>
                <w:sz w:val="20"/>
                <w:szCs w:val="20"/>
                <w:lang w:val="es-ES"/>
              </w:rPr>
              <w:t>Producto 3.1:</w:t>
            </w:r>
            <w:r w:rsidRPr="00045E69">
              <w:rPr>
                <w:rFonts w:ascii="Times New Roman" w:eastAsia="ヒラギノ角ゴ Pro W3" w:hAnsi="Times New Roman"/>
                <w:color w:val="000000"/>
                <w:sz w:val="20"/>
                <w:szCs w:val="20"/>
                <w:lang w:val="es-ES"/>
              </w:rPr>
              <w:t xml:space="preserve">Fortalecimiento de gestión de SETUR </w:t>
            </w:r>
          </w:p>
          <w:p w:rsidR="002C3973" w:rsidRPr="00045E69" w:rsidRDefault="002C3973" w:rsidP="00C82F81">
            <w:pPr>
              <w:tabs>
                <w:tab w:val="left" w:pos="176"/>
              </w:tabs>
              <w:suppressAutoHyphens/>
              <w:autoSpaceDN w:val="0"/>
              <w:spacing w:after="0" w:line="240" w:lineRule="auto"/>
              <w:jc w:val="both"/>
              <w:textAlignment w:val="baseline"/>
              <w:rPr>
                <w:rFonts w:ascii="Times New Roman" w:eastAsia="ヒラギノ角ゴ Pro W3" w:hAnsi="Times New Roman"/>
                <w:color w:val="000000"/>
                <w:sz w:val="20"/>
                <w:szCs w:val="20"/>
                <w:lang w:val="es-ES"/>
              </w:rPr>
            </w:pPr>
          </w:p>
          <w:p w:rsidR="002C3973" w:rsidRPr="00045E69" w:rsidRDefault="002C3973" w:rsidP="00C82F81">
            <w:pPr>
              <w:suppressAutoHyphens/>
              <w:autoSpaceDN w:val="0"/>
              <w:textAlignment w:val="baseline"/>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 xml:space="preserve">Indicadores 3.1: </w:t>
            </w:r>
            <w:r w:rsidRPr="00045E69">
              <w:rPr>
                <w:rFonts w:ascii="Times New Roman" w:eastAsia="Times New Roman" w:hAnsi="Times New Roman"/>
                <w:sz w:val="20"/>
                <w:szCs w:val="20"/>
                <w:lang w:val="es-ES"/>
              </w:rPr>
              <w:t>Al menos 20 profesionales de la SETUR dotados de nuevos equipamientos y beneficiarios visitas técnicas</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Anual hasta año 4</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tc>
      </w:tr>
      <w:tr w:rsidR="002C3973" w:rsidRPr="00045E69" w:rsidTr="00C82F81">
        <w:trPr>
          <w:trHeight w:val="899"/>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b/>
                <w:color w:val="000000"/>
                <w:sz w:val="20"/>
                <w:szCs w:val="20"/>
                <w:lang w:val="es-ES"/>
              </w:rPr>
              <w:t xml:space="preserve">Producto 3.2: </w:t>
            </w:r>
            <w:r w:rsidRPr="00045E69">
              <w:rPr>
                <w:rFonts w:ascii="Times New Roman" w:eastAsia="ヒラギノ角ゴ Pro W3" w:hAnsi="Times New Roman"/>
                <w:color w:val="000000"/>
                <w:sz w:val="20"/>
                <w:szCs w:val="20"/>
                <w:lang w:val="es-ES"/>
              </w:rPr>
              <w:t>Refuerzo del sistema de estadísticas turísticas del Estado.</w:t>
            </w:r>
          </w:p>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Cs w:val="24"/>
                <w:lang w:val="es-ES"/>
              </w:rPr>
            </w:pPr>
            <w:r w:rsidRPr="00045E69">
              <w:rPr>
                <w:rFonts w:ascii="Times New Roman" w:eastAsia="ヒラギノ角ゴ Pro W3" w:hAnsi="Times New Roman"/>
                <w:b/>
                <w:color w:val="000000"/>
                <w:sz w:val="20"/>
                <w:szCs w:val="20"/>
                <w:lang w:val="es-ES"/>
              </w:rPr>
              <w:t>Indicadores 3.2:</w:t>
            </w:r>
            <w:r w:rsidRPr="00045E69">
              <w:rPr>
                <w:rFonts w:ascii="Times New Roman" w:eastAsia="ヒラギノ角ゴ Pro W3" w:hAnsi="Times New Roman"/>
                <w:color w:val="000000"/>
                <w:sz w:val="20"/>
                <w:szCs w:val="20"/>
                <w:lang w:val="es-ES"/>
              </w:rPr>
              <w:t xml:space="preserve"> Agenda estratégica y operativa (tres primeros años) de investigación estadística estadual implementadas.</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Anual a partir 2º año</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r w:rsidRPr="00045E69">
              <w:rPr>
                <w:rFonts w:ascii="Times New Roman" w:eastAsia="ヒラギノ角ゴ Pro W3" w:hAnsi="Times New Roman"/>
                <w:bCs/>
                <w:color w:val="000000"/>
                <w:sz w:val="20"/>
                <w:szCs w:val="20"/>
                <w:lang w:val="es-ES"/>
              </w:rPr>
              <w:t>.</w:t>
            </w:r>
          </w:p>
        </w:tc>
      </w:tr>
      <w:tr w:rsidR="002C3973" w:rsidRPr="00045E69" w:rsidTr="00C82F81">
        <w:trPr>
          <w:trHeight w:val="1178"/>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b/>
                <w:color w:val="000000"/>
                <w:sz w:val="20"/>
                <w:szCs w:val="20"/>
                <w:lang w:val="es-ES"/>
              </w:rPr>
              <w:t xml:space="preserve">Producto 3.3: </w:t>
            </w:r>
            <w:r w:rsidRPr="00045E69">
              <w:rPr>
                <w:rFonts w:ascii="Times New Roman" w:eastAsia="ヒラギノ角ゴ Pro W3" w:hAnsi="Times New Roman"/>
                <w:color w:val="000000"/>
                <w:sz w:val="20"/>
                <w:szCs w:val="20"/>
                <w:lang w:val="es-ES"/>
              </w:rPr>
              <w:t>Fortalecimiento de Gestión Turística Municipal.</w:t>
            </w:r>
          </w:p>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 w:val="20"/>
                <w:szCs w:val="20"/>
                <w:lang w:val="es-ES"/>
              </w:rPr>
            </w:pPr>
          </w:p>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Cs w:val="24"/>
                <w:lang w:val="es-ES"/>
              </w:rPr>
            </w:pPr>
            <w:r w:rsidRPr="00045E69">
              <w:rPr>
                <w:rFonts w:ascii="Times New Roman" w:eastAsia="ヒラギノ角ゴ Pro W3" w:hAnsi="Times New Roman"/>
                <w:b/>
                <w:color w:val="000000"/>
                <w:sz w:val="20"/>
                <w:szCs w:val="20"/>
                <w:lang w:val="es-ES"/>
              </w:rPr>
              <w:t>Indicadores 3.3:</w:t>
            </w:r>
            <w:r w:rsidRPr="00045E69">
              <w:rPr>
                <w:rFonts w:ascii="Times New Roman" w:eastAsia="ヒラギノ角ゴ Pro W3" w:hAnsi="Times New Roman"/>
                <w:color w:val="000000"/>
                <w:sz w:val="20"/>
                <w:szCs w:val="20"/>
                <w:lang w:val="es-ES"/>
              </w:rPr>
              <w:t xml:space="preserve"> Al menos 7 municipios dotados de nuevos equipamientos y cualificados en ámbitos específicos de planificación y gestión turística.</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i/>
                <w:color w:val="000000"/>
                <w:sz w:val="20"/>
                <w:szCs w:val="20"/>
                <w:u w:val="single"/>
                <w:lang w:val="es-ES"/>
              </w:rPr>
            </w:pPr>
            <w:r w:rsidRPr="00045E69">
              <w:rPr>
                <w:rFonts w:ascii="Times New Roman" w:eastAsia="ヒラギノ角ゴ Pro W3" w:hAnsi="Times New Roman"/>
                <w:color w:val="000000"/>
                <w:sz w:val="20"/>
                <w:szCs w:val="20"/>
                <w:lang w:val="es-ES"/>
              </w:rPr>
              <w:t>Años 1,2 y3</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r>
      <w:tr w:rsidR="002C3973" w:rsidRPr="00045E69" w:rsidTr="00C82F81">
        <w:trPr>
          <w:trHeight w:val="404"/>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r w:rsidRPr="00045E69">
              <w:rPr>
                <w:rFonts w:ascii="Times New Roman" w:eastAsia="ヒラギノ角ゴ Pro W3" w:hAnsi="Times New Roman"/>
                <w:b/>
                <w:bCs/>
                <w:color w:val="000000"/>
                <w:sz w:val="20"/>
                <w:szCs w:val="20"/>
                <w:lang w:val="es-ES"/>
              </w:rPr>
              <w:lastRenderedPageBreak/>
              <w:t xml:space="preserve">Componente IV: </w:t>
            </w:r>
            <w:r w:rsidRPr="00045E69">
              <w:rPr>
                <w:rFonts w:ascii="Times New Roman" w:eastAsia="ヒラギノ角ゴ Pro W3" w:hAnsi="Times New Roman"/>
                <w:b/>
                <w:color w:val="000000"/>
                <w:sz w:val="20"/>
                <w:szCs w:val="20"/>
                <w:lang w:val="es-ES"/>
              </w:rPr>
              <w:t>Fortalecimiento institucional</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c>
          <w:tcPr>
            <w:tcW w:w="3426"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p>
        </w:tc>
      </w:tr>
      <w:tr w:rsidR="002C3973" w:rsidRPr="00045E69" w:rsidTr="00C82F81">
        <w:trPr>
          <w:trHeight w:val="1178"/>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5F57F5" w:rsidRDefault="002C3973" w:rsidP="00C82F81">
            <w:pPr>
              <w:tabs>
                <w:tab w:val="left" w:pos="176"/>
              </w:tabs>
              <w:suppressAutoHyphens/>
              <w:autoSpaceDN w:val="0"/>
              <w:spacing w:after="0" w:line="240" w:lineRule="auto"/>
              <w:jc w:val="both"/>
              <w:textAlignment w:val="baseline"/>
              <w:rPr>
                <w:rFonts w:ascii="Times New Roman" w:eastAsia="ヒラギノ角ゴ Pro W3" w:hAnsi="Times New Roman"/>
                <w:color w:val="000000"/>
                <w:sz w:val="20"/>
                <w:szCs w:val="20"/>
              </w:rPr>
            </w:pPr>
            <w:r w:rsidRPr="005F57F5">
              <w:rPr>
                <w:rFonts w:ascii="Times New Roman" w:eastAsia="ヒラギノ角ゴ Pro W3" w:hAnsi="Times New Roman"/>
                <w:b/>
                <w:color w:val="000000"/>
                <w:sz w:val="20"/>
                <w:szCs w:val="20"/>
              </w:rPr>
              <w:t xml:space="preserve">Producto 4.1: </w:t>
            </w:r>
            <w:r w:rsidRPr="005F57F5">
              <w:rPr>
                <w:rFonts w:ascii="Times New Roman" w:eastAsia="ヒラギノ角ゴ Pro W3" w:hAnsi="Times New Roman"/>
                <w:color w:val="000000"/>
                <w:sz w:val="20"/>
                <w:szCs w:val="20"/>
              </w:rPr>
              <w:t>Sistema de saneamiento básico en Barra do Jucu (municipio de Vila Velha)</w:t>
            </w:r>
          </w:p>
          <w:p w:rsidR="002C3973" w:rsidRPr="005F57F5" w:rsidRDefault="002C3973" w:rsidP="00C82F81">
            <w:pPr>
              <w:tabs>
                <w:tab w:val="left" w:pos="176"/>
              </w:tabs>
              <w:suppressAutoHyphens/>
              <w:autoSpaceDN w:val="0"/>
              <w:spacing w:after="0" w:line="240" w:lineRule="auto"/>
              <w:jc w:val="both"/>
              <w:textAlignment w:val="baseline"/>
              <w:rPr>
                <w:rFonts w:ascii="Times New Roman" w:eastAsia="ヒラギノ角ゴ Pro W3" w:hAnsi="Times New Roman"/>
                <w:color w:val="000000"/>
                <w:sz w:val="20"/>
                <w:szCs w:val="20"/>
              </w:rPr>
            </w:pPr>
          </w:p>
          <w:p w:rsidR="002C3973" w:rsidRPr="005F57F5"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Cs w:val="24"/>
              </w:rPr>
            </w:pPr>
            <w:r w:rsidRPr="005F57F5">
              <w:rPr>
                <w:rFonts w:ascii="Times New Roman" w:eastAsia="ヒラギノ角ゴ Pro W3" w:hAnsi="Times New Roman"/>
                <w:b/>
                <w:color w:val="000000"/>
                <w:sz w:val="20"/>
                <w:szCs w:val="20"/>
              </w:rPr>
              <w:t>Indicadores 4.1:</w:t>
            </w:r>
            <w:r w:rsidRPr="005F57F5">
              <w:rPr>
                <w:rFonts w:ascii="Times New Roman" w:eastAsia="ヒラギノ角ゴ Pro W3" w:hAnsi="Times New Roman"/>
                <w:color w:val="000000"/>
                <w:sz w:val="20"/>
                <w:szCs w:val="20"/>
              </w:rPr>
              <w:t xml:space="preserve"> 14.567 habitantes beneficiados con el sistema de saneamiento</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Años 1 y 2</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r>
      <w:tr w:rsidR="002C3973" w:rsidRPr="00045E69" w:rsidTr="00C82F81">
        <w:trPr>
          <w:trHeight w:val="350"/>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
                <w:bCs/>
                <w:color w:val="000000"/>
                <w:sz w:val="20"/>
                <w:szCs w:val="20"/>
                <w:lang w:val="es-ES"/>
              </w:rPr>
            </w:pPr>
            <w:r w:rsidRPr="00045E69">
              <w:rPr>
                <w:rFonts w:ascii="Times New Roman" w:eastAsia="ヒラギノ角ゴ Pro W3" w:hAnsi="Times New Roman"/>
                <w:b/>
                <w:bCs/>
                <w:color w:val="000000"/>
                <w:sz w:val="20"/>
                <w:szCs w:val="20"/>
                <w:lang w:val="es-ES"/>
              </w:rPr>
              <w:t xml:space="preserve">Componente V: </w:t>
            </w:r>
            <w:r w:rsidRPr="00045E69">
              <w:rPr>
                <w:rFonts w:ascii="Times New Roman" w:eastAsia="ヒラギノ角ゴ Pro W3" w:hAnsi="Times New Roman"/>
                <w:b/>
                <w:color w:val="000000"/>
                <w:sz w:val="20"/>
                <w:szCs w:val="20"/>
                <w:lang w:val="es-ES"/>
              </w:rPr>
              <w:t>Gestión Socio-Ambiental</w:t>
            </w:r>
          </w:p>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 w:val="20"/>
                <w:szCs w:val="20"/>
                <w:lang w:val="es-ES"/>
              </w:rPr>
            </w:pPr>
          </w:p>
        </w:tc>
        <w:tc>
          <w:tcPr>
            <w:tcW w:w="3426"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r>
      <w:tr w:rsidR="002C3973" w:rsidRPr="00045E69" w:rsidTr="00C82F81">
        <w:trPr>
          <w:trHeight w:val="1178"/>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b/>
                <w:color w:val="000000"/>
                <w:sz w:val="20"/>
                <w:szCs w:val="20"/>
                <w:lang w:val="es-ES"/>
              </w:rPr>
              <w:t xml:space="preserve">Producto 5.1: </w:t>
            </w:r>
            <w:r w:rsidRPr="00045E69">
              <w:rPr>
                <w:rFonts w:ascii="Times New Roman" w:eastAsia="ヒラギノ角ゴ Pro W3" w:hAnsi="Times New Roman"/>
                <w:color w:val="000000"/>
                <w:sz w:val="20"/>
                <w:szCs w:val="20"/>
                <w:lang w:val="es-ES"/>
              </w:rPr>
              <w:t>Refuerzo de sensibilización socio-ambiental en áreas beneficiarias del programa.</w:t>
            </w:r>
          </w:p>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Cs w:val="24"/>
                <w:lang w:val="es-ES"/>
              </w:rPr>
            </w:pPr>
            <w:r w:rsidRPr="00045E69">
              <w:rPr>
                <w:rFonts w:ascii="Times New Roman" w:eastAsia="ヒラギノ角ゴ Pro W3" w:hAnsi="Times New Roman"/>
                <w:b/>
                <w:color w:val="000000"/>
                <w:sz w:val="20"/>
                <w:szCs w:val="20"/>
                <w:lang w:val="es-ES"/>
              </w:rPr>
              <w:t>Indicadores 5.1</w:t>
            </w:r>
            <w:r w:rsidRPr="00045E69">
              <w:rPr>
                <w:rFonts w:ascii="Times New Roman" w:eastAsia="ヒラギノ角ゴ Pro W3" w:hAnsi="Times New Roman"/>
                <w:color w:val="000000"/>
                <w:sz w:val="20"/>
                <w:szCs w:val="20"/>
                <w:lang w:val="es-ES"/>
              </w:rPr>
              <w:t>: Acciones de educación/sensibilización ambiental en los 7 municipios beneficiarios implantadas.</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Años 2º, 3º y 4º</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r>
      <w:tr w:rsidR="002C3973" w:rsidRPr="00045E69" w:rsidTr="00C82F81">
        <w:trPr>
          <w:trHeight w:val="1178"/>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 xml:space="preserve">Producto 5.2: </w:t>
            </w:r>
            <w:r w:rsidRPr="00045E69">
              <w:rPr>
                <w:rFonts w:ascii="Times New Roman" w:eastAsia="Times New Roman" w:hAnsi="Times New Roman"/>
                <w:sz w:val="20"/>
                <w:szCs w:val="20"/>
                <w:lang w:val="es-ES"/>
              </w:rPr>
              <w:t xml:space="preserve">Ordenamiento de uso público en áreas naturales de interés turístico </w:t>
            </w:r>
          </w:p>
          <w:p w:rsidR="002C3973" w:rsidRPr="00045E69" w:rsidRDefault="002C3973" w:rsidP="00C82F81">
            <w:pPr>
              <w:tabs>
                <w:tab w:val="left" w:pos="567"/>
              </w:tabs>
              <w:suppressAutoHyphens/>
              <w:autoSpaceDN w:val="0"/>
              <w:spacing w:after="0" w:line="240" w:lineRule="auto"/>
              <w:jc w:val="both"/>
              <w:textAlignment w:val="baseline"/>
              <w:rPr>
                <w:rFonts w:ascii="Times New Roman" w:eastAsia="ヒラギノ角ゴ Pro W3" w:hAnsi="Times New Roman"/>
                <w:color w:val="000000"/>
                <w:szCs w:val="24"/>
                <w:lang w:val="es-ES"/>
              </w:rPr>
            </w:pPr>
            <w:r w:rsidRPr="00045E69">
              <w:rPr>
                <w:rFonts w:ascii="Times New Roman" w:eastAsia="ヒラギノ角ゴ Pro W3" w:hAnsi="Times New Roman"/>
                <w:b/>
                <w:color w:val="000000"/>
                <w:sz w:val="20"/>
                <w:szCs w:val="20"/>
                <w:lang w:val="es-ES"/>
              </w:rPr>
              <w:t>Indicadores 5.2:</w:t>
            </w:r>
            <w:r w:rsidRPr="00045E69">
              <w:rPr>
                <w:rFonts w:ascii="Times New Roman" w:eastAsia="ヒラギノ角ゴ Pro W3" w:hAnsi="Times New Roman"/>
                <w:color w:val="000000"/>
                <w:sz w:val="20"/>
                <w:szCs w:val="20"/>
                <w:lang w:val="es-ES"/>
              </w:rPr>
              <w:t xml:space="preserve"> Al menos 5 planes de uso público realizados</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 xml:space="preserve">Anual </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r>
      <w:tr w:rsidR="002C3973" w:rsidRPr="00045E69" w:rsidTr="00C82F81">
        <w:trPr>
          <w:trHeight w:val="1178"/>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Producto 5.3</w:t>
            </w:r>
            <w:r w:rsidRPr="00045E69">
              <w:rPr>
                <w:rFonts w:ascii="Times New Roman" w:eastAsia="Times New Roman" w:hAnsi="Times New Roman"/>
                <w:sz w:val="20"/>
                <w:szCs w:val="20"/>
                <w:lang w:val="es-ES"/>
              </w:rPr>
              <w:t xml:space="preserve"> Mejora calidad ambiental del Rio Reyes Magos y entorno. </w:t>
            </w:r>
          </w:p>
          <w:p w:rsidR="002C3973" w:rsidRPr="00045E69" w:rsidRDefault="002C3973" w:rsidP="00C82F81">
            <w:pPr>
              <w:suppressAutoHyphens/>
              <w:autoSpaceDN w:val="0"/>
              <w:textAlignment w:val="baseline"/>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Indicadores 5.3:</w:t>
            </w:r>
            <w:r w:rsidRPr="00045E69">
              <w:rPr>
                <w:rFonts w:ascii="Times New Roman" w:eastAsia="ヒラギノ角ゴ Pro W3" w:hAnsi="Times New Roman"/>
                <w:color w:val="000000"/>
                <w:sz w:val="20"/>
                <w:szCs w:val="20"/>
                <w:lang w:val="es-ES"/>
              </w:rPr>
              <w:t xml:space="preserve"> Estudios y obras para mejora calidad ambiental del Rio Reyes Magos finalizados</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Años 3 y 4</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p w:rsidR="002C3973" w:rsidRPr="00045E69" w:rsidRDefault="002C3973" w:rsidP="00C82F81">
            <w:pPr>
              <w:suppressAutoHyphens/>
              <w:autoSpaceDE w:val="0"/>
              <w:autoSpaceDN w:val="0"/>
              <w:spacing w:after="0" w:line="240" w:lineRule="auto"/>
              <w:jc w:val="both"/>
              <w:textAlignment w:val="baseline"/>
              <w:rPr>
                <w:rFonts w:ascii="Times New Roman" w:eastAsia="ヒラギノ角ゴ Pro W3" w:hAnsi="Times New Roman"/>
                <w:bCs/>
                <w:color w:val="000000"/>
                <w:sz w:val="20"/>
                <w:szCs w:val="20"/>
                <w:lang w:val="es-ES"/>
              </w:rPr>
            </w:pPr>
          </w:p>
        </w:tc>
      </w:tr>
      <w:tr w:rsidR="002C3973" w:rsidRPr="00045E69" w:rsidTr="00C82F81">
        <w:trPr>
          <w:trHeight w:val="1178"/>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Producto 5.4</w:t>
            </w:r>
            <w:r w:rsidRPr="00045E69">
              <w:rPr>
                <w:rFonts w:ascii="Times New Roman" w:eastAsia="Times New Roman" w:hAnsi="Times New Roman"/>
                <w:sz w:val="20"/>
                <w:szCs w:val="20"/>
                <w:lang w:val="es-ES"/>
              </w:rPr>
              <w:t>: Control y gestión recursos pesqueros en destinos gastronómicos</w:t>
            </w:r>
          </w:p>
          <w:p w:rsidR="002C3973" w:rsidRPr="00045E69" w:rsidRDefault="002C3973" w:rsidP="00C82F81">
            <w:pPr>
              <w:suppressAutoHyphens/>
              <w:autoSpaceDN w:val="0"/>
              <w:textAlignment w:val="baseline"/>
              <w:rPr>
                <w:rFonts w:ascii="Times New Roman" w:eastAsia="ヒラギノ角ゴ Pro W3" w:hAnsi="Times New Roman"/>
                <w:b/>
                <w:color w:val="000000"/>
                <w:sz w:val="20"/>
                <w:szCs w:val="20"/>
                <w:lang w:val="es-ES"/>
              </w:rPr>
            </w:pPr>
            <w:r w:rsidRPr="00045E69">
              <w:rPr>
                <w:rFonts w:ascii="Times New Roman" w:eastAsia="ヒラギノ角ゴ Pro W3" w:hAnsi="Times New Roman"/>
                <w:b/>
                <w:color w:val="000000"/>
                <w:sz w:val="20"/>
                <w:szCs w:val="20"/>
                <w:lang w:val="es-ES"/>
              </w:rPr>
              <w:t>Indicadores 5.4:</w:t>
            </w:r>
            <w:r w:rsidRPr="00045E69">
              <w:rPr>
                <w:rFonts w:ascii="Times New Roman" w:eastAsia="ヒラギノ角ゴ Pro W3" w:hAnsi="Times New Roman"/>
                <w:color w:val="000000"/>
                <w:sz w:val="20"/>
                <w:szCs w:val="20"/>
                <w:lang w:val="es-ES"/>
              </w:rPr>
              <w:t xml:space="preserve"> Plan de control y gestión de recursos pesqueros elaborado</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Año 1</w:t>
            </w: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r>
      <w:tr w:rsidR="002C3973" w:rsidRPr="00045E69" w:rsidTr="00C82F81">
        <w:trPr>
          <w:trHeight w:val="1178"/>
          <w:jc w:val="center"/>
        </w:trPr>
        <w:tc>
          <w:tcPr>
            <w:tcW w:w="5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textAlignment w:val="baseline"/>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Producto 5.5</w:t>
            </w:r>
            <w:r w:rsidRPr="00045E69">
              <w:rPr>
                <w:rFonts w:ascii="Times New Roman" w:eastAsia="Times New Roman" w:hAnsi="Times New Roman"/>
                <w:sz w:val="20"/>
                <w:szCs w:val="20"/>
                <w:lang w:val="es-ES"/>
              </w:rPr>
              <w:t xml:space="preserve">: Conocimiento sobre grado de vulnerabilidad a desastres y cambios en litoral </w:t>
            </w:r>
          </w:p>
          <w:p w:rsidR="002C3973" w:rsidRPr="00045E69" w:rsidRDefault="002C3973" w:rsidP="00C82F81">
            <w:pPr>
              <w:suppressAutoHyphens/>
              <w:autoSpaceDN w:val="0"/>
              <w:textAlignment w:val="baseline"/>
              <w:rPr>
                <w:rFonts w:ascii="Times New Roman" w:eastAsia="Times New Roman" w:hAnsi="Times New Roman"/>
                <w:sz w:val="20"/>
                <w:szCs w:val="20"/>
                <w:lang w:val="es-ES"/>
              </w:rPr>
            </w:pPr>
            <w:r w:rsidRPr="00045E69">
              <w:rPr>
                <w:rFonts w:ascii="Times New Roman" w:eastAsia="ヒラギノ角ゴ Pro W3" w:hAnsi="Times New Roman"/>
                <w:b/>
                <w:color w:val="000000"/>
                <w:sz w:val="20"/>
                <w:szCs w:val="20"/>
                <w:lang w:val="es-ES"/>
              </w:rPr>
              <w:t>Indicadores 5.5:</w:t>
            </w:r>
            <w:r w:rsidRPr="00045E69">
              <w:rPr>
                <w:rFonts w:ascii="Times New Roman" w:eastAsia="ヒラギノ角ゴ Pro W3" w:hAnsi="Times New Roman"/>
                <w:color w:val="000000"/>
                <w:sz w:val="20"/>
                <w:szCs w:val="20"/>
                <w:lang w:val="es-ES"/>
              </w:rPr>
              <w:t xml:space="preserve"> </w:t>
            </w:r>
            <w:r w:rsidRPr="00045E69">
              <w:rPr>
                <w:rFonts w:ascii="Times New Roman" w:eastAsia="Times New Roman" w:hAnsi="Times New Roman"/>
                <w:sz w:val="20"/>
                <w:szCs w:val="20"/>
                <w:lang w:val="es-ES"/>
              </w:rPr>
              <w:t>Análisis de vulnerabilidad realizado</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Año 1</w:t>
            </w: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r w:rsidRPr="00045E69">
              <w:rPr>
                <w:rFonts w:ascii="Times New Roman" w:eastAsia="ヒラギノ角ゴ Pro W3" w:hAnsi="Times New Roman"/>
                <w:color w:val="000000"/>
                <w:sz w:val="20"/>
                <w:szCs w:val="20"/>
                <w:lang w:val="es-ES"/>
              </w:rPr>
              <w:t>PMR, Informes de progreso UCP</w:t>
            </w:r>
          </w:p>
          <w:p w:rsidR="002C3973" w:rsidRPr="00045E69" w:rsidRDefault="002C3973" w:rsidP="00C82F81">
            <w:pPr>
              <w:suppressAutoHyphens/>
              <w:autoSpaceDN w:val="0"/>
              <w:spacing w:before="60" w:after="60"/>
              <w:textAlignment w:val="baseline"/>
              <w:rPr>
                <w:rFonts w:ascii="Times New Roman" w:eastAsia="ヒラギノ角ゴ Pro W3" w:hAnsi="Times New Roman"/>
                <w:color w:val="000000"/>
                <w:sz w:val="20"/>
                <w:szCs w:val="20"/>
                <w:lang w:val="es-ES"/>
              </w:rPr>
            </w:pPr>
          </w:p>
        </w:tc>
      </w:tr>
    </w:tbl>
    <w:p w:rsidR="002C3973" w:rsidRPr="00045E69" w:rsidRDefault="002C3973" w:rsidP="00C82F81">
      <w:pPr>
        <w:suppressAutoHyphens/>
        <w:autoSpaceDN w:val="0"/>
        <w:textAlignment w:val="baseline"/>
        <w:rPr>
          <w:rFonts w:ascii="Times New Roman" w:eastAsia="ヒラギノ角ゴ Pro W3" w:hAnsi="Times New Roman"/>
          <w:color w:val="000000"/>
          <w:szCs w:val="24"/>
          <w:lang w:val="es-ES"/>
        </w:rPr>
        <w:sectPr w:rsidR="002C3973" w:rsidRPr="00045E69">
          <w:pgSz w:w="15840" w:h="12240" w:orient="landscape"/>
          <w:pgMar w:top="1440" w:right="1440" w:bottom="1440" w:left="1440" w:header="720" w:footer="720" w:gutter="0"/>
          <w:cols w:space="720"/>
        </w:sectPr>
      </w:pPr>
    </w:p>
    <w:p w:rsidR="002C3973" w:rsidRPr="00045E69" w:rsidRDefault="002C3973" w:rsidP="00F6068F">
      <w:pPr>
        <w:suppressAutoHyphens/>
        <w:autoSpaceDN w:val="0"/>
        <w:spacing w:line="360" w:lineRule="auto"/>
        <w:textAlignment w:val="baseline"/>
        <w:rPr>
          <w:rFonts w:ascii="Times New Roman" w:eastAsia="ヒラギノ角ゴ Pro W3" w:hAnsi="Times New Roman"/>
          <w:b/>
          <w:color w:val="000000"/>
          <w:szCs w:val="24"/>
          <w:lang w:val="es-ES"/>
        </w:rPr>
      </w:pPr>
      <w:r w:rsidRPr="00045E69">
        <w:rPr>
          <w:rFonts w:ascii="Times New Roman" w:eastAsia="ヒラギノ角ゴ Pro W3" w:hAnsi="Times New Roman"/>
          <w:b/>
          <w:color w:val="000000"/>
          <w:szCs w:val="24"/>
          <w:lang w:val="es-ES"/>
        </w:rPr>
        <w:lastRenderedPageBreak/>
        <w:t>B. PRESENTACION DE INFORMES</w:t>
      </w:r>
    </w:p>
    <w:p w:rsidR="002C3973" w:rsidRPr="00045E69" w:rsidRDefault="002C3973" w:rsidP="00F6068F">
      <w:pPr>
        <w:tabs>
          <w:tab w:val="left" w:pos="2304"/>
        </w:tabs>
        <w:suppressAutoHyphens/>
        <w:autoSpaceDN w:val="0"/>
        <w:spacing w:before="100" w:after="120" w:line="360" w:lineRule="auto"/>
        <w:jc w:val="both"/>
        <w:textAlignment w:val="baseline"/>
        <w:rPr>
          <w:rFonts w:ascii="Times New Roman" w:eastAsia="Times New Roman" w:hAnsi="Times New Roman"/>
          <w:sz w:val="24"/>
          <w:szCs w:val="20"/>
          <w:lang w:val="es-ES"/>
        </w:rPr>
      </w:pPr>
      <w:r w:rsidRPr="00045E69">
        <w:rPr>
          <w:rFonts w:ascii="Times New Roman" w:eastAsia="Times New Roman" w:hAnsi="Times New Roman"/>
          <w:sz w:val="24"/>
          <w:szCs w:val="20"/>
          <w:lang w:val="es-ES"/>
        </w:rPr>
        <w:t xml:space="preserve">La SETUR </w:t>
      </w:r>
      <w:r w:rsidRPr="00045E69">
        <w:rPr>
          <w:rFonts w:ascii="Times New Roman" w:eastAsia="Times New Roman" w:hAnsi="Times New Roman"/>
          <w:sz w:val="24"/>
          <w:szCs w:val="24"/>
          <w:lang w:val="es-ES"/>
        </w:rPr>
        <w:t xml:space="preserve">presentará al Banco </w:t>
      </w:r>
      <w:r w:rsidRPr="00045E69">
        <w:rPr>
          <w:rFonts w:ascii="Times New Roman" w:eastAsia="Times New Roman" w:hAnsi="Times New Roman"/>
          <w:b/>
          <w:bCs/>
          <w:sz w:val="24"/>
          <w:szCs w:val="20"/>
          <w:lang w:val="es-ES"/>
        </w:rPr>
        <w:t>Informes Semestrales de Progreso.</w:t>
      </w:r>
      <w:r w:rsidRPr="00045E69">
        <w:rPr>
          <w:rFonts w:ascii="Times New Roman" w:eastAsia="Times New Roman" w:hAnsi="Times New Roman"/>
          <w:sz w:val="24"/>
          <w:szCs w:val="20"/>
          <w:lang w:val="es-ES"/>
        </w:rPr>
        <w:t xml:space="preserve"> Estos informes tienen por objeto presentar los avances en el PMR y resultados alcanzados en la ejecución del Plan Operativo Anual y del Plan de Adquisiciones, relativos al acompañamiento de los procesos de ejecución y desarrollo de desembolsos. El Informe de Progreso correspondiente al segundo semestre del año calendario deberá presentar una síntesis de los resultados alcanzados por Componentes (parciales y totales, cuando fuera el caso), analizando, los riesgos del Programa, de acuerdo a la Matriz de Riesgos del Programa. Debe presentar, también, una visión consolidada de las dificultades y de las lecciones aprendidas, así como las recomendaciones destinadas a retroalimentar el Programa. Dichos informes incluirán un capítulo destinado a la revisión de los aspectos ambientales y sociales del Programa, el cual incluirá los avances realizados en la implementación del Plan de Gestión Ambiental y Social, las dificultades para su implementación y las medidas correctivas, si fuera pertinente. Los Informes Semestrales de Progreso deberán ser presentados en un plazo máximo de 30 días después del cierre del semestre correspondiente.</w:t>
      </w:r>
    </w:p>
    <w:p w:rsidR="002C3973" w:rsidRPr="00045E69" w:rsidRDefault="002C3973" w:rsidP="00F6068F">
      <w:pPr>
        <w:suppressAutoHyphens/>
        <w:autoSpaceDE w:val="0"/>
        <w:autoSpaceDN w:val="0"/>
        <w:spacing w:after="0" w:line="360" w:lineRule="auto"/>
        <w:jc w:val="both"/>
        <w:textAlignment w:val="baseline"/>
        <w:rPr>
          <w:rFonts w:ascii="Times New Roman" w:eastAsia="ヒラギノ角ゴ Pro W3" w:hAnsi="Times New Roman"/>
          <w:color w:val="000000"/>
          <w:sz w:val="24"/>
          <w:szCs w:val="24"/>
          <w:lang w:val="es-ES"/>
        </w:rPr>
      </w:pPr>
    </w:p>
    <w:p w:rsidR="002C3973" w:rsidRPr="00045E69" w:rsidRDefault="002C3973" w:rsidP="00F6068F">
      <w:pPr>
        <w:suppressAutoHyphens/>
        <w:autoSpaceDE w:val="0"/>
        <w:autoSpaceDN w:val="0"/>
        <w:spacing w:after="0" w:line="360" w:lineRule="auto"/>
        <w:jc w:val="both"/>
        <w:textAlignment w:val="baseline"/>
        <w:rPr>
          <w:rFonts w:ascii="Times New Roman" w:eastAsia="ヒラギノ角ゴ Pro W3" w:hAnsi="Times New Roman"/>
          <w:color w:val="000000"/>
          <w:szCs w:val="24"/>
          <w:lang w:val="es-ES"/>
        </w:rPr>
      </w:pPr>
      <w:r w:rsidRPr="00045E69">
        <w:rPr>
          <w:rFonts w:ascii="Times New Roman" w:eastAsia="ヒラギノ角ゴ Pro W3" w:hAnsi="Times New Roman"/>
          <w:color w:val="000000"/>
          <w:sz w:val="24"/>
          <w:szCs w:val="24"/>
          <w:lang w:val="es-ES"/>
        </w:rPr>
        <w:t xml:space="preserve">El </w:t>
      </w:r>
      <w:r w:rsidRPr="00045E69">
        <w:rPr>
          <w:rFonts w:ascii="Times New Roman" w:eastAsia="ヒラギノ角ゴ Pro W3" w:hAnsi="Times New Roman"/>
          <w:b/>
          <w:color w:val="000000"/>
          <w:sz w:val="24"/>
          <w:szCs w:val="24"/>
          <w:lang w:val="es-ES"/>
        </w:rPr>
        <w:t>Plan Operativo Anual (POA)</w:t>
      </w:r>
      <w:r w:rsidRPr="00045E69">
        <w:rPr>
          <w:rFonts w:ascii="Times New Roman" w:eastAsia="ヒラギノ角ゴ Pro W3" w:hAnsi="Times New Roman"/>
          <w:color w:val="000000"/>
          <w:sz w:val="24"/>
          <w:szCs w:val="24"/>
          <w:lang w:val="es-ES"/>
        </w:rPr>
        <w:t xml:space="preserve"> consolida todas las actividades que serán desarrolladas durante determinado período de ejecución por producto y su cronograma </w:t>
      </w:r>
      <w:r w:rsidRPr="00045E69">
        <w:rPr>
          <w:rFonts w:ascii="Times New Roman" w:eastAsia="ヒラギノ角ゴ Pro W3" w:hAnsi="Times New Roman"/>
          <w:color w:val="000000"/>
          <w:sz w:val="24"/>
          <w:szCs w:val="24"/>
          <w:lang w:val="es-ES" w:eastAsia="pt-BR"/>
        </w:rPr>
        <w:t>físico-financiero. El primer POA alcanza el período de dieciocho</w:t>
      </w:r>
      <w:r w:rsidRPr="00045E69">
        <w:rPr>
          <w:rFonts w:ascii="Times New Roman" w:eastAsia="ヒラギノ角ゴ Pro W3" w:hAnsi="Times New Roman"/>
          <w:color w:val="000000"/>
          <w:sz w:val="24"/>
          <w:szCs w:val="24"/>
          <w:lang w:val="es-ES"/>
        </w:rPr>
        <w:t xml:space="preserve"> meses, contados a partir de la firma del Contrato de Préstamo. El POA siguiente abarcará el período inmediatamente posterior a la primera revisión, hasta el día 31 de diciembre del respectivo año. A partir de este evento, serán presentados POAs para cada año calendario (1º de enero a 31 de diciembre). Este documento deberá ser presentado al BID hasta el día 30 de noviembre del año anterior a su vigencia. La presentación del POA incluirá una actualización del </w:t>
      </w:r>
      <w:r w:rsidRPr="00045E69">
        <w:rPr>
          <w:rFonts w:ascii="Times New Roman" w:eastAsia="ヒラギノ角ゴ Pro W3" w:hAnsi="Times New Roman"/>
          <w:b/>
          <w:color w:val="000000"/>
          <w:sz w:val="24"/>
          <w:szCs w:val="24"/>
          <w:lang w:val="es-ES"/>
        </w:rPr>
        <w:t xml:space="preserve">Plan de Adquisiciones (PA). </w:t>
      </w:r>
      <w:r w:rsidRPr="00045E69">
        <w:rPr>
          <w:rFonts w:ascii="Times New Roman" w:eastAsia="ヒラギノ角ゴ Pro W3" w:hAnsi="Times New Roman"/>
          <w:color w:val="000000"/>
          <w:sz w:val="24"/>
          <w:szCs w:val="24"/>
          <w:lang w:val="es-ES"/>
        </w:rPr>
        <w:t>Este instrumento tiene por objeto presentar al Banco el detalle de todas las adquisiciones y contrataciones que serán efectuadas en determinado período de ejecución del Programa.</w:t>
      </w:r>
      <w:r w:rsidRPr="00045E69">
        <w:rPr>
          <w:rFonts w:ascii="Times New Roman" w:eastAsia="ヒラギノ角ゴ Pro W3" w:hAnsi="Times New Roman"/>
          <w:bCs/>
          <w:iCs/>
          <w:color w:val="000000"/>
          <w:sz w:val="24"/>
          <w:szCs w:val="24"/>
          <w:lang w:val="es-ES"/>
        </w:rPr>
        <w:t xml:space="preserve"> El</w:t>
      </w:r>
      <w:r w:rsidRPr="00045E69">
        <w:rPr>
          <w:rFonts w:ascii="Times New Roman" w:eastAsia="ヒラギノ角ゴ Pro W3" w:hAnsi="Times New Roman"/>
          <w:color w:val="000000"/>
          <w:sz w:val="24"/>
          <w:szCs w:val="24"/>
          <w:lang w:val="es-ES"/>
        </w:rPr>
        <w:t xml:space="preserve"> PA debe ser actualizado anualmente o cuando necesario, durante todo el período de ejecución del Programa.</w:t>
      </w:r>
    </w:p>
    <w:p w:rsidR="002C3973" w:rsidRPr="00045E69" w:rsidRDefault="002C3973" w:rsidP="00F6068F">
      <w:pPr>
        <w:pStyle w:val="Paragraph"/>
        <w:tabs>
          <w:tab w:val="clear" w:pos="720"/>
        </w:tabs>
        <w:spacing w:line="360" w:lineRule="auto"/>
        <w:ind w:left="0" w:firstLine="0"/>
        <w:rPr>
          <w:szCs w:val="24"/>
          <w:lang w:val="es-ES"/>
        </w:rPr>
      </w:pPr>
      <w:r w:rsidRPr="00045E69">
        <w:rPr>
          <w:rFonts w:eastAsia="Times New Roman"/>
          <w:bCs/>
          <w:szCs w:val="20"/>
          <w:lang w:val="es-ES"/>
        </w:rPr>
        <w:t>La</w:t>
      </w:r>
      <w:r w:rsidRPr="00045E69">
        <w:rPr>
          <w:rFonts w:eastAsia="Times New Roman"/>
          <w:szCs w:val="20"/>
          <w:lang w:val="es-ES"/>
        </w:rPr>
        <w:t xml:space="preserve"> SETUR </w:t>
      </w:r>
      <w:r w:rsidRPr="00045E69">
        <w:rPr>
          <w:rFonts w:eastAsia="Times New Roman"/>
          <w:bCs/>
          <w:szCs w:val="20"/>
          <w:lang w:val="es-ES"/>
        </w:rPr>
        <w:t>realizará d</w:t>
      </w:r>
      <w:r w:rsidRPr="00045E69">
        <w:rPr>
          <w:rFonts w:eastAsia="Times New Roman"/>
          <w:szCs w:val="20"/>
          <w:lang w:val="es-ES"/>
        </w:rPr>
        <w:t xml:space="preserve">urante la ejecución del Programa una </w:t>
      </w:r>
      <w:r w:rsidRPr="00045E69">
        <w:rPr>
          <w:rFonts w:eastAsia="Times New Roman"/>
          <w:b/>
          <w:szCs w:val="20"/>
          <w:lang w:val="es-ES"/>
        </w:rPr>
        <w:t>evaluación intermedia</w:t>
      </w:r>
      <w:r w:rsidRPr="00045E69">
        <w:rPr>
          <w:rFonts w:eastAsia="Times New Roman"/>
          <w:szCs w:val="20"/>
          <w:lang w:val="es-ES"/>
        </w:rPr>
        <w:t xml:space="preserve"> y una </w:t>
      </w:r>
      <w:r w:rsidRPr="00045E69">
        <w:rPr>
          <w:rFonts w:eastAsia="Times New Roman"/>
          <w:b/>
          <w:szCs w:val="20"/>
          <w:lang w:val="es-ES"/>
        </w:rPr>
        <w:t>evaluación final</w:t>
      </w:r>
      <w:r w:rsidRPr="00045E69">
        <w:rPr>
          <w:rFonts w:eastAsia="Times New Roman"/>
          <w:szCs w:val="20"/>
          <w:lang w:val="es-ES"/>
        </w:rPr>
        <w:t xml:space="preserve">. Los Términos de Referencia para la contratación de las evaluaciones deberán ser sometidos a la aprobación previa del BID y deberán enfocarse en los avances de los indicadores descriptos en la Matriz de Resultados. Las evaluaciones serán presentadas al BID en </w:t>
      </w:r>
      <w:r w:rsidRPr="00045E69">
        <w:rPr>
          <w:rFonts w:eastAsia="Times New Roman"/>
          <w:szCs w:val="20"/>
          <w:lang w:val="es-ES"/>
        </w:rPr>
        <w:lastRenderedPageBreak/>
        <w:t xml:space="preserve">los siguientes plazos: </w:t>
      </w:r>
      <w:r w:rsidRPr="00045E69">
        <w:rPr>
          <w:rFonts w:eastAsia="Times New Roman"/>
          <w:bCs/>
          <w:szCs w:val="20"/>
          <w:lang w:val="es-ES"/>
        </w:rPr>
        <w:t>Intermedia</w:t>
      </w:r>
      <w:r w:rsidRPr="00045E69">
        <w:rPr>
          <w:rFonts w:eastAsia="Times New Roman"/>
          <w:szCs w:val="20"/>
          <w:lang w:val="es-ES"/>
        </w:rPr>
        <w:t xml:space="preserve">, 90 días contados a partir de la fecha de compromiso del 50% de los recursos; y </w:t>
      </w:r>
      <w:r w:rsidRPr="00045E69">
        <w:rPr>
          <w:rFonts w:eastAsia="Times New Roman"/>
          <w:bCs/>
          <w:szCs w:val="20"/>
          <w:lang w:val="es-ES"/>
        </w:rPr>
        <w:t>Final</w:t>
      </w:r>
      <w:r w:rsidRPr="00045E69">
        <w:rPr>
          <w:rFonts w:eastAsia="Times New Roman"/>
          <w:szCs w:val="20"/>
          <w:lang w:val="es-ES"/>
        </w:rPr>
        <w:t>, a los 90 días contados a partir de la fecha en que se haya desembolsado el 90% de los recursos del préstamo.</w:t>
      </w:r>
      <w:r w:rsidRPr="00045E69">
        <w:rPr>
          <w:lang w:val="es-ES"/>
        </w:rPr>
        <w:t xml:space="preserve"> La evaluación final incluirá la medición del impacto inter-temporal en la economía local</w:t>
      </w:r>
      <w:r w:rsidRPr="00045E69">
        <w:rPr>
          <w:color w:val="000000" w:themeColor="text1"/>
          <w:lang w:val="es-ES"/>
        </w:rPr>
        <w:t xml:space="preserve">. </w:t>
      </w:r>
      <w:r w:rsidRPr="00045E69">
        <w:rPr>
          <w:lang w:val="es-ES"/>
        </w:rPr>
        <w:t>Las evaluaciones se realizarán de manera independiente y con recursos del préstamo.</w:t>
      </w:r>
    </w:p>
    <w:p w:rsidR="002C3973" w:rsidRPr="00045E69" w:rsidRDefault="002C3973" w:rsidP="00F6068F">
      <w:pPr>
        <w:tabs>
          <w:tab w:val="left" w:pos="2304"/>
        </w:tabs>
        <w:suppressAutoHyphens/>
        <w:autoSpaceDN w:val="0"/>
        <w:spacing w:before="120" w:after="120" w:line="360" w:lineRule="auto"/>
        <w:jc w:val="both"/>
        <w:textAlignment w:val="baseline"/>
        <w:rPr>
          <w:rFonts w:ascii="Times New Roman" w:eastAsia="Times New Roman" w:hAnsi="Times New Roman"/>
          <w:sz w:val="24"/>
          <w:szCs w:val="20"/>
          <w:lang w:val="es-ES"/>
        </w:rPr>
      </w:pPr>
    </w:p>
    <w:p w:rsidR="002C3973" w:rsidRPr="00045E69" w:rsidRDefault="002C3973" w:rsidP="00F6068F">
      <w:pPr>
        <w:suppressAutoHyphens/>
        <w:autoSpaceDN w:val="0"/>
        <w:spacing w:line="360" w:lineRule="auto"/>
        <w:textAlignment w:val="baseline"/>
        <w:rPr>
          <w:rFonts w:ascii="Times New Roman" w:eastAsia="ヒラギノ角ゴ Pro W3" w:hAnsi="Times New Roman"/>
          <w:b/>
          <w:color w:val="000000"/>
          <w:szCs w:val="24"/>
          <w:lang w:val="es-ES"/>
        </w:rPr>
      </w:pPr>
      <w:r w:rsidRPr="00045E69">
        <w:rPr>
          <w:rFonts w:ascii="Times New Roman" w:eastAsia="ヒラギノ角ゴ Pro W3" w:hAnsi="Times New Roman"/>
          <w:b/>
          <w:color w:val="000000"/>
          <w:szCs w:val="24"/>
          <w:lang w:val="es-ES"/>
        </w:rPr>
        <w:t>C. PLAN DE TRABAJO Y PRESUPUESTO</w:t>
      </w:r>
    </w:p>
    <w:p w:rsidR="002C3973" w:rsidRPr="00045E69" w:rsidRDefault="002C3973" w:rsidP="00F6068F">
      <w:pPr>
        <w:tabs>
          <w:tab w:val="left" w:pos="2304"/>
        </w:tabs>
        <w:suppressAutoHyphens/>
        <w:autoSpaceDN w:val="0"/>
        <w:spacing w:before="120" w:after="120" w:line="360" w:lineRule="auto"/>
        <w:jc w:val="both"/>
        <w:textAlignment w:val="baseline"/>
        <w:rPr>
          <w:rFonts w:ascii="Times New Roman" w:eastAsia="Times New Roman" w:hAnsi="Times New Roman"/>
          <w:bCs/>
          <w:sz w:val="24"/>
          <w:szCs w:val="20"/>
          <w:lang w:val="es-ES"/>
        </w:rPr>
        <w:sectPr w:rsidR="002C3973" w:rsidRPr="00045E69">
          <w:pgSz w:w="12240" w:h="15840"/>
          <w:pgMar w:top="1440" w:right="1440" w:bottom="1440" w:left="1440" w:header="720" w:footer="720" w:gutter="0"/>
          <w:cols w:space="720"/>
        </w:sectPr>
      </w:pPr>
      <w:r w:rsidRPr="00045E69">
        <w:rPr>
          <w:rFonts w:ascii="Times New Roman" w:eastAsia="Times New Roman" w:hAnsi="Times New Roman"/>
          <w:bCs/>
          <w:sz w:val="24"/>
          <w:szCs w:val="20"/>
          <w:lang w:val="es-ES"/>
        </w:rPr>
        <w:t>Las principales actividades relacionadas con el monitoreo del programa, su costo de implementación y el principal responsable están detalladas en la Tabla 2. Estas actividades son responsabilidad del Banco y de la unidad ejecutora y serán financiadas principalmente con recursos del programa, presupuestos de supervisión y presupuesto administrativo</w:t>
      </w:r>
    </w:p>
    <w:p w:rsidR="002C3973" w:rsidRPr="00045E69" w:rsidRDefault="002C3973" w:rsidP="00C82F81">
      <w:pPr>
        <w:suppressAutoHyphens/>
        <w:autoSpaceDN w:val="0"/>
        <w:jc w:val="center"/>
        <w:textAlignment w:val="baseline"/>
        <w:rPr>
          <w:rFonts w:ascii="Times New Roman" w:eastAsia="ヒラギノ角ゴ Pro W3" w:hAnsi="Times New Roman"/>
          <w:b/>
          <w:color w:val="000000"/>
          <w:sz w:val="18"/>
          <w:szCs w:val="18"/>
          <w:lang w:val="es-ES"/>
        </w:rPr>
      </w:pPr>
      <w:r w:rsidRPr="00045E69">
        <w:rPr>
          <w:rFonts w:ascii="Times New Roman" w:eastAsia="ヒラギノ角ゴ Pro W3" w:hAnsi="Times New Roman"/>
          <w:b/>
          <w:color w:val="000000"/>
          <w:sz w:val="18"/>
          <w:szCs w:val="18"/>
          <w:lang w:val="es-ES"/>
        </w:rPr>
        <w:lastRenderedPageBreak/>
        <w:t>Tabla 2. Plan de Trabajo del Monitoreo</w:t>
      </w:r>
    </w:p>
    <w:tbl>
      <w:tblPr>
        <w:tblW w:w="13739" w:type="dxa"/>
        <w:tblLayout w:type="fixed"/>
        <w:tblCellMar>
          <w:left w:w="10" w:type="dxa"/>
          <w:right w:w="10" w:type="dxa"/>
        </w:tblCellMar>
        <w:tblLook w:val="0000" w:firstRow="0" w:lastRow="0" w:firstColumn="0" w:lastColumn="0" w:noHBand="0" w:noVBand="0"/>
      </w:tblPr>
      <w:tblGrid>
        <w:gridCol w:w="2534"/>
        <w:gridCol w:w="354"/>
        <w:gridCol w:w="360"/>
        <w:gridCol w:w="270"/>
        <w:gridCol w:w="365"/>
        <w:gridCol w:w="360"/>
        <w:gridCol w:w="270"/>
        <w:gridCol w:w="360"/>
        <w:gridCol w:w="363"/>
        <w:gridCol w:w="357"/>
        <w:gridCol w:w="360"/>
        <w:gridCol w:w="360"/>
        <w:gridCol w:w="363"/>
        <w:gridCol w:w="337"/>
        <w:gridCol w:w="338"/>
        <w:gridCol w:w="337"/>
        <w:gridCol w:w="343"/>
        <w:gridCol w:w="311"/>
        <w:gridCol w:w="316"/>
        <w:gridCol w:w="316"/>
        <w:gridCol w:w="494"/>
        <w:gridCol w:w="812"/>
        <w:gridCol w:w="900"/>
        <w:gridCol w:w="2518"/>
        <w:gridCol w:w="41"/>
      </w:tblGrid>
      <w:tr w:rsidR="002C3973" w:rsidRPr="00045E69" w:rsidTr="00C82F81">
        <w:trPr>
          <w:gridAfter w:val="1"/>
          <w:wAfter w:w="41" w:type="dxa"/>
          <w:trHeight w:val="272"/>
        </w:trPr>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Next/>
              <w:suppressAutoHyphens/>
              <w:autoSpaceDE w:val="0"/>
              <w:autoSpaceDN w:val="0"/>
              <w:spacing w:before="20" w:after="20" w:line="240" w:lineRule="auto"/>
              <w:jc w:val="center"/>
              <w:textAlignment w:val="baseline"/>
              <w:rPr>
                <w:rFonts w:ascii="Times New Roman" w:hAnsi="Times New Roman"/>
                <w:b/>
                <w:bCs/>
                <w:spacing w:val="-3"/>
                <w:sz w:val="18"/>
                <w:szCs w:val="18"/>
                <w:lang w:val="es-ES"/>
              </w:rPr>
            </w:pPr>
            <w:r w:rsidRPr="00045E69">
              <w:rPr>
                <w:rFonts w:ascii="Times New Roman" w:hAnsi="Times New Roman"/>
                <w:b/>
                <w:bCs/>
                <w:spacing w:val="-3"/>
                <w:sz w:val="18"/>
                <w:szCs w:val="18"/>
                <w:lang w:val="es-ES"/>
              </w:rPr>
              <w:t>Actividades/ Productos por Actividad</w:t>
            </w:r>
          </w:p>
        </w:tc>
        <w:tc>
          <w:tcPr>
            <w:tcW w:w="134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Next/>
              <w:suppressAutoHyphens/>
              <w:autoSpaceDE w:val="0"/>
              <w:autoSpaceDN w:val="0"/>
              <w:spacing w:before="20" w:after="20" w:line="240" w:lineRule="auto"/>
              <w:jc w:val="center"/>
              <w:textAlignment w:val="baseline"/>
              <w:rPr>
                <w:rFonts w:ascii="Times New Roman" w:hAnsi="Times New Roman"/>
                <w:b/>
                <w:bCs/>
                <w:spacing w:val="-3"/>
                <w:sz w:val="18"/>
                <w:szCs w:val="18"/>
                <w:lang w:val="es-ES"/>
              </w:rPr>
            </w:pPr>
            <w:r w:rsidRPr="00045E69">
              <w:rPr>
                <w:rFonts w:ascii="Times New Roman" w:hAnsi="Times New Roman"/>
                <w:b/>
                <w:bCs/>
                <w:spacing w:val="-3"/>
                <w:sz w:val="18"/>
                <w:szCs w:val="18"/>
                <w:lang w:val="es-ES"/>
              </w:rPr>
              <w:t>Año 1</w:t>
            </w:r>
          </w:p>
        </w:tc>
        <w:tc>
          <w:tcPr>
            <w:tcW w:w="135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Next/>
              <w:suppressAutoHyphens/>
              <w:autoSpaceDE w:val="0"/>
              <w:autoSpaceDN w:val="0"/>
              <w:spacing w:before="20" w:after="20" w:line="240" w:lineRule="auto"/>
              <w:jc w:val="center"/>
              <w:textAlignment w:val="baseline"/>
              <w:rPr>
                <w:rFonts w:ascii="Times New Roman" w:hAnsi="Times New Roman"/>
                <w:b/>
                <w:bCs/>
                <w:spacing w:val="-3"/>
                <w:sz w:val="18"/>
                <w:szCs w:val="18"/>
                <w:lang w:val="es-ES"/>
              </w:rPr>
            </w:pPr>
            <w:r w:rsidRPr="00045E69">
              <w:rPr>
                <w:rFonts w:ascii="Times New Roman" w:hAnsi="Times New Roman"/>
                <w:b/>
                <w:bCs/>
                <w:spacing w:val="-3"/>
                <w:sz w:val="18"/>
                <w:szCs w:val="18"/>
                <w:lang w:val="es-ES"/>
              </w:rPr>
              <w:t>Año 2</w:t>
            </w:r>
          </w:p>
        </w:tc>
        <w:tc>
          <w:tcPr>
            <w:tcW w:w="144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Next/>
              <w:suppressAutoHyphens/>
              <w:autoSpaceDE w:val="0"/>
              <w:autoSpaceDN w:val="0"/>
              <w:spacing w:before="20" w:after="20" w:line="240" w:lineRule="auto"/>
              <w:jc w:val="center"/>
              <w:textAlignment w:val="baseline"/>
              <w:rPr>
                <w:rFonts w:ascii="Times New Roman" w:hAnsi="Times New Roman"/>
                <w:b/>
                <w:bCs/>
                <w:spacing w:val="-3"/>
                <w:sz w:val="18"/>
                <w:szCs w:val="18"/>
                <w:lang w:val="es-ES"/>
              </w:rPr>
            </w:pPr>
            <w:r w:rsidRPr="00045E69">
              <w:rPr>
                <w:rFonts w:ascii="Times New Roman" w:hAnsi="Times New Roman"/>
                <w:b/>
                <w:bCs/>
                <w:spacing w:val="-3"/>
                <w:sz w:val="18"/>
                <w:szCs w:val="18"/>
                <w:lang w:val="es-ES"/>
              </w:rPr>
              <w:t>Año 3</w:t>
            </w:r>
          </w:p>
        </w:tc>
        <w:tc>
          <w:tcPr>
            <w:tcW w:w="13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Next/>
              <w:suppressAutoHyphens/>
              <w:autoSpaceDE w:val="0"/>
              <w:autoSpaceDN w:val="0"/>
              <w:spacing w:before="20" w:after="20" w:line="240" w:lineRule="auto"/>
              <w:jc w:val="center"/>
              <w:textAlignment w:val="baseline"/>
              <w:rPr>
                <w:rFonts w:ascii="Times New Roman" w:hAnsi="Times New Roman"/>
                <w:b/>
                <w:bCs/>
                <w:spacing w:val="-3"/>
                <w:sz w:val="18"/>
                <w:szCs w:val="18"/>
                <w:lang w:val="es-ES"/>
              </w:rPr>
            </w:pPr>
            <w:r w:rsidRPr="00045E69">
              <w:rPr>
                <w:rFonts w:ascii="Times New Roman" w:hAnsi="Times New Roman"/>
                <w:b/>
                <w:bCs/>
                <w:spacing w:val="-3"/>
                <w:sz w:val="18"/>
                <w:szCs w:val="18"/>
                <w:lang w:val="es-ES"/>
              </w:rPr>
              <w:t>Año 4</w:t>
            </w: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Next/>
              <w:suppressAutoHyphens/>
              <w:autoSpaceDE w:val="0"/>
              <w:autoSpaceDN w:val="0"/>
              <w:spacing w:before="20" w:after="20" w:line="240" w:lineRule="auto"/>
              <w:jc w:val="center"/>
              <w:textAlignment w:val="baseline"/>
              <w:rPr>
                <w:rFonts w:ascii="Times New Roman" w:hAnsi="Times New Roman"/>
                <w:b/>
                <w:bCs/>
                <w:spacing w:val="-3"/>
                <w:sz w:val="18"/>
                <w:szCs w:val="18"/>
                <w:lang w:val="es-ES"/>
              </w:rPr>
            </w:pPr>
            <w:r w:rsidRPr="00045E69">
              <w:rPr>
                <w:rFonts w:ascii="Times New Roman" w:hAnsi="Times New Roman"/>
                <w:b/>
                <w:bCs/>
                <w:spacing w:val="-3"/>
                <w:sz w:val="18"/>
                <w:szCs w:val="18"/>
                <w:lang w:val="es-ES"/>
              </w:rPr>
              <w:t>Año 5</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2C3973" w:rsidRPr="00045E69" w:rsidRDefault="002C3973" w:rsidP="00C82F81">
            <w:pPr>
              <w:keepNext/>
              <w:suppressAutoHyphens/>
              <w:autoSpaceDE w:val="0"/>
              <w:autoSpaceDN w:val="0"/>
              <w:spacing w:before="20" w:after="20" w:line="240" w:lineRule="auto"/>
              <w:jc w:val="center"/>
              <w:textAlignment w:val="baseline"/>
              <w:rPr>
                <w:rFonts w:ascii="Times New Roman" w:hAnsi="Times New Roman"/>
                <w:b/>
                <w:bCs/>
                <w:spacing w:val="-3"/>
                <w:sz w:val="18"/>
                <w:szCs w:val="18"/>
                <w:lang w:val="es-ES"/>
              </w:rPr>
            </w:pPr>
            <w:r w:rsidRPr="00045E69">
              <w:rPr>
                <w:rFonts w:ascii="Times New Roman" w:hAnsi="Times New Roman"/>
                <w:b/>
                <w:bCs/>
                <w:spacing w:val="-3"/>
                <w:sz w:val="18"/>
                <w:szCs w:val="18"/>
                <w:lang w:val="es-ES"/>
              </w:rPr>
              <w:t>Resp.</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Next/>
              <w:suppressAutoHyphens/>
              <w:autoSpaceDE w:val="0"/>
              <w:autoSpaceDN w:val="0"/>
              <w:spacing w:before="20" w:after="20" w:line="240" w:lineRule="auto"/>
              <w:jc w:val="center"/>
              <w:textAlignment w:val="baseline"/>
              <w:rPr>
                <w:rFonts w:ascii="Times New Roman" w:hAnsi="Times New Roman"/>
                <w:b/>
                <w:bCs/>
                <w:spacing w:val="-3"/>
                <w:sz w:val="18"/>
                <w:szCs w:val="18"/>
                <w:lang w:val="es-ES"/>
              </w:rPr>
            </w:pPr>
            <w:r w:rsidRPr="00045E69">
              <w:rPr>
                <w:rFonts w:ascii="Times New Roman" w:hAnsi="Times New Roman"/>
                <w:b/>
                <w:bCs/>
                <w:spacing w:val="-3"/>
                <w:sz w:val="18"/>
                <w:szCs w:val="18"/>
                <w:lang w:val="es-ES"/>
              </w:rPr>
              <w:t>Costo</w:t>
            </w:r>
          </w:p>
        </w:tc>
        <w:tc>
          <w:tcPr>
            <w:tcW w:w="2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Next/>
              <w:suppressAutoHyphens/>
              <w:autoSpaceDE w:val="0"/>
              <w:autoSpaceDN w:val="0"/>
              <w:spacing w:before="20" w:after="20" w:line="240" w:lineRule="auto"/>
              <w:jc w:val="center"/>
              <w:textAlignment w:val="baseline"/>
              <w:rPr>
                <w:rFonts w:ascii="Times New Roman" w:hAnsi="Times New Roman"/>
                <w:b/>
                <w:bCs/>
                <w:spacing w:val="-3"/>
                <w:sz w:val="18"/>
                <w:szCs w:val="18"/>
                <w:lang w:val="es-ES"/>
              </w:rPr>
            </w:pPr>
            <w:r w:rsidRPr="00045E69">
              <w:rPr>
                <w:rFonts w:ascii="Times New Roman" w:hAnsi="Times New Roman"/>
                <w:b/>
                <w:bCs/>
                <w:spacing w:val="-3"/>
                <w:sz w:val="18"/>
                <w:szCs w:val="18"/>
                <w:lang w:val="es-ES"/>
              </w:rPr>
              <w:t>Fuente de Financiamiento</w:t>
            </w:r>
          </w:p>
        </w:tc>
      </w:tr>
      <w:tr w:rsidR="002C3973" w:rsidRPr="00045E69" w:rsidTr="00C82F81">
        <w:trPr>
          <w:trHeight w:val="366"/>
        </w:trPr>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ind w:left="360"/>
              <w:textAlignment w:val="baseline"/>
              <w:rPr>
                <w:rFonts w:ascii="Times New Roman" w:hAnsi="Times New Roman"/>
                <w:bCs/>
                <w:sz w:val="18"/>
                <w:szCs w:val="18"/>
                <w:lang w:val="es-ES"/>
              </w:rPr>
            </w:pPr>
          </w:p>
        </w:tc>
        <w:tc>
          <w:tcPr>
            <w:tcW w:w="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1</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2</w:t>
            </w: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3</w:t>
            </w:r>
          </w:p>
        </w:tc>
        <w:tc>
          <w:tcPr>
            <w:tcW w:w="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4</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1</w:t>
            </w: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2</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3</w:t>
            </w: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4</w:t>
            </w:r>
          </w:p>
        </w:tc>
        <w:tc>
          <w:tcPr>
            <w:tcW w:w="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1</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2</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3</w:t>
            </w: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4</w:t>
            </w: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1</w:t>
            </w:r>
          </w:p>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2</w:t>
            </w: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3</w:t>
            </w:r>
          </w:p>
        </w:tc>
        <w:tc>
          <w:tcPr>
            <w:tcW w:w="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4</w:t>
            </w:r>
          </w:p>
        </w:tc>
        <w:tc>
          <w:tcPr>
            <w:tcW w:w="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1</w:t>
            </w:r>
          </w:p>
        </w:tc>
        <w:tc>
          <w:tcPr>
            <w:tcW w:w="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2</w:t>
            </w:r>
          </w:p>
        </w:tc>
        <w:tc>
          <w:tcPr>
            <w:tcW w:w="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3</w:t>
            </w:r>
          </w:p>
        </w:tc>
        <w:tc>
          <w:tcPr>
            <w:tcW w:w="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4</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c>
          <w:tcPr>
            <w:tcW w:w="41" w:type="dxa"/>
            <w:shd w:val="clear" w:color="auto" w:fill="auto"/>
            <w:tcMar>
              <w:top w:w="0" w:type="dxa"/>
              <w:left w:w="10" w:type="dxa"/>
              <w:bottom w:w="0" w:type="dxa"/>
              <w:right w:w="10"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r>
      <w:tr w:rsidR="002C3973" w:rsidRPr="00045E69" w:rsidTr="00C82F81">
        <w:trPr>
          <w:trHeight w:val="272"/>
        </w:trPr>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ind w:left="360" w:hanging="270"/>
              <w:textAlignment w:val="baseline"/>
              <w:rPr>
                <w:rFonts w:ascii="Times New Roman" w:hAnsi="Times New Roman"/>
                <w:bCs/>
                <w:sz w:val="18"/>
                <w:szCs w:val="18"/>
                <w:lang w:val="es-ES"/>
              </w:rPr>
            </w:pPr>
            <w:r w:rsidRPr="00045E69">
              <w:rPr>
                <w:rFonts w:ascii="Times New Roman" w:hAnsi="Times New Roman"/>
                <w:bCs/>
                <w:sz w:val="18"/>
                <w:szCs w:val="18"/>
                <w:lang w:val="es-ES"/>
              </w:rPr>
              <w:t>Evaluación Intermedia</w:t>
            </w:r>
          </w:p>
        </w:tc>
        <w:tc>
          <w:tcPr>
            <w:tcW w:w="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p>
        </w:tc>
        <w:tc>
          <w:tcPr>
            <w:tcW w:w="4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r w:rsidRPr="00045E69">
              <w:rPr>
                <w:rFonts w:ascii="Times New Roman" w:hAnsi="Times New Roman"/>
                <w:bCs/>
                <w:sz w:val="18"/>
                <w:szCs w:val="18"/>
                <w:shd w:val="clear" w:color="auto" w:fill="00FF00"/>
                <w:lang w:val="es-ES"/>
              </w:rPr>
              <w:t>Consult.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$20,000</w:t>
            </w:r>
          </w:p>
        </w:tc>
        <w:tc>
          <w:tcPr>
            <w:tcW w:w="2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r w:rsidRPr="00045E69">
              <w:rPr>
                <w:rFonts w:ascii="Times New Roman" w:hAnsi="Times New Roman"/>
                <w:bCs/>
                <w:sz w:val="18"/>
                <w:szCs w:val="18"/>
                <w:lang w:val="es-ES"/>
              </w:rPr>
              <w:t>Presupuesto del programa</w:t>
            </w:r>
          </w:p>
        </w:tc>
        <w:tc>
          <w:tcPr>
            <w:tcW w:w="41" w:type="dxa"/>
            <w:shd w:val="clear" w:color="auto" w:fill="auto"/>
            <w:tcMar>
              <w:top w:w="0" w:type="dxa"/>
              <w:left w:w="10" w:type="dxa"/>
              <w:bottom w:w="0" w:type="dxa"/>
              <w:right w:w="10"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r>
      <w:tr w:rsidR="002C3973" w:rsidRPr="00045E69" w:rsidTr="00C82F81">
        <w:trPr>
          <w:trHeight w:val="272"/>
        </w:trPr>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ind w:left="360" w:hanging="270"/>
              <w:textAlignment w:val="baseline"/>
              <w:rPr>
                <w:rFonts w:ascii="Times New Roman" w:hAnsi="Times New Roman"/>
                <w:bCs/>
                <w:sz w:val="18"/>
                <w:szCs w:val="18"/>
                <w:lang w:val="es-ES"/>
              </w:rPr>
            </w:pPr>
            <w:r w:rsidRPr="00045E69">
              <w:rPr>
                <w:rFonts w:ascii="Times New Roman" w:hAnsi="Times New Roman"/>
                <w:bCs/>
                <w:sz w:val="18"/>
                <w:szCs w:val="18"/>
                <w:lang w:val="es-ES"/>
              </w:rPr>
              <w:t>Evaluación Final</w:t>
            </w:r>
          </w:p>
        </w:tc>
        <w:tc>
          <w:tcPr>
            <w:tcW w:w="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p>
        </w:tc>
        <w:tc>
          <w:tcPr>
            <w:tcW w:w="494" w:type="dxa"/>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shd w:val="clear" w:color="auto" w:fill="00FF00"/>
                <w:lang w:val="es-ES"/>
              </w:rPr>
            </w:pPr>
            <w:r w:rsidRPr="00045E69">
              <w:rPr>
                <w:rFonts w:ascii="Times New Roman" w:hAnsi="Times New Roman"/>
                <w:bCs/>
                <w:sz w:val="18"/>
                <w:szCs w:val="18"/>
                <w:shd w:val="clear" w:color="auto" w:fill="00FF00"/>
                <w:lang w:val="es-ES"/>
              </w:rPr>
              <w:t>Consult.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$20,000</w:t>
            </w:r>
          </w:p>
        </w:tc>
        <w:tc>
          <w:tcPr>
            <w:tcW w:w="2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r w:rsidRPr="00045E69">
              <w:rPr>
                <w:rFonts w:ascii="Times New Roman" w:hAnsi="Times New Roman"/>
                <w:bCs/>
                <w:sz w:val="18"/>
                <w:szCs w:val="18"/>
                <w:lang w:val="es-ES"/>
              </w:rPr>
              <w:t>Presupuesto del programa</w:t>
            </w:r>
          </w:p>
        </w:tc>
        <w:tc>
          <w:tcPr>
            <w:tcW w:w="41" w:type="dxa"/>
            <w:shd w:val="clear" w:color="auto" w:fill="auto"/>
            <w:tcMar>
              <w:top w:w="0" w:type="dxa"/>
              <w:left w:w="10" w:type="dxa"/>
              <w:bottom w:w="0" w:type="dxa"/>
              <w:right w:w="10"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r>
      <w:tr w:rsidR="002C3973" w:rsidRPr="00045E69" w:rsidTr="00C82F81">
        <w:trPr>
          <w:trHeight w:val="272"/>
        </w:trPr>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ind w:left="360" w:hanging="270"/>
              <w:textAlignment w:val="baseline"/>
              <w:rPr>
                <w:rFonts w:ascii="Times New Roman" w:hAnsi="Times New Roman"/>
                <w:bCs/>
                <w:sz w:val="18"/>
                <w:szCs w:val="18"/>
                <w:lang w:val="es-ES"/>
              </w:rPr>
            </w:pPr>
            <w:r w:rsidRPr="00045E69">
              <w:rPr>
                <w:rFonts w:ascii="Times New Roman" w:hAnsi="Times New Roman"/>
                <w:bCs/>
                <w:sz w:val="18"/>
                <w:szCs w:val="18"/>
                <w:lang w:val="es-ES"/>
              </w:rPr>
              <w:t>Visitas de Inspección</w:t>
            </w:r>
          </w:p>
        </w:tc>
        <w:tc>
          <w:tcPr>
            <w:tcW w:w="354"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5"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57"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8"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43"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1"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494" w:type="dxa"/>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BID</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$50,000</w:t>
            </w:r>
          </w:p>
        </w:tc>
        <w:tc>
          <w:tcPr>
            <w:tcW w:w="2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r w:rsidRPr="00045E69">
              <w:rPr>
                <w:rFonts w:ascii="Times New Roman" w:hAnsi="Times New Roman"/>
                <w:bCs/>
                <w:sz w:val="18"/>
                <w:szCs w:val="18"/>
                <w:lang w:val="es-ES"/>
              </w:rPr>
              <w:t xml:space="preserve">Presupuesto de supervisión </w:t>
            </w:r>
          </w:p>
        </w:tc>
        <w:tc>
          <w:tcPr>
            <w:tcW w:w="41" w:type="dxa"/>
            <w:shd w:val="clear" w:color="auto" w:fill="auto"/>
            <w:tcMar>
              <w:top w:w="0" w:type="dxa"/>
              <w:left w:w="10" w:type="dxa"/>
              <w:bottom w:w="0" w:type="dxa"/>
              <w:right w:w="10"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r>
      <w:tr w:rsidR="002C3973" w:rsidRPr="00045E69" w:rsidTr="00C82F81">
        <w:trPr>
          <w:trHeight w:val="272"/>
        </w:trPr>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ind w:left="360" w:hanging="270"/>
              <w:textAlignment w:val="baseline"/>
              <w:rPr>
                <w:rFonts w:ascii="Times New Roman" w:hAnsi="Times New Roman"/>
                <w:bCs/>
                <w:sz w:val="18"/>
                <w:szCs w:val="18"/>
                <w:lang w:val="es-ES"/>
              </w:rPr>
            </w:pPr>
            <w:r w:rsidRPr="00045E69">
              <w:rPr>
                <w:rFonts w:ascii="Times New Roman" w:hAnsi="Times New Roman"/>
                <w:bCs/>
                <w:sz w:val="18"/>
                <w:szCs w:val="18"/>
                <w:lang w:val="es-ES"/>
              </w:rPr>
              <w:t>Misiones de administración</w:t>
            </w:r>
          </w:p>
        </w:tc>
        <w:tc>
          <w:tcPr>
            <w:tcW w:w="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BID</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$10,000</w:t>
            </w:r>
          </w:p>
        </w:tc>
        <w:tc>
          <w:tcPr>
            <w:tcW w:w="2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r w:rsidRPr="00045E69">
              <w:rPr>
                <w:rFonts w:ascii="Times New Roman" w:hAnsi="Times New Roman"/>
                <w:bCs/>
                <w:sz w:val="18"/>
                <w:szCs w:val="18"/>
                <w:lang w:val="es-ES"/>
              </w:rPr>
              <w:t xml:space="preserve">Presupuesto de supervisión </w:t>
            </w:r>
          </w:p>
        </w:tc>
        <w:tc>
          <w:tcPr>
            <w:tcW w:w="41" w:type="dxa"/>
            <w:shd w:val="clear" w:color="auto" w:fill="auto"/>
            <w:tcMar>
              <w:top w:w="0" w:type="dxa"/>
              <w:left w:w="10" w:type="dxa"/>
              <w:bottom w:w="0" w:type="dxa"/>
              <w:right w:w="10"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r>
      <w:tr w:rsidR="002C3973" w:rsidRPr="00045E69" w:rsidTr="00C82F81">
        <w:trPr>
          <w:trHeight w:val="314"/>
        </w:trPr>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ind w:left="360" w:hanging="270"/>
              <w:textAlignment w:val="baseline"/>
              <w:rPr>
                <w:rFonts w:ascii="Times New Roman" w:hAnsi="Times New Roman"/>
                <w:bCs/>
                <w:sz w:val="18"/>
                <w:szCs w:val="18"/>
                <w:lang w:val="es-ES"/>
              </w:rPr>
            </w:pPr>
            <w:r w:rsidRPr="00045E69">
              <w:rPr>
                <w:rFonts w:ascii="Times New Roman" w:hAnsi="Times New Roman"/>
                <w:bCs/>
                <w:sz w:val="18"/>
                <w:szCs w:val="18"/>
                <w:lang w:val="es-ES"/>
              </w:rPr>
              <w:t>Supervisión continua UCP</w:t>
            </w:r>
          </w:p>
        </w:tc>
        <w:tc>
          <w:tcPr>
            <w:tcW w:w="354"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5"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5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8" w:type="dxa"/>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37" w:type="dxa"/>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43" w:type="dxa"/>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1" w:type="dxa"/>
            <w:tcBorders>
              <w:top w:val="single" w:sz="4" w:space="0" w:color="000000"/>
              <w:left w:val="single" w:sz="4" w:space="0" w:color="000000"/>
              <w:bottom w:val="single" w:sz="4" w:space="0" w:color="000000"/>
              <w:right w:val="single" w:sz="4" w:space="0" w:color="000000"/>
            </w:tcBorders>
            <w:shd w:val="clear" w:color="auto" w:fill="595959" w:themeFill="text1" w:themeFillTint="A6"/>
            <w:tcMar>
              <w:top w:w="0" w:type="dxa"/>
              <w:left w:w="108" w:type="dxa"/>
              <w:bottom w:w="0" w:type="dxa"/>
              <w:right w:w="108" w:type="dxa"/>
            </w:tcMar>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316" w:type="dxa"/>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494" w:type="dxa"/>
            <w:tcBorders>
              <w:top w:val="single" w:sz="4" w:space="0" w:color="000000"/>
              <w:left w:val="single" w:sz="4" w:space="0" w:color="000000"/>
              <w:bottom w:val="single" w:sz="4" w:space="0" w:color="000000"/>
              <w:right w:val="single" w:sz="4" w:space="0" w:color="000000"/>
            </w:tcBorders>
            <w:shd w:val="clear" w:color="auto" w:fill="595959" w:themeFill="text1" w:themeFillTint="A6"/>
            <w:vAlign w:val="center"/>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tcPr>
          <w:p w:rsidR="002C3973" w:rsidRPr="00045E69" w:rsidRDefault="002C3973" w:rsidP="00C82F81">
            <w:pPr>
              <w:keepLines/>
              <w:suppressAutoHyphens/>
              <w:autoSpaceDE w:val="0"/>
              <w:autoSpaceDN w:val="0"/>
              <w:spacing w:before="20" w:after="20" w:line="240" w:lineRule="auto"/>
              <w:jc w:val="center"/>
              <w:textAlignment w:val="baseline"/>
              <w:rPr>
                <w:rFonts w:ascii="Times New Roman" w:hAnsi="Times New Roman"/>
                <w:bCs/>
                <w:sz w:val="18"/>
                <w:szCs w:val="18"/>
                <w:lang w:val="es-ES"/>
              </w:rPr>
            </w:pPr>
            <w:r w:rsidRPr="00045E69">
              <w:rPr>
                <w:rFonts w:ascii="Times New Roman" w:hAnsi="Times New Roman"/>
                <w:bCs/>
                <w:sz w:val="18"/>
                <w:szCs w:val="18"/>
                <w:lang w:val="es-ES"/>
              </w:rPr>
              <w:t>UCP</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r w:rsidRPr="00045E69">
              <w:rPr>
                <w:rFonts w:ascii="Times New Roman" w:hAnsi="Times New Roman"/>
                <w:bCs/>
                <w:sz w:val="18"/>
                <w:szCs w:val="18"/>
                <w:lang w:val="es-ES"/>
              </w:rPr>
              <w:t>Presupuesto administrativo</w:t>
            </w:r>
          </w:p>
        </w:tc>
        <w:tc>
          <w:tcPr>
            <w:tcW w:w="41" w:type="dxa"/>
            <w:shd w:val="clear" w:color="auto" w:fill="auto"/>
            <w:tcMar>
              <w:top w:w="0" w:type="dxa"/>
              <w:left w:w="10" w:type="dxa"/>
              <w:bottom w:w="0" w:type="dxa"/>
              <w:right w:w="10" w:type="dxa"/>
            </w:tcMar>
          </w:tcPr>
          <w:p w:rsidR="002C3973" w:rsidRPr="00045E69" w:rsidRDefault="002C3973" w:rsidP="00C82F81">
            <w:pPr>
              <w:keepLines/>
              <w:suppressAutoHyphens/>
              <w:autoSpaceDE w:val="0"/>
              <w:autoSpaceDN w:val="0"/>
              <w:spacing w:before="20" w:after="20" w:line="240" w:lineRule="auto"/>
              <w:textAlignment w:val="baseline"/>
              <w:rPr>
                <w:rFonts w:ascii="Times New Roman" w:hAnsi="Times New Roman"/>
                <w:bCs/>
                <w:sz w:val="18"/>
                <w:szCs w:val="18"/>
                <w:lang w:val="es-ES"/>
              </w:rPr>
            </w:pPr>
          </w:p>
        </w:tc>
      </w:tr>
    </w:tbl>
    <w:p w:rsidR="002C3973" w:rsidRPr="00045E69" w:rsidRDefault="002C3973" w:rsidP="00C82F81">
      <w:pPr>
        <w:suppressAutoHyphens/>
        <w:autoSpaceDN w:val="0"/>
        <w:textAlignment w:val="baseline"/>
        <w:rPr>
          <w:rFonts w:ascii="Times New Roman" w:eastAsia="ヒラギノ角ゴ Pro W3" w:hAnsi="Times New Roman"/>
          <w:color w:val="000000"/>
          <w:sz w:val="18"/>
          <w:szCs w:val="18"/>
          <w:lang w:val="es-ES"/>
        </w:rPr>
      </w:pPr>
    </w:p>
    <w:p w:rsidR="002C3973" w:rsidRPr="00045E69" w:rsidRDefault="002C3973" w:rsidP="00C82F81">
      <w:pPr>
        <w:spacing w:after="0" w:line="240" w:lineRule="auto"/>
        <w:rPr>
          <w:rFonts w:ascii="Times New Roman" w:hAnsi="Times New Roman"/>
          <w:b/>
          <w:smallCaps/>
          <w:lang w:val="es-ES"/>
        </w:rPr>
      </w:pPr>
      <w:r w:rsidRPr="00045E69">
        <w:rPr>
          <w:rFonts w:ascii="Times New Roman" w:hAnsi="Times New Roman"/>
          <w:b/>
          <w:smallCaps/>
          <w:lang w:val="es-ES"/>
        </w:rPr>
        <w:br w:type="page"/>
      </w:r>
    </w:p>
    <w:p w:rsidR="002C3973" w:rsidRPr="00045E69" w:rsidRDefault="002C3973" w:rsidP="00C82F81">
      <w:pPr>
        <w:spacing w:after="0" w:line="360" w:lineRule="auto"/>
        <w:jc w:val="both"/>
        <w:rPr>
          <w:rFonts w:ascii="Times New Roman" w:hAnsi="Times New Roman"/>
          <w:lang w:val="es-ES"/>
        </w:rPr>
        <w:sectPr w:rsidR="002C3973" w:rsidRPr="00045E69" w:rsidSect="00C82F81">
          <w:footerReference w:type="default" r:id="rId9"/>
          <w:pgSz w:w="15840" w:h="12240" w:orient="landscape"/>
          <w:pgMar w:top="1627" w:right="1440" w:bottom="1440" w:left="1440" w:header="720" w:footer="720" w:gutter="0"/>
          <w:cols w:space="720"/>
          <w:docGrid w:linePitch="360"/>
        </w:sectPr>
      </w:pPr>
    </w:p>
    <w:p w:rsidR="002C3973" w:rsidRPr="00045E69" w:rsidRDefault="002C3973" w:rsidP="00C82F81">
      <w:pPr>
        <w:pStyle w:val="ColorfulList-Accent11"/>
        <w:spacing w:after="0" w:line="360" w:lineRule="auto"/>
        <w:ind w:left="0"/>
        <w:jc w:val="center"/>
        <w:rPr>
          <w:rFonts w:ascii="Times New Roman" w:hAnsi="Times New Roman"/>
          <w:b/>
          <w:smallCaps/>
          <w:lang w:val="es-ES"/>
        </w:rPr>
      </w:pPr>
      <w:r w:rsidRPr="00045E69">
        <w:rPr>
          <w:rFonts w:ascii="Times New Roman" w:hAnsi="Times New Roman"/>
          <w:b/>
          <w:smallCaps/>
          <w:lang w:val="es-ES"/>
        </w:rPr>
        <w:lastRenderedPageBreak/>
        <w:t>III. EX- POST PLAN de EVALUACIÓN</w:t>
      </w:r>
    </w:p>
    <w:p w:rsidR="002C3973" w:rsidRPr="00045E69" w:rsidRDefault="002C3973" w:rsidP="00C82F81">
      <w:pPr>
        <w:pStyle w:val="ColorfulList-Accent11"/>
        <w:spacing w:after="0" w:line="360" w:lineRule="auto"/>
        <w:ind w:left="0"/>
        <w:jc w:val="center"/>
        <w:rPr>
          <w:rFonts w:ascii="Times New Roman" w:hAnsi="Times New Roman"/>
          <w:lang w:val="es-ES"/>
        </w:rPr>
      </w:pPr>
    </w:p>
    <w:p w:rsidR="002C3973" w:rsidRPr="00045E69" w:rsidRDefault="004D04EF" w:rsidP="00C82F81">
      <w:pPr>
        <w:pStyle w:val="ColorfulList-Accent11"/>
        <w:numPr>
          <w:ilvl w:val="0"/>
          <w:numId w:val="29"/>
        </w:numPr>
        <w:spacing w:after="0" w:line="360" w:lineRule="auto"/>
        <w:rPr>
          <w:rFonts w:ascii="Times New Roman" w:hAnsi="Times New Roman"/>
          <w:b/>
          <w:color w:val="000000"/>
          <w:sz w:val="24"/>
          <w:szCs w:val="24"/>
          <w:lang w:val="es-ES"/>
        </w:rPr>
      </w:pPr>
      <w:r w:rsidRPr="00045E69">
        <w:rPr>
          <w:rFonts w:ascii="Times New Roman" w:hAnsi="Times New Roman"/>
          <w:b/>
          <w:color w:val="000000"/>
          <w:sz w:val="24"/>
          <w:szCs w:val="24"/>
          <w:lang w:val="es-ES"/>
        </w:rPr>
        <w:t>Introducción</w:t>
      </w:r>
      <w:r w:rsidR="002C3973" w:rsidRPr="00045E69">
        <w:rPr>
          <w:rFonts w:ascii="Times New Roman" w:hAnsi="Times New Roman"/>
          <w:b/>
          <w:color w:val="000000"/>
          <w:sz w:val="24"/>
          <w:szCs w:val="24"/>
          <w:lang w:val="es-ES"/>
        </w:rPr>
        <w:t xml:space="preserve"> </w:t>
      </w:r>
    </w:p>
    <w:p w:rsidR="005B6DE0" w:rsidRPr="00045E69" w:rsidRDefault="005B6DE0" w:rsidP="005B6DE0">
      <w:pPr>
        <w:pStyle w:val="ColorfulList-Accent11"/>
        <w:spacing w:after="0" w:line="360" w:lineRule="auto"/>
        <w:ind w:left="1080"/>
        <w:rPr>
          <w:rFonts w:ascii="Times New Roman" w:hAnsi="Times New Roman"/>
          <w:b/>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Este plan de ev</w:t>
      </w:r>
      <w:r w:rsidR="00C82F81" w:rsidRPr="00045E69">
        <w:rPr>
          <w:rFonts w:ascii="Times New Roman" w:hAnsi="Times New Roman"/>
          <w:color w:val="000000"/>
          <w:sz w:val="24"/>
          <w:szCs w:val="24"/>
          <w:lang w:val="es-ES"/>
        </w:rPr>
        <w:t>aluación de impacto describe las metodologías</w:t>
      </w:r>
      <w:r w:rsidRPr="00045E69">
        <w:rPr>
          <w:rFonts w:ascii="Times New Roman" w:hAnsi="Times New Roman"/>
          <w:color w:val="000000"/>
          <w:sz w:val="24"/>
          <w:szCs w:val="24"/>
          <w:lang w:val="es-ES"/>
        </w:rPr>
        <w:t xml:space="preserve"> </w:t>
      </w:r>
      <w:r w:rsidR="00C82F81" w:rsidRPr="00045E69">
        <w:rPr>
          <w:rFonts w:ascii="Times New Roman" w:hAnsi="Times New Roman"/>
          <w:color w:val="000000"/>
          <w:sz w:val="24"/>
          <w:szCs w:val="24"/>
          <w:lang w:val="es-ES"/>
        </w:rPr>
        <w:t xml:space="preserve">que serán implementadas </w:t>
      </w:r>
      <w:r w:rsidRPr="00045E69">
        <w:rPr>
          <w:rFonts w:ascii="Times New Roman" w:hAnsi="Times New Roman"/>
          <w:color w:val="000000"/>
          <w:sz w:val="24"/>
          <w:szCs w:val="24"/>
          <w:lang w:val="es-ES"/>
        </w:rPr>
        <w:t xml:space="preserve">para evaluar cómo el sector </w:t>
      </w:r>
      <w:r w:rsidR="00C82F81" w:rsidRPr="00045E69">
        <w:rPr>
          <w:rFonts w:ascii="Times New Roman" w:hAnsi="Times New Roman"/>
          <w:color w:val="000000"/>
          <w:sz w:val="24"/>
          <w:szCs w:val="24"/>
          <w:lang w:val="es-ES"/>
        </w:rPr>
        <w:t>turístico de ES se desarrolla durante</w:t>
      </w:r>
      <w:r w:rsidRPr="00045E69">
        <w:rPr>
          <w:rFonts w:ascii="Times New Roman" w:hAnsi="Times New Roman"/>
          <w:color w:val="000000"/>
          <w:sz w:val="24"/>
          <w:szCs w:val="24"/>
          <w:lang w:val="es-ES"/>
        </w:rPr>
        <w:t xml:space="preserve"> el transcurso de la ejecución de Prodetur-ES. En concreto, la</w:t>
      </w:r>
      <w:r w:rsidR="00C82F81" w:rsidRPr="00045E69">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metodología</w:t>
      </w:r>
      <w:r w:rsidR="00C82F81" w:rsidRPr="00045E69">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desarrollada</w:t>
      </w:r>
      <w:r w:rsidR="00C82F81" w:rsidRPr="00045E69">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en este documento busca</w:t>
      </w:r>
      <w:r w:rsidR="00C82F81" w:rsidRPr="00045E69">
        <w:rPr>
          <w:rFonts w:ascii="Times New Roman" w:hAnsi="Times New Roman"/>
          <w:color w:val="000000"/>
          <w:sz w:val="24"/>
          <w:szCs w:val="24"/>
          <w:lang w:val="es-ES"/>
        </w:rPr>
        <w:t>n</w:t>
      </w:r>
      <w:r w:rsidRPr="00045E69">
        <w:rPr>
          <w:rFonts w:ascii="Times New Roman" w:hAnsi="Times New Roman"/>
          <w:color w:val="000000"/>
          <w:sz w:val="24"/>
          <w:szCs w:val="24"/>
          <w:lang w:val="es-ES"/>
        </w:rPr>
        <w:t xml:space="preserve"> entender la contribución específic</w:t>
      </w:r>
      <w:r w:rsidR="00C82F81" w:rsidRPr="00045E69">
        <w:rPr>
          <w:rFonts w:ascii="Times New Roman" w:hAnsi="Times New Roman"/>
          <w:color w:val="000000"/>
          <w:sz w:val="24"/>
          <w:szCs w:val="24"/>
          <w:lang w:val="es-ES"/>
        </w:rPr>
        <w:t>a del programa de inversión a</w:t>
      </w:r>
      <w:r w:rsidRPr="00045E69">
        <w:rPr>
          <w:rFonts w:ascii="Times New Roman" w:hAnsi="Times New Roman"/>
          <w:color w:val="000000"/>
          <w:sz w:val="24"/>
          <w:szCs w:val="24"/>
          <w:lang w:val="es-ES"/>
        </w:rPr>
        <w:t xml:space="preserve"> la economía de la Región Me</w:t>
      </w:r>
      <w:r w:rsidR="001E6D01">
        <w:rPr>
          <w:rFonts w:ascii="Times New Roman" w:hAnsi="Times New Roman"/>
          <w:color w:val="000000"/>
          <w:sz w:val="24"/>
          <w:szCs w:val="24"/>
          <w:lang w:val="es-ES"/>
        </w:rPr>
        <w:t>tropolitana de Vitória (RMV) y a</w:t>
      </w:r>
      <w:r w:rsidRPr="00045E69">
        <w:rPr>
          <w:rFonts w:ascii="Times New Roman" w:hAnsi="Times New Roman"/>
          <w:color w:val="000000"/>
          <w:sz w:val="24"/>
          <w:szCs w:val="24"/>
          <w:lang w:val="es-ES"/>
        </w:rPr>
        <w:t xml:space="preserve">l estado de ES. </w:t>
      </w:r>
    </w:p>
    <w:p w:rsidR="00C82F81" w:rsidRPr="00045E69" w:rsidRDefault="00C82F81"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La sección que sigue resume el enfoque </w:t>
      </w:r>
      <w:r w:rsidR="00C82F81" w:rsidRPr="00045E69">
        <w:rPr>
          <w:rFonts w:ascii="Times New Roman" w:hAnsi="Times New Roman"/>
          <w:color w:val="000000"/>
          <w:sz w:val="24"/>
          <w:szCs w:val="24"/>
          <w:lang w:val="es-ES"/>
        </w:rPr>
        <w:t>de Prodetur-ES</w:t>
      </w:r>
      <w:r w:rsidR="005B6DE0" w:rsidRPr="00045E69">
        <w:rPr>
          <w:rFonts w:ascii="Times New Roman" w:hAnsi="Times New Roman"/>
          <w:color w:val="000000"/>
          <w:sz w:val="24"/>
          <w:szCs w:val="24"/>
          <w:lang w:val="es-ES"/>
        </w:rPr>
        <w:t>. Sección 3 se presenta</w:t>
      </w:r>
      <w:r w:rsidRPr="00045E69">
        <w:rPr>
          <w:rFonts w:ascii="Times New Roman" w:hAnsi="Times New Roman"/>
          <w:color w:val="000000"/>
          <w:sz w:val="24"/>
          <w:szCs w:val="24"/>
          <w:lang w:val="es-ES"/>
        </w:rPr>
        <w:t xml:space="preserve"> los aspectos más destacados del </w:t>
      </w:r>
      <w:r w:rsidR="001E6D01">
        <w:rPr>
          <w:rFonts w:ascii="Times New Roman" w:hAnsi="Times New Roman"/>
          <w:color w:val="000000"/>
          <w:sz w:val="24"/>
          <w:szCs w:val="24"/>
          <w:lang w:val="es-ES"/>
        </w:rPr>
        <w:t>análisis ex-ante del programa. La s</w:t>
      </w:r>
      <w:r w:rsidRPr="00045E69">
        <w:rPr>
          <w:rFonts w:ascii="Times New Roman" w:hAnsi="Times New Roman"/>
          <w:color w:val="000000"/>
          <w:sz w:val="24"/>
          <w:szCs w:val="24"/>
          <w:lang w:val="es-ES"/>
        </w:rPr>
        <w:t xml:space="preserve">ección </w:t>
      </w:r>
      <w:r w:rsidR="005B6DE0" w:rsidRPr="00045E69">
        <w:rPr>
          <w:rFonts w:ascii="Times New Roman" w:hAnsi="Times New Roman"/>
          <w:color w:val="000000"/>
          <w:sz w:val="24"/>
          <w:szCs w:val="24"/>
          <w:lang w:val="es-ES"/>
        </w:rPr>
        <w:t>4</w:t>
      </w:r>
      <w:r w:rsidRPr="00045E69">
        <w:rPr>
          <w:rFonts w:ascii="Times New Roman" w:hAnsi="Times New Roman"/>
          <w:color w:val="000000"/>
          <w:sz w:val="24"/>
          <w:szCs w:val="24"/>
          <w:lang w:val="es-ES"/>
        </w:rPr>
        <w:t xml:space="preserve"> se detalla la </w:t>
      </w:r>
      <w:r w:rsidR="001E6D01" w:rsidRPr="00045E69">
        <w:rPr>
          <w:rFonts w:ascii="Times New Roman" w:hAnsi="Times New Roman"/>
          <w:color w:val="000000"/>
          <w:sz w:val="24"/>
          <w:szCs w:val="24"/>
          <w:lang w:val="es-ES"/>
        </w:rPr>
        <w:t>estrate</w:t>
      </w:r>
      <w:r w:rsidR="001E6D01">
        <w:rPr>
          <w:rFonts w:ascii="Times New Roman" w:hAnsi="Times New Roman"/>
          <w:color w:val="000000"/>
          <w:sz w:val="24"/>
          <w:szCs w:val="24"/>
          <w:lang w:val="es-ES"/>
        </w:rPr>
        <w:t>g</w:t>
      </w:r>
      <w:r w:rsidR="001E6D01" w:rsidRPr="00045E69">
        <w:rPr>
          <w:rFonts w:ascii="Times New Roman" w:hAnsi="Times New Roman"/>
          <w:color w:val="000000"/>
          <w:sz w:val="24"/>
          <w:szCs w:val="24"/>
          <w:lang w:val="es-ES"/>
        </w:rPr>
        <w:t>ia</w:t>
      </w:r>
      <w:r w:rsidRPr="00045E69">
        <w:rPr>
          <w:rFonts w:ascii="Times New Roman" w:hAnsi="Times New Roman"/>
          <w:color w:val="000000"/>
          <w:sz w:val="24"/>
          <w:szCs w:val="24"/>
          <w:lang w:val="es-ES"/>
        </w:rPr>
        <w:t xml:space="preserve"> de evaluación de impacto ex-post, incluyendo las cuestiones de evaluación y los tres enfoques metodológicos: </w:t>
      </w:r>
      <w:r w:rsidR="005B6DE0" w:rsidRPr="00045E69">
        <w:rPr>
          <w:rFonts w:ascii="Times New Roman" w:hAnsi="Times New Roman"/>
          <w:color w:val="000000"/>
          <w:sz w:val="24"/>
          <w:szCs w:val="24"/>
          <w:lang w:val="es-ES"/>
        </w:rPr>
        <w:t xml:space="preserve">el </w:t>
      </w:r>
      <w:r w:rsidRPr="00045E69">
        <w:rPr>
          <w:rFonts w:ascii="Times New Roman" w:hAnsi="Times New Roman"/>
          <w:color w:val="000000"/>
          <w:sz w:val="24"/>
          <w:szCs w:val="24"/>
          <w:lang w:val="es-ES"/>
        </w:rPr>
        <w:t xml:space="preserve">análisis micro-matriz de contabilidad social, </w:t>
      </w:r>
      <w:r w:rsidR="001E6D01">
        <w:rPr>
          <w:rFonts w:ascii="Times New Roman" w:hAnsi="Times New Roman"/>
          <w:color w:val="000000"/>
          <w:sz w:val="24"/>
          <w:szCs w:val="24"/>
          <w:lang w:val="es-ES"/>
        </w:rPr>
        <w:t xml:space="preserve">el </w:t>
      </w:r>
      <w:r w:rsidRPr="00045E69">
        <w:rPr>
          <w:rFonts w:ascii="Times New Roman" w:hAnsi="Times New Roman"/>
          <w:color w:val="000000"/>
          <w:sz w:val="24"/>
          <w:szCs w:val="24"/>
          <w:lang w:val="es-ES"/>
        </w:rPr>
        <w:t xml:space="preserve">análisis de descomposición con un modelo </w:t>
      </w:r>
      <w:r w:rsidR="005B6DE0" w:rsidRPr="00045E69">
        <w:rPr>
          <w:rFonts w:ascii="Times New Roman" w:hAnsi="Times New Roman"/>
          <w:color w:val="000000"/>
          <w:sz w:val="24"/>
          <w:szCs w:val="24"/>
          <w:lang w:val="es-ES"/>
        </w:rPr>
        <w:t xml:space="preserve">dinámico </w:t>
      </w:r>
      <w:r w:rsidRPr="00045E69">
        <w:rPr>
          <w:rFonts w:ascii="Times New Roman" w:hAnsi="Times New Roman"/>
          <w:color w:val="000000"/>
          <w:sz w:val="24"/>
          <w:szCs w:val="24"/>
          <w:lang w:val="es-ES"/>
        </w:rPr>
        <w:t>de equilibrio general computable</w:t>
      </w:r>
      <w:r w:rsidR="005B6DE0" w:rsidRPr="00045E69">
        <w:rPr>
          <w:rFonts w:ascii="Times New Roman" w:hAnsi="Times New Roman"/>
          <w:color w:val="000000"/>
          <w:sz w:val="24"/>
          <w:szCs w:val="24"/>
          <w:lang w:val="es-ES"/>
        </w:rPr>
        <w:t xml:space="preserve">, y </w:t>
      </w:r>
      <w:r w:rsidR="001E6D01">
        <w:rPr>
          <w:rFonts w:ascii="Times New Roman" w:hAnsi="Times New Roman"/>
          <w:color w:val="000000"/>
          <w:sz w:val="24"/>
          <w:szCs w:val="24"/>
          <w:lang w:val="es-ES"/>
        </w:rPr>
        <w:t xml:space="preserve">el análisis de </w:t>
      </w:r>
      <w:r w:rsidRPr="00045E69">
        <w:rPr>
          <w:rFonts w:ascii="Times New Roman" w:hAnsi="Times New Roman"/>
          <w:color w:val="000000"/>
          <w:sz w:val="24"/>
          <w:szCs w:val="24"/>
          <w:lang w:val="es-ES"/>
        </w:rPr>
        <w:t xml:space="preserve">control sintético. </w:t>
      </w:r>
      <w:r w:rsidR="001E6D01">
        <w:rPr>
          <w:rFonts w:ascii="Times New Roman" w:hAnsi="Times New Roman"/>
          <w:color w:val="000000"/>
          <w:sz w:val="24"/>
          <w:szCs w:val="24"/>
          <w:lang w:val="es-ES"/>
        </w:rPr>
        <w:t>La sección 5</w:t>
      </w:r>
      <w:r w:rsidRPr="00045E69">
        <w:rPr>
          <w:rFonts w:ascii="Times New Roman" w:hAnsi="Times New Roman"/>
          <w:color w:val="000000"/>
          <w:sz w:val="24"/>
          <w:szCs w:val="24"/>
          <w:lang w:val="es-ES"/>
        </w:rPr>
        <w:t xml:space="preserve"> concluye el plan con una visión preliminar de cómo se coordinarán los esfuerzos y el presupuesto</w:t>
      </w:r>
      <w:r w:rsidR="001E6D01">
        <w:rPr>
          <w:rFonts w:ascii="Times New Roman" w:hAnsi="Times New Roman"/>
          <w:color w:val="000000"/>
          <w:sz w:val="24"/>
          <w:szCs w:val="24"/>
          <w:lang w:val="es-ES"/>
        </w:rPr>
        <w:t xml:space="preserve"> del plan de evaluación</w:t>
      </w:r>
      <w:r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1080"/>
        <w:jc w:val="both"/>
        <w:rPr>
          <w:rFonts w:ascii="Times New Roman" w:hAnsi="Times New Roman"/>
          <w:b/>
          <w:color w:val="000000"/>
          <w:sz w:val="24"/>
          <w:szCs w:val="24"/>
          <w:lang w:val="es-ES"/>
        </w:rPr>
      </w:pPr>
    </w:p>
    <w:p w:rsidR="002C3973" w:rsidRPr="00045E69" w:rsidRDefault="001E6D01" w:rsidP="00C82F81">
      <w:pPr>
        <w:pStyle w:val="ColorfulList-Accent11"/>
        <w:numPr>
          <w:ilvl w:val="0"/>
          <w:numId w:val="29"/>
        </w:numPr>
        <w:spacing w:after="0" w:line="360" w:lineRule="auto"/>
        <w:jc w:val="both"/>
        <w:rPr>
          <w:rFonts w:ascii="Times New Roman" w:hAnsi="Times New Roman"/>
          <w:b/>
          <w:color w:val="000000"/>
          <w:sz w:val="24"/>
          <w:szCs w:val="24"/>
          <w:lang w:val="es-ES"/>
        </w:rPr>
      </w:pPr>
      <w:r>
        <w:rPr>
          <w:rFonts w:ascii="Times New Roman" w:hAnsi="Times New Roman"/>
          <w:b/>
          <w:color w:val="000000"/>
          <w:sz w:val="24"/>
          <w:szCs w:val="24"/>
          <w:lang w:val="es-ES"/>
        </w:rPr>
        <w:t>Una v</w:t>
      </w:r>
      <w:r w:rsidR="002C3973" w:rsidRPr="00045E69">
        <w:rPr>
          <w:rFonts w:ascii="Times New Roman" w:hAnsi="Times New Roman"/>
          <w:b/>
          <w:color w:val="000000"/>
          <w:sz w:val="24"/>
          <w:szCs w:val="24"/>
          <w:lang w:val="es-ES"/>
        </w:rPr>
        <w:t>isión general de Prodetur-ES</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objetivo de Prodetur-ES es aumentar el empleo formal y el ingreso a través de un mejor uso de los recursos naturales y culturales con fines turísticos. El ámbito geográfico del programa es la RMV - el </w:t>
      </w:r>
      <w:r w:rsidR="001E6D01">
        <w:rPr>
          <w:rFonts w:ascii="Times New Roman" w:hAnsi="Times New Roman"/>
          <w:color w:val="000000"/>
          <w:sz w:val="24"/>
          <w:szCs w:val="24"/>
          <w:lang w:val="es-ES"/>
        </w:rPr>
        <w:t xml:space="preserve">punto de entrada principal y </w:t>
      </w:r>
      <w:r w:rsidRPr="00045E69">
        <w:rPr>
          <w:rFonts w:ascii="Times New Roman" w:hAnsi="Times New Roman"/>
          <w:color w:val="000000"/>
          <w:sz w:val="24"/>
          <w:szCs w:val="24"/>
          <w:lang w:val="es-ES"/>
        </w:rPr>
        <w:t xml:space="preserve">destino para el turismo </w:t>
      </w:r>
      <w:r w:rsidR="005B6DE0" w:rsidRPr="00045E69">
        <w:rPr>
          <w:rFonts w:ascii="Times New Roman" w:hAnsi="Times New Roman"/>
          <w:color w:val="000000"/>
          <w:sz w:val="24"/>
          <w:szCs w:val="24"/>
          <w:lang w:val="es-ES"/>
        </w:rPr>
        <w:t>d</w:t>
      </w:r>
      <w:r w:rsidRPr="00045E69">
        <w:rPr>
          <w:rFonts w:ascii="Times New Roman" w:hAnsi="Times New Roman"/>
          <w:color w:val="000000"/>
          <w:sz w:val="24"/>
          <w:szCs w:val="24"/>
          <w:lang w:val="es-ES"/>
        </w:rPr>
        <w:t>el estado de ES</w:t>
      </w:r>
      <w:r w:rsidR="001E6D01">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que recibe actualmente el 52% de todas las llegadas </w:t>
      </w:r>
      <w:r w:rsidR="00045E69" w:rsidRPr="00045E69">
        <w:rPr>
          <w:rFonts w:ascii="Times New Roman" w:hAnsi="Times New Roman"/>
          <w:color w:val="000000"/>
          <w:sz w:val="24"/>
          <w:szCs w:val="24"/>
          <w:lang w:val="es-ES"/>
        </w:rPr>
        <w:t>turísticas</w:t>
      </w:r>
      <w:r w:rsidRPr="00045E69">
        <w:rPr>
          <w:rFonts w:ascii="Times New Roman" w:hAnsi="Times New Roman"/>
          <w:color w:val="000000"/>
          <w:sz w:val="24"/>
          <w:szCs w:val="24"/>
          <w:lang w:val="es-ES"/>
        </w:rPr>
        <w:t>. Siete municipios comprenden la RMV, es decir, Vitoria, Vila Velha, Serra, Viana, Guarapari, Fundão y Cariacica donde reside el 46% (1,3 millones) de la población del estado</w:t>
      </w:r>
      <w:r w:rsidR="001E6D01">
        <w:rPr>
          <w:rFonts w:ascii="Times New Roman" w:hAnsi="Times New Roman"/>
          <w:color w:val="000000"/>
          <w:sz w:val="24"/>
          <w:szCs w:val="24"/>
          <w:lang w:val="es-ES"/>
        </w:rPr>
        <w:t xml:space="preserve"> de ES</w:t>
      </w:r>
      <w:r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Más del 86</w:t>
      </w:r>
      <w:r w:rsidR="001E6D01">
        <w:rPr>
          <w:rFonts w:ascii="Times New Roman" w:hAnsi="Times New Roman"/>
          <w:color w:val="000000"/>
          <w:sz w:val="24"/>
          <w:szCs w:val="24"/>
          <w:lang w:val="es-ES"/>
        </w:rPr>
        <w:t>% de los visitantes nacionales, o 97,8 % del total de visitantes,</w:t>
      </w:r>
      <w:r w:rsidRPr="00045E69">
        <w:rPr>
          <w:rFonts w:ascii="Times New Roman" w:hAnsi="Times New Roman"/>
          <w:color w:val="000000"/>
          <w:sz w:val="24"/>
          <w:szCs w:val="24"/>
          <w:lang w:val="es-ES"/>
        </w:rPr>
        <w:t xml:space="preserve"> provienen del interior de los estados</w:t>
      </w:r>
      <w:r w:rsidR="005B6DE0" w:rsidRPr="00045E69">
        <w:rPr>
          <w:rFonts w:ascii="Times New Roman" w:hAnsi="Times New Roman"/>
          <w:color w:val="000000"/>
          <w:sz w:val="24"/>
          <w:szCs w:val="24"/>
          <w:lang w:val="es-ES"/>
        </w:rPr>
        <w:t xml:space="preserve"> o de los estados</w:t>
      </w:r>
      <w:r w:rsidRPr="00045E69">
        <w:rPr>
          <w:rFonts w:ascii="Times New Roman" w:hAnsi="Times New Roman"/>
          <w:color w:val="000000"/>
          <w:sz w:val="24"/>
          <w:szCs w:val="24"/>
          <w:lang w:val="es-ES"/>
        </w:rPr>
        <w:t xml:space="preserve"> adyacentes</w:t>
      </w:r>
      <w:r w:rsidR="001E6D01">
        <w:rPr>
          <w:rFonts w:ascii="Times New Roman" w:hAnsi="Times New Roman"/>
          <w:color w:val="000000"/>
          <w:sz w:val="24"/>
          <w:szCs w:val="24"/>
          <w:lang w:val="es-ES"/>
        </w:rPr>
        <w:t xml:space="preserve">. Aproximadamente </w:t>
      </w:r>
      <w:r w:rsidRPr="00045E69">
        <w:rPr>
          <w:rFonts w:ascii="Times New Roman" w:hAnsi="Times New Roman"/>
          <w:color w:val="000000"/>
          <w:sz w:val="24"/>
          <w:szCs w:val="24"/>
          <w:lang w:val="es-ES"/>
        </w:rPr>
        <w:t>50,8 % de los</w:t>
      </w:r>
      <w:r w:rsidR="005B6DE0" w:rsidRPr="00045E69">
        <w:rPr>
          <w:rFonts w:ascii="Times New Roman" w:hAnsi="Times New Roman"/>
          <w:color w:val="000000"/>
          <w:sz w:val="24"/>
          <w:szCs w:val="24"/>
          <w:lang w:val="es-ES"/>
        </w:rPr>
        <w:t xml:space="preserve"> visitantes llegan para conocer</w:t>
      </w:r>
      <w:r w:rsidRPr="00045E69">
        <w:rPr>
          <w:rFonts w:ascii="Times New Roman" w:hAnsi="Times New Roman"/>
          <w:color w:val="000000"/>
          <w:sz w:val="24"/>
          <w:szCs w:val="24"/>
          <w:lang w:val="es-ES"/>
        </w:rPr>
        <w:t xml:space="preserve"> las playas</w:t>
      </w:r>
      <w:r w:rsidR="001C54C1" w:rsidRPr="00045E69">
        <w:rPr>
          <w:rFonts w:ascii="Times New Roman" w:hAnsi="Times New Roman"/>
          <w:color w:val="000000"/>
          <w:sz w:val="24"/>
          <w:szCs w:val="24"/>
          <w:lang w:val="es-ES"/>
        </w:rPr>
        <w:t xml:space="preserve"> y </w:t>
      </w:r>
      <w:r w:rsidR="00045E69" w:rsidRPr="00045E69">
        <w:rPr>
          <w:rFonts w:ascii="Times New Roman" w:hAnsi="Times New Roman"/>
          <w:color w:val="000000"/>
          <w:sz w:val="24"/>
          <w:szCs w:val="24"/>
          <w:lang w:val="es-ES"/>
        </w:rPr>
        <w:t>sus vecindades</w:t>
      </w:r>
      <w:r w:rsidRPr="00045E69">
        <w:rPr>
          <w:rFonts w:ascii="Times New Roman" w:hAnsi="Times New Roman"/>
          <w:color w:val="000000"/>
          <w:sz w:val="24"/>
          <w:szCs w:val="24"/>
          <w:lang w:val="es-ES"/>
        </w:rPr>
        <w:t xml:space="preserve"> y quedarse con familiares o amigos. La temporad</w:t>
      </w:r>
      <w:r w:rsidR="001E6D01">
        <w:rPr>
          <w:rFonts w:ascii="Times New Roman" w:hAnsi="Times New Roman"/>
          <w:color w:val="000000"/>
          <w:sz w:val="24"/>
          <w:szCs w:val="24"/>
          <w:lang w:val="es-ES"/>
        </w:rPr>
        <w:t>a alta de turismo es muy corto</w:t>
      </w:r>
      <w:r w:rsidRPr="00045E69">
        <w:rPr>
          <w:rFonts w:ascii="Times New Roman" w:hAnsi="Times New Roman"/>
          <w:color w:val="000000"/>
          <w:sz w:val="24"/>
          <w:szCs w:val="24"/>
          <w:lang w:val="es-ES"/>
        </w:rPr>
        <w:t xml:space="preserve"> (el </w:t>
      </w:r>
      <w:r w:rsidR="001C54C1" w:rsidRPr="00045E69">
        <w:rPr>
          <w:rFonts w:ascii="Times New Roman" w:hAnsi="Times New Roman"/>
          <w:color w:val="000000"/>
          <w:sz w:val="24"/>
          <w:szCs w:val="24"/>
          <w:lang w:val="es-ES"/>
        </w:rPr>
        <w:t>mes de enero), mientras que la temporada media</w:t>
      </w:r>
      <w:r w:rsidRPr="00045E69">
        <w:rPr>
          <w:rFonts w:ascii="Times New Roman" w:hAnsi="Times New Roman"/>
          <w:color w:val="000000"/>
          <w:sz w:val="24"/>
          <w:szCs w:val="24"/>
          <w:lang w:val="es-ES"/>
        </w:rPr>
        <w:t xml:space="preserve"> </w:t>
      </w:r>
      <w:r w:rsidR="001C54C1" w:rsidRPr="00045E69">
        <w:rPr>
          <w:rFonts w:ascii="Times New Roman" w:hAnsi="Times New Roman"/>
          <w:color w:val="000000"/>
          <w:sz w:val="24"/>
          <w:szCs w:val="24"/>
          <w:lang w:val="es-ES"/>
        </w:rPr>
        <w:lastRenderedPageBreak/>
        <w:t xml:space="preserve">comprende </w:t>
      </w:r>
      <w:r w:rsidRPr="00045E69">
        <w:rPr>
          <w:rFonts w:ascii="Times New Roman" w:hAnsi="Times New Roman"/>
          <w:color w:val="000000"/>
          <w:sz w:val="24"/>
          <w:szCs w:val="24"/>
          <w:lang w:val="es-ES"/>
        </w:rPr>
        <w:t>los meses de junio y julio. En conjunto, el turismo de</w:t>
      </w:r>
      <w:r w:rsidR="001E6D01">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la temporada alta y media corresponde al 50,1% del turism</w:t>
      </w:r>
      <w:r w:rsidR="001E6D01">
        <w:rPr>
          <w:rFonts w:ascii="Times New Roman" w:hAnsi="Times New Roman"/>
          <w:color w:val="000000"/>
          <w:sz w:val="24"/>
          <w:szCs w:val="24"/>
          <w:lang w:val="es-ES"/>
        </w:rPr>
        <w:t xml:space="preserve">o total de ES. La </w:t>
      </w:r>
      <w:r w:rsidRPr="00045E69">
        <w:rPr>
          <w:rFonts w:ascii="Times New Roman" w:hAnsi="Times New Roman"/>
          <w:color w:val="000000"/>
          <w:sz w:val="24"/>
          <w:szCs w:val="24"/>
          <w:lang w:val="es-ES"/>
        </w:rPr>
        <w:t>concentración de las visitas turísticas durante este periodo de 3 meses tiene impactos fuertes sobre la relación entre el empleo formal e informal</w:t>
      </w:r>
      <w:r w:rsidR="001C54C1" w:rsidRPr="00045E69">
        <w:rPr>
          <w:rFonts w:ascii="Times New Roman" w:hAnsi="Times New Roman"/>
          <w:color w:val="000000"/>
          <w:sz w:val="24"/>
          <w:szCs w:val="24"/>
          <w:lang w:val="es-ES"/>
        </w:rPr>
        <w:t xml:space="preserve">, </w:t>
      </w:r>
      <w:r w:rsidR="001E6D01">
        <w:rPr>
          <w:rFonts w:ascii="Times New Roman" w:hAnsi="Times New Roman"/>
          <w:color w:val="000000"/>
          <w:sz w:val="24"/>
          <w:szCs w:val="24"/>
          <w:lang w:val="es-ES"/>
        </w:rPr>
        <w:t xml:space="preserve">y la relación entre </w:t>
      </w:r>
      <w:r w:rsidR="001C54C1" w:rsidRPr="00045E69">
        <w:rPr>
          <w:rFonts w:ascii="Times New Roman" w:hAnsi="Times New Roman"/>
          <w:color w:val="000000"/>
          <w:sz w:val="24"/>
          <w:szCs w:val="24"/>
          <w:lang w:val="es-ES"/>
        </w:rPr>
        <w:t xml:space="preserve">el empleo </w:t>
      </w:r>
      <w:r w:rsidR="001E6D01">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 xml:space="preserve">tiempo completo </w:t>
      </w:r>
      <w:r w:rsidR="001E6D01">
        <w:rPr>
          <w:rFonts w:ascii="Times New Roman" w:hAnsi="Times New Roman"/>
          <w:color w:val="000000"/>
          <w:sz w:val="24"/>
          <w:szCs w:val="24"/>
          <w:lang w:val="es-ES"/>
        </w:rPr>
        <w:t xml:space="preserve">e </w:t>
      </w:r>
      <w:r w:rsidRPr="00045E69">
        <w:rPr>
          <w:rFonts w:ascii="Times New Roman" w:hAnsi="Times New Roman"/>
          <w:color w:val="000000"/>
          <w:sz w:val="24"/>
          <w:szCs w:val="24"/>
          <w:lang w:val="es-ES"/>
        </w:rPr>
        <w:t xml:space="preserve">el empleo </w:t>
      </w:r>
      <w:r w:rsidR="001C54C1" w:rsidRPr="00045E69">
        <w:rPr>
          <w:rFonts w:ascii="Times New Roman" w:hAnsi="Times New Roman"/>
          <w:color w:val="000000"/>
          <w:sz w:val="24"/>
          <w:szCs w:val="24"/>
          <w:lang w:val="es-ES"/>
        </w:rPr>
        <w:t>de</w:t>
      </w:r>
      <w:r w:rsidRPr="00045E69">
        <w:rPr>
          <w:rFonts w:ascii="Times New Roman" w:hAnsi="Times New Roman"/>
          <w:color w:val="000000"/>
          <w:sz w:val="24"/>
          <w:szCs w:val="24"/>
          <w:lang w:val="es-ES"/>
        </w:rPr>
        <w:t xml:space="preserve"> tiempo parcial en el sector de los servicios turísticos</w:t>
      </w:r>
      <w:r w:rsidR="001E6D01">
        <w:rPr>
          <w:rFonts w:ascii="Times New Roman" w:hAnsi="Times New Roman"/>
          <w:color w:val="000000"/>
          <w:sz w:val="24"/>
          <w:szCs w:val="24"/>
          <w:lang w:val="es-ES"/>
        </w:rPr>
        <w:t>. Esta concentración de actividad</w:t>
      </w:r>
      <w:r w:rsidRPr="00045E69">
        <w:rPr>
          <w:rFonts w:ascii="Times New Roman" w:hAnsi="Times New Roman"/>
          <w:color w:val="000000"/>
          <w:sz w:val="24"/>
          <w:szCs w:val="24"/>
          <w:lang w:val="es-ES"/>
        </w:rPr>
        <w:t xml:space="preserve"> tiende a favorecer </w:t>
      </w:r>
      <w:r w:rsidR="001C54C1" w:rsidRPr="00045E69">
        <w:rPr>
          <w:rFonts w:ascii="Times New Roman" w:hAnsi="Times New Roman"/>
          <w:color w:val="000000"/>
          <w:sz w:val="24"/>
          <w:szCs w:val="24"/>
          <w:lang w:val="es-ES"/>
        </w:rPr>
        <w:t>el empleo informal y</w:t>
      </w:r>
      <w:r w:rsidR="001E6D01">
        <w:rPr>
          <w:rFonts w:ascii="Times New Roman" w:hAnsi="Times New Roman"/>
          <w:color w:val="000000"/>
          <w:sz w:val="24"/>
          <w:szCs w:val="24"/>
          <w:lang w:val="es-ES"/>
        </w:rPr>
        <w:t xml:space="preserve"> el empleo de tiempo parcial. En cuanto al gasto</w:t>
      </w:r>
      <w:r w:rsidR="001C54C1" w:rsidRPr="00045E69">
        <w:rPr>
          <w:rFonts w:ascii="Times New Roman" w:hAnsi="Times New Roman"/>
          <w:color w:val="000000"/>
          <w:sz w:val="24"/>
          <w:szCs w:val="24"/>
          <w:lang w:val="es-ES"/>
        </w:rPr>
        <w:t xml:space="preserve"> </w:t>
      </w:r>
      <w:r w:rsidR="001E6D01">
        <w:rPr>
          <w:rFonts w:ascii="Times New Roman" w:hAnsi="Times New Roman"/>
          <w:color w:val="000000"/>
          <w:sz w:val="24"/>
          <w:szCs w:val="24"/>
          <w:lang w:val="es-ES"/>
        </w:rPr>
        <w:t>turístico</w:t>
      </w:r>
      <w:r w:rsidRPr="00045E69">
        <w:rPr>
          <w:rFonts w:ascii="Times New Roman" w:hAnsi="Times New Roman"/>
          <w:color w:val="000000"/>
          <w:sz w:val="24"/>
          <w:szCs w:val="24"/>
          <w:lang w:val="es-ES"/>
        </w:rPr>
        <w:t xml:space="preserve">, es interesante observar que </w:t>
      </w:r>
      <w:r w:rsidR="001E6D01">
        <w:rPr>
          <w:rFonts w:ascii="Times New Roman" w:hAnsi="Times New Roman"/>
          <w:color w:val="000000"/>
          <w:sz w:val="24"/>
          <w:szCs w:val="24"/>
          <w:lang w:val="es-ES"/>
        </w:rPr>
        <w:t>el gasto medio diario es significativamente más alto</w:t>
      </w:r>
      <w:r w:rsidRPr="00045E69">
        <w:rPr>
          <w:rFonts w:ascii="Times New Roman" w:hAnsi="Times New Roman"/>
          <w:color w:val="000000"/>
          <w:sz w:val="24"/>
          <w:szCs w:val="24"/>
          <w:lang w:val="es-ES"/>
        </w:rPr>
        <w:t xml:space="preserve"> en</w:t>
      </w:r>
      <w:r w:rsidR="001C54C1" w:rsidRPr="00045E69">
        <w:rPr>
          <w:rFonts w:ascii="Times New Roman" w:hAnsi="Times New Roman"/>
          <w:color w:val="000000"/>
          <w:sz w:val="24"/>
          <w:szCs w:val="24"/>
          <w:lang w:val="es-ES"/>
        </w:rPr>
        <w:t xml:space="preserve"> la temporada baja si se compare</w:t>
      </w:r>
      <w:r w:rsidRPr="00045E69">
        <w:rPr>
          <w:rFonts w:ascii="Times New Roman" w:hAnsi="Times New Roman"/>
          <w:color w:val="000000"/>
          <w:sz w:val="24"/>
          <w:szCs w:val="24"/>
          <w:lang w:val="es-ES"/>
        </w:rPr>
        <w:t xml:space="preserve"> con la media y </w:t>
      </w:r>
      <w:r w:rsidR="001C54C1" w:rsidRPr="00045E69">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 xml:space="preserve">alta temporada (R$190,4 vs R$131,9). Los visitantes de ES y </w:t>
      </w:r>
      <w:r w:rsidR="001C54C1" w:rsidRPr="00045E69">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 xml:space="preserve">otros estados vecinos gastan menos que los de otros estados, y mucho menos que los turistas extranjeros. Por último, los turistas de negocios (27,1% del total de llegadas en ES) gastan considerablemente más que los turistas de ocio. </w:t>
      </w:r>
    </w:p>
    <w:p w:rsidR="002C3973" w:rsidRPr="00045E69" w:rsidRDefault="002C3973" w:rsidP="00C82F81">
      <w:pPr>
        <w:pStyle w:val="ColorfulList-Accent11"/>
        <w:spacing w:after="0" w:line="360" w:lineRule="auto"/>
        <w:ind w:left="0"/>
        <w:jc w:val="both"/>
        <w:rPr>
          <w:rFonts w:ascii="Times New Roman" w:hAnsi="Times New Roman"/>
          <w:b/>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En cuanto al e</w:t>
      </w:r>
      <w:r w:rsidR="001C54C1" w:rsidRPr="00045E69">
        <w:rPr>
          <w:rFonts w:ascii="Times New Roman" w:hAnsi="Times New Roman"/>
          <w:color w:val="000000"/>
          <w:sz w:val="24"/>
          <w:szCs w:val="24"/>
          <w:lang w:val="es-ES"/>
        </w:rPr>
        <w:t>mpleo, el análisis económico ex-</w:t>
      </w:r>
      <w:r w:rsidRPr="00045E69">
        <w:rPr>
          <w:rFonts w:ascii="Times New Roman" w:hAnsi="Times New Roman"/>
          <w:color w:val="000000"/>
          <w:sz w:val="24"/>
          <w:szCs w:val="24"/>
          <w:lang w:val="es-ES"/>
        </w:rPr>
        <w:t>ante (resultados claves de</w:t>
      </w:r>
      <w:r w:rsidR="001E6D01">
        <w:rPr>
          <w:rFonts w:ascii="Times New Roman" w:hAnsi="Times New Roman"/>
          <w:color w:val="000000"/>
          <w:sz w:val="24"/>
          <w:szCs w:val="24"/>
          <w:lang w:val="es-ES"/>
        </w:rPr>
        <w:t>l cual</w:t>
      </w:r>
      <w:r w:rsidRPr="00045E69">
        <w:rPr>
          <w:rFonts w:ascii="Times New Roman" w:hAnsi="Times New Roman"/>
          <w:color w:val="000000"/>
          <w:sz w:val="24"/>
          <w:szCs w:val="24"/>
          <w:lang w:val="es-ES"/>
        </w:rPr>
        <w:t xml:space="preserve"> están document</w:t>
      </w:r>
      <w:r w:rsidR="001E6D01">
        <w:rPr>
          <w:rFonts w:ascii="Times New Roman" w:hAnsi="Times New Roman"/>
          <w:color w:val="000000"/>
          <w:sz w:val="24"/>
          <w:szCs w:val="24"/>
          <w:lang w:val="es-ES"/>
        </w:rPr>
        <w:t>adas en la sección 3</w:t>
      </w:r>
      <w:r w:rsidR="001C54C1" w:rsidRPr="00045E69">
        <w:rPr>
          <w:rFonts w:ascii="Times New Roman" w:hAnsi="Times New Roman"/>
          <w:color w:val="000000"/>
          <w:sz w:val="24"/>
          <w:szCs w:val="24"/>
          <w:lang w:val="es-ES"/>
        </w:rPr>
        <w:t>) muestra</w:t>
      </w:r>
      <w:r w:rsidRPr="00045E69">
        <w:rPr>
          <w:rFonts w:ascii="Times New Roman" w:hAnsi="Times New Roman"/>
          <w:color w:val="000000"/>
          <w:sz w:val="24"/>
          <w:szCs w:val="24"/>
          <w:lang w:val="es-ES"/>
        </w:rPr>
        <w:t xml:space="preserve"> que por cada R$1 millón </w:t>
      </w:r>
      <w:r w:rsidR="001C54C1" w:rsidRPr="00045E69">
        <w:rPr>
          <w:rFonts w:ascii="Times New Roman" w:hAnsi="Times New Roman"/>
          <w:color w:val="000000"/>
          <w:sz w:val="24"/>
          <w:szCs w:val="24"/>
          <w:lang w:val="es-ES"/>
        </w:rPr>
        <w:t xml:space="preserve">de gasto turístico </w:t>
      </w:r>
      <w:r w:rsidRPr="00045E69">
        <w:rPr>
          <w:rFonts w:ascii="Times New Roman" w:hAnsi="Times New Roman"/>
          <w:color w:val="000000"/>
          <w:sz w:val="24"/>
          <w:szCs w:val="24"/>
          <w:lang w:val="es-ES"/>
        </w:rPr>
        <w:t xml:space="preserve">de negocios adicional, se crean 5 puestos de trabajo formales adicionales en comparación con el mismo gasto por </w:t>
      </w:r>
      <w:r w:rsidR="001E6D01">
        <w:rPr>
          <w:rFonts w:ascii="Times New Roman" w:hAnsi="Times New Roman"/>
          <w:color w:val="000000"/>
          <w:sz w:val="24"/>
          <w:szCs w:val="24"/>
          <w:lang w:val="es-ES"/>
        </w:rPr>
        <w:t xml:space="preserve">los turistas </w:t>
      </w:r>
      <w:r w:rsidRPr="00045E69">
        <w:rPr>
          <w:rFonts w:ascii="Times New Roman" w:hAnsi="Times New Roman"/>
          <w:color w:val="000000"/>
          <w:sz w:val="24"/>
          <w:szCs w:val="24"/>
          <w:lang w:val="es-ES"/>
        </w:rPr>
        <w:t>que visitan por el ocio. Los turistas alojados en hotel</w:t>
      </w:r>
      <w:r w:rsidR="001E6D01">
        <w:rPr>
          <w:rFonts w:ascii="Times New Roman" w:hAnsi="Times New Roman"/>
          <w:color w:val="000000"/>
          <w:sz w:val="24"/>
          <w:szCs w:val="24"/>
          <w:lang w:val="es-ES"/>
        </w:rPr>
        <w:t xml:space="preserve">es también generaron </w:t>
      </w:r>
      <w:r w:rsidRPr="00045E69">
        <w:rPr>
          <w:rFonts w:ascii="Times New Roman" w:hAnsi="Times New Roman"/>
          <w:color w:val="000000"/>
          <w:sz w:val="24"/>
          <w:szCs w:val="24"/>
          <w:lang w:val="es-ES"/>
        </w:rPr>
        <w:t>2 posiciones adicionales de empleo</w:t>
      </w:r>
      <w:r w:rsidR="001C54C1" w:rsidRPr="00045E69">
        <w:rPr>
          <w:rFonts w:ascii="Times New Roman" w:hAnsi="Times New Roman"/>
          <w:color w:val="000000"/>
          <w:sz w:val="24"/>
          <w:szCs w:val="24"/>
          <w:lang w:val="es-ES"/>
        </w:rPr>
        <w:t xml:space="preserve"> pa</w:t>
      </w:r>
      <w:r w:rsidR="001E6D01">
        <w:rPr>
          <w:rFonts w:ascii="Times New Roman" w:hAnsi="Times New Roman"/>
          <w:color w:val="000000"/>
          <w:sz w:val="24"/>
          <w:szCs w:val="24"/>
          <w:lang w:val="es-ES"/>
        </w:rPr>
        <w:t>ra cada R$1 millón</w:t>
      </w:r>
      <w:r w:rsidR="001C54C1" w:rsidRPr="00045E69">
        <w:rPr>
          <w:rFonts w:ascii="Times New Roman" w:hAnsi="Times New Roman"/>
          <w:color w:val="000000"/>
          <w:sz w:val="24"/>
          <w:szCs w:val="24"/>
          <w:lang w:val="es-ES"/>
        </w:rPr>
        <w:t xml:space="preserve"> </w:t>
      </w:r>
      <w:r w:rsidR="001E6D01">
        <w:rPr>
          <w:rFonts w:ascii="Times New Roman" w:hAnsi="Times New Roman"/>
          <w:color w:val="000000"/>
          <w:sz w:val="24"/>
          <w:szCs w:val="24"/>
          <w:lang w:val="es-ES"/>
        </w:rPr>
        <w:t>gasto</w:t>
      </w:r>
      <w:r w:rsidRPr="00045E69">
        <w:rPr>
          <w:rFonts w:ascii="Times New Roman" w:hAnsi="Times New Roman"/>
          <w:color w:val="000000"/>
          <w:sz w:val="24"/>
          <w:szCs w:val="24"/>
          <w:lang w:val="es-ES"/>
        </w:rPr>
        <w:t xml:space="preserve"> en comparación con los que se quedan con familiares y amigos. Por último, los turistas extranjeros tendieron a generar 2 puestos de trabajo formales más pa</w:t>
      </w:r>
      <w:r w:rsidR="001C54C1" w:rsidRPr="00045E69">
        <w:rPr>
          <w:rFonts w:ascii="Times New Roman" w:hAnsi="Times New Roman"/>
          <w:color w:val="000000"/>
          <w:sz w:val="24"/>
          <w:szCs w:val="24"/>
          <w:lang w:val="es-ES"/>
        </w:rPr>
        <w:t xml:space="preserve">ra cada R$1 </w:t>
      </w:r>
      <w:r w:rsidR="001E6D01" w:rsidRPr="00045E69">
        <w:rPr>
          <w:rFonts w:ascii="Times New Roman" w:hAnsi="Times New Roman"/>
          <w:color w:val="000000"/>
          <w:sz w:val="24"/>
          <w:szCs w:val="24"/>
          <w:lang w:val="es-ES"/>
        </w:rPr>
        <w:t>millón</w:t>
      </w:r>
      <w:r w:rsidR="001C54C1" w:rsidRPr="00045E69">
        <w:rPr>
          <w:rFonts w:ascii="Times New Roman" w:hAnsi="Times New Roman"/>
          <w:color w:val="000000"/>
          <w:sz w:val="24"/>
          <w:szCs w:val="24"/>
          <w:lang w:val="es-ES"/>
        </w:rPr>
        <w:t xml:space="preserve"> </w:t>
      </w:r>
      <w:r w:rsidR="001E6D01">
        <w:rPr>
          <w:rFonts w:ascii="Times New Roman" w:hAnsi="Times New Roman"/>
          <w:color w:val="000000"/>
          <w:sz w:val="24"/>
          <w:szCs w:val="24"/>
          <w:lang w:val="es-ES"/>
        </w:rPr>
        <w:t>gasto</w:t>
      </w:r>
      <w:r w:rsidRPr="00045E69">
        <w:rPr>
          <w:rFonts w:ascii="Times New Roman" w:hAnsi="Times New Roman"/>
          <w:color w:val="000000"/>
          <w:sz w:val="24"/>
          <w:szCs w:val="24"/>
          <w:lang w:val="es-ES"/>
        </w:rPr>
        <w:t xml:space="preserve"> en comparación con los turistas nacionales.</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Teniendo en cuenta estas características de la demanda turística actual, el gasto y el empleo, la estrategia fundamental de Prodetur-ES es consolidar e impulsar el aumento de la demanda de los segmentos del mercado turístico con mayor potencial para aumentar el gasto turístico y el empleo formal. Como tal, el énfasis del programa está e</w:t>
      </w:r>
      <w:r w:rsidR="001C54C1" w:rsidRPr="00045E69">
        <w:rPr>
          <w:rFonts w:ascii="Times New Roman" w:hAnsi="Times New Roman"/>
          <w:color w:val="000000"/>
          <w:sz w:val="24"/>
          <w:szCs w:val="24"/>
          <w:lang w:val="es-ES"/>
        </w:rPr>
        <w:t xml:space="preserve">n la temporada baja </w:t>
      </w:r>
      <w:r w:rsidRPr="00045E69">
        <w:rPr>
          <w:rFonts w:ascii="Times New Roman" w:hAnsi="Times New Roman"/>
          <w:color w:val="000000"/>
          <w:sz w:val="24"/>
          <w:szCs w:val="24"/>
          <w:lang w:val="es-ES"/>
        </w:rPr>
        <w:t>con sus gastos superiores a la media y su potencial para</w:t>
      </w:r>
      <w:r w:rsidR="00BF640F">
        <w:rPr>
          <w:rFonts w:ascii="Times New Roman" w:hAnsi="Times New Roman"/>
          <w:color w:val="000000"/>
          <w:sz w:val="24"/>
          <w:szCs w:val="24"/>
          <w:lang w:val="es-ES"/>
        </w:rPr>
        <w:t xml:space="preserve"> la generación de empleo formal </w:t>
      </w:r>
      <w:r w:rsidRPr="00045E69">
        <w:rPr>
          <w:rFonts w:ascii="Times New Roman" w:hAnsi="Times New Roman"/>
          <w:color w:val="000000"/>
          <w:sz w:val="24"/>
          <w:szCs w:val="24"/>
          <w:lang w:val="es-ES"/>
        </w:rPr>
        <w:t>de tiempo completo. Sobre la base de la gastronomía diferenciada del estado, los esfuerzos anteriores para incrementar su notoriedad gastronómica y las posibles sinergi</w:t>
      </w:r>
      <w:r w:rsidR="00BF640F">
        <w:rPr>
          <w:rFonts w:ascii="Times New Roman" w:hAnsi="Times New Roman"/>
          <w:color w:val="000000"/>
          <w:sz w:val="24"/>
          <w:szCs w:val="24"/>
          <w:lang w:val="es-ES"/>
        </w:rPr>
        <w:t xml:space="preserve">as </w:t>
      </w:r>
      <w:r w:rsidRPr="00045E69">
        <w:rPr>
          <w:rFonts w:ascii="Times New Roman" w:hAnsi="Times New Roman"/>
          <w:color w:val="000000"/>
          <w:sz w:val="24"/>
          <w:szCs w:val="24"/>
          <w:lang w:val="es-ES"/>
        </w:rPr>
        <w:t>entre el turismo gastronómico y los segmentos de mercado para ser consolidados y catalizados, el turismo gastronómico ha sido seleccionado como el hilo que une los diversos componentes de la inversión</w:t>
      </w:r>
      <w:r w:rsidR="00BF640F">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Prodetur-ES.</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lastRenderedPageBreak/>
        <w:t>En consonancia con otras inversiones Prodetur en Brasil, Prodetur-ES tiene 5 componentes</w:t>
      </w:r>
      <w:r w:rsidR="001C54C1" w:rsidRPr="00045E69">
        <w:rPr>
          <w:rFonts w:ascii="Times New Roman" w:hAnsi="Times New Roman"/>
          <w:color w:val="000000"/>
          <w:sz w:val="24"/>
          <w:szCs w:val="24"/>
          <w:lang w:val="es-ES"/>
        </w:rPr>
        <w:t xml:space="preserve"> que son: </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numPr>
          <w:ilvl w:val="0"/>
          <w:numId w:val="33"/>
        </w:numPr>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Apoyo para el desarrollo del producto turístico: agregando valor a los atract</w:t>
      </w:r>
      <w:r w:rsidR="001C54C1" w:rsidRPr="00045E69">
        <w:rPr>
          <w:rFonts w:ascii="Times New Roman" w:hAnsi="Times New Roman"/>
          <w:color w:val="000000"/>
          <w:sz w:val="24"/>
          <w:szCs w:val="24"/>
          <w:lang w:val="es-ES"/>
        </w:rPr>
        <w:t xml:space="preserve">ivos turísticos </w:t>
      </w:r>
      <w:r w:rsidRPr="00045E69">
        <w:rPr>
          <w:rFonts w:ascii="Times New Roman" w:hAnsi="Times New Roman"/>
          <w:color w:val="000000"/>
          <w:sz w:val="24"/>
          <w:szCs w:val="24"/>
          <w:lang w:val="es-ES"/>
        </w:rPr>
        <w:t>público</w:t>
      </w:r>
      <w:r w:rsidR="001C54C1" w:rsidRPr="00045E69">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w:t>
      </w:r>
    </w:p>
    <w:p w:rsidR="002C3973" w:rsidRPr="00045E69" w:rsidRDefault="00BF640F" w:rsidP="00C82F81">
      <w:pPr>
        <w:pStyle w:val="ColorfulList-Accent11"/>
        <w:numPr>
          <w:ilvl w:val="0"/>
          <w:numId w:val="33"/>
        </w:numPr>
        <w:spacing w:after="0" w:line="360" w:lineRule="auto"/>
        <w:jc w:val="both"/>
        <w:rPr>
          <w:rFonts w:ascii="Times New Roman" w:hAnsi="Times New Roman"/>
          <w:color w:val="000000"/>
          <w:sz w:val="24"/>
          <w:szCs w:val="24"/>
          <w:lang w:val="es-ES"/>
        </w:rPr>
      </w:pPr>
      <w:r>
        <w:rPr>
          <w:rFonts w:ascii="Times New Roman" w:hAnsi="Times New Roman"/>
          <w:color w:val="000000"/>
          <w:sz w:val="24"/>
          <w:szCs w:val="24"/>
          <w:lang w:val="es-ES"/>
        </w:rPr>
        <w:t>Apoyo a la comercialización del p</w:t>
      </w:r>
      <w:r w:rsidR="002C3973" w:rsidRPr="00045E69">
        <w:rPr>
          <w:rFonts w:ascii="Times New Roman" w:hAnsi="Times New Roman"/>
          <w:color w:val="000000"/>
          <w:sz w:val="24"/>
          <w:szCs w:val="24"/>
          <w:lang w:val="es-ES"/>
        </w:rPr>
        <w:t>r</w:t>
      </w:r>
      <w:r>
        <w:rPr>
          <w:rFonts w:ascii="Times New Roman" w:hAnsi="Times New Roman"/>
          <w:color w:val="000000"/>
          <w:sz w:val="24"/>
          <w:szCs w:val="24"/>
          <w:lang w:val="es-ES"/>
        </w:rPr>
        <w:t>oducto t</w:t>
      </w:r>
      <w:r w:rsidR="002C3973" w:rsidRPr="00045E69">
        <w:rPr>
          <w:rFonts w:ascii="Times New Roman" w:hAnsi="Times New Roman"/>
          <w:color w:val="000000"/>
          <w:sz w:val="24"/>
          <w:szCs w:val="24"/>
          <w:lang w:val="es-ES"/>
        </w:rPr>
        <w:t>urístico: acciones orientadas a fortalecer la imagen de los destinos turísticos en consonancia con una visión integrada para el desarrollo del turismo;</w:t>
      </w:r>
    </w:p>
    <w:p w:rsidR="002C3973" w:rsidRPr="00045E69" w:rsidRDefault="002C3973" w:rsidP="00C82F81">
      <w:pPr>
        <w:pStyle w:val="ColorfulList-Accent11"/>
        <w:numPr>
          <w:ilvl w:val="0"/>
          <w:numId w:val="33"/>
        </w:numPr>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Fortalecimiento </w:t>
      </w:r>
      <w:r w:rsidR="00BF640F">
        <w:rPr>
          <w:rFonts w:ascii="Times New Roman" w:hAnsi="Times New Roman"/>
          <w:color w:val="000000"/>
          <w:sz w:val="24"/>
          <w:szCs w:val="24"/>
          <w:lang w:val="es-ES"/>
        </w:rPr>
        <w:t>i</w:t>
      </w:r>
      <w:r w:rsidRPr="00045E69">
        <w:rPr>
          <w:rFonts w:ascii="Times New Roman" w:hAnsi="Times New Roman"/>
          <w:color w:val="000000"/>
          <w:sz w:val="24"/>
          <w:szCs w:val="24"/>
          <w:lang w:val="es-ES"/>
        </w:rPr>
        <w:t>nstitucional: apoyo a la mejora de la capacidad de los</w:t>
      </w:r>
      <w:r w:rsidR="001C54C1" w:rsidRPr="00045E69">
        <w:rPr>
          <w:rFonts w:ascii="Times New Roman" w:hAnsi="Times New Roman"/>
          <w:color w:val="000000"/>
          <w:sz w:val="24"/>
          <w:szCs w:val="24"/>
          <w:lang w:val="es-ES"/>
        </w:rPr>
        <w:t xml:space="preserve"> órganos de gobierno que incluye</w:t>
      </w:r>
      <w:r w:rsidRPr="00045E69">
        <w:rPr>
          <w:rFonts w:ascii="Times New Roman" w:hAnsi="Times New Roman"/>
          <w:color w:val="000000"/>
          <w:sz w:val="24"/>
          <w:szCs w:val="24"/>
          <w:lang w:val="es-ES"/>
        </w:rPr>
        <w:t xml:space="preserve"> mecanismos interinstitucionales para la gestión y la coordinación al nivel estatal y municipal con el sector privado;</w:t>
      </w:r>
    </w:p>
    <w:p w:rsidR="002C3973" w:rsidRPr="00045E69" w:rsidRDefault="002C3973" w:rsidP="00C82F81">
      <w:pPr>
        <w:pStyle w:val="ColorfulList-Accent11"/>
        <w:numPr>
          <w:ilvl w:val="0"/>
          <w:numId w:val="33"/>
        </w:numPr>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Infraestructura y </w:t>
      </w:r>
      <w:r w:rsidR="00BF640F">
        <w:rPr>
          <w:rFonts w:ascii="Times New Roman" w:hAnsi="Times New Roman"/>
          <w:color w:val="000000"/>
          <w:sz w:val="24"/>
          <w:szCs w:val="24"/>
          <w:lang w:val="es-ES"/>
        </w:rPr>
        <w:t>servicios b</w:t>
      </w:r>
      <w:r w:rsidRPr="00045E69">
        <w:rPr>
          <w:rFonts w:ascii="Times New Roman" w:hAnsi="Times New Roman"/>
          <w:color w:val="000000"/>
          <w:sz w:val="24"/>
          <w:szCs w:val="24"/>
          <w:lang w:val="es-ES"/>
        </w:rPr>
        <w:t xml:space="preserve">ásicos: la inversión en servicios básicos en áreas clave del programa, y​​; </w:t>
      </w:r>
    </w:p>
    <w:p w:rsidR="002C3973" w:rsidRPr="00045E69" w:rsidRDefault="002C3973" w:rsidP="00C82F81">
      <w:pPr>
        <w:pStyle w:val="ColorfulList-Accent11"/>
        <w:numPr>
          <w:ilvl w:val="0"/>
          <w:numId w:val="33"/>
        </w:numPr>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Gestión </w:t>
      </w:r>
      <w:r w:rsidR="00BF640F">
        <w:rPr>
          <w:rFonts w:ascii="Times New Roman" w:hAnsi="Times New Roman"/>
          <w:color w:val="000000"/>
          <w:sz w:val="24"/>
          <w:szCs w:val="24"/>
          <w:lang w:val="es-ES"/>
        </w:rPr>
        <w:t>a</w:t>
      </w:r>
      <w:r w:rsidRPr="00045E69">
        <w:rPr>
          <w:rFonts w:ascii="Times New Roman" w:hAnsi="Times New Roman"/>
          <w:color w:val="000000"/>
          <w:sz w:val="24"/>
          <w:szCs w:val="24"/>
          <w:lang w:val="es-ES"/>
        </w:rPr>
        <w:t>mbiental: la inversión en los planes y sistemas de gestión para garantizar la conservación y el uso sostenible de los recursos que son la base para la atracción turística de la RMV.</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4D04EF" w:rsidP="00C82F81">
      <w:pPr>
        <w:pStyle w:val="ColorfulList-Accent11"/>
        <w:numPr>
          <w:ilvl w:val="0"/>
          <w:numId w:val="29"/>
        </w:numPr>
        <w:spacing w:after="0" w:line="360" w:lineRule="auto"/>
        <w:jc w:val="both"/>
        <w:rPr>
          <w:rFonts w:ascii="Times New Roman" w:hAnsi="Times New Roman"/>
          <w:b/>
          <w:color w:val="000000"/>
          <w:sz w:val="24"/>
          <w:szCs w:val="24"/>
          <w:lang w:val="es-ES"/>
        </w:rPr>
      </w:pPr>
      <w:r w:rsidRPr="00045E69">
        <w:rPr>
          <w:rFonts w:ascii="Times New Roman" w:hAnsi="Times New Roman"/>
          <w:b/>
          <w:color w:val="000000"/>
          <w:sz w:val="24"/>
          <w:szCs w:val="24"/>
          <w:lang w:val="es-ES"/>
        </w:rPr>
        <w:t>Análisis</w:t>
      </w:r>
      <w:r w:rsidR="002C3973" w:rsidRPr="00045E69">
        <w:rPr>
          <w:rFonts w:ascii="Times New Roman" w:hAnsi="Times New Roman"/>
          <w:b/>
          <w:color w:val="000000"/>
          <w:sz w:val="24"/>
          <w:szCs w:val="24"/>
          <w:lang w:val="es-ES"/>
        </w:rPr>
        <w:t xml:space="preserve"> Ex-Ante de Prodetur-ES</w:t>
      </w:r>
    </w:p>
    <w:p w:rsidR="002C3973" w:rsidRPr="00045E69" w:rsidRDefault="002C3973" w:rsidP="00C82F81">
      <w:pPr>
        <w:pStyle w:val="ColorfulList-Accent11"/>
        <w:spacing w:after="0" w:line="360" w:lineRule="auto"/>
        <w:ind w:left="0"/>
        <w:jc w:val="both"/>
        <w:rPr>
          <w:rFonts w:ascii="Times New Roman" w:eastAsiaTheme="minorHAnsi" w:hAnsi="Times New Roman"/>
          <w:b/>
          <w:sz w:val="24"/>
          <w:szCs w:val="24"/>
          <w:lang w:val="es-ES"/>
        </w:rPr>
      </w:pPr>
    </w:p>
    <w:p w:rsidR="002C3973" w:rsidRPr="00045E69" w:rsidRDefault="001C54C1"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El análisis ex-ante de Prodetur-ES fue realizado</w:t>
      </w:r>
      <w:r w:rsidR="002C3973" w:rsidRPr="00045E69">
        <w:rPr>
          <w:rFonts w:ascii="Times New Roman" w:hAnsi="Times New Roman"/>
          <w:color w:val="000000"/>
          <w:sz w:val="24"/>
          <w:szCs w:val="24"/>
          <w:lang w:val="es-ES"/>
        </w:rPr>
        <w:t xml:space="preserve"> por Ignacio Tavares de Araújo Júnior, Profesor de la Universidad Federal de </w:t>
      </w:r>
      <w:r w:rsidR="004D04EF" w:rsidRPr="00045E69">
        <w:rPr>
          <w:rFonts w:ascii="Times New Roman" w:hAnsi="Times New Roman"/>
          <w:color w:val="000000"/>
          <w:sz w:val="24"/>
          <w:szCs w:val="24"/>
          <w:lang w:val="es-ES"/>
        </w:rPr>
        <w:t>Paraíba</w:t>
      </w:r>
      <w:r w:rsidR="002C3973" w:rsidRPr="00045E69">
        <w:rPr>
          <w:rFonts w:ascii="Times New Roman" w:hAnsi="Times New Roman"/>
          <w:color w:val="000000"/>
          <w:sz w:val="24"/>
          <w:szCs w:val="24"/>
          <w:lang w:val="es-ES"/>
        </w:rPr>
        <w:t>, Brasil. El análisis se llevó a cabo utilizan</w:t>
      </w:r>
      <w:r w:rsidRPr="00045E69">
        <w:rPr>
          <w:rFonts w:ascii="Times New Roman" w:hAnsi="Times New Roman"/>
          <w:color w:val="000000"/>
          <w:sz w:val="24"/>
          <w:szCs w:val="24"/>
          <w:lang w:val="es-ES"/>
        </w:rPr>
        <w:t xml:space="preserve">do un modelo dinámico de </w:t>
      </w:r>
      <w:r w:rsidR="002C3973" w:rsidRPr="00045E69">
        <w:rPr>
          <w:rFonts w:ascii="Times New Roman" w:hAnsi="Times New Roman"/>
          <w:color w:val="000000"/>
          <w:sz w:val="24"/>
          <w:szCs w:val="24"/>
          <w:lang w:val="es-ES"/>
        </w:rPr>
        <w:t>equilibrio general</w:t>
      </w:r>
      <w:r w:rsidRPr="00045E69">
        <w:rPr>
          <w:rFonts w:ascii="Times New Roman" w:hAnsi="Times New Roman"/>
          <w:color w:val="000000"/>
          <w:sz w:val="24"/>
          <w:szCs w:val="24"/>
          <w:lang w:val="es-ES"/>
        </w:rPr>
        <w:t xml:space="preserve"> computable</w:t>
      </w:r>
      <w:r w:rsidR="002C3973" w:rsidRPr="00045E69">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D</w:t>
      </w:r>
      <w:r w:rsidR="002C3973" w:rsidRPr="00045E69">
        <w:rPr>
          <w:rFonts w:ascii="Times New Roman" w:hAnsi="Times New Roman"/>
          <w:color w:val="000000"/>
          <w:sz w:val="24"/>
          <w:szCs w:val="24"/>
          <w:lang w:val="es-ES"/>
        </w:rPr>
        <w:t>CGE) desarrollado para la RMV (Araujo Junior, 2014)</w:t>
      </w:r>
      <w:r w:rsidRPr="00045E69">
        <w:rPr>
          <w:rFonts w:ascii="Times New Roman" w:hAnsi="Times New Roman"/>
          <w:color w:val="000000"/>
          <w:sz w:val="24"/>
          <w:szCs w:val="24"/>
          <w:lang w:val="es-ES"/>
        </w:rPr>
        <w:t xml:space="preserve"> siguiendo las recomendaciones de</w:t>
      </w:r>
      <w:r w:rsidR="002C3973" w:rsidRPr="00045E69">
        <w:rPr>
          <w:rFonts w:ascii="Times New Roman" w:hAnsi="Times New Roman"/>
          <w:color w:val="000000"/>
          <w:sz w:val="24"/>
          <w:szCs w:val="24"/>
          <w:lang w:val="es-ES"/>
        </w:rPr>
        <w:t xml:space="preserve"> Taylor (2010). Est</w:t>
      </w:r>
      <w:r w:rsidR="00BF640F">
        <w:rPr>
          <w:rFonts w:ascii="Times New Roman" w:hAnsi="Times New Roman"/>
          <w:color w:val="000000"/>
          <w:sz w:val="24"/>
          <w:szCs w:val="24"/>
          <w:lang w:val="es-ES"/>
        </w:rPr>
        <w:t xml:space="preserve">a metodología </w:t>
      </w:r>
      <w:r w:rsidR="002C3973" w:rsidRPr="00045E69">
        <w:rPr>
          <w:rFonts w:ascii="Times New Roman" w:hAnsi="Times New Roman"/>
          <w:color w:val="000000"/>
          <w:sz w:val="24"/>
          <w:szCs w:val="24"/>
          <w:lang w:val="es-ES"/>
        </w:rPr>
        <w:t>se ha aplicado en una serie de análisis ex-ante de inversiones turísticas. Para un resum</w:t>
      </w:r>
      <w:r w:rsidRPr="00045E69">
        <w:rPr>
          <w:rFonts w:ascii="Times New Roman" w:hAnsi="Times New Roman"/>
          <w:color w:val="000000"/>
          <w:sz w:val="24"/>
          <w:szCs w:val="24"/>
          <w:lang w:val="es-ES"/>
        </w:rPr>
        <w:t xml:space="preserve">en de algunos estudios, véase: </w:t>
      </w:r>
      <w:r w:rsidR="002C3973" w:rsidRPr="00045E69">
        <w:rPr>
          <w:rFonts w:ascii="Times New Roman" w:hAnsi="Times New Roman"/>
          <w:color w:val="000000"/>
          <w:sz w:val="24"/>
          <w:szCs w:val="24"/>
          <w:lang w:val="es-ES"/>
        </w:rPr>
        <w:t xml:space="preserve">Dwyer et al, 2004; Winters et al, </w:t>
      </w:r>
      <w:r w:rsidRPr="00045E69">
        <w:rPr>
          <w:rFonts w:ascii="Times New Roman" w:hAnsi="Times New Roman"/>
          <w:color w:val="000000"/>
          <w:sz w:val="24"/>
          <w:szCs w:val="24"/>
          <w:lang w:val="es-ES"/>
        </w:rPr>
        <w:t>2013</w:t>
      </w:r>
      <w:r w:rsidR="002C3973"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modelo </w:t>
      </w:r>
      <w:r w:rsidR="001C54C1" w:rsidRPr="00045E69">
        <w:rPr>
          <w:rFonts w:ascii="Times New Roman" w:hAnsi="Times New Roman"/>
          <w:color w:val="000000"/>
          <w:sz w:val="24"/>
          <w:szCs w:val="24"/>
          <w:lang w:val="es-ES"/>
        </w:rPr>
        <w:t xml:space="preserve">DCGE de la </w:t>
      </w:r>
      <w:r w:rsidRPr="00045E69">
        <w:rPr>
          <w:rFonts w:ascii="Times New Roman" w:hAnsi="Times New Roman"/>
          <w:color w:val="000000"/>
          <w:sz w:val="24"/>
          <w:szCs w:val="24"/>
          <w:lang w:val="es-ES"/>
        </w:rPr>
        <w:t>RMV se base en la estructura del modelo “A Standard CGE Model in GAMS”, elaborado por IFPRI (Robinson et al., 1999; Lofgren et al., 2002) y es similar al modelo aplicado en el aná</w:t>
      </w:r>
      <w:r w:rsidR="001C54C1" w:rsidRPr="00045E69">
        <w:rPr>
          <w:rFonts w:ascii="Times New Roman" w:hAnsi="Times New Roman"/>
          <w:color w:val="000000"/>
          <w:sz w:val="24"/>
          <w:szCs w:val="24"/>
          <w:lang w:val="es-ES"/>
        </w:rPr>
        <w:t>lisis de Prodetur-Para (Araújo Júnior</w:t>
      </w:r>
      <w:r w:rsidRPr="00045E69">
        <w:rPr>
          <w:rFonts w:ascii="Times New Roman" w:hAnsi="Times New Roman"/>
          <w:color w:val="000000"/>
          <w:sz w:val="24"/>
          <w:szCs w:val="24"/>
          <w:lang w:val="es-ES"/>
        </w:rPr>
        <w:t xml:space="preserve">, 2012). Suponiendo un impacto positivo de Prodetur-ES, el modelo se utilizó para evaluar escenarios que representan incrementos en el gasto turístico per cápita, el número de </w:t>
      </w:r>
      <w:r w:rsidR="001C54C1" w:rsidRPr="00045E69">
        <w:rPr>
          <w:rFonts w:ascii="Times New Roman" w:hAnsi="Times New Roman"/>
          <w:color w:val="000000"/>
          <w:sz w:val="24"/>
          <w:szCs w:val="24"/>
          <w:lang w:val="es-ES"/>
        </w:rPr>
        <w:t xml:space="preserve">visitas </w:t>
      </w:r>
      <w:r w:rsidR="00045E69" w:rsidRPr="00045E69">
        <w:rPr>
          <w:rFonts w:ascii="Times New Roman" w:hAnsi="Times New Roman"/>
          <w:color w:val="000000"/>
          <w:sz w:val="24"/>
          <w:szCs w:val="24"/>
          <w:lang w:val="es-ES"/>
        </w:rPr>
        <w:t>turísticas</w:t>
      </w:r>
      <w:r w:rsidR="001C54C1" w:rsidRPr="00045E69">
        <w:rPr>
          <w:rFonts w:ascii="Times New Roman" w:hAnsi="Times New Roman"/>
          <w:color w:val="000000"/>
          <w:sz w:val="24"/>
          <w:szCs w:val="24"/>
          <w:lang w:val="es-ES"/>
        </w:rPr>
        <w:t>, y el aumento en</w:t>
      </w:r>
      <w:r w:rsidRPr="00045E69">
        <w:rPr>
          <w:rFonts w:ascii="Times New Roman" w:hAnsi="Times New Roman"/>
          <w:color w:val="000000"/>
          <w:sz w:val="24"/>
          <w:szCs w:val="24"/>
          <w:lang w:val="es-ES"/>
        </w:rPr>
        <w:t xml:space="preserve"> la </w:t>
      </w:r>
      <w:r w:rsidRPr="00045E69">
        <w:rPr>
          <w:rFonts w:ascii="Times New Roman" w:hAnsi="Times New Roman"/>
          <w:color w:val="000000"/>
          <w:sz w:val="24"/>
          <w:szCs w:val="24"/>
          <w:lang w:val="es-ES"/>
        </w:rPr>
        <w:lastRenderedPageBreak/>
        <w:t xml:space="preserve">duración de la </w:t>
      </w:r>
      <w:r w:rsidR="007A2637">
        <w:rPr>
          <w:rFonts w:ascii="Times New Roman" w:hAnsi="Times New Roman"/>
          <w:color w:val="000000"/>
          <w:sz w:val="24"/>
          <w:szCs w:val="24"/>
          <w:lang w:val="es-ES"/>
        </w:rPr>
        <w:t>estancia de los visitantes en la</w:t>
      </w:r>
      <w:r w:rsidRPr="00045E69">
        <w:rPr>
          <w:rFonts w:ascii="Times New Roman" w:hAnsi="Times New Roman"/>
          <w:color w:val="000000"/>
          <w:sz w:val="24"/>
          <w:szCs w:val="24"/>
          <w:lang w:val="es-ES"/>
        </w:rPr>
        <w:t xml:space="preserve"> RMV. Se imp</w:t>
      </w:r>
      <w:r w:rsidR="007A2637">
        <w:rPr>
          <w:rFonts w:ascii="Times New Roman" w:hAnsi="Times New Roman"/>
          <w:color w:val="000000"/>
          <w:sz w:val="24"/>
          <w:szCs w:val="24"/>
          <w:lang w:val="es-ES"/>
        </w:rPr>
        <w:t>lementaron</w:t>
      </w:r>
      <w:r w:rsidR="001C54C1" w:rsidRPr="00045E69">
        <w:rPr>
          <w:rFonts w:ascii="Times New Roman" w:hAnsi="Times New Roman"/>
          <w:color w:val="000000"/>
          <w:sz w:val="24"/>
          <w:szCs w:val="24"/>
          <w:lang w:val="es-ES"/>
        </w:rPr>
        <w:t xml:space="preserve"> choques sobre el gasto</w:t>
      </w:r>
      <w:r w:rsidRPr="00045E69">
        <w:rPr>
          <w:rFonts w:ascii="Times New Roman" w:hAnsi="Times New Roman"/>
          <w:color w:val="000000"/>
          <w:sz w:val="24"/>
          <w:szCs w:val="24"/>
          <w:lang w:val="es-ES"/>
        </w:rPr>
        <w:t xml:space="preserve"> turístico para estimar los beneficios directos, indirectos e inducidos del aumento de turismo en la RMV. Con los ben</w:t>
      </w:r>
      <w:r w:rsidR="001C54C1" w:rsidRPr="00045E69">
        <w:rPr>
          <w:rFonts w:ascii="Times New Roman" w:hAnsi="Times New Roman"/>
          <w:color w:val="000000"/>
          <w:sz w:val="24"/>
          <w:szCs w:val="24"/>
          <w:lang w:val="es-ES"/>
        </w:rPr>
        <w:t>eficios potenciales de Prodetur</w:t>
      </w:r>
      <w:r w:rsidRPr="00045E69">
        <w:rPr>
          <w:rFonts w:ascii="Times New Roman" w:hAnsi="Times New Roman"/>
          <w:color w:val="000000"/>
          <w:sz w:val="24"/>
          <w:szCs w:val="24"/>
          <w:lang w:val="es-ES"/>
        </w:rPr>
        <w:t xml:space="preserve">-ES </w:t>
      </w:r>
      <w:r w:rsidR="004D04EF" w:rsidRPr="00045E69">
        <w:rPr>
          <w:rFonts w:ascii="Times New Roman" w:hAnsi="Times New Roman"/>
          <w:color w:val="000000"/>
          <w:sz w:val="24"/>
          <w:szCs w:val="24"/>
          <w:lang w:val="es-ES"/>
        </w:rPr>
        <w:t>cuantificado</w:t>
      </w:r>
      <w:r w:rsidR="001C54C1" w:rsidRPr="00045E69">
        <w:rPr>
          <w:rFonts w:ascii="Times New Roman" w:hAnsi="Times New Roman"/>
          <w:color w:val="000000"/>
          <w:sz w:val="24"/>
          <w:szCs w:val="24"/>
          <w:lang w:val="es-ES"/>
        </w:rPr>
        <w:t>s</w:t>
      </w:r>
      <w:r w:rsidRPr="00045E69">
        <w:rPr>
          <w:rFonts w:ascii="Times New Roman" w:hAnsi="Times New Roman"/>
          <w:color w:val="000000"/>
          <w:sz w:val="24"/>
          <w:szCs w:val="24"/>
          <w:lang w:val="es-ES"/>
        </w:rPr>
        <w:t>, estos resultados se evaluaron en un ma</w:t>
      </w:r>
      <w:r w:rsidR="007A2637">
        <w:rPr>
          <w:rFonts w:ascii="Times New Roman" w:hAnsi="Times New Roman"/>
          <w:color w:val="000000"/>
          <w:sz w:val="24"/>
          <w:szCs w:val="24"/>
          <w:lang w:val="es-ES"/>
        </w:rPr>
        <w:t xml:space="preserve">rco de costo-beneficio </w:t>
      </w:r>
      <w:r w:rsidRPr="00045E69">
        <w:rPr>
          <w:rFonts w:ascii="Times New Roman" w:hAnsi="Times New Roman"/>
          <w:color w:val="000000"/>
          <w:sz w:val="24"/>
          <w:szCs w:val="24"/>
          <w:lang w:val="es-ES"/>
        </w:rPr>
        <w:t>donde se pesaron los beneficios de la inversión frente a los costos directos</w:t>
      </w:r>
      <w:r w:rsidR="007A2637">
        <w:rPr>
          <w:rFonts w:ascii="Times New Roman" w:hAnsi="Times New Roman"/>
          <w:color w:val="000000"/>
          <w:sz w:val="24"/>
          <w:szCs w:val="24"/>
          <w:lang w:val="es-ES"/>
        </w:rPr>
        <w:t xml:space="preserve"> utilizando </w:t>
      </w:r>
      <w:r w:rsidR="001C54C1" w:rsidRPr="00045E69">
        <w:rPr>
          <w:rFonts w:ascii="Times New Roman" w:hAnsi="Times New Roman"/>
          <w:color w:val="000000"/>
          <w:sz w:val="24"/>
          <w:szCs w:val="24"/>
          <w:lang w:val="es-ES"/>
        </w:rPr>
        <w:t>una tasa de descuento de 12%</w:t>
      </w:r>
      <w:r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La principal fuente de datos para el desarrollo de la base de datos, la matriz de contabilidad social (MCS) fue la tabla input-output (I</w:t>
      </w:r>
      <w:r w:rsidR="001C54C1" w:rsidRPr="00045E69">
        <w:rPr>
          <w:rFonts w:ascii="Times New Roman" w:hAnsi="Times New Roman"/>
          <w:color w:val="000000"/>
          <w:sz w:val="24"/>
          <w:szCs w:val="24"/>
          <w:lang w:val="es-ES"/>
        </w:rPr>
        <w:t>-</w:t>
      </w:r>
      <w:r w:rsidRPr="00045E69">
        <w:rPr>
          <w:rFonts w:ascii="Times New Roman" w:hAnsi="Times New Roman"/>
          <w:color w:val="000000"/>
          <w:sz w:val="24"/>
          <w:szCs w:val="24"/>
          <w:lang w:val="es-ES"/>
        </w:rPr>
        <w:t>O) generad</w:t>
      </w:r>
      <w:r w:rsidR="007A2637">
        <w:rPr>
          <w:rFonts w:ascii="Times New Roman" w:hAnsi="Times New Roman"/>
          <w:color w:val="000000"/>
          <w:sz w:val="24"/>
          <w:szCs w:val="24"/>
          <w:lang w:val="es-ES"/>
        </w:rPr>
        <w:t>a</w:t>
      </w:r>
      <w:r w:rsidRPr="00045E69">
        <w:rPr>
          <w:rFonts w:ascii="Times New Roman" w:hAnsi="Times New Roman"/>
          <w:color w:val="000000"/>
          <w:sz w:val="24"/>
          <w:szCs w:val="24"/>
          <w:lang w:val="es-ES"/>
        </w:rPr>
        <w:t xml:space="preserve"> por Guilhoto y Sesso Filho (2010) y Guilhoto y Sesso Filho (2005) con el año base de 2004. Esta tabla I</w:t>
      </w:r>
      <w:r w:rsidR="004F03D7" w:rsidRPr="00045E69">
        <w:rPr>
          <w:rFonts w:ascii="Times New Roman" w:hAnsi="Times New Roman"/>
          <w:color w:val="000000"/>
          <w:sz w:val="24"/>
          <w:szCs w:val="24"/>
          <w:lang w:val="es-ES"/>
        </w:rPr>
        <w:t xml:space="preserve">-O representa </w:t>
      </w:r>
      <w:r w:rsidRPr="00045E69">
        <w:rPr>
          <w:rFonts w:ascii="Times New Roman" w:hAnsi="Times New Roman"/>
          <w:color w:val="000000"/>
          <w:sz w:val="24"/>
          <w:szCs w:val="24"/>
          <w:lang w:val="es-ES"/>
        </w:rPr>
        <w:t xml:space="preserve">el estado de ES y por tanto, era necesario crear una representación regional de la RMV. Esta regionalización se basó en gran medida en las características estructurales </w:t>
      </w:r>
      <w:r w:rsidR="007A2637">
        <w:rPr>
          <w:rFonts w:ascii="Times New Roman" w:hAnsi="Times New Roman"/>
          <w:color w:val="000000"/>
          <w:sz w:val="24"/>
          <w:szCs w:val="24"/>
          <w:lang w:val="es-ES"/>
        </w:rPr>
        <w:t>del empleo en la</w:t>
      </w:r>
      <w:r w:rsidRPr="00045E69">
        <w:rPr>
          <w:rFonts w:ascii="Times New Roman" w:hAnsi="Times New Roman"/>
          <w:color w:val="000000"/>
          <w:sz w:val="24"/>
          <w:szCs w:val="24"/>
          <w:lang w:val="es-ES"/>
        </w:rPr>
        <w:t xml:space="preserve"> RMV y siguió el </w:t>
      </w:r>
      <w:r w:rsidR="004F03D7" w:rsidRPr="00045E69">
        <w:rPr>
          <w:rFonts w:ascii="Times New Roman" w:hAnsi="Times New Roman"/>
          <w:color w:val="000000"/>
          <w:sz w:val="24"/>
          <w:szCs w:val="24"/>
          <w:lang w:val="es-ES"/>
        </w:rPr>
        <w:t xml:space="preserve">procedimiento </w:t>
      </w:r>
      <w:r w:rsidRPr="00045E69">
        <w:rPr>
          <w:rFonts w:ascii="Times New Roman" w:hAnsi="Times New Roman"/>
          <w:color w:val="000000"/>
          <w:sz w:val="24"/>
          <w:szCs w:val="24"/>
          <w:lang w:val="es-ES"/>
        </w:rPr>
        <w:t>documentado en Miller y Blair (2009).</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7A2637" w:rsidP="00C82F81">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En la MCS desarrollada</w:t>
      </w:r>
      <w:r w:rsidR="002C3973" w:rsidRPr="00045E69">
        <w:rPr>
          <w:rFonts w:ascii="Times New Roman" w:hAnsi="Times New Roman"/>
          <w:color w:val="000000"/>
          <w:sz w:val="24"/>
          <w:szCs w:val="24"/>
          <w:lang w:val="es-ES"/>
        </w:rPr>
        <w:t xml:space="preserve"> por </w:t>
      </w:r>
      <w:r w:rsidR="004F03D7" w:rsidRPr="00045E69">
        <w:rPr>
          <w:rFonts w:ascii="Times New Roman" w:hAnsi="Times New Roman"/>
          <w:color w:val="000000"/>
          <w:sz w:val="24"/>
          <w:szCs w:val="24"/>
          <w:lang w:val="es-ES"/>
        </w:rPr>
        <w:t xml:space="preserve">Araújo Júnior </w:t>
      </w:r>
      <w:r w:rsidR="002C3973" w:rsidRPr="00045E69">
        <w:rPr>
          <w:rFonts w:ascii="Times New Roman" w:hAnsi="Times New Roman"/>
          <w:color w:val="000000"/>
          <w:sz w:val="24"/>
          <w:szCs w:val="24"/>
          <w:lang w:val="es-ES"/>
        </w:rPr>
        <w:t xml:space="preserve">(2014), la mano de obra se desagrega según el nivel de educación, con menos de 8 años de educación correspondiendo a mano de obra no calificada </w:t>
      </w:r>
      <w:r>
        <w:rPr>
          <w:rFonts w:ascii="Times New Roman" w:hAnsi="Times New Roman"/>
          <w:color w:val="000000"/>
          <w:sz w:val="24"/>
          <w:szCs w:val="24"/>
          <w:lang w:val="es-ES"/>
        </w:rPr>
        <w:t xml:space="preserve">y 8 o más años correspondiente </w:t>
      </w:r>
      <w:r w:rsidR="002C3973" w:rsidRPr="00045E69">
        <w:rPr>
          <w:rFonts w:ascii="Times New Roman" w:hAnsi="Times New Roman"/>
          <w:color w:val="000000"/>
          <w:sz w:val="24"/>
          <w:szCs w:val="24"/>
          <w:lang w:val="es-ES"/>
        </w:rPr>
        <w:t xml:space="preserve">a mano de obra calificada. Nueve categorías de hogares </w:t>
      </w:r>
      <w:r>
        <w:rPr>
          <w:rFonts w:ascii="Times New Roman" w:hAnsi="Times New Roman"/>
          <w:color w:val="000000"/>
          <w:sz w:val="24"/>
          <w:szCs w:val="24"/>
          <w:lang w:val="es-ES"/>
        </w:rPr>
        <w:t>se desagregaron de acuerdo a su ingreso con base en</w:t>
      </w:r>
      <w:r w:rsidR="002C3973" w:rsidRPr="00045E69">
        <w:rPr>
          <w:rFonts w:ascii="Times New Roman" w:hAnsi="Times New Roman"/>
          <w:color w:val="000000"/>
          <w:sz w:val="24"/>
          <w:szCs w:val="24"/>
          <w:lang w:val="es-ES"/>
        </w:rPr>
        <w:t xml:space="preserve"> la clasificación utilizada en las encuestas de hogares </w:t>
      </w:r>
      <w:r w:rsidR="004F03D7" w:rsidRPr="00045E69">
        <w:rPr>
          <w:rFonts w:ascii="Times New Roman" w:hAnsi="Times New Roman"/>
          <w:color w:val="000000"/>
          <w:sz w:val="24"/>
          <w:szCs w:val="24"/>
          <w:lang w:val="es-ES"/>
        </w:rPr>
        <w:t>realizadas</w:t>
      </w:r>
      <w:r w:rsidR="002C3973" w:rsidRPr="00045E69">
        <w:rPr>
          <w:rFonts w:ascii="Times New Roman" w:hAnsi="Times New Roman"/>
          <w:color w:val="000000"/>
          <w:sz w:val="24"/>
          <w:szCs w:val="24"/>
          <w:lang w:val="es-ES"/>
        </w:rPr>
        <w:t xml:space="preserve"> por el Instituto Brasileño de Geogra</w:t>
      </w:r>
      <w:r>
        <w:rPr>
          <w:rFonts w:ascii="Times New Roman" w:hAnsi="Times New Roman"/>
          <w:color w:val="000000"/>
          <w:sz w:val="24"/>
          <w:szCs w:val="24"/>
          <w:lang w:val="es-ES"/>
        </w:rPr>
        <w:t>fía y Estadística (IBGE). Diferente a las</w:t>
      </w:r>
      <w:r w:rsidR="002C3973" w:rsidRPr="00045E69">
        <w:rPr>
          <w:rFonts w:ascii="Times New Roman" w:hAnsi="Times New Roman"/>
          <w:color w:val="000000"/>
          <w:sz w:val="24"/>
          <w:szCs w:val="24"/>
          <w:lang w:val="es-ES"/>
        </w:rPr>
        <w:t xml:space="preserve"> MCS </w:t>
      </w:r>
      <w:r>
        <w:rPr>
          <w:rFonts w:ascii="Times New Roman" w:hAnsi="Times New Roman"/>
          <w:color w:val="000000"/>
          <w:sz w:val="24"/>
          <w:szCs w:val="24"/>
          <w:lang w:val="es-ES"/>
        </w:rPr>
        <w:t>tradicionales, la MCS desarrollada para la RMV</w:t>
      </w:r>
      <w:r w:rsidR="002C3973" w:rsidRPr="00045E69">
        <w:rPr>
          <w:rFonts w:ascii="Times New Roman" w:hAnsi="Times New Roman"/>
          <w:color w:val="000000"/>
          <w:sz w:val="24"/>
          <w:szCs w:val="24"/>
          <w:lang w:val="es-ES"/>
        </w:rPr>
        <w:t xml:space="preserve"> se incluye una cuenta de turis</w:t>
      </w:r>
      <w:r>
        <w:rPr>
          <w:rFonts w:ascii="Times New Roman" w:hAnsi="Times New Roman"/>
          <w:color w:val="000000"/>
          <w:sz w:val="24"/>
          <w:szCs w:val="24"/>
          <w:lang w:val="es-ES"/>
        </w:rPr>
        <w:t xml:space="preserve">tas </w:t>
      </w:r>
      <w:r w:rsidR="002C3973" w:rsidRPr="00045E69">
        <w:rPr>
          <w:rFonts w:ascii="Times New Roman" w:hAnsi="Times New Roman"/>
          <w:color w:val="000000"/>
          <w:sz w:val="24"/>
          <w:szCs w:val="24"/>
          <w:lang w:val="es-ES"/>
        </w:rPr>
        <w:t xml:space="preserve">que representa el gasto turístico en los bienes y servicios adquiridos en la </w:t>
      </w:r>
      <w:r>
        <w:rPr>
          <w:rFonts w:ascii="Times New Roman" w:hAnsi="Times New Roman"/>
          <w:color w:val="000000"/>
          <w:sz w:val="24"/>
          <w:szCs w:val="24"/>
          <w:lang w:val="es-ES"/>
        </w:rPr>
        <w:t>RMV</w:t>
      </w:r>
      <w:r w:rsidR="002C3973" w:rsidRPr="00045E69">
        <w:rPr>
          <w:rFonts w:ascii="Times New Roman" w:hAnsi="Times New Roman"/>
          <w:color w:val="000000"/>
          <w:sz w:val="24"/>
          <w:szCs w:val="24"/>
          <w:lang w:val="es-ES"/>
        </w:rPr>
        <w:t>. Cálculos realizad</w:t>
      </w:r>
      <w:r>
        <w:rPr>
          <w:rFonts w:ascii="Times New Roman" w:hAnsi="Times New Roman"/>
          <w:color w:val="000000"/>
          <w:sz w:val="24"/>
          <w:szCs w:val="24"/>
          <w:lang w:val="es-ES"/>
        </w:rPr>
        <w:t xml:space="preserve">os fuera del modelo demuestren como </w:t>
      </w:r>
      <w:r w:rsidR="002C3973" w:rsidRPr="00045E69">
        <w:rPr>
          <w:rFonts w:ascii="Times New Roman" w:hAnsi="Times New Roman"/>
          <w:color w:val="000000"/>
          <w:sz w:val="24"/>
          <w:szCs w:val="24"/>
          <w:lang w:val="es-ES"/>
        </w:rPr>
        <w:t xml:space="preserve">los escenarios </w:t>
      </w:r>
      <w:r>
        <w:rPr>
          <w:rFonts w:ascii="Times New Roman" w:hAnsi="Times New Roman"/>
          <w:color w:val="000000"/>
          <w:sz w:val="24"/>
          <w:szCs w:val="24"/>
          <w:lang w:val="es-ES"/>
        </w:rPr>
        <w:t xml:space="preserve">afectan </w:t>
      </w:r>
      <w:r w:rsidR="004F03D7" w:rsidRPr="00045E69">
        <w:rPr>
          <w:rFonts w:ascii="Times New Roman" w:hAnsi="Times New Roman"/>
          <w:color w:val="000000"/>
          <w:sz w:val="24"/>
          <w:szCs w:val="24"/>
          <w:lang w:val="es-ES"/>
        </w:rPr>
        <w:t xml:space="preserve">el comportamiento de </w:t>
      </w:r>
      <w:r w:rsidR="002C3973" w:rsidRPr="00045E69">
        <w:rPr>
          <w:rFonts w:ascii="Times New Roman" w:hAnsi="Times New Roman"/>
          <w:color w:val="000000"/>
          <w:sz w:val="24"/>
          <w:szCs w:val="24"/>
          <w:lang w:val="es-ES"/>
        </w:rPr>
        <w:t>los turistas alojados con familiares/amigos y los que se alojan en hotele</w:t>
      </w:r>
      <w:r>
        <w:rPr>
          <w:rFonts w:ascii="Times New Roman" w:hAnsi="Times New Roman"/>
          <w:color w:val="000000"/>
          <w:sz w:val="24"/>
          <w:szCs w:val="24"/>
          <w:lang w:val="es-ES"/>
        </w:rPr>
        <w:t>s.</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período de análisis </w:t>
      </w:r>
      <w:r w:rsidR="007A2637">
        <w:rPr>
          <w:rFonts w:ascii="Times New Roman" w:hAnsi="Times New Roman"/>
          <w:color w:val="000000"/>
          <w:sz w:val="24"/>
          <w:szCs w:val="24"/>
          <w:lang w:val="es-ES"/>
        </w:rPr>
        <w:t xml:space="preserve">es </w:t>
      </w:r>
      <w:r w:rsidR="004F03D7" w:rsidRPr="00045E69">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 xml:space="preserve">2015 a 2026. El comienzo de la ejecución </w:t>
      </w:r>
      <w:r w:rsidR="007A2637">
        <w:rPr>
          <w:rFonts w:ascii="Times New Roman" w:hAnsi="Times New Roman"/>
          <w:color w:val="000000"/>
          <w:sz w:val="24"/>
          <w:szCs w:val="24"/>
          <w:lang w:val="es-ES"/>
        </w:rPr>
        <w:t>es en</w:t>
      </w:r>
      <w:r w:rsidRPr="00045E69">
        <w:rPr>
          <w:rFonts w:ascii="Times New Roman" w:hAnsi="Times New Roman"/>
          <w:color w:val="000000"/>
          <w:sz w:val="24"/>
          <w:szCs w:val="24"/>
          <w:lang w:val="es-ES"/>
        </w:rPr>
        <w:t xml:space="preserve"> 2015, durando 5 años até 2019. Los efectos del programa </w:t>
      </w:r>
      <w:r w:rsidR="007A2637">
        <w:rPr>
          <w:rFonts w:ascii="Times New Roman" w:hAnsi="Times New Roman"/>
          <w:color w:val="000000"/>
          <w:sz w:val="24"/>
          <w:szCs w:val="24"/>
          <w:lang w:val="es-ES"/>
        </w:rPr>
        <w:t xml:space="preserve">comienzan haciendo sentir en </w:t>
      </w:r>
      <w:r w:rsidRPr="00045E69">
        <w:rPr>
          <w:rFonts w:ascii="Times New Roman" w:hAnsi="Times New Roman"/>
          <w:color w:val="000000"/>
          <w:sz w:val="24"/>
          <w:szCs w:val="24"/>
          <w:lang w:val="es-ES"/>
        </w:rPr>
        <w:t xml:space="preserve">2017, aumentando gradualmente hasta el año 2026. Se llevó a cabo simulaciones representando incrementos en el gasto turístico per cápita, aumento en el número de turistas, y </w:t>
      </w:r>
      <w:r w:rsidR="007A2637">
        <w:rPr>
          <w:rFonts w:ascii="Times New Roman" w:hAnsi="Times New Roman"/>
          <w:color w:val="000000"/>
          <w:sz w:val="24"/>
          <w:szCs w:val="24"/>
          <w:lang w:val="es-ES"/>
        </w:rPr>
        <w:t xml:space="preserve">aumento en la </w:t>
      </w:r>
      <w:r w:rsidRPr="00045E69">
        <w:rPr>
          <w:rFonts w:ascii="Times New Roman" w:hAnsi="Times New Roman"/>
          <w:color w:val="000000"/>
          <w:sz w:val="24"/>
          <w:szCs w:val="24"/>
          <w:lang w:val="es-ES"/>
        </w:rPr>
        <w:t>duración de las estancias turísticas</w:t>
      </w:r>
      <w:r w:rsidR="007A2637">
        <w:rPr>
          <w:rFonts w:ascii="Times New Roman" w:hAnsi="Times New Roman"/>
          <w:color w:val="000000"/>
          <w:sz w:val="24"/>
          <w:szCs w:val="24"/>
          <w:lang w:val="es-ES"/>
        </w:rPr>
        <w:t>. Los resultados de los escenarios son reportado</w:t>
      </w:r>
      <w:r w:rsidRPr="00045E69">
        <w:rPr>
          <w:rFonts w:ascii="Times New Roman" w:hAnsi="Times New Roman"/>
          <w:color w:val="000000"/>
          <w:sz w:val="24"/>
          <w:szCs w:val="24"/>
          <w:lang w:val="es-ES"/>
        </w:rPr>
        <w:t xml:space="preserve">s en detalle en </w:t>
      </w:r>
      <w:r w:rsidR="004F03D7" w:rsidRPr="00045E69">
        <w:rPr>
          <w:rFonts w:ascii="Times New Roman" w:hAnsi="Times New Roman"/>
          <w:color w:val="000000"/>
          <w:sz w:val="24"/>
          <w:szCs w:val="24"/>
          <w:lang w:val="es-ES"/>
        </w:rPr>
        <w:t xml:space="preserve">Araújo Júnior </w:t>
      </w:r>
      <w:r w:rsidRPr="00045E69">
        <w:rPr>
          <w:rFonts w:ascii="Times New Roman" w:hAnsi="Times New Roman"/>
          <w:color w:val="000000"/>
          <w:sz w:val="24"/>
          <w:szCs w:val="24"/>
          <w:lang w:val="es-ES"/>
        </w:rPr>
        <w:t>(2014). Aquí, nos centramos sólo en aquellas simulaciones que implican un aumento gradual en el gasto turístico per cápita, a partir de</w:t>
      </w:r>
      <w:r w:rsidR="004F03D7" w:rsidRPr="00045E69">
        <w:rPr>
          <w:rFonts w:ascii="Times New Roman" w:hAnsi="Times New Roman"/>
          <w:color w:val="000000"/>
          <w:sz w:val="24"/>
          <w:szCs w:val="24"/>
          <w:lang w:val="es-ES"/>
        </w:rPr>
        <w:t>l comienzo</w:t>
      </w:r>
      <w:r w:rsidRPr="00045E69">
        <w:rPr>
          <w:rFonts w:ascii="Times New Roman" w:hAnsi="Times New Roman"/>
          <w:color w:val="000000"/>
          <w:sz w:val="24"/>
          <w:szCs w:val="24"/>
          <w:lang w:val="es-ES"/>
        </w:rPr>
        <w:t xml:space="preserve"> de 2017, y </w:t>
      </w:r>
      <w:r w:rsidR="004F03D7" w:rsidRPr="00045E69">
        <w:rPr>
          <w:rFonts w:ascii="Times New Roman" w:hAnsi="Times New Roman"/>
          <w:color w:val="000000"/>
          <w:sz w:val="24"/>
          <w:szCs w:val="24"/>
          <w:lang w:val="es-ES"/>
        </w:rPr>
        <w:t>alcanzando un incremento de 10</w:t>
      </w:r>
      <w:r w:rsidRPr="00045E69">
        <w:rPr>
          <w:rFonts w:ascii="Times New Roman" w:hAnsi="Times New Roman"/>
          <w:color w:val="000000"/>
          <w:sz w:val="24"/>
          <w:szCs w:val="24"/>
          <w:lang w:val="es-ES"/>
        </w:rPr>
        <w:t>% en 2026.</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En cuanto a los costos </w:t>
      </w:r>
      <w:r w:rsidR="00B244F6">
        <w:rPr>
          <w:rFonts w:ascii="Times New Roman" w:hAnsi="Times New Roman"/>
          <w:color w:val="000000"/>
          <w:sz w:val="24"/>
          <w:szCs w:val="24"/>
          <w:lang w:val="es-ES"/>
        </w:rPr>
        <w:t>contabilizados</w:t>
      </w:r>
      <w:r w:rsidRPr="00045E69">
        <w:rPr>
          <w:rFonts w:ascii="Times New Roman" w:hAnsi="Times New Roman"/>
          <w:color w:val="000000"/>
          <w:sz w:val="24"/>
          <w:szCs w:val="24"/>
          <w:lang w:val="es-ES"/>
        </w:rPr>
        <w:t xml:space="preserve"> en el análisis costo-beneficio, la inversión total de Prodetur</w:t>
      </w:r>
      <w:r w:rsidR="00B244F6">
        <w:rPr>
          <w:rFonts w:ascii="Times New Roman" w:hAnsi="Times New Roman"/>
          <w:color w:val="000000"/>
          <w:sz w:val="24"/>
          <w:szCs w:val="24"/>
          <w:lang w:val="es-ES"/>
        </w:rPr>
        <w:t>-ES es de USD$80 millones</w:t>
      </w:r>
      <w:r w:rsidRPr="00045E69">
        <w:rPr>
          <w:rFonts w:ascii="Times New Roman" w:hAnsi="Times New Roman"/>
          <w:color w:val="000000"/>
          <w:sz w:val="24"/>
          <w:szCs w:val="24"/>
          <w:lang w:val="es-ES"/>
        </w:rPr>
        <w:t xml:space="preserve">. La </w:t>
      </w:r>
      <w:r w:rsidR="00B244F6">
        <w:rPr>
          <w:rFonts w:ascii="Times New Roman" w:hAnsi="Times New Roman"/>
          <w:color w:val="000000"/>
          <w:sz w:val="24"/>
          <w:szCs w:val="24"/>
          <w:lang w:val="es-ES"/>
        </w:rPr>
        <w:t xml:space="preserve">inversión en </w:t>
      </w:r>
      <w:r w:rsidRPr="00045E69">
        <w:rPr>
          <w:rFonts w:ascii="Times New Roman" w:hAnsi="Times New Roman"/>
          <w:color w:val="000000"/>
          <w:sz w:val="24"/>
          <w:szCs w:val="24"/>
          <w:lang w:val="es-ES"/>
        </w:rPr>
        <w:t xml:space="preserve">infraestructura y en obras </w:t>
      </w:r>
      <w:r w:rsidR="00B244F6">
        <w:rPr>
          <w:rFonts w:ascii="Times New Roman" w:hAnsi="Times New Roman"/>
          <w:color w:val="000000"/>
          <w:sz w:val="24"/>
          <w:szCs w:val="24"/>
          <w:lang w:val="es-ES"/>
        </w:rPr>
        <w:t>fue</w:t>
      </w:r>
      <w:r w:rsidR="00EA03D6" w:rsidRPr="00045E69">
        <w:rPr>
          <w:rFonts w:ascii="Times New Roman" w:hAnsi="Times New Roman"/>
          <w:color w:val="000000"/>
          <w:sz w:val="24"/>
          <w:szCs w:val="24"/>
          <w:lang w:val="es-ES"/>
        </w:rPr>
        <w:t xml:space="preserve"> </w:t>
      </w:r>
      <w:r w:rsidR="00B244F6">
        <w:rPr>
          <w:rFonts w:ascii="Times New Roman" w:hAnsi="Times New Roman"/>
          <w:color w:val="000000"/>
          <w:sz w:val="24"/>
          <w:szCs w:val="24"/>
          <w:lang w:val="es-ES"/>
        </w:rPr>
        <w:t>USD</w:t>
      </w:r>
      <w:r w:rsidR="00EA03D6" w:rsidRPr="00045E69">
        <w:rPr>
          <w:rFonts w:ascii="Times New Roman" w:hAnsi="Times New Roman"/>
          <w:color w:val="000000"/>
          <w:sz w:val="24"/>
          <w:szCs w:val="24"/>
          <w:lang w:val="es-ES"/>
        </w:rPr>
        <w:t xml:space="preserve">$49 </w:t>
      </w:r>
      <w:r w:rsidR="00045E69" w:rsidRPr="00045E69">
        <w:rPr>
          <w:rFonts w:ascii="Times New Roman" w:hAnsi="Times New Roman"/>
          <w:color w:val="000000"/>
          <w:sz w:val="24"/>
          <w:szCs w:val="24"/>
          <w:lang w:val="es-ES"/>
        </w:rPr>
        <w:t>millones</w:t>
      </w:r>
      <w:r w:rsidR="00EA03D6" w:rsidRPr="00045E69">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w:t>
      </w:r>
      <w:r w:rsidR="00B244F6">
        <w:rPr>
          <w:rFonts w:ascii="Times New Roman" w:hAnsi="Times New Roman"/>
          <w:color w:val="000000"/>
          <w:sz w:val="24"/>
          <w:szCs w:val="24"/>
          <w:lang w:val="es-ES"/>
        </w:rPr>
        <w:t>El m</w:t>
      </w:r>
      <w:r w:rsidRPr="00045E69">
        <w:rPr>
          <w:rFonts w:ascii="Times New Roman" w:hAnsi="Times New Roman"/>
          <w:color w:val="000000"/>
          <w:sz w:val="24"/>
          <w:szCs w:val="24"/>
          <w:lang w:val="es-ES"/>
        </w:rPr>
        <w:t>antenimiento de la infraestructura se estimó en 10% de la inversión total en infraestructura y se contabilizará comenzando al inicio del año 2019. El valor presente neto (VPN) y la tasa interna de retorno (TIR) del proyecto, así como el punto de equilibrio se calcularon para todos los escenarios con la tasa de descuento de 12 %.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Los resultados</w:t>
      </w:r>
      <w:r w:rsidR="00B244F6">
        <w:rPr>
          <w:rFonts w:ascii="Times New Roman" w:hAnsi="Times New Roman"/>
          <w:color w:val="000000"/>
          <w:sz w:val="24"/>
          <w:szCs w:val="24"/>
          <w:lang w:val="es-ES"/>
        </w:rPr>
        <w:t xml:space="preserve"> de un aumento </w:t>
      </w:r>
      <w:r w:rsidR="00D038A6">
        <w:rPr>
          <w:rFonts w:ascii="Times New Roman" w:hAnsi="Times New Roman"/>
          <w:color w:val="000000"/>
          <w:sz w:val="24"/>
          <w:szCs w:val="24"/>
          <w:lang w:val="es-ES"/>
        </w:rPr>
        <w:t xml:space="preserve">de 10% </w:t>
      </w:r>
      <w:r w:rsidR="00B244F6">
        <w:rPr>
          <w:rFonts w:ascii="Times New Roman" w:hAnsi="Times New Roman"/>
          <w:color w:val="000000"/>
          <w:sz w:val="24"/>
          <w:szCs w:val="24"/>
          <w:lang w:val="es-ES"/>
        </w:rPr>
        <w:t>en el gasto turístico</w:t>
      </w:r>
      <w:r w:rsidRPr="00045E69">
        <w:rPr>
          <w:rFonts w:ascii="Times New Roman" w:hAnsi="Times New Roman"/>
          <w:color w:val="000000"/>
          <w:sz w:val="24"/>
          <w:szCs w:val="24"/>
          <w:lang w:val="es-ES"/>
        </w:rPr>
        <w:t xml:space="preserve"> </w:t>
      </w:r>
      <w:r w:rsidR="00D038A6">
        <w:rPr>
          <w:rFonts w:ascii="Times New Roman" w:hAnsi="Times New Roman"/>
          <w:color w:val="000000"/>
          <w:sz w:val="24"/>
          <w:szCs w:val="24"/>
          <w:lang w:val="es-ES"/>
        </w:rPr>
        <w:t xml:space="preserve">de los que se alojan en hoteles </w:t>
      </w:r>
      <w:r w:rsidRPr="00045E69">
        <w:rPr>
          <w:rFonts w:ascii="Times New Roman" w:hAnsi="Times New Roman"/>
          <w:color w:val="000000"/>
          <w:sz w:val="24"/>
          <w:szCs w:val="24"/>
          <w:lang w:val="es-ES"/>
        </w:rPr>
        <w:t>muestr</w:t>
      </w:r>
      <w:r w:rsidR="00EA03D6" w:rsidRPr="00045E69">
        <w:rPr>
          <w:rFonts w:ascii="Times New Roman" w:hAnsi="Times New Roman"/>
          <w:color w:val="000000"/>
          <w:sz w:val="24"/>
          <w:szCs w:val="24"/>
          <w:lang w:val="es-ES"/>
        </w:rPr>
        <w:t>an una desviación positiva de 0.07%, 0.30% y 0.</w:t>
      </w:r>
      <w:r w:rsidRPr="00045E69">
        <w:rPr>
          <w:rFonts w:ascii="Times New Roman" w:hAnsi="Times New Roman"/>
          <w:color w:val="000000"/>
          <w:sz w:val="24"/>
          <w:szCs w:val="24"/>
          <w:lang w:val="es-ES"/>
        </w:rPr>
        <w:t>70% en el producto regional para los tres períodos de tiempo cons</w:t>
      </w:r>
      <w:r w:rsidR="00B244F6">
        <w:rPr>
          <w:rFonts w:ascii="Times New Roman" w:hAnsi="Times New Roman"/>
          <w:color w:val="000000"/>
          <w:sz w:val="24"/>
          <w:szCs w:val="24"/>
          <w:lang w:val="es-ES"/>
        </w:rPr>
        <w:t>iderados (2017-2020; 2021-2023; 2</w:t>
      </w:r>
      <w:r w:rsidRPr="00045E69">
        <w:rPr>
          <w:rFonts w:ascii="Times New Roman" w:hAnsi="Times New Roman"/>
          <w:color w:val="000000"/>
          <w:sz w:val="24"/>
          <w:szCs w:val="24"/>
          <w:lang w:val="es-ES"/>
        </w:rPr>
        <w:t>024</w:t>
      </w:r>
      <w:r w:rsidR="00B244F6">
        <w:rPr>
          <w:rFonts w:ascii="Times New Roman" w:hAnsi="Times New Roman"/>
          <w:color w:val="000000"/>
          <w:sz w:val="24"/>
          <w:szCs w:val="24"/>
          <w:lang w:val="es-ES"/>
        </w:rPr>
        <w:t>-</w:t>
      </w:r>
      <w:r w:rsidRPr="00045E69">
        <w:rPr>
          <w:rFonts w:ascii="Times New Roman" w:hAnsi="Times New Roman"/>
          <w:color w:val="000000"/>
          <w:sz w:val="24"/>
          <w:szCs w:val="24"/>
          <w:lang w:val="es-ES"/>
        </w:rPr>
        <w:t>2026, resp</w:t>
      </w:r>
      <w:r w:rsidR="00D038A6">
        <w:rPr>
          <w:rFonts w:ascii="Times New Roman" w:hAnsi="Times New Roman"/>
          <w:color w:val="000000"/>
          <w:sz w:val="24"/>
          <w:szCs w:val="24"/>
          <w:lang w:val="es-ES"/>
        </w:rPr>
        <w:t>ectivamente)</w:t>
      </w:r>
      <w:r w:rsidRPr="00045E69">
        <w:rPr>
          <w:rFonts w:ascii="Times New Roman" w:hAnsi="Times New Roman"/>
          <w:color w:val="000000"/>
          <w:sz w:val="24"/>
          <w:szCs w:val="24"/>
          <w:lang w:val="es-ES"/>
        </w:rPr>
        <w:t>. Cuando se implementó el choque sobre gasto per cápita de los turistas alojados con familiares o amigos, la d</w:t>
      </w:r>
      <w:r w:rsidR="00EA03D6" w:rsidRPr="00045E69">
        <w:rPr>
          <w:rFonts w:ascii="Times New Roman" w:hAnsi="Times New Roman"/>
          <w:color w:val="000000"/>
          <w:sz w:val="24"/>
          <w:szCs w:val="24"/>
          <w:lang w:val="es-ES"/>
        </w:rPr>
        <w:t>esviación positiva fue menor (0.05%, 0.21% y 0.</w:t>
      </w:r>
      <w:r w:rsidRPr="00045E69">
        <w:rPr>
          <w:rFonts w:ascii="Times New Roman" w:hAnsi="Times New Roman"/>
          <w:color w:val="000000"/>
          <w:sz w:val="24"/>
          <w:szCs w:val="24"/>
          <w:lang w:val="es-ES"/>
        </w:rPr>
        <w:t>45%, respectivamente). Cuando se implementó el choque sobre el gasto per cápita tanto para turistas que se alojan con familiares/ami</w:t>
      </w:r>
      <w:r w:rsidR="00D038A6">
        <w:rPr>
          <w:rFonts w:ascii="Times New Roman" w:hAnsi="Times New Roman"/>
          <w:color w:val="000000"/>
          <w:sz w:val="24"/>
          <w:szCs w:val="24"/>
          <w:lang w:val="es-ES"/>
        </w:rPr>
        <w:t>gos y para aquellos que se aloja</w:t>
      </w:r>
      <w:r w:rsidRPr="00045E69">
        <w:rPr>
          <w:rFonts w:ascii="Times New Roman" w:hAnsi="Times New Roman"/>
          <w:color w:val="000000"/>
          <w:sz w:val="24"/>
          <w:szCs w:val="24"/>
          <w:lang w:val="es-ES"/>
        </w:rPr>
        <w:t>n en los hoteles, la desviación positiva fue mayor (0.13%, 0.51% y 1.13%, en los tres períodos de tiempo señalados anteriormente, respectivamente).</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El aumento en el gasto turístico per cápita tuvo un impacto positivo sobre el empleo, en particular en el caso del empleo no cualificado. Este resultado se debe en gran parte por las condiciones iniciales de la estructura de</w:t>
      </w:r>
      <w:r w:rsidR="00EA03D6" w:rsidRPr="00045E69">
        <w:rPr>
          <w:rFonts w:ascii="Times New Roman" w:hAnsi="Times New Roman"/>
          <w:color w:val="000000"/>
          <w:sz w:val="24"/>
          <w:szCs w:val="24"/>
          <w:lang w:val="es-ES"/>
        </w:rPr>
        <w:t xml:space="preserve">l empleo en </w:t>
      </w:r>
      <w:r w:rsidRPr="00045E69">
        <w:rPr>
          <w:rFonts w:ascii="Times New Roman" w:hAnsi="Times New Roman"/>
          <w:color w:val="000000"/>
          <w:sz w:val="24"/>
          <w:szCs w:val="24"/>
          <w:lang w:val="es-ES"/>
        </w:rPr>
        <w:t>el sec</w:t>
      </w:r>
      <w:r w:rsidR="00D038A6">
        <w:rPr>
          <w:rFonts w:ascii="Times New Roman" w:hAnsi="Times New Roman"/>
          <w:color w:val="000000"/>
          <w:sz w:val="24"/>
          <w:szCs w:val="24"/>
          <w:lang w:val="es-ES"/>
        </w:rPr>
        <w:t>tor de servicios turísticos. Para el año 2026, un aumento de</w:t>
      </w:r>
      <w:r w:rsidRPr="00045E69">
        <w:rPr>
          <w:rFonts w:ascii="Times New Roman" w:hAnsi="Times New Roman"/>
          <w:color w:val="000000"/>
          <w:sz w:val="24"/>
          <w:szCs w:val="24"/>
          <w:lang w:val="es-ES"/>
        </w:rPr>
        <w:t xml:space="preserve"> 10% en el gasto turístico </w:t>
      </w:r>
      <w:r w:rsidR="00D038A6">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l</w:t>
      </w:r>
      <w:r w:rsidR="00D038A6">
        <w:rPr>
          <w:rFonts w:ascii="Times New Roman" w:hAnsi="Times New Roman"/>
          <w:color w:val="000000"/>
          <w:sz w:val="24"/>
          <w:szCs w:val="24"/>
          <w:lang w:val="es-ES"/>
        </w:rPr>
        <w:t xml:space="preserve">os que se alojan en hoteles </w:t>
      </w:r>
      <w:r w:rsidRPr="00045E69">
        <w:rPr>
          <w:rFonts w:ascii="Times New Roman" w:hAnsi="Times New Roman"/>
          <w:color w:val="000000"/>
          <w:sz w:val="24"/>
          <w:szCs w:val="24"/>
          <w:lang w:val="es-ES"/>
        </w:rPr>
        <w:t xml:space="preserve">resultó en </w:t>
      </w:r>
      <w:r w:rsidR="00D038A6">
        <w:rPr>
          <w:rFonts w:ascii="Times New Roman" w:hAnsi="Times New Roman"/>
          <w:color w:val="000000"/>
          <w:sz w:val="24"/>
          <w:szCs w:val="24"/>
          <w:lang w:val="es-ES"/>
        </w:rPr>
        <w:t xml:space="preserve">un aumento de </w:t>
      </w:r>
      <w:r w:rsidRPr="00045E69">
        <w:rPr>
          <w:rFonts w:ascii="Times New Roman" w:hAnsi="Times New Roman"/>
          <w:color w:val="000000"/>
          <w:sz w:val="24"/>
          <w:szCs w:val="24"/>
          <w:lang w:val="es-ES"/>
        </w:rPr>
        <w:t>1</w:t>
      </w:r>
      <w:r w:rsidR="00EA03D6" w:rsidRPr="00045E69">
        <w:rPr>
          <w:rFonts w:ascii="Times New Roman" w:hAnsi="Times New Roman"/>
          <w:color w:val="000000"/>
          <w:sz w:val="24"/>
          <w:szCs w:val="24"/>
          <w:lang w:val="es-ES"/>
        </w:rPr>
        <w:t>,</w:t>
      </w:r>
      <w:r w:rsidRPr="00045E69">
        <w:rPr>
          <w:rFonts w:ascii="Times New Roman" w:hAnsi="Times New Roman"/>
          <w:color w:val="000000"/>
          <w:sz w:val="24"/>
          <w:szCs w:val="24"/>
          <w:lang w:val="es-ES"/>
        </w:rPr>
        <w:t>414 puestos de trabajo no cualificados y 777 puestos de trab</w:t>
      </w:r>
      <w:r w:rsidR="00EA03D6" w:rsidRPr="00045E69">
        <w:rPr>
          <w:rFonts w:ascii="Times New Roman" w:hAnsi="Times New Roman"/>
          <w:color w:val="000000"/>
          <w:sz w:val="24"/>
          <w:szCs w:val="24"/>
          <w:lang w:val="es-ES"/>
        </w:rPr>
        <w:t>ajo cualificados. Un aumento de</w:t>
      </w:r>
      <w:r w:rsidRPr="00045E69">
        <w:rPr>
          <w:rFonts w:ascii="Times New Roman" w:hAnsi="Times New Roman"/>
          <w:color w:val="000000"/>
          <w:sz w:val="24"/>
          <w:szCs w:val="24"/>
          <w:lang w:val="es-ES"/>
        </w:rPr>
        <w:t xml:space="preserve"> 10% en el gasto turístico de los que se quedan con familia/amigos </w:t>
      </w:r>
      <w:r w:rsidR="00D038A6">
        <w:rPr>
          <w:rFonts w:ascii="Times New Roman" w:hAnsi="Times New Roman"/>
          <w:color w:val="000000"/>
          <w:sz w:val="24"/>
          <w:szCs w:val="24"/>
          <w:lang w:val="es-ES"/>
        </w:rPr>
        <w:t>resultó en 91</w:t>
      </w:r>
      <w:r w:rsidRPr="00045E69">
        <w:rPr>
          <w:rFonts w:ascii="Times New Roman" w:hAnsi="Times New Roman"/>
          <w:color w:val="000000"/>
          <w:sz w:val="24"/>
          <w:szCs w:val="24"/>
          <w:lang w:val="es-ES"/>
        </w:rPr>
        <w:t>3 puestos de trabajo no cualificados y 506 puestos cualifica</w:t>
      </w:r>
      <w:r w:rsidR="00EA03D6" w:rsidRPr="00045E69">
        <w:rPr>
          <w:rFonts w:ascii="Times New Roman" w:hAnsi="Times New Roman"/>
          <w:color w:val="000000"/>
          <w:sz w:val="24"/>
          <w:szCs w:val="24"/>
          <w:lang w:val="es-ES"/>
        </w:rPr>
        <w:t>dos, mientras que un aumento de</w:t>
      </w:r>
      <w:r w:rsidRPr="00045E69">
        <w:rPr>
          <w:rFonts w:ascii="Times New Roman" w:hAnsi="Times New Roman"/>
          <w:color w:val="000000"/>
          <w:sz w:val="24"/>
          <w:szCs w:val="24"/>
          <w:lang w:val="es-ES"/>
        </w:rPr>
        <w:t xml:space="preserve"> 10% en el gasto turístico de los que se alojan en hoteles y </w:t>
      </w:r>
      <w:r w:rsidR="00D038A6">
        <w:rPr>
          <w:rFonts w:ascii="Times New Roman" w:hAnsi="Times New Roman"/>
          <w:color w:val="000000"/>
          <w:sz w:val="24"/>
          <w:szCs w:val="24"/>
          <w:lang w:val="es-ES"/>
        </w:rPr>
        <w:t>de los que se aloj</w:t>
      </w:r>
      <w:r w:rsidR="00EA03D6" w:rsidRPr="00045E69">
        <w:rPr>
          <w:rFonts w:ascii="Times New Roman" w:hAnsi="Times New Roman"/>
          <w:color w:val="000000"/>
          <w:sz w:val="24"/>
          <w:szCs w:val="24"/>
          <w:lang w:val="es-ES"/>
        </w:rPr>
        <w:t xml:space="preserve">an con familia/amigos </w:t>
      </w:r>
      <w:r w:rsidR="00D038A6">
        <w:rPr>
          <w:rFonts w:ascii="Times New Roman" w:hAnsi="Times New Roman"/>
          <w:color w:val="000000"/>
          <w:sz w:val="24"/>
          <w:szCs w:val="24"/>
          <w:lang w:val="es-ES"/>
        </w:rPr>
        <w:t xml:space="preserve">resultó </w:t>
      </w:r>
      <w:r w:rsidRPr="00045E69">
        <w:rPr>
          <w:rFonts w:ascii="Times New Roman" w:hAnsi="Times New Roman"/>
          <w:color w:val="000000"/>
          <w:sz w:val="24"/>
          <w:szCs w:val="24"/>
          <w:lang w:val="es-ES"/>
        </w:rPr>
        <w:t>en 2</w:t>
      </w:r>
      <w:r w:rsidR="00EA03D6" w:rsidRPr="00045E69">
        <w:rPr>
          <w:rFonts w:ascii="Times New Roman" w:hAnsi="Times New Roman"/>
          <w:color w:val="000000"/>
          <w:sz w:val="24"/>
          <w:szCs w:val="24"/>
          <w:lang w:val="es-ES"/>
        </w:rPr>
        <w:t>,262 puestos no cualificadas y 1,</w:t>
      </w:r>
      <w:r w:rsidRPr="00045E69">
        <w:rPr>
          <w:rFonts w:ascii="Times New Roman" w:hAnsi="Times New Roman"/>
          <w:color w:val="000000"/>
          <w:sz w:val="24"/>
          <w:szCs w:val="24"/>
          <w:lang w:val="es-ES"/>
        </w:rPr>
        <w:t xml:space="preserve">249 puestos cualificados. El impacto del programa fue positivo en términos del ingreso familiar, para todas las categorías de ingresos (un aumento promedio de ingresos </w:t>
      </w:r>
      <w:r w:rsidR="00D038A6">
        <w:rPr>
          <w:rFonts w:ascii="Times New Roman" w:hAnsi="Times New Roman"/>
          <w:color w:val="000000"/>
          <w:sz w:val="24"/>
          <w:szCs w:val="24"/>
          <w:lang w:val="es-ES"/>
        </w:rPr>
        <w:t>de</w:t>
      </w:r>
      <w:r w:rsidRPr="00045E69">
        <w:rPr>
          <w:rFonts w:ascii="Times New Roman" w:hAnsi="Times New Roman"/>
          <w:color w:val="000000"/>
          <w:sz w:val="24"/>
          <w:szCs w:val="24"/>
          <w:lang w:val="es-ES"/>
        </w:rPr>
        <w:t xml:space="preserve"> 1,75%, considerando un aumento </w:t>
      </w:r>
      <w:r w:rsidR="00D038A6">
        <w:rPr>
          <w:rFonts w:ascii="Times New Roman" w:hAnsi="Times New Roman"/>
          <w:color w:val="000000"/>
          <w:sz w:val="24"/>
          <w:szCs w:val="24"/>
          <w:lang w:val="es-ES"/>
        </w:rPr>
        <w:t xml:space="preserve">en </w:t>
      </w:r>
      <w:r w:rsidRPr="00045E69">
        <w:rPr>
          <w:rFonts w:ascii="Times New Roman" w:hAnsi="Times New Roman"/>
          <w:color w:val="000000"/>
          <w:sz w:val="24"/>
          <w:szCs w:val="24"/>
          <w:lang w:val="es-ES"/>
        </w:rPr>
        <w:t>el gasto turístico, tanto para los turistas que se alojan en hot</w:t>
      </w:r>
      <w:r w:rsidR="00EA03D6" w:rsidRPr="00045E69">
        <w:rPr>
          <w:rFonts w:ascii="Times New Roman" w:hAnsi="Times New Roman"/>
          <w:color w:val="000000"/>
          <w:sz w:val="24"/>
          <w:szCs w:val="24"/>
          <w:lang w:val="es-ES"/>
        </w:rPr>
        <w:t>eles que</w:t>
      </w:r>
      <w:r w:rsidR="00D038A6">
        <w:rPr>
          <w:rFonts w:ascii="Times New Roman" w:hAnsi="Times New Roman"/>
          <w:color w:val="000000"/>
          <w:sz w:val="24"/>
          <w:szCs w:val="24"/>
          <w:lang w:val="es-ES"/>
        </w:rPr>
        <w:t xml:space="preserve"> para</w:t>
      </w:r>
      <w:r w:rsidR="00EA03D6" w:rsidRPr="00045E69">
        <w:rPr>
          <w:rFonts w:ascii="Times New Roman" w:hAnsi="Times New Roman"/>
          <w:color w:val="000000"/>
          <w:sz w:val="24"/>
          <w:szCs w:val="24"/>
          <w:lang w:val="es-ES"/>
        </w:rPr>
        <w:t xml:space="preserve"> los que se quedan con</w:t>
      </w:r>
      <w:r w:rsidR="00D038A6">
        <w:rPr>
          <w:rFonts w:ascii="Times New Roman" w:hAnsi="Times New Roman"/>
          <w:color w:val="000000"/>
          <w:sz w:val="24"/>
          <w:szCs w:val="24"/>
          <w:lang w:val="es-ES"/>
        </w:rPr>
        <w:t xml:space="preserve"> familia/amigos) y contribuyó en</w:t>
      </w:r>
      <w:r w:rsidRPr="00045E69">
        <w:rPr>
          <w:rFonts w:ascii="Times New Roman" w:hAnsi="Times New Roman"/>
          <w:color w:val="000000"/>
          <w:sz w:val="24"/>
          <w:szCs w:val="24"/>
          <w:lang w:val="es-ES"/>
        </w:rPr>
        <w:t xml:space="preserve"> reducir la incidencia de la</w:t>
      </w:r>
      <w:r w:rsidR="00EA03D6" w:rsidRPr="00045E69">
        <w:rPr>
          <w:rFonts w:ascii="Times New Roman" w:hAnsi="Times New Roman"/>
          <w:color w:val="000000"/>
          <w:sz w:val="24"/>
          <w:szCs w:val="24"/>
          <w:lang w:val="es-ES"/>
        </w:rPr>
        <w:t xml:space="preserve"> pobrez</w:t>
      </w:r>
      <w:r w:rsidR="00D038A6">
        <w:rPr>
          <w:rFonts w:ascii="Times New Roman" w:hAnsi="Times New Roman"/>
          <w:color w:val="000000"/>
          <w:sz w:val="24"/>
          <w:szCs w:val="24"/>
          <w:lang w:val="es-ES"/>
        </w:rPr>
        <w:t>a en la RMV, entre un -</w:t>
      </w:r>
      <w:r w:rsidR="00D038A6">
        <w:rPr>
          <w:rFonts w:ascii="Times New Roman" w:hAnsi="Times New Roman"/>
          <w:color w:val="000000"/>
          <w:sz w:val="24"/>
          <w:szCs w:val="24"/>
          <w:lang w:val="es-ES"/>
        </w:rPr>
        <w:lastRenderedPageBreak/>
        <w:t>2,</w:t>
      </w:r>
      <w:r w:rsidR="00EA03D6" w:rsidRPr="00045E69">
        <w:rPr>
          <w:rFonts w:ascii="Times New Roman" w:hAnsi="Times New Roman"/>
          <w:color w:val="000000"/>
          <w:sz w:val="24"/>
          <w:szCs w:val="24"/>
          <w:lang w:val="es-ES"/>
        </w:rPr>
        <w:t xml:space="preserve">33% </w:t>
      </w:r>
      <w:r w:rsidR="00D038A6">
        <w:rPr>
          <w:rFonts w:ascii="Times New Roman" w:hAnsi="Times New Roman"/>
          <w:color w:val="000000"/>
          <w:sz w:val="24"/>
          <w:szCs w:val="24"/>
          <w:lang w:val="es-ES"/>
        </w:rPr>
        <w:t>y -3,</w:t>
      </w:r>
      <w:r w:rsidRPr="00045E69">
        <w:rPr>
          <w:rFonts w:ascii="Times New Roman" w:hAnsi="Times New Roman"/>
          <w:color w:val="000000"/>
          <w:sz w:val="24"/>
          <w:szCs w:val="24"/>
          <w:lang w:val="es-ES"/>
        </w:rPr>
        <w:t>08%. Aunque el número de personas qu</w:t>
      </w:r>
      <w:r w:rsidR="00EA03D6" w:rsidRPr="00045E69">
        <w:rPr>
          <w:rFonts w:ascii="Times New Roman" w:hAnsi="Times New Roman"/>
          <w:color w:val="000000"/>
          <w:sz w:val="24"/>
          <w:szCs w:val="24"/>
          <w:lang w:val="es-ES"/>
        </w:rPr>
        <w:t>e sufren de la pobreza se reduje</w:t>
      </w:r>
      <w:r w:rsidRPr="00045E69">
        <w:rPr>
          <w:rFonts w:ascii="Times New Roman" w:hAnsi="Times New Roman"/>
          <w:color w:val="000000"/>
          <w:sz w:val="24"/>
          <w:szCs w:val="24"/>
          <w:lang w:val="es-ES"/>
        </w:rPr>
        <w:t xml:space="preserve">, el programa tuvo un impacto neutro sobre </w:t>
      </w:r>
      <w:r w:rsidR="00D038A6">
        <w:rPr>
          <w:rFonts w:ascii="Times New Roman" w:hAnsi="Times New Roman"/>
          <w:color w:val="000000"/>
          <w:sz w:val="24"/>
          <w:szCs w:val="24"/>
          <w:lang w:val="es-ES"/>
        </w:rPr>
        <w:t>la desigualdad de ingresos en la</w:t>
      </w:r>
      <w:r w:rsidRPr="00045E69">
        <w:rPr>
          <w:rFonts w:ascii="Times New Roman" w:hAnsi="Times New Roman"/>
          <w:color w:val="000000"/>
          <w:sz w:val="24"/>
          <w:szCs w:val="24"/>
          <w:lang w:val="es-ES"/>
        </w:rPr>
        <w:t xml:space="preserve"> RMV.</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Por último, utilizando los beneficios directos, indirectos e inducidos estimados con el modelo, la inversión fue evaluada en un marco costo-beneficio. </w:t>
      </w:r>
      <w:r w:rsidR="009E1BC5" w:rsidRPr="00045E69">
        <w:rPr>
          <w:rFonts w:ascii="Times New Roman" w:hAnsi="Times New Roman"/>
          <w:color w:val="000000"/>
          <w:sz w:val="24"/>
          <w:szCs w:val="24"/>
          <w:lang w:val="es-ES"/>
        </w:rPr>
        <w:t xml:space="preserve">En el escenario que se aumentó </w:t>
      </w:r>
      <w:r w:rsidRPr="00045E69">
        <w:rPr>
          <w:rFonts w:ascii="Times New Roman" w:hAnsi="Times New Roman"/>
          <w:color w:val="000000"/>
          <w:sz w:val="24"/>
          <w:szCs w:val="24"/>
          <w:lang w:val="es-ES"/>
        </w:rPr>
        <w:t>el gasto turístico para los que se quedan con familia/amigos y los que se alojan en hoteles</w:t>
      </w:r>
      <w:r w:rsidR="009E1BC5" w:rsidRPr="00045E69">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el impacto sobre el producto </w:t>
      </w:r>
      <w:r w:rsidRPr="005F57F5">
        <w:rPr>
          <w:rFonts w:ascii="Times New Roman" w:hAnsi="Times New Roman"/>
          <w:color w:val="000000"/>
          <w:sz w:val="24"/>
          <w:szCs w:val="24"/>
          <w:lang w:val="es-ES"/>
        </w:rPr>
        <w:t>region</w:t>
      </w:r>
      <w:r w:rsidR="009E1BC5" w:rsidRPr="005F57F5">
        <w:rPr>
          <w:rFonts w:ascii="Times New Roman" w:hAnsi="Times New Roman"/>
          <w:color w:val="000000"/>
          <w:sz w:val="24"/>
          <w:szCs w:val="24"/>
          <w:lang w:val="es-ES"/>
        </w:rPr>
        <w:t>al en 2026 fue una aumento de 0.</w:t>
      </w:r>
      <w:r w:rsidRPr="005F57F5">
        <w:rPr>
          <w:rFonts w:ascii="Times New Roman" w:hAnsi="Times New Roman"/>
          <w:color w:val="000000"/>
          <w:sz w:val="24"/>
          <w:szCs w:val="24"/>
          <w:lang w:val="es-ES"/>
        </w:rPr>
        <w:t>96%. El VPN de est</w:t>
      </w:r>
      <w:r w:rsidR="009E1BC5" w:rsidRPr="005F57F5">
        <w:rPr>
          <w:rFonts w:ascii="Times New Roman" w:hAnsi="Times New Roman"/>
          <w:color w:val="000000"/>
          <w:sz w:val="24"/>
          <w:szCs w:val="24"/>
          <w:lang w:val="es-ES"/>
        </w:rPr>
        <w:t>e escenario se estimó en R$240</w:t>
      </w:r>
      <w:r w:rsidR="00D038A6">
        <w:rPr>
          <w:rFonts w:ascii="Times New Roman" w:hAnsi="Times New Roman"/>
          <w:color w:val="000000"/>
          <w:sz w:val="24"/>
          <w:szCs w:val="24"/>
          <w:lang w:val="es-ES"/>
        </w:rPr>
        <w:t>,</w:t>
      </w:r>
      <w:r w:rsidRPr="005F57F5">
        <w:rPr>
          <w:rFonts w:ascii="Times New Roman" w:hAnsi="Times New Roman"/>
          <w:color w:val="000000"/>
          <w:sz w:val="24"/>
          <w:szCs w:val="24"/>
          <w:lang w:val="es-ES"/>
        </w:rPr>
        <w:t>3 millones</w:t>
      </w:r>
      <w:r w:rsidR="009E1BC5" w:rsidRPr="005F57F5">
        <w:rPr>
          <w:rFonts w:ascii="Times New Roman" w:hAnsi="Times New Roman"/>
          <w:color w:val="000000"/>
          <w:sz w:val="24"/>
          <w:szCs w:val="24"/>
          <w:lang w:val="es-ES"/>
        </w:rPr>
        <w:t>, con una TIR de</w:t>
      </w:r>
      <w:r w:rsidRPr="005F57F5">
        <w:rPr>
          <w:rFonts w:ascii="Times New Roman" w:hAnsi="Times New Roman"/>
          <w:color w:val="000000"/>
          <w:sz w:val="24"/>
          <w:szCs w:val="24"/>
          <w:lang w:val="es-ES"/>
        </w:rPr>
        <w:t xml:space="preserve"> 33%. El umbral de rentabilidad de la in</w:t>
      </w:r>
      <w:r w:rsidR="009E1BC5" w:rsidRPr="005F57F5">
        <w:rPr>
          <w:rFonts w:ascii="Times New Roman" w:hAnsi="Times New Roman"/>
          <w:color w:val="000000"/>
          <w:sz w:val="24"/>
          <w:szCs w:val="24"/>
          <w:lang w:val="es-ES"/>
        </w:rPr>
        <w:t>versión, teniendo en cuenta solamente</w:t>
      </w:r>
      <w:r w:rsidRPr="005F57F5">
        <w:rPr>
          <w:rFonts w:ascii="Times New Roman" w:hAnsi="Times New Roman"/>
          <w:color w:val="000000"/>
          <w:sz w:val="24"/>
          <w:szCs w:val="24"/>
          <w:lang w:val="es-ES"/>
        </w:rPr>
        <w:t xml:space="preserve"> los turistas</w:t>
      </w:r>
      <w:r w:rsidRPr="00045E69">
        <w:rPr>
          <w:rFonts w:ascii="Times New Roman" w:hAnsi="Times New Roman"/>
          <w:color w:val="000000"/>
          <w:sz w:val="24"/>
          <w:szCs w:val="24"/>
          <w:lang w:val="es-ES"/>
        </w:rPr>
        <w:t xml:space="preserve"> alojado</w:t>
      </w:r>
      <w:r w:rsidR="009E1BC5" w:rsidRPr="00045E69">
        <w:rPr>
          <w:rFonts w:ascii="Times New Roman" w:hAnsi="Times New Roman"/>
          <w:color w:val="000000"/>
          <w:sz w:val="24"/>
          <w:szCs w:val="24"/>
          <w:lang w:val="es-ES"/>
        </w:rPr>
        <w:t>s en hoteles, fue</w:t>
      </w:r>
      <w:r w:rsidRPr="00045E69">
        <w:rPr>
          <w:rFonts w:ascii="Times New Roman" w:hAnsi="Times New Roman"/>
          <w:color w:val="000000"/>
          <w:sz w:val="24"/>
          <w:szCs w:val="24"/>
          <w:lang w:val="es-ES"/>
        </w:rPr>
        <w:t xml:space="preserve"> </w:t>
      </w:r>
      <w:r w:rsidR="009E1BC5" w:rsidRPr="00045E69">
        <w:rPr>
          <w:rFonts w:ascii="Times New Roman" w:hAnsi="Times New Roman"/>
          <w:color w:val="000000"/>
          <w:sz w:val="24"/>
          <w:szCs w:val="24"/>
          <w:lang w:val="es-ES"/>
        </w:rPr>
        <w:t xml:space="preserve">un aumento de </w:t>
      </w:r>
      <w:r w:rsidR="00D038A6">
        <w:rPr>
          <w:rFonts w:ascii="Times New Roman" w:hAnsi="Times New Roman"/>
          <w:color w:val="000000"/>
          <w:sz w:val="24"/>
          <w:szCs w:val="24"/>
          <w:lang w:val="es-ES"/>
        </w:rPr>
        <w:t>7,5% en su gasto</w:t>
      </w:r>
      <w:r w:rsidRPr="00045E69">
        <w:rPr>
          <w:rFonts w:ascii="Times New Roman" w:hAnsi="Times New Roman"/>
          <w:color w:val="000000"/>
          <w:sz w:val="24"/>
          <w:szCs w:val="24"/>
          <w:lang w:val="es-ES"/>
        </w:rPr>
        <w:t xml:space="preserve"> en 2026. Teniendo en cuenta solamente los turistas</w:t>
      </w:r>
      <w:r w:rsidR="009E1BC5" w:rsidRPr="00045E69">
        <w:rPr>
          <w:rFonts w:ascii="Times New Roman" w:hAnsi="Times New Roman"/>
          <w:color w:val="000000"/>
          <w:sz w:val="24"/>
          <w:szCs w:val="24"/>
          <w:lang w:val="es-ES"/>
        </w:rPr>
        <w:t xml:space="preserve"> que se alojan con familia/</w:t>
      </w:r>
      <w:r w:rsidR="00D038A6">
        <w:rPr>
          <w:rFonts w:ascii="Times New Roman" w:hAnsi="Times New Roman"/>
          <w:color w:val="000000"/>
          <w:sz w:val="24"/>
          <w:szCs w:val="24"/>
          <w:lang w:val="es-ES"/>
        </w:rPr>
        <w:t>amigos, el aumento mínimo en su gasto</w:t>
      </w:r>
      <w:r w:rsidRPr="00045E69">
        <w:rPr>
          <w:rFonts w:ascii="Times New Roman" w:hAnsi="Times New Roman"/>
          <w:color w:val="000000"/>
          <w:sz w:val="24"/>
          <w:szCs w:val="24"/>
          <w:lang w:val="es-ES"/>
        </w:rPr>
        <w:t xml:space="preserve"> </w:t>
      </w:r>
      <w:r w:rsidR="009E1BC5" w:rsidRPr="00045E69">
        <w:rPr>
          <w:rFonts w:ascii="Times New Roman" w:hAnsi="Times New Roman"/>
          <w:color w:val="000000"/>
          <w:sz w:val="24"/>
          <w:szCs w:val="24"/>
          <w:lang w:val="es-ES"/>
        </w:rPr>
        <w:t>fue de</w:t>
      </w:r>
      <w:r w:rsidRPr="00045E69">
        <w:rPr>
          <w:rFonts w:ascii="Times New Roman" w:hAnsi="Times New Roman"/>
          <w:color w:val="000000"/>
          <w:sz w:val="24"/>
          <w:szCs w:val="24"/>
          <w:lang w:val="es-ES"/>
        </w:rPr>
        <w:t xml:space="preserve"> 9,0% en 2026.</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numPr>
          <w:ilvl w:val="0"/>
          <w:numId w:val="29"/>
        </w:numPr>
        <w:spacing w:after="0" w:line="360" w:lineRule="auto"/>
        <w:jc w:val="both"/>
        <w:rPr>
          <w:rFonts w:ascii="Times New Roman" w:hAnsi="Times New Roman"/>
          <w:b/>
          <w:color w:val="000000"/>
          <w:sz w:val="24"/>
          <w:szCs w:val="24"/>
          <w:lang w:val="es-ES"/>
        </w:rPr>
      </w:pPr>
      <w:r w:rsidRPr="00045E69">
        <w:rPr>
          <w:rFonts w:ascii="Times New Roman" w:hAnsi="Times New Roman"/>
          <w:b/>
          <w:color w:val="000000"/>
          <w:sz w:val="24"/>
          <w:szCs w:val="24"/>
          <w:lang w:val="es-ES"/>
        </w:rPr>
        <w:t xml:space="preserve">Ex-post </w:t>
      </w:r>
      <w:r w:rsidR="004D04EF" w:rsidRPr="00045E69">
        <w:rPr>
          <w:rFonts w:ascii="Times New Roman" w:hAnsi="Times New Roman"/>
          <w:b/>
          <w:color w:val="000000"/>
          <w:sz w:val="24"/>
          <w:szCs w:val="24"/>
          <w:lang w:val="es-ES"/>
        </w:rPr>
        <w:t>Evaluación</w:t>
      </w:r>
      <w:r w:rsidRPr="00045E69">
        <w:rPr>
          <w:rFonts w:ascii="Times New Roman" w:hAnsi="Times New Roman"/>
          <w:b/>
          <w:color w:val="000000"/>
          <w:sz w:val="24"/>
          <w:szCs w:val="24"/>
          <w:lang w:val="es-ES"/>
        </w:rPr>
        <w:t xml:space="preserve"> de Impacto</w:t>
      </w:r>
    </w:p>
    <w:p w:rsidR="002C3973" w:rsidRPr="00045E69" w:rsidRDefault="002C3973" w:rsidP="00C82F81">
      <w:pPr>
        <w:pStyle w:val="ColorfulList-Accent11"/>
        <w:spacing w:after="0" w:line="360" w:lineRule="auto"/>
        <w:ind w:left="0"/>
        <w:jc w:val="both"/>
        <w:rPr>
          <w:rFonts w:ascii="Times New Roman" w:hAnsi="Times New Roman"/>
          <w:b/>
          <w:color w:val="000000"/>
          <w:sz w:val="24"/>
          <w:szCs w:val="24"/>
          <w:lang w:val="es-ES"/>
        </w:rPr>
      </w:pPr>
      <w:r w:rsidRPr="00045E69">
        <w:rPr>
          <w:rFonts w:ascii="Times New Roman" w:hAnsi="Times New Roman"/>
          <w:b/>
          <w:color w:val="000000"/>
          <w:sz w:val="24"/>
          <w:szCs w:val="24"/>
          <w:lang w:val="es-ES"/>
        </w:rPr>
        <w:t>Descripción general de la evaluación ex-post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propósito del plan de evaluación de impacto ex-post es evaluar cómo el sector </w:t>
      </w:r>
      <w:r w:rsidR="003450DF">
        <w:rPr>
          <w:rFonts w:ascii="Times New Roman" w:hAnsi="Times New Roman"/>
          <w:color w:val="000000"/>
          <w:sz w:val="24"/>
          <w:szCs w:val="24"/>
          <w:lang w:val="es-ES"/>
        </w:rPr>
        <w:t>turístico</w:t>
      </w:r>
      <w:r w:rsidR="006573FE" w:rsidRPr="00045E69">
        <w:rPr>
          <w:rFonts w:ascii="Times New Roman" w:hAnsi="Times New Roman"/>
          <w:color w:val="000000"/>
          <w:sz w:val="24"/>
          <w:szCs w:val="24"/>
          <w:lang w:val="es-ES"/>
        </w:rPr>
        <w:t xml:space="preserve"> en ES se desarrolla durante</w:t>
      </w:r>
      <w:r w:rsidRPr="00045E69">
        <w:rPr>
          <w:rFonts w:ascii="Times New Roman" w:hAnsi="Times New Roman"/>
          <w:color w:val="000000"/>
          <w:sz w:val="24"/>
          <w:szCs w:val="24"/>
          <w:lang w:val="es-ES"/>
        </w:rPr>
        <w:t xml:space="preserve"> el transcurso de la ejecución de Prodetur-ES. En concreto, la metodología propuesta en este documento busca entender la contribución específic</w:t>
      </w:r>
      <w:r w:rsidR="00596655" w:rsidRPr="00045E69">
        <w:rPr>
          <w:rFonts w:ascii="Times New Roman" w:hAnsi="Times New Roman"/>
          <w:color w:val="000000"/>
          <w:sz w:val="24"/>
          <w:szCs w:val="24"/>
          <w:lang w:val="es-ES"/>
        </w:rPr>
        <w:t>a del programa de inversión a</w:t>
      </w:r>
      <w:r w:rsidRPr="00045E69">
        <w:rPr>
          <w:rFonts w:ascii="Times New Roman" w:hAnsi="Times New Roman"/>
          <w:color w:val="000000"/>
          <w:sz w:val="24"/>
          <w:szCs w:val="24"/>
          <w:lang w:val="es-ES"/>
        </w:rPr>
        <w:t xml:space="preserve"> la economía de </w:t>
      </w:r>
      <w:r w:rsidR="003450DF">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 xml:space="preserve">RMV y </w:t>
      </w:r>
      <w:r w:rsidR="003450DF">
        <w:rPr>
          <w:rFonts w:ascii="Times New Roman" w:hAnsi="Times New Roman"/>
          <w:color w:val="000000"/>
          <w:sz w:val="24"/>
          <w:szCs w:val="24"/>
          <w:lang w:val="es-ES"/>
        </w:rPr>
        <w:t>al</w:t>
      </w:r>
      <w:r w:rsidRPr="00045E69">
        <w:rPr>
          <w:rFonts w:ascii="Times New Roman" w:hAnsi="Times New Roman"/>
          <w:color w:val="000000"/>
          <w:sz w:val="24"/>
          <w:szCs w:val="24"/>
          <w:lang w:val="es-ES"/>
        </w:rPr>
        <w:t xml:space="preserve"> estado de ES.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596655"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Las</w:t>
      </w:r>
      <w:r w:rsidR="002C3973" w:rsidRPr="00045E69">
        <w:rPr>
          <w:rFonts w:ascii="Times New Roman" w:hAnsi="Times New Roman"/>
          <w:color w:val="000000"/>
          <w:sz w:val="24"/>
          <w:szCs w:val="24"/>
          <w:lang w:val="es-ES"/>
        </w:rPr>
        <w:t xml:space="preserve"> principales preguntas de la evaluación d</w:t>
      </w:r>
      <w:r w:rsidR="006573FE" w:rsidRPr="00045E69">
        <w:rPr>
          <w:rFonts w:ascii="Times New Roman" w:hAnsi="Times New Roman"/>
          <w:color w:val="000000"/>
          <w:sz w:val="24"/>
          <w:szCs w:val="24"/>
          <w:lang w:val="es-ES"/>
        </w:rPr>
        <w:t>e impacto ex-post que se pretende responder</w:t>
      </w:r>
      <w:r w:rsidR="002C3973" w:rsidRPr="00045E69">
        <w:rPr>
          <w:rFonts w:ascii="Times New Roman" w:hAnsi="Times New Roman"/>
          <w:color w:val="000000"/>
          <w:sz w:val="24"/>
          <w:szCs w:val="24"/>
          <w:lang w:val="es-ES"/>
        </w:rPr>
        <w:t xml:space="preserve"> son: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w:t>
      </w:r>
      <w:r w:rsidR="006573FE" w:rsidRPr="00045E69">
        <w:rPr>
          <w:rFonts w:ascii="Times New Roman" w:hAnsi="Times New Roman"/>
          <w:color w:val="000000"/>
          <w:sz w:val="24"/>
          <w:szCs w:val="24"/>
          <w:lang w:val="es-ES"/>
        </w:rPr>
        <w:t xml:space="preserve">i) ¿Cómo </w:t>
      </w:r>
      <w:r w:rsidR="00CE45A3" w:rsidRPr="00045E69">
        <w:rPr>
          <w:rFonts w:ascii="Times New Roman" w:hAnsi="Times New Roman"/>
          <w:color w:val="000000"/>
          <w:sz w:val="24"/>
          <w:szCs w:val="24"/>
          <w:lang w:val="es-ES"/>
        </w:rPr>
        <w:t xml:space="preserve">afecta </w:t>
      </w:r>
      <w:r w:rsidR="006573FE" w:rsidRPr="00045E69">
        <w:rPr>
          <w:rFonts w:ascii="Times New Roman" w:hAnsi="Times New Roman"/>
          <w:color w:val="000000"/>
          <w:sz w:val="24"/>
          <w:szCs w:val="24"/>
          <w:lang w:val="es-ES"/>
        </w:rPr>
        <w:t xml:space="preserve">el programa el gasto turístico y </w:t>
      </w:r>
      <w:r w:rsidRPr="00045E69">
        <w:rPr>
          <w:rFonts w:ascii="Times New Roman" w:hAnsi="Times New Roman"/>
          <w:color w:val="000000"/>
          <w:sz w:val="24"/>
          <w:szCs w:val="24"/>
          <w:lang w:val="es-ES"/>
        </w:rPr>
        <w:t>el gasto turístico por temporada, particularmente la temporada baja</w:t>
      </w:r>
      <w:r w:rsidR="006573FE" w:rsidRPr="00045E69">
        <w:rPr>
          <w:rFonts w:ascii="Times New Roman" w:hAnsi="Times New Roman"/>
          <w:color w:val="000000"/>
          <w:sz w:val="24"/>
          <w:szCs w:val="24"/>
          <w:lang w:val="es-ES"/>
        </w:rPr>
        <w:t xml:space="preserve"> en la RMV y el ES</w:t>
      </w:r>
      <w:r w:rsidRPr="00045E69">
        <w:rPr>
          <w:rFonts w:ascii="Times New Roman" w:hAnsi="Times New Roman"/>
          <w:color w:val="000000"/>
          <w:sz w:val="24"/>
          <w:szCs w:val="24"/>
          <w:lang w:val="es-ES"/>
        </w:rPr>
        <w:t xml:space="preserve">? </w:t>
      </w:r>
    </w:p>
    <w:p w:rsidR="003450DF" w:rsidRDefault="003450DF"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(ii) ¿Cómo </w:t>
      </w:r>
      <w:r w:rsidR="00CE45A3" w:rsidRPr="00045E69">
        <w:rPr>
          <w:rFonts w:ascii="Times New Roman" w:hAnsi="Times New Roman"/>
          <w:color w:val="000000"/>
          <w:sz w:val="24"/>
          <w:szCs w:val="24"/>
          <w:lang w:val="es-ES"/>
        </w:rPr>
        <w:t xml:space="preserve">afecta el programa </w:t>
      </w:r>
      <w:r w:rsidRPr="00045E69">
        <w:rPr>
          <w:rFonts w:ascii="Times New Roman" w:hAnsi="Times New Roman"/>
          <w:color w:val="000000"/>
          <w:sz w:val="24"/>
          <w:szCs w:val="24"/>
          <w:lang w:val="es-ES"/>
        </w:rPr>
        <w:t>el  trabajo formal?</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mayor desafío para la evaluación de impacto es </w:t>
      </w:r>
      <w:r w:rsidR="00596655" w:rsidRPr="00045E69">
        <w:rPr>
          <w:rFonts w:ascii="Times New Roman" w:hAnsi="Times New Roman"/>
          <w:color w:val="000000"/>
          <w:sz w:val="24"/>
          <w:szCs w:val="24"/>
          <w:lang w:val="es-ES"/>
        </w:rPr>
        <w:t>l</w:t>
      </w:r>
      <w:r w:rsidRPr="00045E69">
        <w:rPr>
          <w:rFonts w:ascii="Times New Roman" w:hAnsi="Times New Roman"/>
          <w:color w:val="000000"/>
          <w:sz w:val="24"/>
          <w:szCs w:val="24"/>
          <w:lang w:val="es-ES"/>
        </w:rPr>
        <w:t xml:space="preserve">a atribución, es decir, </w:t>
      </w:r>
      <w:r w:rsidR="00596655" w:rsidRPr="00045E69">
        <w:rPr>
          <w:rFonts w:ascii="Times New Roman" w:hAnsi="Times New Roman"/>
          <w:color w:val="000000"/>
          <w:sz w:val="24"/>
          <w:szCs w:val="24"/>
          <w:lang w:val="es-ES"/>
        </w:rPr>
        <w:t xml:space="preserve">la búsqueda de </w:t>
      </w:r>
      <w:r w:rsidRPr="00045E69">
        <w:rPr>
          <w:rFonts w:ascii="Times New Roman" w:hAnsi="Times New Roman"/>
          <w:color w:val="000000"/>
          <w:sz w:val="24"/>
          <w:szCs w:val="24"/>
          <w:lang w:val="es-ES"/>
        </w:rPr>
        <w:t>una metodología estadísti</w:t>
      </w:r>
      <w:r w:rsidR="00596655" w:rsidRPr="00045E69">
        <w:rPr>
          <w:rFonts w:ascii="Times New Roman" w:hAnsi="Times New Roman"/>
          <w:color w:val="000000"/>
          <w:sz w:val="24"/>
          <w:szCs w:val="24"/>
          <w:lang w:val="es-ES"/>
        </w:rPr>
        <w:t xml:space="preserve">camente válida para atribuir </w:t>
      </w:r>
      <w:r w:rsidRPr="00045E69">
        <w:rPr>
          <w:rFonts w:ascii="Times New Roman" w:hAnsi="Times New Roman"/>
          <w:color w:val="000000"/>
          <w:sz w:val="24"/>
          <w:szCs w:val="24"/>
          <w:lang w:val="es-ES"/>
        </w:rPr>
        <w:t>cambio</w:t>
      </w:r>
      <w:r w:rsidR="00596655" w:rsidRPr="00045E69">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en indicadores claves a la intervención</w:t>
      </w:r>
      <w:r w:rsidR="00596655" w:rsidRPr="00045E69">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ex-post. Las complejidades inherentes en la evaluación ex-post de los proyectos turísticos se discuten en detalle en Henderson y Corral (2013) y Taylor (2010b). El método experimental es el enfoque clásico para la evaluación del impacto. Sin embargo, métodos </w:t>
      </w:r>
      <w:r w:rsidRPr="00045E69">
        <w:rPr>
          <w:rFonts w:ascii="Times New Roman" w:hAnsi="Times New Roman"/>
          <w:color w:val="000000"/>
          <w:sz w:val="24"/>
          <w:szCs w:val="24"/>
          <w:lang w:val="es-ES"/>
        </w:rPr>
        <w:lastRenderedPageBreak/>
        <w:t xml:space="preserve">experimentales requieren una selección aleatoria de los grupos de tratamiento y control (hipotética), y un resultado de tratamiento y de control claramente definido. En el caso de las intervenciones </w:t>
      </w:r>
      <w:r w:rsidR="003450DF">
        <w:rPr>
          <w:rFonts w:ascii="Times New Roman" w:hAnsi="Times New Roman"/>
          <w:color w:val="000000"/>
          <w:sz w:val="24"/>
          <w:szCs w:val="24"/>
          <w:lang w:val="es-ES"/>
        </w:rPr>
        <w:t>en el sector turístico</w:t>
      </w:r>
      <w:r w:rsidRPr="00045E69">
        <w:rPr>
          <w:rFonts w:ascii="Times New Roman" w:hAnsi="Times New Roman"/>
          <w:color w:val="000000"/>
          <w:sz w:val="24"/>
          <w:szCs w:val="24"/>
          <w:lang w:val="es-ES"/>
        </w:rPr>
        <w:t>, estos dos requisitos son violados ya que no es posible aislar el grupo de control del grupo de tratamiento, y los resultados son generalmente de gran alcance, afectando varios sectores económicos</w:t>
      </w:r>
      <w:r w:rsidR="003450DF">
        <w:rPr>
          <w:rFonts w:ascii="Times New Roman" w:hAnsi="Times New Roman"/>
          <w:color w:val="000000"/>
          <w:sz w:val="24"/>
          <w:szCs w:val="24"/>
          <w:lang w:val="es-ES"/>
        </w:rPr>
        <w:t>, sin un resultado claramente definido</w:t>
      </w:r>
      <w:r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Los métodos cuasi-e</w:t>
      </w:r>
      <w:r w:rsidR="003450DF">
        <w:rPr>
          <w:rFonts w:ascii="Times New Roman" w:hAnsi="Times New Roman"/>
          <w:color w:val="000000"/>
          <w:sz w:val="24"/>
          <w:szCs w:val="24"/>
          <w:lang w:val="es-ES"/>
        </w:rPr>
        <w:t>xperimentales se utilizan</w:t>
      </w:r>
      <w:r w:rsidRPr="00045E69">
        <w:rPr>
          <w:rFonts w:ascii="Times New Roman" w:hAnsi="Times New Roman"/>
          <w:color w:val="000000"/>
          <w:sz w:val="24"/>
          <w:szCs w:val="24"/>
          <w:lang w:val="es-ES"/>
        </w:rPr>
        <w:t xml:space="preserve"> en algunos casos </w:t>
      </w:r>
      <w:r w:rsidR="003450DF">
        <w:rPr>
          <w:rFonts w:ascii="Times New Roman" w:hAnsi="Times New Roman"/>
          <w:color w:val="000000"/>
          <w:sz w:val="24"/>
          <w:szCs w:val="24"/>
          <w:lang w:val="es-ES"/>
        </w:rPr>
        <w:t xml:space="preserve">con varios </w:t>
      </w:r>
      <w:r w:rsidRPr="00045E69">
        <w:rPr>
          <w:rFonts w:ascii="Times New Roman" w:hAnsi="Times New Roman"/>
          <w:color w:val="000000"/>
          <w:sz w:val="24"/>
          <w:szCs w:val="24"/>
          <w:lang w:val="es-ES"/>
        </w:rPr>
        <w:t>métodos econométricos. Los métodos más relevantes a las evaluaciones de impacto ex-post de turismo son los métodos de doble diferencia y correspondencia de puntaje de propensión. Mét</w:t>
      </w:r>
      <w:r w:rsidR="00596655" w:rsidRPr="00045E69">
        <w:rPr>
          <w:rFonts w:ascii="Times New Roman" w:hAnsi="Times New Roman"/>
          <w:color w:val="000000"/>
          <w:sz w:val="24"/>
          <w:szCs w:val="24"/>
          <w:lang w:val="es-ES"/>
        </w:rPr>
        <w:t>odos de doble diferencia son las</w:t>
      </w:r>
      <w:r w:rsidRPr="00045E69">
        <w:rPr>
          <w:rFonts w:ascii="Times New Roman" w:hAnsi="Times New Roman"/>
          <w:color w:val="000000"/>
          <w:sz w:val="24"/>
          <w:szCs w:val="24"/>
          <w:lang w:val="es-ES"/>
        </w:rPr>
        <w:t xml:space="preserve"> técnicas cuasi-experimentales más comunes</w:t>
      </w:r>
      <w:r w:rsidR="003450DF">
        <w:rPr>
          <w:rFonts w:ascii="Times New Roman" w:hAnsi="Times New Roman"/>
          <w:color w:val="000000"/>
          <w:sz w:val="24"/>
          <w:szCs w:val="24"/>
          <w:lang w:val="es-ES"/>
        </w:rPr>
        <w:t>. En este método, s</w:t>
      </w:r>
      <w:r w:rsidRPr="00045E69">
        <w:rPr>
          <w:rFonts w:ascii="Times New Roman" w:hAnsi="Times New Roman"/>
          <w:color w:val="000000"/>
          <w:sz w:val="24"/>
          <w:szCs w:val="24"/>
          <w:lang w:val="es-ES"/>
        </w:rPr>
        <w:t xml:space="preserve">e compara la tendencia de un indicador entre un grupo de control antes y después de una </w:t>
      </w:r>
      <w:r w:rsidR="00596655" w:rsidRPr="00045E69">
        <w:rPr>
          <w:rFonts w:ascii="Times New Roman" w:hAnsi="Times New Roman"/>
          <w:color w:val="000000"/>
          <w:sz w:val="24"/>
          <w:szCs w:val="24"/>
          <w:lang w:val="es-ES"/>
        </w:rPr>
        <w:t xml:space="preserve">intervención, y la tendencia del </w:t>
      </w:r>
      <w:r w:rsidR="00596655" w:rsidRPr="005F57F5">
        <w:rPr>
          <w:rFonts w:ascii="Times New Roman" w:hAnsi="Times New Roman"/>
          <w:sz w:val="24"/>
          <w:szCs w:val="24"/>
          <w:lang w:val="es-ES"/>
        </w:rPr>
        <w:t>mismo</w:t>
      </w:r>
      <w:r w:rsidRPr="005F57F5">
        <w:rPr>
          <w:rFonts w:ascii="Times New Roman" w:hAnsi="Times New Roman"/>
          <w:sz w:val="24"/>
          <w:szCs w:val="24"/>
          <w:lang w:val="es-ES"/>
        </w:rPr>
        <w:t xml:space="preserve"> indicador en el grupo de tratamiento</w:t>
      </w:r>
      <w:r w:rsidR="00596655" w:rsidRPr="005F57F5">
        <w:rPr>
          <w:rFonts w:ascii="Times New Roman" w:hAnsi="Times New Roman"/>
          <w:sz w:val="24"/>
          <w:szCs w:val="24"/>
          <w:lang w:val="es-ES"/>
        </w:rPr>
        <w:t xml:space="preserve"> antes y después de la </w:t>
      </w:r>
      <w:r w:rsidR="00045E69" w:rsidRPr="005F57F5">
        <w:rPr>
          <w:rFonts w:ascii="Times New Roman" w:hAnsi="Times New Roman"/>
          <w:sz w:val="24"/>
          <w:szCs w:val="24"/>
          <w:lang w:val="es-ES"/>
        </w:rPr>
        <w:t>intervención</w:t>
      </w:r>
      <w:r w:rsidRPr="005F57F5">
        <w:rPr>
          <w:rFonts w:ascii="Times New Roman" w:hAnsi="Times New Roman"/>
          <w:sz w:val="24"/>
          <w:szCs w:val="24"/>
          <w:lang w:val="es-ES"/>
        </w:rPr>
        <w:t xml:space="preserve">. Mediante el uso de la variación transversal y temporal para derivar un estimador, las diferencias entre los grupos </w:t>
      </w:r>
      <w:r w:rsidR="003450DF">
        <w:rPr>
          <w:rFonts w:ascii="Times New Roman" w:hAnsi="Times New Roman"/>
          <w:sz w:val="24"/>
          <w:szCs w:val="24"/>
          <w:lang w:val="es-ES"/>
        </w:rPr>
        <w:t>son corregidas</w:t>
      </w:r>
      <w:r w:rsidRPr="005F57F5">
        <w:rPr>
          <w:rFonts w:ascii="Times New Roman" w:hAnsi="Times New Roman"/>
          <w:sz w:val="24"/>
          <w:szCs w:val="24"/>
          <w:lang w:val="es-ES"/>
        </w:rPr>
        <w:t xml:space="preserve">.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La correspondencia de puntaje de propensión busca identificar un control estadísticamente equivalente o contrafactual usando las puntuaciones de propensión (Winters et al., 2010). L</w:t>
      </w:r>
      <w:r w:rsidR="001B42B1">
        <w:rPr>
          <w:rFonts w:ascii="Times New Roman" w:hAnsi="Times New Roman"/>
          <w:color w:val="000000"/>
          <w:sz w:val="24"/>
          <w:szCs w:val="24"/>
          <w:lang w:val="es-ES"/>
        </w:rPr>
        <w:t>as l</w:t>
      </w:r>
      <w:r w:rsidRPr="00045E69">
        <w:rPr>
          <w:rFonts w:ascii="Times New Roman" w:hAnsi="Times New Roman"/>
          <w:color w:val="000000"/>
          <w:sz w:val="24"/>
          <w:szCs w:val="24"/>
          <w:lang w:val="es-ES"/>
        </w:rPr>
        <w:t>imitaciones principales en la aplicación de doble diferencia y correspondencia de puntaje de propensión en la evaluación ex-post de las inversiones turísticas son</w:t>
      </w:r>
      <w:r w:rsidR="00596655" w:rsidRPr="00045E69">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la disponibilidad de datos por un período suficientemente larga</w:t>
      </w:r>
      <w:r w:rsidR="00596655" w:rsidRPr="00045E69">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la propia singularidad de los destinos turísticos que hace difícil la identificación de un contrafactual válido, y</w:t>
      </w:r>
      <w:r w:rsidR="00596655" w:rsidRPr="00045E69">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las amplias repercusiones que tienen los proyectos turísticos que afectan a múltiples sectores y hacen el aislamiento de efectos difícil</w:t>
      </w:r>
      <w:r w:rsidR="00596655" w:rsidRPr="00045E69">
        <w:rPr>
          <w:rFonts w:ascii="Times New Roman" w:hAnsi="Times New Roman"/>
          <w:color w:val="000000"/>
          <w:sz w:val="24"/>
          <w:szCs w:val="24"/>
          <w:lang w:val="es-ES"/>
        </w:rPr>
        <w:t xml:space="preserve"> de lograr</w:t>
      </w:r>
      <w:r w:rsidRPr="00045E69">
        <w:rPr>
          <w:rFonts w:ascii="Times New Roman" w:hAnsi="Times New Roman"/>
          <w:color w:val="000000"/>
          <w:sz w:val="24"/>
          <w:szCs w:val="24"/>
          <w:lang w:val="es-ES"/>
        </w:rPr>
        <w:t xml:space="preserve"> (Henderson y Corral , 2013; Taylor, 2010b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En la búsqueda de métodos alternativos, Taylor (2010) propone métodos de simulación con micro-matrices de contabilidad social (MMCS), que se describe en las </w:t>
      </w:r>
      <w:r w:rsidRPr="00045E69">
        <w:rPr>
          <w:rFonts w:ascii="Times New Roman" w:hAnsi="Times New Roman"/>
          <w:i/>
          <w:color w:val="000000"/>
          <w:sz w:val="24"/>
          <w:szCs w:val="24"/>
          <w:lang w:val="es-ES"/>
        </w:rPr>
        <w:t>Directrices Técnicas para la Evaluación de los Impactos del Turismo con Modelos de Simulación</w:t>
      </w:r>
      <w:r w:rsidRPr="00045E69">
        <w:rPr>
          <w:rFonts w:ascii="Times New Roman" w:hAnsi="Times New Roman"/>
          <w:color w:val="000000"/>
          <w:sz w:val="24"/>
          <w:szCs w:val="24"/>
          <w:lang w:val="es-ES"/>
        </w:rPr>
        <w:t>. Una MMCS es simplemente una MCS, para un área</w:t>
      </w:r>
      <w:r w:rsidR="001B42B1">
        <w:rPr>
          <w:rFonts w:ascii="Times New Roman" w:hAnsi="Times New Roman"/>
          <w:color w:val="000000"/>
          <w:sz w:val="24"/>
          <w:szCs w:val="24"/>
          <w:lang w:val="es-ES"/>
        </w:rPr>
        <w:t xml:space="preserve"> pequeña como una localidad o </w:t>
      </w:r>
      <w:r w:rsidR="00596655" w:rsidRPr="00045E69">
        <w:rPr>
          <w:rFonts w:ascii="Times New Roman" w:hAnsi="Times New Roman"/>
          <w:color w:val="000000"/>
          <w:sz w:val="24"/>
          <w:szCs w:val="24"/>
          <w:lang w:val="es-ES"/>
        </w:rPr>
        <w:t>municipio. Por</w:t>
      </w:r>
      <w:r w:rsidRPr="00045E69">
        <w:rPr>
          <w:rFonts w:ascii="Times New Roman" w:hAnsi="Times New Roman"/>
          <w:color w:val="000000"/>
          <w:sz w:val="24"/>
          <w:szCs w:val="24"/>
          <w:lang w:val="es-ES"/>
        </w:rPr>
        <w:t xml:space="preserve"> el conocimiento del autor, parece haber sólo una evaluación ex-post que se ha </w:t>
      </w:r>
      <w:r w:rsidR="001B42B1">
        <w:rPr>
          <w:rFonts w:ascii="Times New Roman" w:hAnsi="Times New Roman"/>
          <w:color w:val="000000"/>
          <w:sz w:val="24"/>
          <w:szCs w:val="24"/>
          <w:lang w:val="es-ES"/>
        </w:rPr>
        <w:t>llevado a cabo c</w:t>
      </w:r>
      <w:r w:rsidRPr="00045E69">
        <w:rPr>
          <w:rFonts w:ascii="Times New Roman" w:hAnsi="Times New Roman"/>
          <w:color w:val="000000"/>
          <w:sz w:val="24"/>
          <w:szCs w:val="24"/>
          <w:lang w:val="es-ES"/>
        </w:rPr>
        <w:t>on este enfoque, que es el estudio de Taylor y Filipski (2010) en las Islas de la Bahía de Honduras.</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1B42B1" w:rsidP="00C82F81">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lastRenderedPageBreak/>
        <w:t xml:space="preserve">En este estudio, </w:t>
      </w:r>
      <w:r w:rsidR="002C3973" w:rsidRPr="00045E69">
        <w:rPr>
          <w:rFonts w:ascii="Times New Roman" w:hAnsi="Times New Roman"/>
          <w:color w:val="000000"/>
          <w:sz w:val="24"/>
          <w:szCs w:val="24"/>
          <w:lang w:val="es-ES"/>
        </w:rPr>
        <w:t>Taylor y Filipski (2010) tratan de atribuir un aumento en turismo a una inversión del BID para mejorar la gestión ambiental en las islas de Roatán, Utila y Guanaja. Los autores actualizan su MMCS de 2002 con nuevos datos recogidos en el año 2010. Su informe mostró i</w:t>
      </w:r>
      <w:r>
        <w:rPr>
          <w:rFonts w:ascii="Times New Roman" w:hAnsi="Times New Roman"/>
          <w:color w:val="000000"/>
          <w:sz w:val="24"/>
          <w:szCs w:val="24"/>
          <w:lang w:val="es-ES"/>
        </w:rPr>
        <w:t>mpactos económicos positivos de</w:t>
      </w:r>
      <w:r w:rsidR="002C3973" w:rsidRPr="00045E69">
        <w:rPr>
          <w:rFonts w:ascii="Times New Roman" w:hAnsi="Times New Roman"/>
          <w:color w:val="000000"/>
          <w:sz w:val="24"/>
          <w:szCs w:val="24"/>
          <w:lang w:val="es-ES"/>
        </w:rPr>
        <w:t xml:space="preserve"> turismo durante el período de ocho años. En los esfuerzos para atribuir estos impactos a </w:t>
      </w:r>
      <w:r w:rsidR="00596655" w:rsidRPr="00045E69">
        <w:rPr>
          <w:rFonts w:ascii="Times New Roman" w:hAnsi="Times New Roman"/>
          <w:color w:val="000000"/>
          <w:sz w:val="24"/>
          <w:szCs w:val="24"/>
          <w:lang w:val="es-ES"/>
        </w:rPr>
        <w:t>la inversión del BID, se realizaron</w:t>
      </w:r>
      <w:r w:rsidR="002C3973" w:rsidRPr="00045E69">
        <w:rPr>
          <w:rFonts w:ascii="Times New Roman" w:hAnsi="Times New Roman"/>
          <w:color w:val="000000"/>
          <w:sz w:val="24"/>
          <w:szCs w:val="24"/>
          <w:lang w:val="es-ES"/>
        </w:rPr>
        <w:t xml:space="preserve"> un análisis de valoración contingente para evaluar si el programa de gestión ambiental había afectado la decisión de los turistas a vi</w:t>
      </w:r>
      <w:r w:rsidR="00596655" w:rsidRPr="00045E69">
        <w:rPr>
          <w:rFonts w:ascii="Times New Roman" w:hAnsi="Times New Roman"/>
          <w:color w:val="000000"/>
          <w:sz w:val="24"/>
          <w:szCs w:val="24"/>
          <w:lang w:val="es-ES"/>
        </w:rPr>
        <w:t xml:space="preserve">sitar la isla, y si </w:t>
      </w:r>
      <w:r w:rsidR="002C3973" w:rsidRPr="00045E69">
        <w:rPr>
          <w:rFonts w:ascii="Times New Roman" w:hAnsi="Times New Roman"/>
          <w:color w:val="000000"/>
          <w:sz w:val="24"/>
          <w:szCs w:val="24"/>
          <w:lang w:val="es-ES"/>
        </w:rPr>
        <w:t>la terminación del programa afectaría la decisión de los turistas a regresar. Con</w:t>
      </w:r>
      <w:r w:rsidR="00596655" w:rsidRPr="00045E69">
        <w:rPr>
          <w:rFonts w:ascii="Times New Roman" w:hAnsi="Times New Roman"/>
          <w:color w:val="000000"/>
          <w:sz w:val="24"/>
          <w:szCs w:val="24"/>
          <w:lang w:val="es-ES"/>
        </w:rPr>
        <w:t xml:space="preserve"> la estimación del gasto de </w:t>
      </w:r>
      <w:r w:rsidR="002C3973" w:rsidRPr="00045E69">
        <w:rPr>
          <w:rFonts w:ascii="Times New Roman" w:hAnsi="Times New Roman"/>
          <w:color w:val="000000"/>
          <w:sz w:val="24"/>
          <w:szCs w:val="24"/>
          <w:lang w:val="es-ES"/>
        </w:rPr>
        <w:t xml:space="preserve">turistas y la tasa de visitas de retorno, Taylor y Filipski derivaron una estimación de los ingresos </w:t>
      </w:r>
      <w:r w:rsidR="00596655" w:rsidRPr="00045E69">
        <w:rPr>
          <w:rFonts w:ascii="Times New Roman" w:hAnsi="Times New Roman"/>
          <w:color w:val="000000"/>
          <w:sz w:val="24"/>
          <w:szCs w:val="24"/>
          <w:lang w:val="es-ES"/>
        </w:rPr>
        <w:t xml:space="preserve">turísticos </w:t>
      </w:r>
      <w:r w:rsidR="002C3973" w:rsidRPr="00045E69">
        <w:rPr>
          <w:rFonts w:ascii="Times New Roman" w:hAnsi="Times New Roman"/>
          <w:color w:val="000000"/>
          <w:sz w:val="24"/>
          <w:szCs w:val="24"/>
          <w:lang w:val="es-ES"/>
        </w:rPr>
        <w:t xml:space="preserve">futuros. Asumiendo </w:t>
      </w:r>
      <w:r w:rsidR="00596655" w:rsidRPr="00045E69">
        <w:rPr>
          <w:rFonts w:ascii="Times New Roman" w:hAnsi="Times New Roman"/>
          <w:color w:val="000000"/>
          <w:sz w:val="24"/>
          <w:szCs w:val="24"/>
          <w:lang w:val="es-ES"/>
        </w:rPr>
        <w:t xml:space="preserve">que </w:t>
      </w:r>
      <w:r w:rsidR="002C3973" w:rsidRPr="00045E69">
        <w:rPr>
          <w:rFonts w:ascii="Times New Roman" w:hAnsi="Times New Roman"/>
          <w:color w:val="000000"/>
          <w:sz w:val="24"/>
          <w:szCs w:val="24"/>
          <w:lang w:val="es-ES"/>
        </w:rPr>
        <w:t xml:space="preserve">la tasa de retorno de los visitantes fue la misma para el período 2002 - 2010, estimaron beneficios potencialmente atribuibles a la inversión del BID. Mientras que el enfoque desarrollado por Taylor y Filipski es innovador, aún no nos permite atribuir directamente </w:t>
      </w:r>
      <w:r>
        <w:rPr>
          <w:rFonts w:ascii="Times New Roman" w:hAnsi="Times New Roman"/>
          <w:color w:val="000000"/>
          <w:sz w:val="24"/>
          <w:szCs w:val="24"/>
          <w:lang w:val="es-ES"/>
        </w:rPr>
        <w:t xml:space="preserve">el aumento en turismo a </w:t>
      </w:r>
      <w:r w:rsidR="002C3973" w:rsidRPr="00045E69">
        <w:rPr>
          <w:rFonts w:ascii="Times New Roman" w:hAnsi="Times New Roman"/>
          <w:color w:val="000000"/>
          <w:sz w:val="24"/>
          <w:szCs w:val="24"/>
          <w:lang w:val="es-ES"/>
        </w:rPr>
        <w:t xml:space="preserve">la inversión </w:t>
      </w:r>
      <w:r w:rsidR="00596655" w:rsidRPr="00045E69">
        <w:rPr>
          <w:rFonts w:ascii="Times New Roman" w:hAnsi="Times New Roman"/>
          <w:color w:val="000000"/>
          <w:sz w:val="24"/>
          <w:szCs w:val="24"/>
          <w:lang w:val="es-ES"/>
        </w:rPr>
        <w:t>del BID</w:t>
      </w:r>
      <w:r w:rsidR="002C3973"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Hay una serie de inversiones del BID en el sector </w:t>
      </w:r>
      <w:r w:rsidR="00762894">
        <w:rPr>
          <w:rFonts w:ascii="Times New Roman" w:hAnsi="Times New Roman"/>
          <w:color w:val="000000"/>
          <w:sz w:val="24"/>
          <w:szCs w:val="24"/>
          <w:lang w:val="es-ES"/>
        </w:rPr>
        <w:t xml:space="preserve">turístico </w:t>
      </w:r>
      <w:r w:rsidRPr="00045E69">
        <w:rPr>
          <w:rFonts w:ascii="Times New Roman" w:hAnsi="Times New Roman"/>
          <w:color w:val="000000"/>
          <w:sz w:val="24"/>
          <w:szCs w:val="24"/>
          <w:lang w:val="es-ES"/>
        </w:rPr>
        <w:t xml:space="preserve">que han propuesto la metodología de MMCS para la evaluación de impacto ex-post. Más avanzado en la implementación </w:t>
      </w:r>
      <w:r w:rsidR="00596655" w:rsidRPr="00045E69">
        <w:rPr>
          <w:rFonts w:ascii="Times New Roman" w:hAnsi="Times New Roman"/>
          <w:color w:val="000000"/>
          <w:sz w:val="24"/>
          <w:szCs w:val="24"/>
          <w:lang w:val="es-ES"/>
        </w:rPr>
        <w:t xml:space="preserve">de la estrategia </w:t>
      </w:r>
      <w:r w:rsidRPr="00045E69">
        <w:rPr>
          <w:rFonts w:ascii="Times New Roman" w:hAnsi="Times New Roman"/>
          <w:color w:val="000000"/>
          <w:sz w:val="24"/>
          <w:szCs w:val="24"/>
          <w:lang w:val="es-ES"/>
        </w:rPr>
        <w:t>es el Programa Nacional de Turismo (NI-L1039, aprobado 03 de noviembre 2010), que es una inversión para el desarrollo turística en Nicaragua. En este caso, los datos de la línea base han sido recogidos y la MMCS construida. Tanto Prodetur Pernambuco (BR-L1212, aprobada el 15 de septiembre de 2010) y Prodetur Rio de Janeiro (BR-L1210, aprobada el 15 de septiembre de 2010) han completado recientemente la recolección de da</w:t>
      </w:r>
      <w:r w:rsidR="00762894">
        <w:rPr>
          <w:rFonts w:ascii="Times New Roman" w:hAnsi="Times New Roman"/>
          <w:color w:val="000000"/>
          <w:sz w:val="24"/>
          <w:szCs w:val="24"/>
          <w:lang w:val="es-ES"/>
        </w:rPr>
        <w:t xml:space="preserve">tos de la línea base y </w:t>
      </w:r>
      <w:r w:rsidRPr="00045E69">
        <w:rPr>
          <w:rFonts w:ascii="Times New Roman" w:hAnsi="Times New Roman"/>
          <w:color w:val="000000"/>
          <w:sz w:val="24"/>
          <w:szCs w:val="24"/>
          <w:lang w:val="es-ES"/>
        </w:rPr>
        <w:t xml:space="preserve">solamente falta construir la MMCS. Prodetur Pará (BR-L1243, aprobado 06 de noviembre 2013) y Prodetur </w:t>
      </w:r>
      <w:r w:rsidR="004D04EF" w:rsidRPr="00045E69">
        <w:rPr>
          <w:rFonts w:ascii="Times New Roman" w:hAnsi="Times New Roman"/>
          <w:color w:val="000000"/>
          <w:sz w:val="24"/>
          <w:szCs w:val="24"/>
          <w:lang w:val="es-ES"/>
        </w:rPr>
        <w:t>Paraíba</w:t>
      </w:r>
      <w:r w:rsidRPr="00045E69">
        <w:rPr>
          <w:rFonts w:ascii="Times New Roman" w:hAnsi="Times New Roman"/>
          <w:color w:val="000000"/>
          <w:sz w:val="24"/>
          <w:szCs w:val="24"/>
          <w:lang w:val="es-ES"/>
        </w:rPr>
        <w:t xml:space="preserve"> (BR-L1245, aprobado 13 de noviembre 2013) también propusieron la metodología de MMCS para la evaluación de impacto ex-post.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Hasta ahora, la MMCS junto con un modelo </w:t>
      </w:r>
      <w:r w:rsidR="00596655" w:rsidRPr="00045E69">
        <w:rPr>
          <w:rFonts w:ascii="Times New Roman" w:hAnsi="Times New Roman"/>
          <w:color w:val="000000"/>
          <w:sz w:val="24"/>
          <w:szCs w:val="24"/>
          <w:lang w:val="es-ES"/>
        </w:rPr>
        <w:t>D</w:t>
      </w:r>
      <w:r w:rsidRPr="00045E69">
        <w:rPr>
          <w:rFonts w:ascii="Times New Roman" w:hAnsi="Times New Roman"/>
          <w:color w:val="000000"/>
          <w:sz w:val="24"/>
          <w:szCs w:val="24"/>
          <w:lang w:val="es-ES"/>
        </w:rPr>
        <w:t>CGE, es una</w:t>
      </w:r>
      <w:r w:rsidR="00596655" w:rsidRPr="00045E69">
        <w:rPr>
          <w:rFonts w:ascii="Times New Roman" w:hAnsi="Times New Roman"/>
          <w:color w:val="000000"/>
          <w:sz w:val="24"/>
          <w:szCs w:val="24"/>
          <w:lang w:val="es-ES"/>
        </w:rPr>
        <w:t xml:space="preserve"> herramienta</w:t>
      </w:r>
      <w:r w:rsidRPr="00045E69">
        <w:rPr>
          <w:rFonts w:ascii="Times New Roman" w:hAnsi="Times New Roman"/>
          <w:color w:val="000000"/>
          <w:sz w:val="24"/>
          <w:szCs w:val="24"/>
          <w:lang w:val="es-ES"/>
        </w:rPr>
        <w:t xml:space="preserve"> poderosa para la realización de análisis ex-ante. En el caso del análisis ex-post, </w:t>
      </w:r>
      <w:r w:rsidR="00762894">
        <w:rPr>
          <w:rFonts w:ascii="Times New Roman" w:hAnsi="Times New Roman"/>
          <w:color w:val="000000"/>
          <w:sz w:val="24"/>
          <w:szCs w:val="24"/>
          <w:lang w:val="es-ES"/>
        </w:rPr>
        <w:t xml:space="preserve">análisis de una </w:t>
      </w:r>
      <w:r w:rsidRPr="00045E69">
        <w:rPr>
          <w:rFonts w:ascii="Times New Roman" w:hAnsi="Times New Roman"/>
          <w:color w:val="000000"/>
          <w:sz w:val="24"/>
          <w:szCs w:val="24"/>
          <w:lang w:val="es-ES"/>
        </w:rPr>
        <w:t xml:space="preserve">MMCS </w:t>
      </w:r>
      <w:r w:rsidR="00762894">
        <w:rPr>
          <w:rFonts w:ascii="Times New Roman" w:hAnsi="Times New Roman"/>
          <w:color w:val="000000"/>
          <w:sz w:val="24"/>
          <w:szCs w:val="24"/>
          <w:lang w:val="es-ES"/>
        </w:rPr>
        <w:t>puede p</w:t>
      </w:r>
      <w:r w:rsidRPr="00045E69">
        <w:rPr>
          <w:rFonts w:ascii="Times New Roman" w:hAnsi="Times New Roman"/>
          <w:color w:val="000000"/>
          <w:sz w:val="24"/>
          <w:szCs w:val="24"/>
          <w:lang w:val="es-ES"/>
        </w:rPr>
        <w:t>roveer información sobre la trayectoria de crecimiento económico y cambio</w:t>
      </w:r>
      <w:r w:rsidR="00762894">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estructural</w:t>
      </w:r>
      <w:r w:rsidR="00762894">
        <w:rPr>
          <w:rFonts w:ascii="Times New Roman" w:hAnsi="Times New Roman"/>
          <w:color w:val="000000"/>
          <w:sz w:val="24"/>
          <w:szCs w:val="24"/>
          <w:lang w:val="es-ES"/>
        </w:rPr>
        <w:t xml:space="preserve">es entre dos periodos. </w:t>
      </w:r>
      <w:r w:rsidRPr="00045E69">
        <w:rPr>
          <w:rFonts w:ascii="Times New Roman" w:hAnsi="Times New Roman"/>
          <w:color w:val="000000"/>
          <w:sz w:val="24"/>
          <w:szCs w:val="24"/>
          <w:lang w:val="es-ES"/>
        </w:rPr>
        <w:t>Con un mayor desarrollo de técnicas innova</w:t>
      </w:r>
      <w:r w:rsidR="00762894">
        <w:rPr>
          <w:rFonts w:ascii="Times New Roman" w:hAnsi="Times New Roman"/>
          <w:color w:val="000000"/>
          <w:sz w:val="24"/>
          <w:szCs w:val="24"/>
          <w:lang w:val="es-ES"/>
        </w:rPr>
        <w:t xml:space="preserve">doras como la que se propone </w:t>
      </w:r>
      <w:r w:rsidRPr="00045E69">
        <w:rPr>
          <w:rFonts w:ascii="Times New Roman" w:hAnsi="Times New Roman"/>
          <w:color w:val="000000"/>
          <w:sz w:val="24"/>
          <w:szCs w:val="24"/>
          <w:lang w:val="es-ES"/>
        </w:rPr>
        <w:t xml:space="preserve">Taylor y Filipski (2010), </w:t>
      </w:r>
      <w:r w:rsidR="00762894">
        <w:rPr>
          <w:rFonts w:ascii="Times New Roman" w:hAnsi="Times New Roman"/>
          <w:color w:val="000000"/>
          <w:sz w:val="24"/>
          <w:szCs w:val="24"/>
          <w:lang w:val="es-ES"/>
        </w:rPr>
        <w:t xml:space="preserve">se acerca a una </w:t>
      </w:r>
      <w:r w:rsidR="00080760" w:rsidRPr="00045E69">
        <w:rPr>
          <w:rFonts w:ascii="Times New Roman" w:hAnsi="Times New Roman"/>
          <w:color w:val="000000"/>
          <w:sz w:val="24"/>
          <w:szCs w:val="24"/>
          <w:lang w:val="es-ES"/>
        </w:rPr>
        <w:t xml:space="preserve">solución </w:t>
      </w:r>
      <w:r w:rsidR="00762894">
        <w:rPr>
          <w:rFonts w:ascii="Times New Roman" w:hAnsi="Times New Roman"/>
          <w:color w:val="000000"/>
          <w:sz w:val="24"/>
          <w:szCs w:val="24"/>
          <w:lang w:val="es-ES"/>
        </w:rPr>
        <w:t xml:space="preserve">al reto </w:t>
      </w:r>
      <w:r w:rsidR="00470A17">
        <w:rPr>
          <w:rFonts w:ascii="Times New Roman" w:hAnsi="Times New Roman"/>
          <w:color w:val="000000"/>
          <w:sz w:val="24"/>
          <w:szCs w:val="24"/>
          <w:lang w:val="es-ES"/>
        </w:rPr>
        <w:t>atribuir</w:t>
      </w:r>
      <w:r w:rsidR="00762894">
        <w:rPr>
          <w:rFonts w:ascii="Times New Roman" w:hAnsi="Times New Roman"/>
          <w:color w:val="000000"/>
          <w:sz w:val="24"/>
          <w:szCs w:val="24"/>
          <w:lang w:val="es-ES"/>
        </w:rPr>
        <w:t xml:space="preserve"> un resultado </w:t>
      </w:r>
      <w:r w:rsidR="00470A17">
        <w:rPr>
          <w:rFonts w:ascii="Times New Roman" w:hAnsi="Times New Roman"/>
          <w:color w:val="000000"/>
          <w:sz w:val="24"/>
          <w:szCs w:val="24"/>
          <w:lang w:val="es-ES"/>
        </w:rPr>
        <w:t xml:space="preserve">económico </w:t>
      </w:r>
      <w:r w:rsidR="00762894">
        <w:rPr>
          <w:rFonts w:ascii="Times New Roman" w:hAnsi="Times New Roman"/>
          <w:color w:val="000000"/>
          <w:sz w:val="24"/>
          <w:szCs w:val="24"/>
          <w:lang w:val="es-ES"/>
        </w:rPr>
        <w:t>a una inversión del BID</w:t>
      </w:r>
      <w:r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470A17" w:rsidP="00C82F81">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Hay dos metodologías prometedoras</w:t>
      </w:r>
      <w:r w:rsidR="002C3973" w:rsidRPr="00045E69">
        <w:rPr>
          <w:rFonts w:ascii="Times New Roman" w:hAnsi="Times New Roman"/>
          <w:color w:val="000000"/>
          <w:sz w:val="24"/>
          <w:szCs w:val="24"/>
          <w:lang w:val="es-ES"/>
        </w:rPr>
        <w:t xml:space="preserve"> </w:t>
      </w:r>
      <w:r w:rsidR="00983688">
        <w:rPr>
          <w:rFonts w:ascii="Times New Roman" w:hAnsi="Times New Roman"/>
          <w:color w:val="000000"/>
          <w:sz w:val="24"/>
          <w:szCs w:val="24"/>
          <w:lang w:val="es-ES"/>
        </w:rPr>
        <w:t xml:space="preserve">para el análisis ex-post de inversiones en turismo que </w:t>
      </w:r>
      <w:r w:rsidR="002C3973" w:rsidRPr="00045E69">
        <w:rPr>
          <w:rFonts w:ascii="Times New Roman" w:hAnsi="Times New Roman"/>
          <w:color w:val="000000"/>
          <w:sz w:val="24"/>
          <w:szCs w:val="24"/>
          <w:lang w:val="es-ES"/>
        </w:rPr>
        <w:t xml:space="preserve">pueden ayudar a resolver la cuestión de atribución. </w:t>
      </w:r>
      <w:r>
        <w:rPr>
          <w:rFonts w:ascii="Times New Roman" w:hAnsi="Times New Roman"/>
          <w:color w:val="000000"/>
          <w:sz w:val="24"/>
          <w:szCs w:val="24"/>
          <w:lang w:val="es-ES"/>
        </w:rPr>
        <w:t xml:space="preserve">El primer </w:t>
      </w:r>
      <w:r w:rsidR="002C3973" w:rsidRPr="00045E69">
        <w:rPr>
          <w:rFonts w:ascii="Times New Roman" w:hAnsi="Times New Roman"/>
          <w:color w:val="000000"/>
          <w:sz w:val="24"/>
          <w:szCs w:val="24"/>
          <w:lang w:val="es-ES"/>
        </w:rPr>
        <w:t>método</w:t>
      </w:r>
      <w:r>
        <w:rPr>
          <w:rFonts w:ascii="Times New Roman" w:hAnsi="Times New Roman"/>
          <w:color w:val="000000"/>
          <w:sz w:val="24"/>
          <w:szCs w:val="24"/>
          <w:lang w:val="es-ES"/>
        </w:rPr>
        <w:t xml:space="preserve">, el análisis de descomposición, </w:t>
      </w:r>
      <w:r w:rsidR="00983688">
        <w:rPr>
          <w:rFonts w:ascii="Times New Roman" w:hAnsi="Times New Roman"/>
          <w:color w:val="000000"/>
          <w:sz w:val="24"/>
          <w:szCs w:val="24"/>
          <w:lang w:val="es-ES"/>
        </w:rPr>
        <w:t>utiliza</w:t>
      </w:r>
      <w:r>
        <w:rPr>
          <w:rFonts w:ascii="Times New Roman" w:hAnsi="Times New Roman"/>
          <w:color w:val="000000"/>
          <w:sz w:val="24"/>
          <w:szCs w:val="24"/>
          <w:lang w:val="es-ES"/>
        </w:rPr>
        <w:t xml:space="preserve"> un modelo DCGE con base en una MMCS en un proceso iterativo para ai</w:t>
      </w:r>
      <w:r w:rsidR="002C3973" w:rsidRPr="00045E69">
        <w:rPr>
          <w:rFonts w:ascii="Times New Roman" w:hAnsi="Times New Roman"/>
          <w:color w:val="000000"/>
          <w:sz w:val="24"/>
          <w:szCs w:val="24"/>
          <w:lang w:val="es-ES"/>
        </w:rPr>
        <w:t>slar la contri</w:t>
      </w:r>
      <w:r w:rsidR="00983688">
        <w:rPr>
          <w:rFonts w:ascii="Times New Roman" w:hAnsi="Times New Roman"/>
          <w:color w:val="000000"/>
          <w:sz w:val="24"/>
          <w:szCs w:val="24"/>
          <w:lang w:val="es-ES"/>
        </w:rPr>
        <w:t>bución de la inversión en turismo</w:t>
      </w:r>
      <w:r w:rsidR="002C3973" w:rsidRPr="00045E69">
        <w:rPr>
          <w:rFonts w:ascii="Times New Roman" w:hAnsi="Times New Roman"/>
          <w:color w:val="000000"/>
          <w:sz w:val="24"/>
          <w:szCs w:val="24"/>
          <w:lang w:val="es-ES"/>
        </w:rPr>
        <w:t xml:space="preserve"> sobre la economía. El desarrollo y la aplicación experimental de este método</w:t>
      </w:r>
      <w:r>
        <w:rPr>
          <w:rFonts w:ascii="Times New Roman" w:hAnsi="Times New Roman"/>
          <w:color w:val="000000"/>
          <w:sz w:val="24"/>
          <w:szCs w:val="24"/>
          <w:lang w:val="es-ES"/>
        </w:rPr>
        <w:t xml:space="preserve"> de análisis de descomposición </w:t>
      </w:r>
      <w:r w:rsidR="002C3973" w:rsidRPr="00045E69">
        <w:rPr>
          <w:rFonts w:ascii="Times New Roman" w:hAnsi="Times New Roman"/>
          <w:color w:val="000000"/>
          <w:sz w:val="24"/>
          <w:szCs w:val="24"/>
          <w:lang w:val="es-ES"/>
        </w:rPr>
        <w:t xml:space="preserve">se </w:t>
      </w:r>
      <w:r>
        <w:rPr>
          <w:rFonts w:ascii="Times New Roman" w:hAnsi="Times New Roman"/>
          <w:color w:val="000000"/>
          <w:sz w:val="24"/>
          <w:szCs w:val="24"/>
          <w:lang w:val="es-ES"/>
        </w:rPr>
        <w:t>proponen</w:t>
      </w:r>
      <w:r w:rsidR="002C3973" w:rsidRPr="00045E69">
        <w:rPr>
          <w:rFonts w:ascii="Times New Roman" w:hAnsi="Times New Roman"/>
          <w:color w:val="000000"/>
          <w:sz w:val="24"/>
          <w:szCs w:val="24"/>
          <w:lang w:val="es-ES"/>
        </w:rPr>
        <w:t xml:space="preserve"> como </w:t>
      </w:r>
      <w:r>
        <w:rPr>
          <w:rFonts w:ascii="Times New Roman" w:hAnsi="Times New Roman"/>
          <w:color w:val="000000"/>
          <w:sz w:val="24"/>
          <w:szCs w:val="24"/>
          <w:lang w:val="es-ES"/>
        </w:rPr>
        <w:t>componente</w:t>
      </w:r>
      <w:r w:rsidR="00983688">
        <w:rPr>
          <w:rFonts w:ascii="Times New Roman" w:hAnsi="Times New Roman"/>
          <w:color w:val="000000"/>
          <w:sz w:val="24"/>
          <w:szCs w:val="24"/>
          <w:lang w:val="es-ES"/>
        </w:rPr>
        <w:t xml:space="preserve"> de la</w:t>
      </w:r>
      <w:r w:rsidR="002C3973" w:rsidRPr="00045E69">
        <w:rPr>
          <w:rFonts w:ascii="Times New Roman" w:hAnsi="Times New Roman"/>
          <w:color w:val="000000"/>
          <w:sz w:val="24"/>
          <w:szCs w:val="24"/>
          <w:lang w:val="es-ES"/>
        </w:rPr>
        <w:t xml:space="preserve"> estrategia de evaluación de impacto ex-post Prodetur-ES.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1C210D" w:rsidRDefault="002C3973" w:rsidP="00C82F81">
      <w:pPr>
        <w:pStyle w:val="ColorfulList-Accent11"/>
        <w:spacing w:after="0" w:line="360" w:lineRule="auto"/>
        <w:ind w:left="0"/>
        <w:jc w:val="both"/>
        <w:rPr>
          <w:rFonts w:ascii="Times New Roman" w:hAnsi="Times New Roman"/>
          <w:color w:val="000000"/>
          <w:sz w:val="24"/>
          <w:szCs w:val="24"/>
          <w:lang w:val="es-ES"/>
        </w:rPr>
      </w:pPr>
      <w:r w:rsidRPr="00B94E54">
        <w:rPr>
          <w:rFonts w:ascii="Times New Roman" w:hAnsi="Times New Roman"/>
          <w:color w:val="000000"/>
          <w:sz w:val="24"/>
          <w:szCs w:val="24"/>
          <w:lang w:val="es-ES"/>
        </w:rPr>
        <w:t xml:space="preserve">La segunda metodología es </w:t>
      </w:r>
      <w:r w:rsidR="00B94E54">
        <w:rPr>
          <w:rFonts w:ascii="Times New Roman" w:hAnsi="Times New Roman"/>
          <w:color w:val="000000"/>
          <w:sz w:val="24"/>
          <w:szCs w:val="24"/>
          <w:lang w:val="es-ES"/>
        </w:rPr>
        <w:t>el</w:t>
      </w:r>
      <w:r w:rsidRPr="00B94E54">
        <w:rPr>
          <w:rFonts w:ascii="Times New Roman" w:hAnsi="Times New Roman"/>
          <w:color w:val="000000"/>
          <w:sz w:val="24"/>
          <w:szCs w:val="24"/>
          <w:lang w:val="es-ES"/>
        </w:rPr>
        <w:t xml:space="preserve"> control sintético que </w:t>
      </w:r>
      <w:r w:rsidR="001C210D">
        <w:rPr>
          <w:rFonts w:ascii="Times New Roman" w:hAnsi="Times New Roman"/>
          <w:color w:val="000000"/>
          <w:sz w:val="24"/>
          <w:szCs w:val="24"/>
          <w:lang w:val="es-ES"/>
        </w:rPr>
        <w:t xml:space="preserve">se trata de </w:t>
      </w:r>
      <w:r w:rsidRPr="00B94E54">
        <w:rPr>
          <w:rFonts w:ascii="Times New Roman" w:hAnsi="Times New Roman"/>
          <w:color w:val="000000"/>
          <w:sz w:val="24"/>
          <w:szCs w:val="24"/>
          <w:lang w:val="es-ES"/>
        </w:rPr>
        <w:t>construir un contrafactual</w:t>
      </w:r>
      <w:r w:rsidR="001C210D">
        <w:rPr>
          <w:rFonts w:ascii="Times New Roman" w:hAnsi="Times New Roman"/>
          <w:color w:val="000000"/>
          <w:sz w:val="24"/>
          <w:szCs w:val="24"/>
          <w:lang w:val="es-ES"/>
        </w:rPr>
        <w:t xml:space="preserve"> sintético basado en los promedios</w:t>
      </w:r>
      <w:r w:rsidRPr="00045E69">
        <w:rPr>
          <w:rFonts w:ascii="Times New Roman" w:hAnsi="Times New Roman"/>
          <w:color w:val="000000"/>
          <w:sz w:val="24"/>
          <w:szCs w:val="24"/>
          <w:lang w:val="es-ES"/>
        </w:rPr>
        <w:t xml:space="preserve"> ponderadas de otras regiones con características económicas similares. Este enfoque fue propuesto recientemente junto con el enfoque MMCS, como la estrategia de evaluación de impacto ex-post de Prodetur-Pará (BR- </w:t>
      </w:r>
      <w:r w:rsidR="004D04EF" w:rsidRPr="00045E69">
        <w:rPr>
          <w:rFonts w:ascii="Times New Roman" w:hAnsi="Times New Roman"/>
          <w:color w:val="000000"/>
          <w:sz w:val="24"/>
          <w:szCs w:val="24"/>
          <w:lang w:val="es-ES"/>
        </w:rPr>
        <w:t>L1243)</w:t>
      </w:r>
      <w:r w:rsidRPr="00045E69">
        <w:rPr>
          <w:rFonts w:ascii="Times New Roman" w:hAnsi="Times New Roman"/>
          <w:color w:val="000000"/>
          <w:sz w:val="24"/>
          <w:szCs w:val="24"/>
          <w:lang w:val="es-ES"/>
        </w:rPr>
        <w:t xml:space="preserve">. </w:t>
      </w:r>
    </w:p>
    <w:p w:rsidR="001C210D" w:rsidRDefault="001C210D"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1C210D" w:rsidP="00C82F81">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Resumiendo, l</w:t>
      </w:r>
      <w:r w:rsidR="002C3973" w:rsidRPr="00045E69">
        <w:rPr>
          <w:rFonts w:ascii="Times New Roman" w:hAnsi="Times New Roman"/>
          <w:color w:val="000000"/>
          <w:sz w:val="24"/>
          <w:szCs w:val="24"/>
          <w:lang w:val="es-ES"/>
        </w:rPr>
        <w:t xml:space="preserve">a estrategia de evaluación de impacto ex-post de Prodetur-ES tiene tres componentes: (i) el desarrollo de una </w:t>
      </w:r>
      <w:r w:rsidR="00983688">
        <w:rPr>
          <w:rFonts w:ascii="Times New Roman" w:hAnsi="Times New Roman"/>
          <w:color w:val="000000"/>
          <w:sz w:val="24"/>
          <w:szCs w:val="24"/>
          <w:lang w:val="es-ES"/>
        </w:rPr>
        <w:t xml:space="preserve">MMCS de </w:t>
      </w:r>
      <w:r w:rsidR="002C3973" w:rsidRPr="00045E69">
        <w:rPr>
          <w:rFonts w:ascii="Times New Roman" w:hAnsi="Times New Roman"/>
          <w:color w:val="000000"/>
          <w:sz w:val="24"/>
          <w:szCs w:val="24"/>
          <w:lang w:val="es-ES"/>
        </w:rPr>
        <w:t>línea de base y ex-pos</w:t>
      </w:r>
      <w:r w:rsidR="00080760" w:rsidRPr="00045E69">
        <w:rPr>
          <w:rFonts w:ascii="Times New Roman" w:hAnsi="Times New Roman"/>
          <w:color w:val="000000"/>
          <w:sz w:val="24"/>
          <w:szCs w:val="24"/>
          <w:lang w:val="es-ES"/>
        </w:rPr>
        <w:t>t</w:t>
      </w:r>
      <w:r w:rsidR="00983688">
        <w:rPr>
          <w:rFonts w:ascii="Times New Roman" w:hAnsi="Times New Roman"/>
          <w:color w:val="000000"/>
          <w:sz w:val="24"/>
          <w:szCs w:val="24"/>
          <w:lang w:val="es-ES"/>
        </w:rPr>
        <w:t>;</w:t>
      </w:r>
      <w:r w:rsidR="00080760" w:rsidRPr="00045E69">
        <w:rPr>
          <w:rFonts w:ascii="Times New Roman" w:hAnsi="Times New Roman"/>
          <w:color w:val="000000"/>
          <w:sz w:val="24"/>
          <w:szCs w:val="24"/>
          <w:lang w:val="es-ES"/>
        </w:rPr>
        <w:t xml:space="preserve"> (ii) el desarrollo y </w:t>
      </w:r>
      <w:r w:rsidR="002C3973" w:rsidRPr="00045E69">
        <w:rPr>
          <w:rFonts w:ascii="Times New Roman" w:hAnsi="Times New Roman"/>
          <w:color w:val="000000"/>
          <w:sz w:val="24"/>
          <w:szCs w:val="24"/>
          <w:lang w:val="es-ES"/>
        </w:rPr>
        <w:t>aplicación experimental del análisis de descomposición DCGE, y; (iii) el</w:t>
      </w:r>
      <w:r w:rsidR="00983688">
        <w:rPr>
          <w:rFonts w:ascii="Times New Roman" w:hAnsi="Times New Roman"/>
          <w:color w:val="000000"/>
          <w:sz w:val="24"/>
          <w:szCs w:val="24"/>
          <w:lang w:val="es-ES"/>
        </w:rPr>
        <w:t xml:space="preserve"> control sintética. A continuación </w:t>
      </w:r>
      <w:r w:rsidR="00C22D5B">
        <w:rPr>
          <w:rFonts w:ascii="Times New Roman" w:hAnsi="Times New Roman"/>
          <w:color w:val="000000"/>
          <w:sz w:val="24"/>
          <w:szCs w:val="24"/>
          <w:lang w:val="es-ES"/>
        </w:rPr>
        <w:t>s</w:t>
      </w:r>
      <w:r w:rsidR="00CE45A3" w:rsidRPr="00045E69">
        <w:rPr>
          <w:rFonts w:ascii="Times New Roman" w:hAnsi="Times New Roman"/>
          <w:color w:val="000000"/>
          <w:sz w:val="24"/>
          <w:szCs w:val="24"/>
          <w:lang w:val="es-ES"/>
        </w:rPr>
        <w:t>e describe</w:t>
      </w:r>
      <w:r w:rsidR="00983688">
        <w:rPr>
          <w:rFonts w:ascii="Times New Roman" w:hAnsi="Times New Roman"/>
          <w:color w:val="000000"/>
          <w:sz w:val="24"/>
          <w:szCs w:val="24"/>
          <w:lang w:val="es-ES"/>
        </w:rPr>
        <w:t xml:space="preserve"> las</w:t>
      </w:r>
      <w:r w:rsidR="002C3973" w:rsidRPr="00045E69">
        <w:rPr>
          <w:rFonts w:ascii="Times New Roman" w:hAnsi="Times New Roman"/>
          <w:color w:val="000000"/>
          <w:sz w:val="24"/>
          <w:szCs w:val="24"/>
          <w:lang w:val="es-ES"/>
        </w:rPr>
        <w:t xml:space="preserve"> </w:t>
      </w:r>
      <w:r w:rsidR="00983688">
        <w:rPr>
          <w:rFonts w:ascii="Times New Roman" w:hAnsi="Times New Roman"/>
          <w:color w:val="000000"/>
          <w:sz w:val="24"/>
          <w:szCs w:val="24"/>
          <w:lang w:val="es-ES"/>
        </w:rPr>
        <w:t xml:space="preserve">tres </w:t>
      </w:r>
      <w:r w:rsidR="002C3973" w:rsidRPr="00045E69">
        <w:rPr>
          <w:rFonts w:ascii="Times New Roman" w:hAnsi="Times New Roman"/>
          <w:color w:val="000000"/>
          <w:sz w:val="24"/>
          <w:szCs w:val="24"/>
          <w:lang w:val="es-ES"/>
        </w:rPr>
        <w:t xml:space="preserve">estrategias </w:t>
      </w:r>
      <w:r w:rsidR="00983688">
        <w:rPr>
          <w:rFonts w:ascii="Times New Roman" w:hAnsi="Times New Roman"/>
          <w:color w:val="000000"/>
          <w:sz w:val="24"/>
          <w:szCs w:val="24"/>
          <w:lang w:val="es-ES"/>
        </w:rPr>
        <w:t>en detalle</w:t>
      </w:r>
      <w:r w:rsidR="00C22D5B">
        <w:rPr>
          <w:rFonts w:ascii="Times New Roman" w:hAnsi="Times New Roman"/>
          <w:color w:val="000000"/>
          <w:sz w:val="24"/>
          <w:szCs w:val="24"/>
          <w:lang w:val="es-ES"/>
        </w:rPr>
        <w:t>, empezando con una exposición de las preguntas claves que el análisis pretende resolver</w:t>
      </w:r>
      <w:r w:rsidR="00CE45A3" w:rsidRPr="00045E69">
        <w:rPr>
          <w:rFonts w:ascii="Times New Roman" w:hAnsi="Times New Roman"/>
          <w:color w:val="000000"/>
          <w:sz w:val="24"/>
          <w:szCs w:val="24"/>
          <w:lang w:val="es-ES"/>
        </w:rPr>
        <w:t>.</w:t>
      </w:r>
    </w:p>
    <w:p w:rsidR="00CE45A3" w:rsidRPr="00045E69" w:rsidRDefault="00CE45A3" w:rsidP="00C82F81">
      <w:pPr>
        <w:pStyle w:val="ColorfulList-Accent11"/>
        <w:spacing w:after="0" w:line="360" w:lineRule="auto"/>
        <w:ind w:left="0"/>
        <w:jc w:val="both"/>
        <w:rPr>
          <w:rFonts w:ascii="Times New Roman" w:hAnsi="Times New Roman"/>
          <w:color w:val="000000"/>
          <w:sz w:val="24"/>
          <w:szCs w:val="24"/>
          <w:lang w:val="es-ES"/>
        </w:rPr>
      </w:pPr>
    </w:p>
    <w:p w:rsidR="00CE45A3" w:rsidRPr="00045E69" w:rsidRDefault="00CE45A3" w:rsidP="00CE45A3">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El análisis ex-post pretende llenar una serie de gaps en c</w:t>
      </w:r>
      <w:r w:rsidR="00C22D5B">
        <w:rPr>
          <w:rFonts w:ascii="Times New Roman" w:hAnsi="Times New Roman"/>
          <w:color w:val="000000"/>
          <w:sz w:val="24"/>
          <w:szCs w:val="24"/>
          <w:lang w:val="es-ES"/>
        </w:rPr>
        <w:t xml:space="preserve">onocimiento identificados en la POD de </w:t>
      </w:r>
      <w:r w:rsidRPr="00045E69">
        <w:rPr>
          <w:rFonts w:ascii="Times New Roman" w:hAnsi="Times New Roman"/>
          <w:color w:val="000000"/>
          <w:sz w:val="24"/>
          <w:szCs w:val="24"/>
          <w:lang w:val="es-ES"/>
        </w:rPr>
        <w:t>Prodetur-ES</w:t>
      </w:r>
      <w:r w:rsidR="00C22D5B">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En primer lugar, a través del análisis MMCS, s</w:t>
      </w:r>
      <w:r w:rsidR="00C22D5B">
        <w:rPr>
          <w:rFonts w:ascii="Times New Roman" w:hAnsi="Times New Roman"/>
          <w:color w:val="000000"/>
          <w:sz w:val="24"/>
          <w:szCs w:val="24"/>
          <w:lang w:val="es-ES"/>
        </w:rPr>
        <w:t>e puede</w:t>
      </w:r>
      <w:r w:rsidRPr="00045E69">
        <w:rPr>
          <w:rFonts w:ascii="Times New Roman" w:hAnsi="Times New Roman"/>
          <w:color w:val="000000"/>
          <w:sz w:val="24"/>
          <w:szCs w:val="24"/>
          <w:lang w:val="es-ES"/>
        </w:rPr>
        <w:t xml:space="preserve"> evaluar los cambios en: l</w:t>
      </w:r>
      <w:r w:rsidR="00C22D5B">
        <w:rPr>
          <w:rFonts w:ascii="Times New Roman" w:hAnsi="Times New Roman"/>
          <w:color w:val="000000"/>
          <w:sz w:val="24"/>
          <w:szCs w:val="24"/>
          <w:lang w:val="es-ES"/>
        </w:rPr>
        <w:t>a economía, el sector de turístico</w:t>
      </w:r>
      <w:r w:rsidRPr="00045E69">
        <w:rPr>
          <w:rFonts w:ascii="Times New Roman" w:hAnsi="Times New Roman"/>
          <w:color w:val="000000"/>
          <w:sz w:val="24"/>
          <w:szCs w:val="24"/>
          <w:lang w:val="es-ES"/>
        </w:rPr>
        <w:t>, el ingreso familiar y el empleo durante el período de ejecución de 5 años. A través del cálculo de multiplicadores, se p</w:t>
      </w:r>
      <w:r w:rsidR="00C22D5B">
        <w:rPr>
          <w:rFonts w:ascii="Times New Roman" w:hAnsi="Times New Roman"/>
          <w:color w:val="000000"/>
          <w:sz w:val="24"/>
          <w:szCs w:val="24"/>
          <w:lang w:val="es-ES"/>
        </w:rPr>
        <w:t>uede evaluar có</w:t>
      </w:r>
      <w:r w:rsidR="00C22D5B" w:rsidRPr="00045E69">
        <w:rPr>
          <w:rFonts w:ascii="Times New Roman" w:hAnsi="Times New Roman"/>
          <w:color w:val="000000"/>
          <w:sz w:val="24"/>
          <w:szCs w:val="24"/>
          <w:lang w:val="es-ES"/>
        </w:rPr>
        <w:t>mo</w:t>
      </w:r>
      <w:r w:rsidRPr="00045E69">
        <w:rPr>
          <w:rFonts w:ascii="Times New Roman" w:hAnsi="Times New Roman"/>
          <w:color w:val="000000"/>
          <w:sz w:val="24"/>
          <w:szCs w:val="24"/>
          <w:lang w:val="es-ES"/>
        </w:rPr>
        <w:t xml:space="preserve"> se </w:t>
      </w:r>
      <w:r w:rsidR="00C22D5B">
        <w:rPr>
          <w:rFonts w:ascii="Times New Roman" w:hAnsi="Times New Roman"/>
          <w:color w:val="000000"/>
          <w:sz w:val="24"/>
          <w:szCs w:val="24"/>
          <w:lang w:val="es-ES"/>
        </w:rPr>
        <w:t xml:space="preserve">distribuye </w:t>
      </w:r>
      <w:r w:rsidRPr="00045E69">
        <w:rPr>
          <w:rFonts w:ascii="Times New Roman" w:hAnsi="Times New Roman"/>
          <w:color w:val="000000"/>
          <w:sz w:val="24"/>
          <w:szCs w:val="24"/>
          <w:lang w:val="es-ES"/>
        </w:rPr>
        <w:t>el gasto turístico por la economía y sus efectos directos, indirectos e inducidos sobre</w:t>
      </w:r>
      <w:r w:rsidR="00C22D5B">
        <w:rPr>
          <w:rFonts w:ascii="Times New Roman" w:hAnsi="Times New Roman"/>
          <w:color w:val="000000"/>
          <w:sz w:val="24"/>
          <w:szCs w:val="24"/>
          <w:lang w:val="es-ES"/>
        </w:rPr>
        <w:t xml:space="preserve"> la producción, ingreso y </w:t>
      </w:r>
      <w:r w:rsidRPr="00045E69">
        <w:rPr>
          <w:rFonts w:ascii="Times New Roman" w:hAnsi="Times New Roman"/>
          <w:color w:val="000000"/>
          <w:sz w:val="24"/>
          <w:szCs w:val="24"/>
          <w:lang w:val="es-ES"/>
        </w:rPr>
        <w:t>empleo. El análisis de d</w:t>
      </w:r>
      <w:r w:rsidR="00C22D5B">
        <w:rPr>
          <w:rFonts w:ascii="Times New Roman" w:hAnsi="Times New Roman"/>
          <w:color w:val="000000"/>
          <w:sz w:val="24"/>
          <w:szCs w:val="24"/>
          <w:lang w:val="es-ES"/>
        </w:rPr>
        <w:t>escomposición con DCGE permite</w:t>
      </w:r>
      <w:r w:rsidRPr="00045E69">
        <w:rPr>
          <w:rFonts w:ascii="Times New Roman" w:hAnsi="Times New Roman"/>
          <w:color w:val="000000"/>
          <w:sz w:val="24"/>
          <w:szCs w:val="24"/>
          <w:lang w:val="es-ES"/>
        </w:rPr>
        <w:t xml:space="preserve"> discernir el impacto del programa sobre la economía local, incluyendo sus impactos sobre el ingreso y empleo.</w:t>
      </w:r>
    </w:p>
    <w:p w:rsidR="00CE45A3" w:rsidRPr="00045E69" w:rsidRDefault="00CE45A3" w:rsidP="00CE45A3">
      <w:pPr>
        <w:pStyle w:val="ColorfulList-Accent11"/>
        <w:spacing w:after="0" w:line="360" w:lineRule="auto"/>
        <w:ind w:left="0"/>
        <w:jc w:val="both"/>
        <w:rPr>
          <w:rFonts w:ascii="Times New Roman" w:hAnsi="Times New Roman"/>
          <w:color w:val="000000"/>
          <w:sz w:val="24"/>
          <w:szCs w:val="24"/>
          <w:lang w:val="es-ES"/>
        </w:rPr>
      </w:pPr>
    </w:p>
    <w:p w:rsidR="00CE45A3" w:rsidRPr="00045E69" w:rsidRDefault="00CE45A3" w:rsidP="00CE45A3">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Las enc</w:t>
      </w:r>
      <w:r w:rsidR="00344190">
        <w:rPr>
          <w:rFonts w:ascii="Times New Roman" w:hAnsi="Times New Roman"/>
          <w:color w:val="000000"/>
          <w:sz w:val="24"/>
          <w:szCs w:val="24"/>
          <w:lang w:val="es-ES"/>
        </w:rPr>
        <w:t>uestas a turistas se aplicara</w:t>
      </w:r>
      <w:r w:rsidRPr="00045E69">
        <w:rPr>
          <w:rFonts w:ascii="Times New Roman" w:hAnsi="Times New Roman"/>
          <w:color w:val="000000"/>
          <w:sz w:val="24"/>
          <w:szCs w:val="24"/>
          <w:lang w:val="es-ES"/>
        </w:rPr>
        <w:t xml:space="preserve"> durante el transcurso del año base y después de la conclusión del proyecto con el propósito de fornecer información detallada sobre las visitas de turistas y sus </w:t>
      </w:r>
      <w:r w:rsidR="00344190">
        <w:rPr>
          <w:rFonts w:ascii="Times New Roman" w:hAnsi="Times New Roman"/>
          <w:color w:val="000000"/>
          <w:sz w:val="24"/>
          <w:szCs w:val="24"/>
          <w:lang w:val="es-ES"/>
        </w:rPr>
        <w:t xml:space="preserve">patrones de gasto. Las preguntas de la encuesta a turistas permite </w:t>
      </w:r>
      <w:r w:rsidRPr="00045E69">
        <w:rPr>
          <w:rFonts w:ascii="Times New Roman" w:hAnsi="Times New Roman"/>
          <w:color w:val="000000"/>
          <w:sz w:val="24"/>
          <w:szCs w:val="24"/>
          <w:lang w:val="es-ES"/>
        </w:rPr>
        <w:t xml:space="preserve">la </w:t>
      </w:r>
      <w:r w:rsidR="00344190">
        <w:rPr>
          <w:rFonts w:ascii="Times New Roman" w:hAnsi="Times New Roman"/>
          <w:color w:val="000000"/>
          <w:sz w:val="24"/>
          <w:szCs w:val="24"/>
          <w:lang w:val="es-ES"/>
        </w:rPr>
        <w:lastRenderedPageBreak/>
        <w:t>diferenciación en</w:t>
      </w:r>
      <w:r w:rsidRPr="00045E69">
        <w:rPr>
          <w:rFonts w:ascii="Times New Roman" w:hAnsi="Times New Roman"/>
          <w:color w:val="000000"/>
          <w:sz w:val="24"/>
          <w:szCs w:val="24"/>
          <w:lang w:val="es-ES"/>
        </w:rPr>
        <w:t xml:space="preserve"> los patrones de gasto por origen, la estacionalidad, ingreso, el propósito de la visita y si el visitante se quedó en un </w:t>
      </w:r>
      <w:r w:rsidR="00344190">
        <w:rPr>
          <w:rFonts w:ascii="Times New Roman" w:hAnsi="Times New Roman"/>
          <w:color w:val="000000"/>
          <w:sz w:val="24"/>
          <w:szCs w:val="24"/>
          <w:lang w:val="es-ES"/>
        </w:rPr>
        <w:t>hotel o en casa de familiares/</w:t>
      </w:r>
      <w:r w:rsidRPr="00045E69">
        <w:rPr>
          <w:rFonts w:ascii="Times New Roman" w:hAnsi="Times New Roman"/>
          <w:color w:val="000000"/>
          <w:sz w:val="24"/>
          <w:szCs w:val="24"/>
          <w:lang w:val="es-ES"/>
        </w:rPr>
        <w:t>amigos. Las enc</w:t>
      </w:r>
      <w:r w:rsidR="00344190">
        <w:rPr>
          <w:rFonts w:ascii="Times New Roman" w:hAnsi="Times New Roman"/>
          <w:color w:val="000000"/>
          <w:sz w:val="24"/>
          <w:szCs w:val="24"/>
          <w:lang w:val="es-ES"/>
        </w:rPr>
        <w:t>uestas de hogares proporcionan</w:t>
      </w:r>
      <w:r w:rsidRPr="00045E69">
        <w:rPr>
          <w:rFonts w:ascii="Times New Roman" w:hAnsi="Times New Roman"/>
          <w:color w:val="000000"/>
          <w:sz w:val="24"/>
          <w:szCs w:val="24"/>
          <w:lang w:val="es-ES"/>
        </w:rPr>
        <w:t xml:space="preserve"> información sobre los ingresos derivados del trabajo en las industrias</w:t>
      </w:r>
      <w:r w:rsidR="00F85829" w:rsidRPr="00045E69">
        <w:rPr>
          <w:rFonts w:ascii="Times New Roman" w:hAnsi="Times New Roman"/>
          <w:color w:val="000000"/>
          <w:sz w:val="24"/>
          <w:szCs w:val="24"/>
          <w:lang w:val="es-ES"/>
        </w:rPr>
        <w:t xml:space="preserve"> relacionadas con el sector de </w:t>
      </w:r>
      <w:r w:rsidRPr="00045E69">
        <w:rPr>
          <w:rFonts w:ascii="Times New Roman" w:hAnsi="Times New Roman"/>
          <w:color w:val="000000"/>
          <w:sz w:val="24"/>
          <w:szCs w:val="24"/>
          <w:lang w:val="es-ES"/>
        </w:rPr>
        <w:t>turismo. Finalmente, las encues</w:t>
      </w:r>
      <w:r w:rsidR="00344190">
        <w:rPr>
          <w:rFonts w:ascii="Times New Roman" w:hAnsi="Times New Roman"/>
          <w:color w:val="000000"/>
          <w:sz w:val="24"/>
          <w:szCs w:val="24"/>
          <w:lang w:val="es-ES"/>
        </w:rPr>
        <w:t>tas empresariales proporcionan</w:t>
      </w:r>
      <w:r w:rsidRPr="00045E69">
        <w:rPr>
          <w:rFonts w:ascii="Times New Roman" w:hAnsi="Times New Roman"/>
          <w:color w:val="000000"/>
          <w:sz w:val="24"/>
          <w:szCs w:val="24"/>
          <w:lang w:val="es-ES"/>
        </w:rPr>
        <w:t xml:space="preserve"> información sobre las ventas a los turistas y la estacionalidad de las ventas que puede ayudar a corroborar los datos </w:t>
      </w:r>
      <w:r w:rsidR="00344190">
        <w:rPr>
          <w:rFonts w:ascii="Times New Roman" w:hAnsi="Times New Roman"/>
          <w:color w:val="000000"/>
          <w:sz w:val="24"/>
          <w:szCs w:val="24"/>
          <w:lang w:val="es-ES"/>
        </w:rPr>
        <w:t>de</w:t>
      </w:r>
      <w:r w:rsidRPr="00045E69">
        <w:rPr>
          <w:rFonts w:ascii="Times New Roman" w:hAnsi="Times New Roman"/>
          <w:color w:val="000000"/>
          <w:sz w:val="24"/>
          <w:szCs w:val="24"/>
          <w:lang w:val="es-ES"/>
        </w:rPr>
        <w:t xml:space="preserve"> gasto turístico.</w:t>
      </w:r>
    </w:p>
    <w:p w:rsidR="00CE45A3" w:rsidRPr="00045E69" w:rsidRDefault="00CE45A3" w:rsidP="00CE45A3">
      <w:pPr>
        <w:pStyle w:val="ColorfulList-Accent11"/>
        <w:spacing w:after="0" w:line="360" w:lineRule="auto"/>
        <w:ind w:left="0"/>
        <w:jc w:val="both"/>
        <w:rPr>
          <w:rFonts w:ascii="Times New Roman" w:hAnsi="Times New Roman"/>
          <w:color w:val="000000"/>
          <w:sz w:val="24"/>
          <w:szCs w:val="24"/>
          <w:lang w:val="es-ES"/>
        </w:rPr>
      </w:pPr>
    </w:p>
    <w:p w:rsidR="00CE45A3" w:rsidRPr="00045E69" w:rsidRDefault="00CE45A3" w:rsidP="00CE45A3">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En conjunto, estos datos pueden ayudar a rastrear cómo el perfil de la demanda turística cambia con la ejecución del programa. Como, descrito en </w:t>
      </w:r>
      <w:r w:rsidR="00C22D5B">
        <w:rPr>
          <w:rFonts w:ascii="Times New Roman" w:hAnsi="Times New Roman"/>
          <w:color w:val="000000"/>
          <w:sz w:val="24"/>
          <w:szCs w:val="24"/>
          <w:lang w:val="es-ES"/>
        </w:rPr>
        <w:t>la</w:t>
      </w:r>
      <w:r w:rsidRPr="00045E69">
        <w:rPr>
          <w:rFonts w:ascii="Times New Roman" w:hAnsi="Times New Roman"/>
          <w:color w:val="000000"/>
          <w:sz w:val="24"/>
          <w:szCs w:val="24"/>
          <w:lang w:val="es-ES"/>
        </w:rPr>
        <w:t xml:space="preserve"> POD, es deseable cambiar el perfil</w:t>
      </w:r>
      <w:r w:rsidR="00344190">
        <w:rPr>
          <w:rFonts w:ascii="Times New Roman" w:hAnsi="Times New Roman"/>
          <w:color w:val="000000"/>
          <w:sz w:val="24"/>
          <w:szCs w:val="24"/>
          <w:lang w:val="es-ES"/>
        </w:rPr>
        <w:t xml:space="preserve"> del turista</w:t>
      </w:r>
      <w:r w:rsidRPr="00045E69">
        <w:rPr>
          <w:rFonts w:ascii="Times New Roman" w:hAnsi="Times New Roman"/>
          <w:color w:val="000000"/>
          <w:sz w:val="24"/>
          <w:szCs w:val="24"/>
          <w:lang w:val="es-ES"/>
        </w:rPr>
        <w:t xml:space="preserve"> actual, ya que tiende a mostrar la propensión de gasto </w:t>
      </w:r>
      <w:r w:rsidR="00F85829" w:rsidRPr="00045E69">
        <w:rPr>
          <w:rFonts w:ascii="Times New Roman" w:hAnsi="Times New Roman"/>
          <w:color w:val="000000"/>
          <w:sz w:val="24"/>
          <w:szCs w:val="24"/>
          <w:lang w:val="es-ES"/>
        </w:rPr>
        <w:t>y el impacto sobre el empleo más bajo</w:t>
      </w:r>
      <w:r w:rsidRPr="00045E69">
        <w:rPr>
          <w:rFonts w:ascii="Times New Roman" w:hAnsi="Times New Roman"/>
          <w:color w:val="000000"/>
          <w:sz w:val="24"/>
          <w:szCs w:val="24"/>
          <w:lang w:val="es-ES"/>
        </w:rPr>
        <w:t>. Esta información mejorará la comprensión de cómo los residentes en la zona del proyecto part</w:t>
      </w:r>
      <w:r w:rsidR="00344190">
        <w:rPr>
          <w:rFonts w:ascii="Times New Roman" w:hAnsi="Times New Roman"/>
          <w:color w:val="000000"/>
          <w:sz w:val="24"/>
          <w:szCs w:val="24"/>
          <w:lang w:val="es-ES"/>
        </w:rPr>
        <w:t>icipan en la cadena de valor de</w:t>
      </w:r>
      <w:r w:rsidRPr="00045E69">
        <w:rPr>
          <w:rFonts w:ascii="Times New Roman" w:hAnsi="Times New Roman"/>
          <w:color w:val="000000"/>
          <w:sz w:val="24"/>
          <w:szCs w:val="24"/>
          <w:lang w:val="es-ES"/>
        </w:rPr>
        <w:t xml:space="preserve"> turismo y cómo cambia </w:t>
      </w:r>
      <w:r w:rsidR="00344190">
        <w:rPr>
          <w:rFonts w:ascii="Times New Roman" w:hAnsi="Times New Roman"/>
          <w:color w:val="000000"/>
          <w:sz w:val="24"/>
          <w:szCs w:val="24"/>
          <w:lang w:val="es-ES"/>
        </w:rPr>
        <w:t xml:space="preserve">los </w:t>
      </w:r>
      <w:r w:rsidRPr="00045E69">
        <w:rPr>
          <w:rFonts w:ascii="Times New Roman" w:hAnsi="Times New Roman"/>
          <w:color w:val="000000"/>
          <w:sz w:val="24"/>
          <w:szCs w:val="24"/>
          <w:lang w:val="es-ES"/>
        </w:rPr>
        <w:t xml:space="preserve">ingresos derivados del turismo durante el transcurso del proyecto. Tanto los datos de </w:t>
      </w:r>
      <w:r w:rsidR="00F85829" w:rsidRPr="00045E69">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l</w:t>
      </w:r>
      <w:r w:rsidR="00F85829" w:rsidRPr="00045E69">
        <w:rPr>
          <w:rFonts w:ascii="Times New Roman" w:hAnsi="Times New Roman"/>
          <w:color w:val="000000"/>
          <w:sz w:val="24"/>
          <w:szCs w:val="24"/>
          <w:lang w:val="es-ES"/>
        </w:rPr>
        <w:t>ínea de base y los recogidos ex-</w:t>
      </w:r>
      <w:r w:rsidR="00344190">
        <w:rPr>
          <w:rFonts w:ascii="Times New Roman" w:hAnsi="Times New Roman"/>
          <w:color w:val="000000"/>
          <w:sz w:val="24"/>
          <w:szCs w:val="24"/>
          <w:lang w:val="es-ES"/>
        </w:rPr>
        <w:t>post proporcionan</w:t>
      </w:r>
      <w:r w:rsidRPr="00045E69">
        <w:rPr>
          <w:rFonts w:ascii="Times New Roman" w:hAnsi="Times New Roman"/>
          <w:color w:val="000000"/>
          <w:sz w:val="24"/>
          <w:szCs w:val="24"/>
          <w:lang w:val="es-ES"/>
        </w:rPr>
        <w:t xml:space="preserve"> una mejor base para la toma de decisiones relacionadas con las inversiones en el sector turístico.</w:t>
      </w:r>
    </w:p>
    <w:p w:rsidR="002C3973" w:rsidRPr="00045E69" w:rsidRDefault="002C3973" w:rsidP="00C82F81">
      <w:pPr>
        <w:pStyle w:val="ColorfulList-Accent11"/>
        <w:spacing w:after="0" w:line="360" w:lineRule="auto"/>
        <w:jc w:val="both"/>
        <w:rPr>
          <w:rFonts w:ascii="Times New Roman" w:hAnsi="Times New Roman"/>
          <w:b/>
          <w:color w:val="000000"/>
          <w:sz w:val="24"/>
          <w:szCs w:val="24"/>
          <w:lang w:val="es-ES"/>
        </w:rPr>
      </w:pPr>
    </w:p>
    <w:p w:rsidR="002C3973" w:rsidRPr="00045E69" w:rsidRDefault="00F85829" w:rsidP="00C82F81">
      <w:pPr>
        <w:pStyle w:val="ColorfulList-Accent11"/>
        <w:spacing w:after="0" w:line="360" w:lineRule="auto"/>
        <w:jc w:val="both"/>
        <w:rPr>
          <w:rFonts w:ascii="Times New Roman" w:hAnsi="Times New Roman"/>
          <w:b/>
          <w:color w:val="000000"/>
          <w:sz w:val="24"/>
          <w:szCs w:val="24"/>
          <w:lang w:val="es-ES"/>
        </w:rPr>
      </w:pPr>
      <w:r w:rsidRPr="00045E69">
        <w:rPr>
          <w:rFonts w:ascii="Times New Roman" w:hAnsi="Times New Roman"/>
          <w:b/>
          <w:color w:val="000000"/>
          <w:sz w:val="24"/>
          <w:szCs w:val="24"/>
          <w:lang w:val="es-ES"/>
        </w:rPr>
        <w:t xml:space="preserve">El Método </w:t>
      </w:r>
      <w:r w:rsidR="002C3973" w:rsidRPr="00045E69">
        <w:rPr>
          <w:rFonts w:ascii="Times New Roman" w:hAnsi="Times New Roman"/>
          <w:b/>
          <w:color w:val="000000"/>
          <w:sz w:val="24"/>
          <w:szCs w:val="24"/>
          <w:lang w:val="es-ES"/>
        </w:rPr>
        <w:t xml:space="preserve">MMCS </w:t>
      </w:r>
    </w:p>
    <w:p w:rsidR="002C3973" w:rsidRPr="00045E69" w:rsidRDefault="002C3973" w:rsidP="00C82F81">
      <w:pPr>
        <w:pStyle w:val="ColorfulList-Accent11"/>
        <w:spacing w:after="0" w:line="360" w:lineRule="auto"/>
        <w:jc w:val="both"/>
        <w:rPr>
          <w:rFonts w:ascii="Times New Roman" w:hAnsi="Times New Roman"/>
          <w:b/>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Una MCS es una matriz cuadrada que representa la estructura de una economía y describe las transacciones entre sectores, instituciones y factores de producción (Banerjee y Alaval</w:t>
      </w:r>
      <w:r w:rsidR="00344190">
        <w:rPr>
          <w:rFonts w:ascii="Times New Roman" w:hAnsi="Times New Roman"/>
          <w:color w:val="000000"/>
          <w:sz w:val="24"/>
          <w:szCs w:val="24"/>
          <w:lang w:val="es-ES"/>
        </w:rPr>
        <w:t>apati, 2010). La MCS sirve</w:t>
      </w:r>
      <w:r w:rsidRPr="00045E69">
        <w:rPr>
          <w:rFonts w:ascii="Times New Roman" w:hAnsi="Times New Roman"/>
          <w:color w:val="000000"/>
          <w:sz w:val="24"/>
          <w:szCs w:val="24"/>
          <w:lang w:val="es-ES"/>
        </w:rPr>
        <w:t xml:space="preserve"> para organ</w:t>
      </w:r>
      <w:r w:rsidR="006E3844" w:rsidRPr="00045E69">
        <w:rPr>
          <w:rFonts w:ascii="Times New Roman" w:hAnsi="Times New Roman"/>
          <w:color w:val="000000"/>
          <w:sz w:val="24"/>
          <w:szCs w:val="24"/>
          <w:lang w:val="es-ES"/>
        </w:rPr>
        <w:t>izar los datos y proporcionar una</w:t>
      </w:r>
      <w:r w:rsidRPr="00045E69">
        <w:rPr>
          <w:rFonts w:ascii="Times New Roman" w:hAnsi="Times New Roman"/>
          <w:color w:val="000000"/>
          <w:sz w:val="24"/>
          <w:szCs w:val="24"/>
          <w:lang w:val="es-ES"/>
        </w:rPr>
        <w:t xml:space="preserve"> plataforma estadística para el desarrollo de un modelo económico (King, 1985), como un DCGE. Una MCS se construye con base en las cuentas nacionales y regionales, </w:t>
      </w:r>
      <w:r w:rsidR="00344190">
        <w:rPr>
          <w:rFonts w:ascii="Times New Roman" w:hAnsi="Times New Roman"/>
          <w:color w:val="000000"/>
          <w:sz w:val="24"/>
          <w:szCs w:val="24"/>
          <w:lang w:val="es-ES"/>
        </w:rPr>
        <w:t xml:space="preserve">el presupuesto y cuentas del gobierno, </w:t>
      </w:r>
      <w:r w:rsidRPr="00045E69">
        <w:rPr>
          <w:rFonts w:ascii="Times New Roman" w:hAnsi="Times New Roman"/>
          <w:color w:val="000000"/>
          <w:sz w:val="24"/>
          <w:szCs w:val="24"/>
          <w:lang w:val="es-ES"/>
        </w:rPr>
        <w:t xml:space="preserve">y </w:t>
      </w:r>
      <w:r w:rsidR="00344190">
        <w:rPr>
          <w:rFonts w:ascii="Times New Roman" w:hAnsi="Times New Roman"/>
          <w:color w:val="000000"/>
          <w:sz w:val="24"/>
          <w:szCs w:val="24"/>
          <w:lang w:val="es-ES"/>
        </w:rPr>
        <w:t xml:space="preserve">otras </w:t>
      </w:r>
      <w:r w:rsidRPr="00045E69">
        <w:rPr>
          <w:rFonts w:ascii="Times New Roman" w:hAnsi="Times New Roman"/>
          <w:color w:val="000000"/>
          <w:sz w:val="24"/>
          <w:szCs w:val="24"/>
          <w:lang w:val="es-ES"/>
        </w:rPr>
        <w:t>encuestas del gobierno, tales como las encuestas de ingresos y gastos de los hogares, encuestas agrícolas y de industria</w:t>
      </w:r>
      <w:r w:rsidR="006E3844" w:rsidRPr="00045E69">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y datos del censo </w:t>
      </w:r>
      <w:r w:rsidR="00344190">
        <w:rPr>
          <w:rFonts w:ascii="Times New Roman" w:hAnsi="Times New Roman"/>
          <w:color w:val="000000"/>
          <w:sz w:val="24"/>
          <w:szCs w:val="24"/>
          <w:lang w:val="es-ES"/>
        </w:rPr>
        <w:t xml:space="preserve">demográfico </w:t>
      </w:r>
      <w:r w:rsidRPr="00045E69">
        <w:rPr>
          <w:rFonts w:ascii="Times New Roman" w:hAnsi="Times New Roman"/>
          <w:color w:val="000000"/>
          <w:sz w:val="24"/>
          <w:szCs w:val="24"/>
          <w:lang w:val="es-ES"/>
        </w:rPr>
        <w:t>(Lofgren et al., 2002). Una MMCS es una represe</w:t>
      </w:r>
      <w:r w:rsidR="00344190">
        <w:rPr>
          <w:rFonts w:ascii="Times New Roman" w:hAnsi="Times New Roman"/>
          <w:color w:val="000000"/>
          <w:sz w:val="24"/>
          <w:szCs w:val="24"/>
          <w:lang w:val="es-ES"/>
        </w:rPr>
        <w:t>ntación de una economía local. L</w:t>
      </w:r>
      <w:r w:rsidRPr="00045E69">
        <w:rPr>
          <w:rFonts w:ascii="Times New Roman" w:hAnsi="Times New Roman"/>
          <w:color w:val="000000"/>
          <w:sz w:val="24"/>
          <w:szCs w:val="24"/>
          <w:lang w:val="es-ES"/>
        </w:rPr>
        <w:t>os mismos princ</w:t>
      </w:r>
      <w:r w:rsidR="006E3844" w:rsidRPr="00045E69">
        <w:rPr>
          <w:rFonts w:ascii="Times New Roman" w:hAnsi="Times New Roman"/>
          <w:color w:val="000000"/>
          <w:sz w:val="24"/>
          <w:szCs w:val="24"/>
          <w:lang w:val="es-ES"/>
        </w:rPr>
        <w:t>ipios fundamentales que se aplican a</w:t>
      </w:r>
      <w:r w:rsidRPr="00045E69">
        <w:rPr>
          <w:rFonts w:ascii="Times New Roman" w:hAnsi="Times New Roman"/>
          <w:color w:val="000000"/>
          <w:sz w:val="24"/>
          <w:szCs w:val="24"/>
          <w:lang w:val="es-ES"/>
        </w:rPr>
        <w:t xml:space="preserve"> una MCS se aplica</w:t>
      </w:r>
      <w:r w:rsidR="006E3844" w:rsidRPr="00045E69">
        <w:rPr>
          <w:rFonts w:ascii="Times New Roman" w:hAnsi="Times New Roman"/>
          <w:color w:val="000000"/>
          <w:sz w:val="24"/>
          <w:szCs w:val="24"/>
          <w:lang w:val="es-ES"/>
        </w:rPr>
        <w:t>n</w:t>
      </w:r>
      <w:r w:rsidRPr="00045E69">
        <w:rPr>
          <w:rFonts w:ascii="Times New Roman" w:hAnsi="Times New Roman"/>
          <w:color w:val="000000"/>
          <w:sz w:val="24"/>
          <w:szCs w:val="24"/>
          <w:lang w:val="es-ES"/>
        </w:rPr>
        <w:t xml:space="preserve"> a una MMCS.</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Default="00344190" w:rsidP="00C82F81">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 xml:space="preserve">Antes de empezar la colecta de datos para la construcción de una MMCS, es necesario obtener </w:t>
      </w:r>
      <w:r w:rsidR="002C3973" w:rsidRPr="00045E69">
        <w:rPr>
          <w:rFonts w:ascii="Times New Roman" w:hAnsi="Times New Roman"/>
          <w:color w:val="000000"/>
          <w:sz w:val="24"/>
          <w:szCs w:val="24"/>
          <w:lang w:val="es-ES"/>
        </w:rPr>
        <w:t xml:space="preserve">una MCS existente para el estado o país de interés. Existen MCS para varios países de América Latina, incluyendo Brasil, y el estado de Espirito Santo en específico (ver análisis ex-ante). A </w:t>
      </w:r>
      <w:r>
        <w:rPr>
          <w:rFonts w:ascii="Times New Roman" w:hAnsi="Times New Roman"/>
          <w:color w:val="000000"/>
          <w:sz w:val="24"/>
          <w:szCs w:val="24"/>
          <w:lang w:val="es-ES"/>
        </w:rPr>
        <w:lastRenderedPageBreak/>
        <w:t>menudo puede ser necesaria la</w:t>
      </w:r>
      <w:r w:rsidR="002C3973" w:rsidRPr="00045E69">
        <w:rPr>
          <w:rFonts w:ascii="Times New Roman" w:hAnsi="Times New Roman"/>
          <w:color w:val="000000"/>
          <w:sz w:val="24"/>
          <w:szCs w:val="24"/>
          <w:lang w:val="es-ES"/>
        </w:rPr>
        <w:t xml:space="preserve"> actualización</w:t>
      </w:r>
      <w:r w:rsidR="006E3844"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de la MCS </w:t>
      </w:r>
      <w:r w:rsidR="006E3844" w:rsidRPr="00045E69">
        <w:rPr>
          <w:rFonts w:ascii="Times New Roman" w:hAnsi="Times New Roman"/>
          <w:color w:val="000000"/>
          <w:sz w:val="24"/>
          <w:szCs w:val="24"/>
          <w:lang w:val="es-ES"/>
        </w:rPr>
        <w:t>por lo cual e</w:t>
      </w:r>
      <w:r w:rsidR="002C3973" w:rsidRPr="00045E69">
        <w:rPr>
          <w:rFonts w:ascii="Times New Roman" w:hAnsi="Times New Roman"/>
          <w:color w:val="000000"/>
          <w:sz w:val="24"/>
          <w:szCs w:val="24"/>
          <w:lang w:val="es-ES"/>
        </w:rPr>
        <w:t>xis</w:t>
      </w:r>
      <w:r w:rsidR="006E3844" w:rsidRPr="00045E69">
        <w:rPr>
          <w:rFonts w:ascii="Times New Roman" w:hAnsi="Times New Roman"/>
          <w:color w:val="000000"/>
          <w:sz w:val="24"/>
          <w:szCs w:val="24"/>
          <w:lang w:val="es-ES"/>
        </w:rPr>
        <w:t xml:space="preserve">ten metodologías estandarizados, </w:t>
      </w:r>
      <w:r w:rsidR="002C3973" w:rsidRPr="00045E69">
        <w:rPr>
          <w:rFonts w:ascii="Times New Roman" w:hAnsi="Times New Roman"/>
          <w:color w:val="000000"/>
          <w:sz w:val="24"/>
          <w:szCs w:val="24"/>
          <w:lang w:val="es-ES"/>
        </w:rPr>
        <w:t xml:space="preserve">al saber, el método RAS y técnicas de ‘cross entropy’ (Robinson et al., 2001). La actualización de una MCS puede ser un proceso relativamente sencillo cuando la estructura de la economía no haya cambiado mucho entre el año base y el año al que se actualizará el MCS. Tener una MCS como punto de partida es importante para poder construir una MMCS cuyo estructura sea consistente con la estructura de la MCS (Nin-Pratt et al., 2007). </w:t>
      </w:r>
      <w:r>
        <w:rPr>
          <w:rFonts w:ascii="Times New Roman" w:hAnsi="Times New Roman"/>
          <w:color w:val="000000"/>
          <w:sz w:val="24"/>
          <w:szCs w:val="24"/>
          <w:lang w:val="es-ES"/>
        </w:rPr>
        <w:t xml:space="preserve">Diferente de la MCS, la </w:t>
      </w:r>
      <w:r w:rsidR="002C3973" w:rsidRPr="00045E69">
        <w:rPr>
          <w:rFonts w:ascii="Times New Roman" w:hAnsi="Times New Roman"/>
          <w:color w:val="000000"/>
          <w:sz w:val="24"/>
          <w:szCs w:val="24"/>
          <w:lang w:val="es-ES"/>
        </w:rPr>
        <w:t xml:space="preserve">MMCS </w:t>
      </w:r>
      <w:r>
        <w:rPr>
          <w:rFonts w:ascii="Times New Roman" w:hAnsi="Times New Roman"/>
          <w:color w:val="000000"/>
          <w:sz w:val="24"/>
          <w:szCs w:val="24"/>
          <w:lang w:val="es-ES"/>
        </w:rPr>
        <w:t xml:space="preserve">normalmente tiene más </w:t>
      </w:r>
      <w:r w:rsidR="002C3973" w:rsidRPr="00045E69">
        <w:rPr>
          <w:rFonts w:ascii="Times New Roman" w:hAnsi="Times New Roman"/>
          <w:color w:val="000000"/>
          <w:sz w:val="24"/>
          <w:szCs w:val="24"/>
          <w:lang w:val="es-ES"/>
        </w:rPr>
        <w:t xml:space="preserve">detalle en cuanto a las actividades, los productos básicos, las instituciones y </w:t>
      </w:r>
      <w:r>
        <w:rPr>
          <w:rFonts w:ascii="Times New Roman" w:hAnsi="Times New Roman"/>
          <w:color w:val="000000"/>
          <w:sz w:val="24"/>
          <w:szCs w:val="24"/>
          <w:lang w:val="es-ES"/>
        </w:rPr>
        <w:t xml:space="preserve">los factores de producción con una mayor desagregación de las cuentas. </w:t>
      </w:r>
    </w:p>
    <w:p w:rsidR="00344190" w:rsidRPr="00045E69" w:rsidRDefault="00344190" w:rsidP="00C82F81">
      <w:pPr>
        <w:pStyle w:val="ColorfulList-Accent11"/>
        <w:spacing w:after="0" w:line="360" w:lineRule="auto"/>
        <w:ind w:left="0"/>
        <w:jc w:val="both"/>
        <w:rPr>
          <w:rFonts w:ascii="Times New Roman" w:hAnsi="Times New Roman"/>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sz w:val="24"/>
          <w:szCs w:val="24"/>
          <w:lang w:val="es-ES"/>
        </w:rPr>
        <w:t xml:space="preserve">Una MCS </w:t>
      </w:r>
      <w:r w:rsidR="008B7E24" w:rsidRPr="00045E69">
        <w:rPr>
          <w:rFonts w:ascii="Times New Roman" w:hAnsi="Times New Roman"/>
          <w:sz w:val="24"/>
          <w:szCs w:val="24"/>
          <w:lang w:val="es-ES"/>
        </w:rPr>
        <w:t>tanto como una</w:t>
      </w:r>
      <w:r w:rsidRPr="00045E69">
        <w:rPr>
          <w:rFonts w:ascii="Times New Roman" w:hAnsi="Times New Roman"/>
          <w:sz w:val="24"/>
          <w:szCs w:val="24"/>
          <w:lang w:val="es-ES"/>
        </w:rPr>
        <w:t xml:space="preserve"> MMCS generalmente tienen 4 grandes bloques</w:t>
      </w:r>
      <w:r w:rsidR="007A6D4A" w:rsidRPr="00045E69">
        <w:rPr>
          <w:rFonts w:ascii="Times New Roman" w:hAnsi="Times New Roman"/>
          <w:sz w:val="24"/>
          <w:szCs w:val="24"/>
          <w:lang w:val="es-ES"/>
        </w:rPr>
        <w:t xml:space="preserve"> de cuentas</w:t>
      </w:r>
      <w:r w:rsidRPr="00045E69">
        <w:rPr>
          <w:rFonts w:ascii="Times New Roman" w:hAnsi="Times New Roman"/>
          <w:sz w:val="24"/>
          <w:szCs w:val="24"/>
          <w:lang w:val="es-ES"/>
        </w:rPr>
        <w:t>, los cuales son: actividades, productos, factores de producción e instituciones. Cuentas de actividad</w:t>
      </w:r>
      <w:r w:rsidR="007A6D4A" w:rsidRPr="00045E69">
        <w:rPr>
          <w:rFonts w:ascii="Times New Roman" w:hAnsi="Times New Roman"/>
          <w:sz w:val="24"/>
          <w:szCs w:val="24"/>
          <w:lang w:val="es-ES"/>
        </w:rPr>
        <w:t>es</w:t>
      </w:r>
      <w:r w:rsidRPr="00045E69">
        <w:rPr>
          <w:rFonts w:ascii="Times New Roman" w:hAnsi="Times New Roman"/>
          <w:sz w:val="24"/>
          <w:szCs w:val="24"/>
          <w:lang w:val="es-ES"/>
        </w:rPr>
        <w:t xml:space="preserve"> representan sectores económicos individuales en diversos grados de agregación. Se requieren cuentas de productos en el </w:t>
      </w:r>
      <w:r w:rsidRPr="00045E69">
        <w:rPr>
          <w:rFonts w:ascii="Times New Roman" w:hAnsi="Times New Roman"/>
          <w:color w:val="000000"/>
          <w:sz w:val="24"/>
          <w:szCs w:val="24"/>
          <w:lang w:val="es-ES"/>
        </w:rPr>
        <w:t xml:space="preserve">caso que una actividad produzca más de un tipo de producto. Los factores de producción incluyen diversos tipos de capital, tierra y </w:t>
      </w:r>
      <w:r w:rsidR="00B53DAE">
        <w:rPr>
          <w:rFonts w:ascii="Times New Roman" w:hAnsi="Times New Roman"/>
          <w:color w:val="000000"/>
          <w:sz w:val="24"/>
          <w:szCs w:val="24"/>
          <w:lang w:val="es-ES"/>
        </w:rPr>
        <w:t>mano de obra</w:t>
      </w:r>
      <w:r w:rsidRPr="00045E69">
        <w:rPr>
          <w:rFonts w:ascii="Times New Roman" w:hAnsi="Times New Roman"/>
          <w:color w:val="000000"/>
          <w:sz w:val="24"/>
          <w:szCs w:val="24"/>
          <w:lang w:val="es-ES"/>
        </w:rPr>
        <w:t xml:space="preserve">. Las cuentas de las instituciones consisten en cuentas de hogares que se ​​desagregan por lo general de acuerdo con el nivel de ingresos, cuentas de empresas particulares, el gobierno, y el resto del mundo. Las principales interacciones entre las cuentas se pueden observar en la </w:t>
      </w:r>
      <w:hyperlink r:id="rId10" w:history="1">
        <w:r w:rsidRPr="00045E69">
          <w:rPr>
            <w:rStyle w:val="Hyperlink"/>
            <w:rFonts w:ascii="Times New Roman" w:hAnsi="Times New Roman"/>
            <w:szCs w:val="24"/>
            <w:lang w:val="es-ES"/>
          </w:rPr>
          <w:t>MMCS</w:t>
        </w:r>
      </w:hyperlink>
      <w:r w:rsidRPr="00045E69">
        <w:rPr>
          <w:rFonts w:ascii="Times New Roman" w:hAnsi="Times New Roman"/>
          <w:color w:val="000000"/>
          <w:sz w:val="24"/>
          <w:szCs w:val="24"/>
          <w:lang w:val="es-ES"/>
        </w:rPr>
        <w:t xml:space="preserve"> plantilla.</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B53DAE"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desarrollo de la línea base de </w:t>
      </w:r>
      <w:r w:rsidR="007A6D4A" w:rsidRPr="00045E69">
        <w:rPr>
          <w:rFonts w:ascii="Times New Roman" w:hAnsi="Times New Roman"/>
          <w:color w:val="000000"/>
          <w:sz w:val="24"/>
          <w:szCs w:val="24"/>
          <w:lang w:val="es-ES"/>
        </w:rPr>
        <w:t xml:space="preserve">la MMCS es un proceso </w:t>
      </w:r>
      <w:r w:rsidR="00B53DAE">
        <w:rPr>
          <w:rFonts w:ascii="Times New Roman" w:hAnsi="Times New Roman"/>
          <w:color w:val="000000"/>
          <w:sz w:val="24"/>
          <w:szCs w:val="24"/>
          <w:lang w:val="es-ES"/>
        </w:rPr>
        <w:t xml:space="preserve">intensivo </w:t>
      </w:r>
      <w:r w:rsidRPr="00045E69">
        <w:rPr>
          <w:rFonts w:ascii="Times New Roman" w:hAnsi="Times New Roman"/>
          <w:color w:val="000000"/>
          <w:sz w:val="24"/>
          <w:szCs w:val="24"/>
          <w:lang w:val="es-ES"/>
        </w:rPr>
        <w:t xml:space="preserve">de recolecta de datos. Este proceso se requiere nuevos datos </w:t>
      </w:r>
      <w:r w:rsidR="00B53DAE">
        <w:rPr>
          <w:rFonts w:ascii="Times New Roman" w:hAnsi="Times New Roman"/>
          <w:color w:val="000000"/>
          <w:sz w:val="24"/>
          <w:szCs w:val="24"/>
          <w:lang w:val="es-ES"/>
        </w:rPr>
        <w:t xml:space="preserve">obtenidos a través </w:t>
      </w:r>
      <w:r w:rsidRPr="00045E69">
        <w:rPr>
          <w:rFonts w:ascii="Times New Roman" w:hAnsi="Times New Roman"/>
          <w:color w:val="000000"/>
          <w:sz w:val="24"/>
          <w:szCs w:val="24"/>
          <w:lang w:val="es-ES"/>
        </w:rPr>
        <w:t>de encuestas, apoyados por datos secundarios, en gran parte para completar las cuentas del gobierno</w:t>
      </w:r>
      <w:r w:rsidR="00B53DAE">
        <w:rPr>
          <w:rFonts w:ascii="Times New Roman" w:hAnsi="Times New Roman"/>
          <w:color w:val="000000"/>
          <w:sz w:val="24"/>
          <w:szCs w:val="24"/>
          <w:lang w:val="es-ES"/>
        </w:rPr>
        <w:t>. La recolecta de datos debe ser realizada antes</w:t>
      </w:r>
      <w:r w:rsidRPr="00045E69">
        <w:rPr>
          <w:rFonts w:ascii="Times New Roman" w:hAnsi="Times New Roman"/>
          <w:color w:val="000000"/>
          <w:sz w:val="24"/>
          <w:szCs w:val="24"/>
          <w:lang w:val="es-ES"/>
        </w:rPr>
        <w:t xml:space="preserve"> del empiezo del programa</w:t>
      </w:r>
      <w:r w:rsidR="007A6D4A" w:rsidRPr="00045E69">
        <w:rPr>
          <w:rFonts w:ascii="Times New Roman" w:hAnsi="Times New Roman"/>
          <w:color w:val="000000"/>
          <w:sz w:val="24"/>
          <w:szCs w:val="24"/>
          <w:lang w:val="es-ES"/>
        </w:rPr>
        <w:t xml:space="preserve"> de inversión</w:t>
      </w:r>
      <w:r w:rsidRPr="00045E69">
        <w:rPr>
          <w:rFonts w:ascii="Times New Roman" w:hAnsi="Times New Roman"/>
          <w:color w:val="000000"/>
          <w:sz w:val="24"/>
          <w:szCs w:val="24"/>
          <w:lang w:val="es-ES"/>
        </w:rPr>
        <w:t xml:space="preserve">. </w:t>
      </w:r>
      <w:r w:rsidR="00B53DAE">
        <w:rPr>
          <w:rFonts w:ascii="Times New Roman" w:hAnsi="Times New Roman"/>
          <w:color w:val="000000"/>
          <w:sz w:val="24"/>
          <w:szCs w:val="24"/>
          <w:lang w:val="es-ES"/>
        </w:rPr>
        <w:t>Para construir la MMCS ex-post, se ll</w:t>
      </w:r>
      <w:r w:rsidRPr="00045E69">
        <w:rPr>
          <w:rFonts w:ascii="Times New Roman" w:hAnsi="Times New Roman"/>
          <w:color w:val="000000"/>
          <w:sz w:val="24"/>
          <w:szCs w:val="24"/>
          <w:lang w:val="es-ES"/>
        </w:rPr>
        <w:t xml:space="preserve">eva a cabo </w:t>
      </w:r>
      <w:r w:rsidR="00B53DAE">
        <w:rPr>
          <w:rFonts w:ascii="Times New Roman" w:hAnsi="Times New Roman"/>
          <w:color w:val="000000"/>
          <w:sz w:val="24"/>
          <w:szCs w:val="24"/>
          <w:lang w:val="es-ES"/>
        </w:rPr>
        <w:t>la recolecta de datos d</w:t>
      </w:r>
      <w:r w:rsidRPr="00045E69">
        <w:rPr>
          <w:rFonts w:ascii="Times New Roman" w:hAnsi="Times New Roman"/>
          <w:color w:val="000000"/>
          <w:sz w:val="24"/>
          <w:szCs w:val="24"/>
          <w:lang w:val="es-ES"/>
        </w:rPr>
        <w:t>espués de la conclusión de la intervención</w:t>
      </w:r>
      <w:r w:rsidR="00B53DAE">
        <w:rPr>
          <w:rFonts w:ascii="Times New Roman" w:hAnsi="Times New Roman"/>
          <w:color w:val="000000"/>
          <w:sz w:val="24"/>
          <w:szCs w:val="24"/>
          <w:lang w:val="es-ES"/>
        </w:rPr>
        <w:t xml:space="preserve">. </w:t>
      </w:r>
    </w:p>
    <w:p w:rsidR="00B53DAE" w:rsidRDefault="00B53DAE"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Tres tipos de encuestas son necesarios para desarrollar la MMCS línea base y la MMCS ex-post. La p</w:t>
      </w:r>
      <w:r w:rsidR="00B53DAE">
        <w:rPr>
          <w:rFonts w:ascii="Times New Roman" w:hAnsi="Times New Roman"/>
          <w:color w:val="000000"/>
          <w:sz w:val="24"/>
          <w:szCs w:val="24"/>
          <w:lang w:val="es-ES"/>
        </w:rPr>
        <w:t>rimera es una</w:t>
      </w:r>
      <w:r w:rsidR="007A6D4A" w:rsidRPr="00045E69">
        <w:rPr>
          <w:rFonts w:ascii="Times New Roman" w:hAnsi="Times New Roman"/>
          <w:color w:val="000000"/>
          <w:sz w:val="24"/>
          <w:szCs w:val="24"/>
          <w:lang w:val="es-ES"/>
        </w:rPr>
        <w:t xml:space="preserve"> encuesta </w:t>
      </w:r>
      <w:r w:rsidR="00B53DAE">
        <w:rPr>
          <w:rFonts w:ascii="Times New Roman" w:hAnsi="Times New Roman"/>
          <w:color w:val="000000"/>
          <w:sz w:val="24"/>
          <w:szCs w:val="24"/>
          <w:lang w:val="es-ES"/>
        </w:rPr>
        <w:t xml:space="preserve">aleatoria </w:t>
      </w:r>
      <w:r w:rsidR="007A6D4A" w:rsidRPr="00045E69">
        <w:rPr>
          <w:rFonts w:ascii="Times New Roman" w:hAnsi="Times New Roman"/>
          <w:color w:val="000000"/>
          <w:sz w:val="24"/>
          <w:szCs w:val="24"/>
          <w:lang w:val="es-ES"/>
        </w:rPr>
        <w:t>de turistas</w:t>
      </w:r>
      <w:r w:rsidRPr="00045E69">
        <w:rPr>
          <w:rFonts w:ascii="Times New Roman" w:hAnsi="Times New Roman"/>
          <w:color w:val="000000"/>
          <w:sz w:val="24"/>
          <w:szCs w:val="24"/>
          <w:lang w:val="es-ES"/>
        </w:rPr>
        <w:t xml:space="preserve"> que sirve para cuantificar el gasto turístico real en el área del proyecto y </w:t>
      </w:r>
      <w:r w:rsidR="00B53DAE">
        <w:rPr>
          <w:rFonts w:ascii="Times New Roman" w:hAnsi="Times New Roman"/>
          <w:color w:val="000000"/>
          <w:sz w:val="24"/>
          <w:szCs w:val="24"/>
          <w:lang w:val="es-ES"/>
        </w:rPr>
        <w:t xml:space="preserve">el gasto turístico </w:t>
      </w:r>
      <w:r w:rsidRPr="00045E69">
        <w:rPr>
          <w:rFonts w:ascii="Times New Roman" w:hAnsi="Times New Roman"/>
          <w:color w:val="000000"/>
          <w:sz w:val="24"/>
          <w:szCs w:val="24"/>
          <w:lang w:val="es-ES"/>
        </w:rPr>
        <w:t xml:space="preserve">procedente del resto del </w:t>
      </w:r>
      <w:r w:rsidR="007A6D4A" w:rsidRPr="00045E69">
        <w:rPr>
          <w:rFonts w:ascii="Times New Roman" w:hAnsi="Times New Roman"/>
          <w:color w:val="000000"/>
          <w:sz w:val="24"/>
          <w:szCs w:val="24"/>
          <w:lang w:val="es-ES"/>
        </w:rPr>
        <w:t>estado/</w:t>
      </w:r>
      <w:r w:rsidRPr="00045E69">
        <w:rPr>
          <w:rFonts w:ascii="Times New Roman" w:hAnsi="Times New Roman"/>
          <w:color w:val="000000"/>
          <w:sz w:val="24"/>
          <w:szCs w:val="24"/>
          <w:lang w:val="es-ES"/>
        </w:rPr>
        <w:t xml:space="preserve">país. Información demográfica básica incluyendo </w:t>
      </w:r>
      <w:r w:rsidR="007A6D4A" w:rsidRPr="00045E69">
        <w:rPr>
          <w:rFonts w:ascii="Times New Roman" w:hAnsi="Times New Roman"/>
          <w:color w:val="000000"/>
          <w:sz w:val="24"/>
          <w:szCs w:val="24"/>
          <w:lang w:val="es-ES"/>
        </w:rPr>
        <w:t xml:space="preserve">nivel de escolaridad, </w:t>
      </w:r>
      <w:r w:rsidRPr="00045E69">
        <w:rPr>
          <w:rFonts w:ascii="Times New Roman" w:hAnsi="Times New Roman"/>
          <w:color w:val="000000"/>
          <w:sz w:val="24"/>
          <w:szCs w:val="24"/>
          <w:lang w:val="es-ES"/>
        </w:rPr>
        <w:t xml:space="preserve">ingreso y el </w:t>
      </w:r>
      <w:r w:rsidR="007A6D4A" w:rsidRPr="00045E69">
        <w:rPr>
          <w:rFonts w:ascii="Times New Roman" w:hAnsi="Times New Roman"/>
          <w:color w:val="000000"/>
          <w:sz w:val="24"/>
          <w:szCs w:val="24"/>
          <w:lang w:val="es-ES"/>
        </w:rPr>
        <w:t xml:space="preserve">motivo de </w:t>
      </w:r>
      <w:r w:rsidRPr="00045E69">
        <w:rPr>
          <w:rFonts w:ascii="Times New Roman" w:hAnsi="Times New Roman"/>
          <w:color w:val="000000"/>
          <w:sz w:val="24"/>
          <w:szCs w:val="24"/>
          <w:lang w:val="es-ES"/>
        </w:rPr>
        <w:t>viaj</w:t>
      </w:r>
      <w:r w:rsidR="007A6D4A" w:rsidRPr="00045E69">
        <w:rPr>
          <w:rFonts w:ascii="Times New Roman" w:hAnsi="Times New Roman"/>
          <w:color w:val="000000"/>
          <w:sz w:val="24"/>
          <w:szCs w:val="24"/>
          <w:lang w:val="es-ES"/>
        </w:rPr>
        <w:t xml:space="preserve">e </w:t>
      </w:r>
      <w:r w:rsidRPr="00045E69">
        <w:rPr>
          <w:rFonts w:ascii="Times New Roman" w:hAnsi="Times New Roman"/>
          <w:color w:val="000000"/>
          <w:sz w:val="24"/>
          <w:szCs w:val="24"/>
          <w:lang w:val="es-ES"/>
        </w:rPr>
        <w:lastRenderedPageBreak/>
        <w:t xml:space="preserve">también se recopila con el fin de </w:t>
      </w:r>
      <w:r w:rsidR="00B53DAE">
        <w:rPr>
          <w:rFonts w:ascii="Times New Roman" w:hAnsi="Times New Roman"/>
          <w:color w:val="000000"/>
          <w:sz w:val="24"/>
          <w:szCs w:val="24"/>
          <w:lang w:val="es-ES"/>
        </w:rPr>
        <w:t xml:space="preserve">dar </w:t>
      </w:r>
      <w:r w:rsidRPr="00045E69">
        <w:rPr>
          <w:rFonts w:ascii="Times New Roman" w:hAnsi="Times New Roman"/>
          <w:color w:val="000000"/>
          <w:sz w:val="24"/>
          <w:szCs w:val="24"/>
          <w:lang w:val="es-ES"/>
        </w:rPr>
        <w:t xml:space="preserve">seguimiento </w:t>
      </w:r>
      <w:r w:rsidR="007A6D4A" w:rsidRPr="00045E69">
        <w:rPr>
          <w:rFonts w:ascii="Times New Roman" w:hAnsi="Times New Roman"/>
          <w:color w:val="000000"/>
          <w:sz w:val="24"/>
          <w:szCs w:val="24"/>
          <w:lang w:val="es-ES"/>
        </w:rPr>
        <w:t>en</w:t>
      </w:r>
      <w:r w:rsidRPr="00045E69">
        <w:rPr>
          <w:rFonts w:ascii="Times New Roman" w:hAnsi="Times New Roman"/>
          <w:color w:val="000000"/>
          <w:sz w:val="24"/>
          <w:szCs w:val="24"/>
          <w:lang w:val="es-ES"/>
        </w:rPr>
        <w:t xml:space="preserve"> lo</w:t>
      </w:r>
      <w:r w:rsidR="00B53DAE">
        <w:rPr>
          <w:rFonts w:ascii="Times New Roman" w:hAnsi="Times New Roman"/>
          <w:color w:val="000000"/>
          <w:sz w:val="24"/>
          <w:szCs w:val="24"/>
          <w:lang w:val="es-ES"/>
        </w:rPr>
        <w:t>s cambios en el tipo de turista que visita</w:t>
      </w:r>
      <w:r w:rsidRPr="00045E69">
        <w:rPr>
          <w:rFonts w:ascii="Times New Roman" w:hAnsi="Times New Roman"/>
          <w:color w:val="000000"/>
          <w:sz w:val="24"/>
          <w:szCs w:val="24"/>
          <w:lang w:val="es-ES"/>
        </w:rPr>
        <w:t xml:space="preserve"> la zona </w:t>
      </w:r>
      <w:r w:rsidR="007A6D4A" w:rsidRPr="00045E69">
        <w:rPr>
          <w:rFonts w:ascii="Times New Roman" w:hAnsi="Times New Roman"/>
          <w:color w:val="000000"/>
          <w:sz w:val="24"/>
          <w:szCs w:val="24"/>
          <w:lang w:val="es-ES"/>
        </w:rPr>
        <w:t xml:space="preserve">de </w:t>
      </w:r>
      <w:r w:rsidR="00B53DAE">
        <w:rPr>
          <w:rFonts w:ascii="Times New Roman" w:hAnsi="Times New Roman"/>
          <w:color w:val="000000"/>
          <w:sz w:val="24"/>
          <w:szCs w:val="24"/>
          <w:lang w:val="es-ES"/>
        </w:rPr>
        <w:t xml:space="preserve">la intervención </w:t>
      </w:r>
      <w:r w:rsidRPr="00045E69">
        <w:rPr>
          <w:rFonts w:ascii="Times New Roman" w:hAnsi="Times New Roman"/>
          <w:color w:val="000000"/>
          <w:sz w:val="24"/>
          <w:szCs w:val="24"/>
          <w:lang w:val="es-ES"/>
        </w:rPr>
        <w:t xml:space="preserve">que puede tener implicaciones para </w:t>
      </w:r>
      <w:r w:rsidR="007A6D4A" w:rsidRPr="00045E69">
        <w:rPr>
          <w:rFonts w:ascii="Times New Roman" w:hAnsi="Times New Roman"/>
          <w:color w:val="000000"/>
          <w:sz w:val="24"/>
          <w:szCs w:val="24"/>
          <w:lang w:val="es-ES"/>
        </w:rPr>
        <w:t xml:space="preserve">el desarrollo económico del área.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La secunda encuesta </w:t>
      </w:r>
      <w:r w:rsidR="00A447FB" w:rsidRPr="00045E69">
        <w:rPr>
          <w:rFonts w:ascii="Times New Roman" w:hAnsi="Times New Roman"/>
          <w:color w:val="000000"/>
          <w:sz w:val="24"/>
          <w:szCs w:val="24"/>
          <w:lang w:val="es-ES"/>
        </w:rPr>
        <w:t xml:space="preserve">se aplica a una muestra </w:t>
      </w:r>
      <w:r w:rsidR="00B53DAE">
        <w:rPr>
          <w:rFonts w:ascii="Times New Roman" w:hAnsi="Times New Roman"/>
          <w:color w:val="000000"/>
          <w:sz w:val="24"/>
          <w:szCs w:val="24"/>
          <w:lang w:val="es-ES"/>
        </w:rPr>
        <w:t xml:space="preserve">aleatoria </w:t>
      </w:r>
      <w:r w:rsidR="00A447FB" w:rsidRPr="00045E69">
        <w:rPr>
          <w:rFonts w:ascii="Times New Roman" w:hAnsi="Times New Roman"/>
          <w:color w:val="000000"/>
          <w:sz w:val="24"/>
          <w:szCs w:val="24"/>
          <w:lang w:val="es-ES"/>
        </w:rPr>
        <w:t>d</w:t>
      </w:r>
      <w:r w:rsidRPr="00045E69">
        <w:rPr>
          <w:rFonts w:ascii="Times New Roman" w:hAnsi="Times New Roman"/>
          <w:color w:val="000000"/>
          <w:sz w:val="24"/>
          <w:szCs w:val="24"/>
          <w:lang w:val="es-ES"/>
        </w:rPr>
        <w:t>e hogares. Esta encuesta está diseñada para recoger información social y demográfica detallada sobre los hogares, incluyen</w:t>
      </w:r>
      <w:r w:rsidR="00A447FB" w:rsidRPr="00045E69">
        <w:rPr>
          <w:rFonts w:ascii="Times New Roman" w:hAnsi="Times New Roman"/>
          <w:color w:val="000000"/>
          <w:sz w:val="24"/>
          <w:szCs w:val="24"/>
          <w:lang w:val="es-ES"/>
        </w:rPr>
        <w:t>do información sobre sus recursos</w:t>
      </w:r>
      <w:r w:rsidRPr="00045E69">
        <w:rPr>
          <w:rFonts w:ascii="Times New Roman" w:hAnsi="Times New Roman"/>
          <w:color w:val="000000"/>
          <w:sz w:val="24"/>
          <w:szCs w:val="24"/>
          <w:lang w:val="es-ES"/>
        </w:rPr>
        <w:t>, uso del tiem</w:t>
      </w:r>
      <w:r w:rsidR="00B53DAE">
        <w:rPr>
          <w:rFonts w:ascii="Times New Roman" w:hAnsi="Times New Roman"/>
          <w:color w:val="000000"/>
          <w:sz w:val="24"/>
          <w:szCs w:val="24"/>
          <w:lang w:val="es-ES"/>
        </w:rPr>
        <w:t>po, el ingreso neto de todas sus</w:t>
      </w:r>
      <w:r w:rsidRPr="00045E69">
        <w:rPr>
          <w:rFonts w:ascii="Times New Roman" w:hAnsi="Times New Roman"/>
          <w:color w:val="000000"/>
          <w:sz w:val="24"/>
          <w:szCs w:val="24"/>
          <w:lang w:val="es-ES"/>
        </w:rPr>
        <w:t xml:space="preserve"> actividades incluyendo transferencias</w:t>
      </w:r>
      <w:r w:rsidR="00A447FB" w:rsidRPr="00045E69">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y </w:t>
      </w:r>
      <w:r w:rsidR="00A447FB" w:rsidRPr="00045E69">
        <w:rPr>
          <w:rFonts w:ascii="Times New Roman" w:hAnsi="Times New Roman"/>
          <w:color w:val="000000"/>
          <w:sz w:val="24"/>
          <w:szCs w:val="24"/>
          <w:lang w:val="es-ES"/>
        </w:rPr>
        <w:t xml:space="preserve">sus </w:t>
      </w:r>
      <w:r w:rsidRPr="00045E69">
        <w:rPr>
          <w:rFonts w:ascii="Times New Roman" w:hAnsi="Times New Roman"/>
          <w:color w:val="000000"/>
          <w:sz w:val="24"/>
          <w:szCs w:val="24"/>
          <w:lang w:val="es-ES"/>
        </w:rPr>
        <w:t xml:space="preserve">gastos. Por último, </w:t>
      </w:r>
      <w:r w:rsidR="00A447FB" w:rsidRPr="00045E69">
        <w:rPr>
          <w:rFonts w:ascii="Times New Roman" w:hAnsi="Times New Roman"/>
          <w:color w:val="000000"/>
          <w:sz w:val="24"/>
          <w:szCs w:val="24"/>
          <w:lang w:val="es-ES"/>
        </w:rPr>
        <w:t>se aplica</w:t>
      </w:r>
      <w:r w:rsidR="00B53DAE">
        <w:rPr>
          <w:rFonts w:ascii="Times New Roman" w:hAnsi="Times New Roman"/>
          <w:color w:val="000000"/>
          <w:sz w:val="24"/>
          <w:szCs w:val="24"/>
          <w:lang w:val="es-ES"/>
        </w:rPr>
        <w:t xml:space="preserve"> encuestas a una muestra aleatoria</w:t>
      </w:r>
      <w:r w:rsidR="00A447FB" w:rsidRPr="00045E69">
        <w:rPr>
          <w:rFonts w:ascii="Times New Roman" w:hAnsi="Times New Roman"/>
          <w:color w:val="000000"/>
          <w:sz w:val="24"/>
          <w:szCs w:val="24"/>
          <w:lang w:val="es-ES"/>
        </w:rPr>
        <w:t xml:space="preserve"> </w:t>
      </w:r>
      <w:r w:rsidR="00B53DAE">
        <w:rPr>
          <w:rFonts w:ascii="Times New Roman" w:hAnsi="Times New Roman"/>
          <w:color w:val="000000"/>
          <w:sz w:val="24"/>
          <w:szCs w:val="24"/>
          <w:lang w:val="es-ES"/>
        </w:rPr>
        <w:t xml:space="preserve">de empresas. Estas encuestas </w:t>
      </w:r>
      <w:r w:rsidRPr="00045E69">
        <w:rPr>
          <w:rFonts w:ascii="Times New Roman" w:hAnsi="Times New Roman"/>
          <w:color w:val="000000"/>
          <w:sz w:val="24"/>
          <w:szCs w:val="24"/>
          <w:lang w:val="es-ES"/>
        </w:rPr>
        <w:t>ofrece</w:t>
      </w:r>
      <w:r w:rsidR="00B53DAE">
        <w:rPr>
          <w:rFonts w:ascii="Times New Roman" w:hAnsi="Times New Roman"/>
          <w:color w:val="000000"/>
          <w:sz w:val="24"/>
          <w:szCs w:val="24"/>
          <w:lang w:val="es-ES"/>
        </w:rPr>
        <w:t>n</w:t>
      </w:r>
      <w:r w:rsidRPr="00045E69">
        <w:rPr>
          <w:rFonts w:ascii="Times New Roman" w:hAnsi="Times New Roman"/>
          <w:color w:val="000000"/>
          <w:sz w:val="24"/>
          <w:szCs w:val="24"/>
          <w:lang w:val="es-ES"/>
        </w:rPr>
        <w:t xml:space="preserve"> una visión general</w:t>
      </w:r>
      <w:r w:rsidR="00B53DAE">
        <w:rPr>
          <w:rFonts w:ascii="Times New Roman" w:hAnsi="Times New Roman"/>
          <w:color w:val="000000"/>
          <w:sz w:val="24"/>
          <w:szCs w:val="24"/>
          <w:lang w:val="es-ES"/>
        </w:rPr>
        <w:t xml:space="preserve"> de los insumos utilizados en los</w:t>
      </w:r>
      <w:r w:rsidRPr="00045E69">
        <w:rPr>
          <w:rFonts w:ascii="Times New Roman" w:hAnsi="Times New Roman"/>
          <w:color w:val="000000"/>
          <w:sz w:val="24"/>
          <w:szCs w:val="24"/>
          <w:lang w:val="es-ES"/>
        </w:rPr>
        <w:t xml:space="preserve"> proceso</w:t>
      </w:r>
      <w:r w:rsidR="00B53DAE">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productivo</w:t>
      </w:r>
      <w:r w:rsidR="00B53DAE">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w:t>
      </w:r>
      <w:r w:rsidR="00A447FB" w:rsidRPr="00045E69">
        <w:rPr>
          <w:rFonts w:ascii="Times New Roman" w:hAnsi="Times New Roman"/>
          <w:color w:val="000000"/>
          <w:sz w:val="24"/>
          <w:szCs w:val="24"/>
          <w:lang w:val="es-ES"/>
        </w:rPr>
        <w:t xml:space="preserve">los </w:t>
      </w:r>
      <w:r w:rsidRPr="00045E69">
        <w:rPr>
          <w:rFonts w:ascii="Times New Roman" w:hAnsi="Times New Roman"/>
          <w:color w:val="000000"/>
          <w:sz w:val="24"/>
          <w:szCs w:val="24"/>
          <w:lang w:val="es-ES"/>
        </w:rPr>
        <w:t>pagamentos a factor</w:t>
      </w:r>
      <w:r w:rsidR="00A447FB" w:rsidRPr="00045E69">
        <w:rPr>
          <w:rFonts w:ascii="Times New Roman" w:hAnsi="Times New Roman"/>
          <w:color w:val="000000"/>
          <w:sz w:val="24"/>
          <w:szCs w:val="24"/>
          <w:lang w:val="es-ES"/>
        </w:rPr>
        <w:t>es de producción, los productos</w:t>
      </w:r>
      <w:r w:rsidRPr="00045E69">
        <w:rPr>
          <w:rFonts w:ascii="Times New Roman" w:hAnsi="Times New Roman"/>
          <w:color w:val="000000"/>
          <w:sz w:val="24"/>
          <w:szCs w:val="24"/>
          <w:lang w:val="es-ES"/>
        </w:rPr>
        <w:t xml:space="preserve"> y los ingresos de todas las actividades productivas. Estas encuestas deben incluir todo tipo de empresas y no</w:t>
      </w:r>
      <w:r w:rsidR="00A447FB" w:rsidRPr="00045E69">
        <w:rPr>
          <w:rFonts w:ascii="Times New Roman" w:hAnsi="Times New Roman"/>
          <w:color w:val="000000"/>
          <w:sz w:val="24"/>
          <w:szCs w:val="24"/>
          <w:lang w:val="es-ES"/>
        </w:rPr>
        <w:t xml:space="preserve"> sólo la</w:t>
      </w:r>
      <w:r w:rsidRPr="00045E69">
        <w:rPr>
          <w:rFonts w:ascii="Times New Roman" w:hAnsi="Times New Roman"/>
          <w:color w:val="000000"/>
          <w:sz w:val="24"/>
          <w:szCs w:val="24"/>
          <w:lang w:val="es-ES"/>
        </w:rPr>
        <w:t xml:space="preserve">s que proveen servicios al sector turístico. Es fundamental que la MMCS sea </w:t>
      </w:r>
      <w:r w:rsidR="00A447FB" w:rsidRPr="00045E69">
        <w:rPr>
          <w:rFonts w:ascii="Times New Roman" w:hAnsi="Times New Roman"/>
          <w:color w:val="000000"/>
          <w:sz w:val="24"/>
          <w:szCs w:val="24"/>
          <w:lang w:val="es-ES"/>
        </w:rPr>
        <w:t xml:space="preserve">representativa </w:t>
      </w:r>
      <w:r w:rsidRPr="00045E69">
        <w:rPr>
          <w:rFonts w:ascii="Times New Roman" w:hAnsi="Times New Roman"/>
          <w:color w:val="000000"/>
          <w:sz w:val="24"/>
          <w:szCs w:val="24"/>
          <w:lang w:val="es-ES"/>
        </w:rPr>
        <w:t xml:space="preserve">de todas las transacciones </w:t>
      </w:r>
      <w:r w:rsidR="00A447FB" w:rsidRPr="00045E69">
        <w:rPr>
          <w:rFonts w:ascii="Times New Roman" w:hAnsi="Times New Roman"/>
          <w:color w:val="000000"/>
          <w:sz w:val="24"/>
          <w:szCs w:val="24"/>
          <w:lang w:val="es-ES"/>
        </w:rPr>
        <w:t xml:space="preserve">que ocurren dentro de </w:t>
      </w:r>
      <w:r w:rsidR="00481BDF">
        <w:rPr>
          <w:rFonts w:ascii="Times New Roman" w:hAnsi="Times New Roman"/>
          <w:color w:val="000000"/>
          <w:sz w:val="24"/>
          <w:szCs w:val="24"/>
          <w:lang w:val="es-ES"/>
        </w:rPr>
        <w:t>la economía local en el año que se realiza las encuestas</w:t>
      </w:r>
      <w:r w:rsidRPr="00045E69">
        <w:rPr>
          <w:rFonts w:ascii="Times New Roman" w:hAnsi="Times New Roman"/>
          <w:color w:val="000000"/>
          <w:sz w:val="24"/>
          <w:szCs w:val="24"/>
          <w:lang w:val="es-ES"/>
        </w:rPr>
        <w:t xml:space="preserve">. Las encuestas están diseñadas para ser aplicadas relativamente fácilmente, mientras que se </w:t>
      </w:r>
      <w:r w:rsidR="00A447FB" w:rsidRPr="00045E69">
        <w:rPr>
          <w:rFonts w:ascii="Times New Roman" w:hAnsi="Times New Roman"/>
          <w:color w:val="000000"/>
          <w:sz w:val="24"/>
          <w:szCs w:val="24"/>
          <w:lang w:val="es-ES"/>
        </w:rPr>
        <w:t>consiga t</w:t>
      </w:r>
      <w:r w:rsidRPr="00045E69">
        <w:rPr>
          <w:rFonts w:ascii="Times New Roman" w:hAnsi="Times New Roman"/>
          <w:color w:val="000000"/>
          <w:sz w:val="24"/>
          <w:szCs w:val="24"/>
          <w:lang w:val="es-ES"/>
        </w:rPr>
        <w:t>oda la información necesaria para la construcción de la MMCS (Taylor, 2010, Henderson y Corral, 2013).</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La determinación del tamaño de la muestra es un precursor esencial a la aplicación de las encuestas. Los entrevistados deben ser seleccionados aleatoriamente y el núm</w:t>
      </w:r>
      <w:r w:rsidR="003639D2">
        <w:rPr>
          <w:rFonts w:ascii="Times New Roman" w:hAnsi="Times New Roman"/>
          <w:color w:val="000000"/>
          <w:sz w:val="24"/>
          <w:szCs w:val="24"/>
          <w:lang w:val="es-ES"/>
        </w:rPr>
        <w:t>ero de entrevistados suficiente</w:t>
      </w:r>
      <w:r w:rsidRPr="00045E69">
        <w:rPr>
          <w:rFonts w:ascii="Times New Roman" w:hAnsi="Times New Roman"/>
          <w:color w:val="000000"/>
          <w:sz w:val="24"/>
          <w:szCs w:val="24"/>
          <w:lang w:val="es-ES"/>
        </w:rPr>
        <w:t xml:space="preserve"> para que los datos sean representativos </w:t>
      </w:r>
      <w:r w:rsidR="003639D2">
        <w:rPr>
          <w:rFonts w:ascii="Times New Roman" w:hAnsi="Times New Roman"/>
          <w:color w:val="000000"/>
          <w:sz w:val="24"/>
          <w:szCs w:val="24"/>
          <w:lang w:val="es-ES"/>
        </w:rPr>
        <w:t>estadísticamente</w:t>
      </w:r>
      <w:r w:rsidRPr="00045E69">
        <w:rPr>
          <w:rFonts w:ascii="Times New Roman" w:hAnsi="Times New Roman"/>
          <w:color w:val="000000"/>
          <w:sz w:val="24"/>
          <w:szCs w:val="24"/>
          <w:lang w:val="es-ES"/>
        </w:rPr>
        <w:t>. Las mejores prácticas, el buen juicio y las considerac</w:t>
      </w:r>
      <w:r w:rsidR="003639D2">
        <w:rPr>
          <w:rFonts w:ascii="Times New Roman" w:hAnsi="Times New Roman"/>
          <w:color w:val="000000"/>
          <w:sz w:val="24"/>
          <w:szCs w:val="24"/>
          <w:lang w:val="es-ES"/>
        </w:rPr>
        <w:t>iones presupuestarias informaran el</w:t>
      </w:r>
      <w:r w:rsidRPr="00045E69">
        <w:rPr>
          <w:rFonts w:ascii="Times New Roman" w:hAnsi="Times New Roman"/>
          <w:color w:val="000000"/>
          <w:sz w:val="24"/>
          <w:szCs w:val="24"/>
          <w:lang w:val="es-ES"/>
        </w:rPr>
        <w:t xml:space="preserve"> tamaño de la muestra</w:t>
      </w:r>
      <w:r w:rsidRPr="00045E69">
        <w:rPr>
          <w:rStyle w:val="FootnoteReference"/>
          <w:rFonts w:ascii="Times New Roman" w:hAnsi="Times New Roman"/>
          <w:color w:val="000000"/>
          <w:lang w:val="es-ES"/>
        </w:rPr>
        <w:footnoteReference w:id="1"/>
      </w:r>
      <w:r w:rsidRPr="00045E69">
        <w:rPr>
          <w:rFonts w:ascii="Times New Roman" w:hAnsi="Times New Roman"/>
          <w:color w:val="000000"/>
          <w:sz w:val="24"/>
          <w:szCs w:val="24"/>
          <w:lang w:val="es-ES"/>
        </w:rPr>
        <w:t xml:space="preserve">.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La MMCS</w:t>
      </w:r>
      <w:r w:rsidR="003639D2">
        <w:rPr>
          <w:rFonts w:ascii="Times New Roman" w:hAnsi="Times New Roman"/>
          <w:color w:val="000000"/>
          <w:sz w:val="24"/>
          <w:szCs w:val="24"/>
          <w:lang w:val="es-ES"/>
        </w:rPr>
        <w:t xml:space="preserve"> de la</w:t>
      </w:r>
      <w:r w:rsidRPr="00045E69">
        <w:rPr>
          <w:rFonts w:ascii="Times New Roman" w:hAnsi="Times New Roman"/>
          <w:color w:val="000000"/>
          <w:sz w:val="24"/>
          <w:szCs w:val="24"/>
          <w:lang w:val="es-ES"/>
        </w:rPr>
        <w:t xml:space="preserve"> línea de base es una representación de la economía antes de </w:t>
      </w:r>
      <w:r w:rsidR="003639D2">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 xml:space="preserve">intervención </w:t>
      </w:r>
      <w:r w:rsidR="003639D2">
        <w:rPr>
          <w:rFonts w:ascii="Times New Roman" w:hAnsi="Times New Roman"/>
          <w:color w:val="000000"/>
          <w:sz w:val="24"/>
          <w:szCs w:val="24"/>
          <w:lang w:val="es-ES"/>
        </w:rPr>
        <w:t>de</w:t>
      </w:r>
      <w:r w:rsidRPr="00045E69">
        <w:rPr>
          <w:rFonts w:ascii="Times New Roman" w:hAnsi="Times New Roman"/>
          <w:color w:val="000000"/>
          <w:sz w:val="24"/>
          <w:szCs w:val="24"/>
          <w:lang w:val="es-ES"/>
        </w:rPr>
        <w:t xml:space="preserve"> Prodetur-ES. Durante el transcurso de la implementación de Prodetur -ES, la economía prob</w:t>
      </w:r>
      <w:r w:rsidR="00A447FB" w:rsidRPr="00045E69">
        <w:rPr>
          <w:rFonts w:ascii="Times New Roman" w:hAnsi="Times New Roman"/>
          <w:color w:val="000000"/>
          <w:sz w:val="24"/>
          <w:szCs w:val="24"/>
          <w:lang w:val="es-ES"/>
        </w:rPr>
        <w:t>ablemente crecerá y pasará por</w:t>
      </w:r>
      <w:r w:rsidRPr="00045E69">
        <w:rPr>
          <w:rFonts w:ascii="Times New Roman" w:hAnsi="Times New Roman"/>
          <w:color w:val="000000"/>
          <w:sz w:val="24"/>
          <w:szCs w:val="24"/>
          <w:lang w:val="es-ES"/>
        </w:rPr>
        <w:t xml:space="preserve"> </w:t>
      </w:r>
      <w:r w:rsidR="00A447FB" w:rsidRPr="00045E69">
        <w:rPr>
          <w:rFonts w:ascii="Times New Roman" w:hAnsi="Times New Roman"/>
          <w:color w:val="000000"/>
          <w:sz w:val="24"/>
          <w:szCs w:val="24"/>
          <w:lang w:val="es-ES"/>
        </w:rPr>
        <w:t xml:space="preserve">varios </w:t>
      </w:r>
      <w:r w:rsidRPr="00045E69">
        <w:rPr>
          <w:rFonts w:ascii="Times New Roman" w:hAnsi="Times New Roman"/>
          <w:color w:val="000000"/>
          <w:sz w:val="24"/>
          <w:szCs w:val="24"/>
          <w:lang w:val="es-ES"/>
        </w:rPr>
        <w:t>cambios, tanto a</w:t>
      </w:r>
      <w:r w:rsidR="00A447FB" w:rsidRPr="00045E69">
        <w:rPr>
          <w:rFonts w:ascii="Times New Roman" w:hAnsi="Times New Roman"/>
          <w:color w:val="000000"/>
          <w:sz w:val="24"/>
          <w:szCs w:val="24"/>
          <w:lang w:val="es-ES"/>
        </w:rPr>
        <w:t>l</w:t>
      </w:r>
      <w:r w:rsidRPr="00045E69">
        <w:rPr>
          <w:rFonts w:ascii="Times New Roman" w:hAnsi="Times New Roman"/>
          <w:color w:val="000000"/>
          <w:sz w:val="24"/>
          <w:szCs w:val="24"/>
          <w:lang w:val="es-ES"/>
        </w:rPr>
        <w:t xml:space="preserve"> nivel de l</w:t>
      </w:r>
      <w:r w:rsidR="00A447FB" w:rsidRPr="00045E69">
        <w:rPr>
          <w:rFonts w:ascii="Times New Roman" w:hAnsi="Times New Roman"/>
          <w:color w:val="000000"/>
          <w:sz w:val="24"/>
          <w:szCs w:val="24"/>
          <w:lang w:val="es-ES"/>
        </w:rPr>
        <w:t>a RMV que</w:t>
      </w:r>
      <w:r w:rsidRPr="00045E69">
        <w:rPr>
          <w:rFonts w:ascii="Times New Roman" w:hAnsi="Times New Roman"/>
          <w:color w:val="000000"/>
          <w:sz w:val="24"/>
          <w:szCs w:val="24"/>
          <w:lang w:val="es-ES"/>
        </w:rPr>
        <w:t xml:space="preserve"> al nivel nacional. Algunos de los c</w:t>
      </w:r>
      <w:r w:rsidR="003639D2">
        <w:rPr>
          <w:rFonts w:ascii="Times New Roman" w:hAnsi="Times New Roman"/>
          <w:color w:val="000000"/>
          <w:sz w:val="24"/>
          <w:szCs w:val="24"/>
          <w:lang w:val="es-ES"/>
        </w:rPr>
        <w:t>ambios se pueden atribuir a</w:t>
      </w:r>
      <w:r w:rsidR="00A447FB" w:rsidRPr="00045E69">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aumento</w:t>
      </w:r>
      <w:r w:rsidR="003639D2">
        <w:rPr>
          <w:rFonts w:ascii="Times New Roman" w:hAnsi="Times New Roman"/>
          <w:color w:val="000000"/>
          <w:sz w:val="24"/>
          <w:szCs w:val="24"/>
          <w:lang w:val="es-ES"/>
        </w:rPr>
        <w:t>s en</w:t>
      </w:r>
      <w:r w:rsidR="00A447FB" w:rsidRPr="00045E69">
        <w:rPr>
          <w:rFonts w:ascii="Times New Roman" w:hAnsi="Times New Roman"/>
          <w:color w:val="000000"/>
          <w:sz w:val="24"/>
          <w:szCs w:val="24"/>
          <w:lang w:val="es-ES"/>
        </w:rPr>
        <w:t xml:space="preserve"> productividad,</w:t>
      </w:r>
      <w:r w:rsidRPr="00045E69">
        <w:rPr>
          <w:rFonts w:ascii="Times New Roman" w:hAnsi="Times New Roman"/>
          <w:color w:val="000000"/>
          <w:sz w:val="24"/>
          <w:szCs w:val="24"/>
          <w:lang w:val="es-ES"/>
        </w:rPr>
        <w:t xml:space="preserve"> crecimiento de la fuerza de trabajo</w:t>
      </w:r>
      <w:r w:rsidR="003639D2">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la </w:t>
      </w:r>
      <w:r w:rsidR="00A447FB" w:rsidRPr="00045E69">
        <w:rPr>
          <w:rFonts w:ascii="Times New Roman" w:hAnsi="Times New Roman"/>
          <w:color w:val="000000"/>
          <w:sz w:val="24"/>
          <w:szCs w:val="24"/>
          <w:lang w:val="es-ES"/>
        </w:rPr>
        <w:t xml:space="preserve">inversión y </w:t>
      </w:r>
      <w:r w:rsidR="003639D2">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 xml:space="preserve">acumulación de capital. Algunos sectores económicos puedan contraer mientras que otros puedan </w:t>
      </w:r>
      <w:r w:rsidR="00A447FB" w:rsidRPr="00045E69">
        <w:rPr>
          <w:rFonts w:ascii="Times New Roman" w:hAnsi="Times New Roman"/>
          <w:color w:val="000000"/>
          <w:sz w:val="24"/>
          <w:szCs w:val="24"/>
          <w:lang w:val="es-ES"/>
        </w:rPr>
        <w:t xml:space="preserve">crecer </w:t>
      </w:r>
      <w:r w:rsidRPr="00045E69">
        <w:rPr>
          <w:rFonts w:ascii="Times New Roman" w:hAnsi="Times New Roman"/>
          <w:color w:val="000000"/>
          <w:sz w:val="24"/>
          <w:szCs w:val="24"/>
          <w:lang w:val="es-ES"/>
        </w:rPr>
        <w:t xml:space="preserve">dado </w:t>
      </w:r>
      <w:r w:rsidR="00A447FB" w:rsidRPr="00045E69">
        <w:rPr>
          <w:rFonts w:ascii="Times New Roman" w:hAnsi="Times New Roman"/>
          <w:color w:val="000000"/>
          <w:sz w:val="24"/>
          <w:szCs w:val="24"/>
          <w:lang w:val="es-ES"/>
        </w:rPr>
        <w:t xml:space="preserve">las </w:t>
      </w:r>
      <w:r w:rsidRPr="00045E69">
        <w:rPr>
          <w:rFonts w:ascii="Times New Roman" w:hAnsi="Times New Roman"/>
          <w:color w:val="000000"/>
          <w:sz w:val="24"/>
          <w:szCs w:val="24"/>
          <w:lang w:val="es-ES"/>
        </w:rPr>
        <w:t xml:space="preserve">condiciones económicos </w:t>
      </w:r>
      <w:r w:rsidRPr="00045E69">
        <w:rPr>
          <w:rFonts w:ascii="Times New Roman" w:hAnsi="Times New Roman"/>
          <w:color w:val="000000"/>
          <w:sz w:val="24"/>
          <w:szCs w:val="24"/>
          <w:lang w:val="es-ES"/>
        </w:rPr>
        <w:lastRenderedPageBreak/>
        <w:t xml:space="preserve">prevalentes y </w:t>
      </w:r>
      <w:r w:rsidR="00A447FB" w:rsidRPr="00045E69">
        <w:rPr>
          <w:rFonts w:ascii="Times New Roman" w:hAnsi="Times New Roman"/>
          <w:color w:val="000000"/>
          <w:sz w:val="24"/>
          <w:szCs w:val="24"/>
          <w:lang w:val="es-ES"/>
        </w:rPr>
        <w:t xml:space="preserve">los </w:t>
      </w:r>
      <w:r w:rsidRPr="00045E69">
        <w:rPr>
          <w:rFonts w:ascii="Times New Roman" w:hAnsi="Times New Roman"/>
          <w:color w:val="000000"/>
          <w:sz w:val="24"/>
          <w:szCs w:val="24"/>
          <w:lang w:val="es-ES"/>
        </w:rPr>
        <w:t xml:space="preserve">rendimientos diferenciados de las inversiones. </w:t>
      </w:r>
      <w:r w:rsidR="004D04EF" w:rsidRPr="00045E69">
        <w:rPr>
          <w:rFonts w:ascii="Times New Roman" w:hAnsi="Times New Roman"/>
          <w:color w:val="000000"/>
          <w:sz w:val="24"/>
          <w:szCs w:val="24"/>
          <w:lang w:val="es-ES"/>
        </w:rPr>
        <w:t>También</w:t>
      </w:r>
      <w:r w:rsidRPr="00045E69">
        <w:rPr>
          <w:rFonts w:ascii="Times New Roman" w:hAnsi="Times New Roman"/>
          <w:color w:val="000000"/>
          <w:sz w:val="24"/>
          <w:szCs w:val="24"/>
          <w:lang w:val="es-ES"/>
        </w:rPr>
        <w:t xml:space="preserve">, estos cambios pueden ser ocasionados por cambios en tecnologías de producción y </w:t>
      </w:r>
      <w:r w:rsidR="00A447FB" w:rsidRPr="00045E69">
        <w:rPr>
          <w:rFonts w:ascii="Times New Roman" w:hAnsi="Times New Roman"/>
          <w:color w:val="000000"/>
          <w:sz w:val="24"/>
          <w:szCs w:val="24"/>
          <w:lang w:val="es-ES"/>
        </w:rPr>
        <w:t xml:space="preserve">por cambios en </w:t>
      </w:r>
      <w:r w:rsidRPr="00045E69">
        <w:rPr>
          <w:rFonts w:ascii="Times New Roman" w:hAnsi="Times New Roman"/>
          <w:color w:val="000000"/>
          <w:sz w:val="24"/>
          <w:szCs w:val="24"/>
          <w:lang w:val="es-ES"/>
        </w:rPr>
        <w:t>las preferencias de l</w:t>
      </w:r>
      <w:r w:rsidR="00A447FB" w:rsidRPr="00045E69">
        <w:rPr>
          <w:rFonts w:ascii="Times New Roman" w:hAnsi="Times New Roman"/>
          <w:color w:val="000000"/>
          <w:sz w:val="24"/>
          <w:szCs w:val="24"/>
          <w:lang w:val="es-ES"/>
        </w:rPr>
        <w:t>os consumidores. Otros cambios en</w:t>
      </w:r>
      <w:r w:rsidRPr="00045E69">
        <w:rPr>
          <w:rFonts w:ascii="Times New Roman" w:hAnsi="Times New Roman"/>
          <w:color w:val="000000"/>
          <w:sz w:val="24"/>
          <w:szCs w:val="24"/>
          <w:lang w:val="es-ES"/>
        </w:rPr>
        <w:t xml:space="preserve"> la economía ocurrirán debido a choques exógenos</w:t>
      </w:r>
      <w:r w:rsidR="00A447FB" w:rsidRPr="00045E69">
        <w:rPr>
          <w:rFonts w:ascii="Times New Roman" w:hAnsi="Times New Roman"/>
          <w:color w:val="000000"/>
          <w:sz w:val="24"/>
          <w:szCs w:val="24"/>
          <w:lang w:val="es-ES"/>
        </w:rPr>
        <w:t xml:space="preserve"> sobre, por ejemplo, </w:t>
      </w:r>
      <w:r w:rsidRPr="00045E69">
        <w:rPr>
          <w:rFonts w:ascii="Times New Roman" w:hAnsi="Times New Roman"/>
          <w:color w:val="000000"/>
          <w:sz w:val="24"/>
          <w:szCs w:val="24"/>
          <w:lang w:val="es-ES"/>
        </w:rPr>
        <w:t>las importaciones, exportac</w:t>
      </w:r>
      <w:r w:rsidR="003639D2">
        <w:rPr>
          <w:rFonts w:ascii="Times New Roman" w:hAnsi="Times New Roman"/>
          <w:color w:val="000000"/>
          <w:sz w:val="24"/>
          <w:szCs w:val="24"/>
          <w:lang w:val="es-ES"/>
        </w:rPr>
        <w:t>iones, políticas del gobierno y lo</w:t>
      </w:r>
      <w:r w:rsidRPr="00045E69">
        <w:rPr>
          <w:rFonts w:ascii="Times New Roman" w:hAnsi="Times New Roman"/>
          <w:color w:val="000000"/>
          <w:sz w:val="24"/>
          <w:szCs w:val="24"/>
          <w:lang w:val="es-ES"/>
        </w:rPr>
        <w:t xml:space="preserve">s gastos del gobierno.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Para poder anal</w:t>
      </w:r>
      <w:r w:rsidR="00A447FB" w:rsidRPr="00045E69">
        <w:rPr>
          <w:rFonts w:ascii="Times New Roman" w:hAnsi="Times New Roman"/>
          <w:color w:val="000000"/>
          <w:sz w:val="24"/>
          <w:szCs w:val="24"/>
          <w:lang w:val="es-ES"/>
        </w:rPr>
        <w:t xml:space="preserve">izar los cambios </w:t>
      </w:r>
      <w:r w:rsidRPr="00045E69">
        <w:rPr>
          <w:rFonts w:ascii="Times New Roman" w:hAnsi="Times New Roman"/>
          <w:color w:val="000000"/>
          <w:sz w:val="24"/>
          <w:szCs w:val="24"/>
          <w:lang w:val="es-ES"/>
        </w:rPr>
        <w:t>ocurridos</w:t>
      </w:r>
      <w:r w:rsidR="00A447FB" w:rsidRPr="00045E69">
        <w:rPr>
          <w:rFonts w:ascii="Times New Roman" w:hAnsi="Times New Roman"/>
          <w:color w:val="000000"/>
          <w:sz w:val="24"/>
          <w:szCs w:val="24"/>
          <w:lang w:val="es-ES"/>
        </w:rPr>
        <w:t xml:space="preserve"> en la economía </w:t>
      </w:r>
      <w:r w:rsidRPr="00045E69">
        <w:rPr>
          <w:rFonts w:ascii="Times New Roman" w:hAnsi="Times New Roman"/>
          <w:color w:val="000000"/>
          <w:sz w:val="24"/>
          <w:szCs w:val="24"/>
          <w:lang w:val="es-ES"/>
        </w:rPr>
        <w:t xml:space="preserve">durante el período de ejecución de Prodetur-ES, será necesario actualizar la MCS y MMCS. El procedimiento para la actualización de la MCS sigue los métodos previamente mencionados, desarrollados por Robinson et al (2001). Dado que </w:t>
      </w:r>
      <w:r w:rsidR="00A447FB" w:rsidRPr="00045E69">
        <w:rPr>
          <w:rFonts w:ascii="Times New Roman" w:hAnsi="Times New Roman"/>
          <w:color w:val="000000"/>
          <w:sz w:val="24"/>
          <w:szCs w:val="24"/>
          <w:lang w:val="es-ES"/>
        </w:rPr>
        <w:t xml:space="preserve">nuestro interés principal es </w:t>
      </w:r>
      <w:r w:rsidRPr="00045E69">
        <w:rPr>
          <w:rFonts w:ascii="Times New Roman" w:hAnsi="Times New Roman"/>
          <w:color w:val="000000"/>
          <w:sz w:val="24"/>
          <w:szCs w:val="24"/>
          <w:lang w:val="es-ES"/>
        </w:rPr>
        <w:t xml:space="preserve">los cambios en la región representada por la MMCS, su actualización </w:t>
      </w:r>
      <w:r w:rsidR="00A447FB" w:rsidRPr="00045E69">
        <w:rPr>
          <w:rFonts w:ascii="Times New Roman" w:hAnsi="Times New Roman"/>
          <w:color w:val="000000"/>
          <w:sz w:val="24"/>
          <w:szCs w:val="24"/>
          <w:lang w:val="es-ES"/>
        </w:rPr>
        <w:t xml:space="preserve">es </w:t>
      </w:r>
      <w:r w:rsidRPr="00045E69">
        <w:rPr>
          <w:rFonts w:ascii="Times New Roman" w:hAnsi="Times New Roman"/>
          <w:color w:val="000000"/>
          <w:sz w:val="24"/>
          <w:szCs w:val="24"/>
          <w:lang w:val="es-ES"/>
        </w:rPr>
        <w:t xml:space="preserve">más </w:t>
      </w:r>
      <w:r w:rsidR="003639D2">
        <w:rPr>
          <w:rFonts w:ascii="Times New Roman" w:hAnsi="Times New Roman"/>
          <w:color w:val="000000"/>
          <w:sz w:val="24"/>
          <w:szCs w:val="24"/>
          <w:lang w:val="es-ES"/>
        </w:rPr>
        <w:t xml:space="preserve">intensiva en términos de los datos requeridos. </w:t>
      </w:r>
      <w:r w:rsidRPr="00045E69">
        <w:rPr>
          <w:rFonts w:ascii="Times New Roman" w:hAnsi="Times New Roman"/>
          <w:color w:val="000000"/>
          <w:sz w:val="24"/>
          <w:szCs w:val="24"/>
          <w:lang w:val="es-ES"/>
        </w:rPr>
        <w:t xml:space="preserve">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La actualización de la MMCS implica la implementación de las mismas </w:t>
      </w:r>
      <w:r w:rsidR="009957C8" w:rsidRPr="00045E69">
        <w:rPr>
          <w:rFonts w:ascii="Times New Roman" w:hAnsi="Times New Roman"/>
          <w:color w:val="000000"/>
          <w:sz w:val="24"/>
          <w:szCs w:val="24"/>
          <w:lang w:val="es-ES"/>
        </w:rPr>
        <w:t xml:space="preserve">encuestas aplicadas </w:t>
      </w:r>
      <w:r w:rsidRPr="00045E69">
        <w:rPr>
          <w:rFonts w:ascii="Times New Roman" w:hAnsi="Times New Roman"/>
          <w:color w:val="000000"/>
          <w:sz w:val="24"/>
          <w:szCs w:val="24"/>
          <w:lang w:val="es-ES"/>
        </w:rPr>
        <w:t>en el</w:t>
      </w:r>
      <w:r w:rsidR="003639D2">
        <w:rPr>
          <w:rFonts w:ascii="Times New Roman" w:hAnsi="Times New Roman"/>
          <w:color w:val="000000"/>
          <w:sz w:val="24"/>
          <w:szCs w:val="24"/>
          <w:lang w:val="es-ES"/>
        </w:rPr>
        <w:t xml:space="preserve"> caso de </w:t>
      </w:r>
      <w:r w:rsidRPr="00045E69">
        <w:rPr>
          <w:rFonts w:ascii="Times New Roman" w:hAnsi="Times New Roman"/>
          <w:color w:val="000000"/>
          <w:sz w:val="24"/>
          <w:szCs w:val="24"/>
          <w:lang w:val="es-ES"/>
        </w:rPr>
        <w:t xml:space="preserve">la </w:t>
      </w:r>
      <w:r w:rsidR="009957C8" w:rsidRPr="00045E69">
        <w:rPr>
          <w:rFonts w:ascii="Times New Roman" w:hAnsi="Times New Roman"/>
          <w:color w:val="000000"/>
          <w:sz w:val="24"/>
          <w:szCs w:val="24"/>
          <w:lang w:val="es-ES"/>
        </w:rPr>
        <w:t xml:space="preserve">MMCS </w:t>
      </w:r>
      <w:r w:rsidR="003639D2">
        <w:rPr>
          <w:rFonts w:ascii="Times New Roman" w:hAnsi="Times New Roman"/>
          <w:color w:val="000000"/>
          <w:sz w:val="24"/>
          <w:szCs w:val="24"/>
          <w:lang w:val="es-ES"/>
        </w:rPr>
        <w:t xml:space="preserve">de la </w:t>
      </w:r>
      <w:r w:rsidRPr="00045E69">
        <w:rPr>
          <w:rFonts w:ascii="Times New Roman" w:hAnsi="Times New Roman"/>
          <w:color w:val="000000"/>
          <w:sz w:val="24"/>
          <w:szCs w:val="24"/>
          <w:lang w:val="es-ES"/>
        </w:rPr>
        <w:t>línea base. Las encuestas se aplican idealmente a las mismas empresas y hogares de la línea de base cuando sea posible y</w:t>
      </w:r>
      <w:r w:rsidR="003639D2">
        <w:rPr>
          <w:rFonts w:ascii="Times New Roman" w:hAnsi="Times New Roman"/>
          <w:color w:val="000000"/>
          <w:sz w:val="24"/>
          <w:szCs w:val="24"/>
          <w:lang w:val="es-ES"/>
        </w:rPr>
        <w:t xml:space="preserve"> encuestas a turistas a través de una nueva </w:t>
      </w:r>
      <w:r w:rsidR="009957C8" w:rsidRPr="00045E69">
        <w:rPr>
          <w:rFonts w:ascii="Times New Roman" w:hAnsi="Times New Roman"/>
          <w:color w:val="000000"/>
          <w:sz w:val="24"/>
          <w:szCs w:val="24"/>
          <w:lang w:val="es-ES"/>
        </w:rPr>
        <w:t>muestra aleatoria</w:t>
      </w:r>
      <w:r w:rsidRPr="00045E69">
        <w:rPr>
          <w:rFonts w:ascii="Times New Roman" w:hAnsi="Times New Roman"/>
          <w:color w:val="000000"/>
          <w:sz w:val="24"/>
          <w:szCs w:val="24"/>
          <w:lang w:val="es-ES"/>
        </w:rPr>
        <w:t xml:space="preserve">. Con el fin de tomar en cuenta las nuevas empresas criadas </w:t>
      </w:r>
      <w:r w:rsidR="009957C8" w:rsidRPr="00045E69">
        <w:rPr>
          <w:rFonts w:ascii="Times New Roman" w:hAnsi="Times New Roman"/>
          <w:color w:val="000000"/>
          <w:sz w:val="24"/>
          <w:szCs w:val="24"/>
          <w:lang w:val="es-ES"/>
        </w:rPr>
        <w:t xml:space="preserve">durante </w:t>
      </w:r>
      <w:r w:rsidRPr="00045E69">
        <w:rPr>
          <w:rFonts w:ascii="Times New Roman" w:hAnsi="Times New Roman"/>
          <w:color w:val="000000"/>
          <w:sz w:val="24"/>
          <w:szCs w:val="24"/>
          <w:lang w:val="es-ES"/>
        </w:rPr>
        <w:t>el transcurso de</w:t>
      </w:r>
      <w:r w:rsidR="009957C8" w:rsidRPr="00045E69">
        <w:rPr>
          <w:rFonts w:ascii="Times New Roman" w:hAnsi="Times New Roman"/>
          <w:color w:val="000000"/>
          <w:sz w:val="24"/>
          <w:szCs w:val="24"/>
          <w:lang w:val="es-ES"/>
        </w:rPr>
        <w:t xml:space="preserve"> la implementación de</w:t>
      </w:r>
      <w:r w:rsidRPr="00045E69">
        <w:rPr>
          <w:rFonts w:ascii="Times New Roman" w:hAnsi="Times New Roman"/>
          <w:color w:val="000000"/>
          <w:sz w:val="24"/>
          <w:szCs w:val="24"/>
          <w:lang w:val="es-ES"/>
        </w:rPr>
        <w:t xml:space="preserve"> Prodetur-ES, será necesario también tomar una muestra aleatoria de estas</w:t>
      </w:r>
      <w:r w:rsidR="003639D2">
        <w:rPr>
          <w:rFonts w:ascii="Times New Roman" w:hAnsi="Times New Roman"/>
          <w:color w:val="000000"/>
          <w:sz w:val="24"/>
          <w:szCs w:val="24"/>
          <w:lang w:val="es-ES"/>
        </w:rPr>
        <w:t xml:space="preserve"> nuevas empresas</w:t>
      </w:r>
      <w:r w:rsidRPr="00045E69">
        <w:rPr>
          <w:rFonts w:ascii="Times New Roman" w:hAnsi="Times New Roman"/>
          <w:color w:val="000000"/>
          <w:sz w:val="24"/>
          <w:szCs w:val="24"/>
          <w:lang w:val="es-ES"/>
        </w:rPr>
        <w:t xml:space="preserve">. </w:t>
      </w:r>
      <w:r w:rsidR="003639D2">
        <w:rPr>
          <w:rFonts w:ascii="Times New Roman" w:hAnsi="Times New Roman"/>
          <w:color w:val="000000"/>
          <w:sz w:val="24"/>
          <w:szCs w:val="24"/>
          <w:lang w:val="es-ES"/>
        </w:rPr>
        <w:t xml:space="preserve">La información recolectada a través de las encuestas es complementada por </w:t>
      </w:r>
      <w:r w:rsidRPr="00045E69">
        <w:rPr>
          <w:rFonts w:ascii="Times New Roman" w:hAnsi="Times New Roman"/>
          <w:color w:val="000000"/>
          <w:sz w:val="24"/>
          <w:szCs w:val="24"/>
          <w:lang w:val="es-ES"/>
        </w:rPr>
        <w:t>inform</w:t>
      </w:r>
      <w:r w:rsidR="009957C8" w:rsidRPr="00045E69">
        <w:rPr>
          <w:rFonts w:ascii="Times New Roman" w:hAnsi="Times New Roman"/>
          <w:color w:val="000000"/>
          <w:sz w:val="24"/>
          <w:szCs w:val="24"/>
          <w:lang w:val="es-ES"/>
        </w:rPr>
        <w:t>ación secundaria</w:t>
      </w:r>
      <w:r w:rsidRPr="00045E69">
        <w:rPr>
          <w:rFonts w:ascii="Times New Roman" w:hAnsi="Times New Roman"/>
          <w:color w:val="000000"/>
          <w:sz w:val="24"/>
          <w:szCs w:val="24"/>
          <w:lang w:val="es-ES"/>
        </w:rPr>
        <w:t xml:space="preserve"> sobre</w:t>
      </w:r>
      <w:r w:rsidR="003639D2">
        <w:rPr>
          <w:rFonts w:ascii="Times New Roman" w:hAnsi="Times New Roman"/>
          <w:color w:val="000000"/>
          <w:sz w:val="24"/>
          <w:szCs w:val="24"/>
          <w:lang w:val="es-ES"/>
        </w:rPr>
        <w:t xml:space="preserve"> el presupuesto de gobierno y sus cuentas. </w:t>
      </w:r>
      <w:r w:rsidRPr="00045E69">
        <w:rPr>
          <w:rFonts w:ascii="Times New Roman" w:hAnsi="Times New Roman"/>
          <w:color w:val="000000"/>
          <w:sz w:val="24"/>
          <w:szCs w:val="24"/>
          <w:lang w:val="es-ES"/>
        </w:rPr>
        <w:t>Los datos recog</w:t>
      </w:r>
      <w:r w:rsidR="009957C8" w:rsidRPr="00045E69">
        <w:rPr>
          <w:rFonts w:ascii="Times New Roman" w:hAnsi="Times New Roman"/>
          <w:color w:val="000000"/>
          <w:sz w:val="24"/>
          <w:szCs w:val="24"/>
          <w:lang w:val="es-ES"/>
        </w:rPr>
        <w:t xml:space="preserve">idos </w:t>
      </w:r>
      <w:r w:rsidR="003639D2">
        <w:rPr>
          <w:rFonts w:ascii="Times New Roman" w:hAnsi="Times New Roman"/>
          <w:color w:val="000000"/>
          <w:sz w:val="24"/>
          <w:szCs w:val="24"/>
          <w:lang w:val="es-ES"/>
        </w:rPr>
        <w:t>sirven</w:t>
      </w:r>
      <w:r w:rsidRPr="00045E69">
        <w:rPr>
          <w:rFonts w:ascii="Times New Roman" w:hAnsi="Times New Roman"/>
          <w:color w:val="000000"/>
          <w:sz w:val="24"/>
          <w:szCs w:val="24"/>
          <w:lang w:val="es-ES"/>
        </w:rPr>
        <w:t xml:space="preserve"> para actualizar la</w:t>
      </w:r>
      <w:r w:rsidR="009957C8" w:rsidRPr="00045E69">
        <w:rPr>
          <w:rFonts w:ascii="Times New Roman" w:hAnsi="Times New Roman"/>
          <w:color w:val="000000"/>
          <w:sz w:val="24"/>
          <w:szCs w:val="24"/>
          <w:lang w:val="es-ES"/>
        </w:rPr>
        <w:t>s actividades productivas y</w:t>
      </w:r>
      <w:r w:rsidR="003639D2">
        <w:rPr>
          <w:rFonts w:ascii="Times New Roman" w:hAnsi="Times New Roman"/>
          <w:color w:val="000000"/>
          <w:sz w:val="24"/>
          <w:szCs w:val="24"/>
          <w:lang w:val="es-ES"/>
        </w:rPr>
        <w:t xml:space="preserve"> la</w:t>
      </w:r>
      <w:r w:rsidRPr="00045E69">
        <w:rPr>
          <w:rFonts w:ascii="Times New Roman" w:hAnsi="Times New Roman"/>
          <w:color w:val="000000"/>
          <w:sz w:val="24"/>
          <w:szCs w:val="24"/>
          <w:lang w:val="es-ES"/>
        </w:rPr>
        <w:t xml:space="preserve"> producción del área del proyecto, cambios en los coeficientes de insumo-producto, </w:t>
      </w:r>
      <w:r w:rsidR="003639D2">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 xml:space="preserve">participación presupuestaria, </w:t>
      </w:r>
      <w:r w:rsidR="009957C8" w:rsidRPr="00045E69">
        <w:rPr>
          <w:rFonts w:ascii="Times New Roman" w:hAnsi="Times New Roman"/>
          <w:color w:val="000000"/>
          <w:sz w:val="24"/>
          <w:szCs w:val="24"/>
          <w:lang w:val="es-ES"/>
        </w:rPr>
        <w:t xml:space="preserve">cambios en las actividades productivas de los hogares y sus ingresos, </w:t>
      </w:r>
      <w:r w:rsidRPr="00045E69">
        <w:rPr>
          <w:rFonts w:ascii="Times New Roman" w:hAnsi="Times New Roman"/>
          <w:color w:val="000000"/>
          <w:sz w:val="24"/>
          <w:szCs w:val="24"/>
          <w:lang w:val="es-ES"/>
        </w:rPr>
        <w:t>y cambios en el número y las características de los turistas que visitan la región y sus padrones de gasto.</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Con la MMCS </w:t>
      </w:r>
      <w:r w:rsidR="003639D2">
        <w:rPr>
          <w:rFonts w:ascii="Times New Roman" w:hAnsi="Times New Roman"/>
          <w:color w:val="000000"/>
          <w:sz w:val="24"/>
          <w:szCs w:val="24"/>
          <w:lang w:val="es-ES"/>
        </w:rPr>
        <w:t xml:space="preserve">de la </w:t>
      </w:r>
      <w:r w:rsidRPr="00045E69">
        <w:rPr>
          <w:rFonts w:ascii="Times New Roman" w:hAnsi="Times New Roman"/>
          <w:color w:val="000000"/>
          <w:sz w:val="24"/>
          <w:szCs w:val="24"/>
          <w:lang w:val="es-ES"/>
        </w:rPr>
        <w:t xml:space="preserve">línea base y la MMCS ex-post, </w:t>
      </w:r>
      <w:r w:rsidR="003639D2">
        <w:rPr>
          <w:rFonts w:ascii="Times New Roman" w:hAnsi="Times New Roman"/>
          <w:color w:val="000000"/>
          <w:sz w:val="24"/>
          <w:szCs w:val="24"/>
          <w:lang w:val="es-ES"/>
        </w:rPr>
        <w:t xml:space="preserve">se puede </w:t>
      </w:r>
      <w:r w:rsidRPr="00045E69">
        <w:rPr>
          <w:rFonts w:ascii="Times New Roman" w:hAnsi="Times New Roman"/>
          <w:color w:val="000000"/>
          <w:sz w:val="24"/>
          <w:szCs w:val="24"/>
          <w:lang w:val="es-ES"/>
        </w:rPr>
        <w:t>evaluar la trayectoria de la economía local como se describ</w:t>
      </w:r>
      <w:r w:rsidR="003639D2">
        <w:rPr>
          <w:rFonts w:ascii="Times New Roman" w:hAnsi="Times New Roman"/>
          <w:color w:val="000000"/>
          <w:sz w:val="24"/>
          <w:szCs w:val="24"/>
          <w:lang w:val="es-ES"/>
        </w:rPr>
        <w:t>e Taylor (2010). Con detalle sobre el</w:t>
      </w:r>
      <w:r w:rsidRPr="00045E69">
        <w:rPr>
          <w:rFonts w:ascii="Times New Roman" w:hAnsi="Times New Roman"/>
          <w:color w:val="000000"/>
          <w:sz w:val="24"/>
          <w:szCs w:val="24"/>
          <w:lang w:val="es-ES"/>
        </w:rPr>
        <w:t xml:space="preserve"> sector turístico</w:t>
      </w:r>
      <w:r w:rsidR="009957C8" w:rsidRPr="00045E69">
        <w:rPr>
          <w:rFonts w:ascii="Times New Roman" w:hAnsi="Times New Roman"/>
          <w:color w:val="000000"/>
          <w:sz w:val="24"/>
          <w:szCs w:val="24"/>
          <w:lang w:val="es-ES"/>
        </w:rPr>
        <w:t xml:space="preserve">, </w:t>
      </w:r>
      <w:r w:rsidR="003639D2">
        <w:rPr>
          <w:rFonts w:ascii="Times New Roman" w:hAnsi="Times New Roman"/>
          <w:color w:val="000000"/>
          <w:sz w:val="24"/>
          <w:szCs w:val="24"/>
          <w:lang w:val="es-ES"/>
        </w:rPr>
        <w:t xml:space="preserve"> se puede evaluar los </w:t>
      </w:r>
      <w:r w:rsidR="009957C8" w:rsidRPr="00045E69">
        <w:rPr>
          <w:rFonts w:ascii="Times New Roman" w:hAnsi="Times New Roman"/>
          <w:color w:val="000000"/>
          <w:sz w:val="24"/>
          <w:szCs w:val="24"/>
          <w:lang w:val="es-ES"/>
        </w:rPr>
        <w:t>cambios en</w:t>
      </w:r>
      <w:r w:rsidRPr="00045E69">
        <w:rPr>
          <w:rFonts w:ascii="Times New Roman" w:hAnsi="Times New Roman"/>
          <w:color w:val="000000"/>
          <w:sz w:val="24"/>
          <w:szCs w:val="24"/>
          <w:lang w:val="es-ES"/>
        </w:rPr>
        <w:t xml:space="preserve"> los gastos turísticos e </w:t>
      </w:r>
      <w:r w:rsidR="003639D2">
        <w:rPr>
          <w:rFonts w:ascii="Times New Roman" w:hAnsi="Times New Roman"/>
          <w:color w:val="000000"/>
          <w:sz w:val="24"/>
          <w:szCs w:val="24"/>
          <w:lang w:val="es-ES"/>
        </w:rPr>
        <w:t xml:space="preserve">los </w:t>
      </w:r>
      <w:r w:rsidRPr="00045E69">
        <w:rPr>
          <w:rFonts w:ascii="Times New Roman" w:hAnsi="Times New Roman"/>
          <w:color w:val="000000"/>
          <w:sz w:val="24"/>
          <w:szCs w:val="24"/>
          <w:lang w:val="es-ES"/>
        </w:rPr>
        <w:t>ingresos del</w:t>
      </w:r>
      <w:r w:rsidR="003639D2">
        <w:rPr>
          <w:rFonts w:ascii="Times New Roman" w:hAnsi="Times New Roman"/>
          <w:color w:val="000000"/>
          <w:sz w:val="24"/>
          <w:szCs w:val="24"/>
          <w:lang w:val="es-ES"/>
        </w:rPr>
        <w:t xml:space="preserve"> sector. También se puede </w:t>
      </w:r>
      <w:r w:rsidRPr="00045E69">
        <w:rPr>
          <w:rFonts w:ascii="Times New Roman" w:hAnsi="Times New Roman"/>
          <w:color w:val="000000"/>
          <w:sz w:val="24"/>
          <w:szCs w:val="24"/>
          <w:lang w:val="es-ES"/>
        </w:rPr>
        <w:t>calcular multiplicadores para los sectores económicos de interés (Breisinger et al., 2</w:t>
      </w:r>
      <w:r w:rsidR="003639D2">
        <w:rPr>
          <w:rFonts w:ascii="Times New Roman" w:hAnsi="Times New Roman"/>
          <w:color w:val="000000"/>
          <w:sz w:val="24"/>
          <w:szCs w:val="24"/>
          <w:lang w:val="es-ES"/>
        </w:rPr>
        <w:t xml:space="preserve">010). </w:t>
      </w:r>
      <w:r w:rsidR="003639D2" w:rsidRPr="00045E69">
        <w:rPr>
          <w:rFonts w:ascii="Times New Roman" w:hAnsi="Times New Roman"/>
          <w:color w:val="000000"/>
          <w:sz w:val="24"/>
          <w:szCs w:val="24"/>
          <w:lang w:val="es-ES"/>
        </w:rPr>
        <w:t xml:space="preserve">Con la MMCS </w:t>
      </w:r>
      <w:r w:rsidR="003639D2">
        <w:rPr>
          <w:rFonts w:ascii="Times New Roman" w:hAnsi="Times New Roman"/>
          <w:color w:val="000000"/>
          <w:sz w:val="24"/>
          <w:szCs w:val="24"/>
          <w:lang w:val="es-ES"/>
        </w:rPr>
        <w:t xml:space="preserve">de la </w:t>
      </w:r>
      <w:r w:rsidR="003639D2" w:rsidRPr="00045E69">
        <w:rPr>
          <w:rFonts w:ascii="Times New Roman" w:hAnsi="Times New Roman"/>
          <w:color w:val="000000"/>
          <w:sz w:val="24"/>
          <w:szCs w:val="24"/>
          <w:lang w:val="es-ES"/>
        </w:rPr>
        <w:t>línea base y la MMCS ex-post</w:t>
      </w:r>
      <w:r w:rsidR="003639D2">
        <w:rPr>
          <w:rFonts w:ascii="Times New Roman" w:hAnsi="Times New Roman"/>
          <w:color w:val="000000"/>
          <w:sz w:val="24"/>
          <w:szCs w:val="24"/>
          <w:lang w:val="es-ES"/>
        </w:rPr>
        <w:t xml:space="preserve">, es </w:t>
      </w:r>
      <w:r w:rsidRPr="00045E69">
        <w:rPr>
          <w:rFonts w:ascii="Times New Roman" w:hAnsi="Times New Roman"/>
          <w:color w:val="000000"/>
          <w:sz w:val="24"/>
          <w:szCs w:val="24"/>
          <w:lang w:val="es-ES"/>
        </w:rPr>
        <w:t>posible evalu</w:t>
      </w:r>
      <w:r w:rsidR="009957C8" w:rsidRPr="00045E69">
        <w:rPr>
          <w:rFonts w:ascii="Times New Roman" w:hAnsi="Times New Roman"/>
          <w:color w:val="000000"/>
          <w:sz w:val="24"/>
          <w:szCs w:val="24"/>
          <w:lang w:val="es-ES"/>
        </w:rPr>
        <w:t xml:space="preserve">ar si el sector turístico </w:t>
      </w:r>
      <w:r w:rsidRPr="00045E69">
        <w:rPr>
          <w:rFonts w:ascii="Times New Roman" w:hAnsi="Times New Roman"/>
          <w:color w:val="000000"/>
          <w:sz w:val="24"/>
          <w:szCs w:val="24"/>
          <w:lang w:val="es-ES"/>
        </w:rPr>
        <w:t xml:space="preserve">genera más </w:t>
      </w:r>
      <w:r w:rsidRPr="00045E69">
        <w:rPr>
          <w:rFonts w:ascii="Times New Roman" w:hAnsi="Times New Roman"/>
          <w:color w:val="000000"/>
          <w:sz w:val="24"/>
          <w:szCs w:val="24"/>
          <w:lang w:val="es-ES"/>
        </w:rPr>
        <w:lastRenderedPageBreak/>
        <w:t>o meno</w:t>
      </w:r>
      <w:r w:rsidR="009957C8" w:rsidRPr="00045E69">
        <w:rPr>
          <w:rFonts w:ascii="Times New Roman" w:hAnsi="Times New Roman"/>
          <w:color w:val="000000"/>
          <w:sz w:val="24"/>
          <w:szCs w:val="24"/>
          <w:lang w:val="es-ES"/>
        </w:rPr>
        <w:t xml:space="preserve">s empleos e ingresos comparado con la situación </w:t>
      </w:r>
      <w:r w:rsidRPr="00045E69">
        <w:rPr>
          <w:rFonts w:ascii="Times New Roman" w:hAnsi="Times New Roman"/>
          <w:color w:val="000000"/>
          <w:sz w:val="24"/>
          <w:szCs w:val="24"/>
          <w:lang w:val="es-ES"/>
        </w:rPr>
        <w:t xml:space="preserve">antes </w:t>
      </w:r>
      <w:r w:rsidR="009957C8" w:rsidRPr="00045E69">
        <w:rPr>
          <w:rFonts w:ascii="Times New Roman" w:hAnsi="Times New Roman"/>
          <w:color w:val="000000"/>
          <w:sz w:val="24"/>
          <w:szCs w:val="24"/>
          <w:lang w:val="es-ES"/>
        </w:rPr>
        <w:t>de la implementación de Prodetur-ES</w:t>
      </w:r>
      <w:r w:rsidRPr="00045E69">
        <w:rPr>
          <w:rFonts w:ascii="Times New Roman" w:hAnsi="Times New Roman"/>
          <w:color w:val="000000"/>
          <w:sz w:val="24"/>
          <w:szCs w:val="24"/>
          <w:lang w:val="es-ES"/>
        </w:rPr>
        <w:t xml:space="preserve">. </w:t>
      </w:r>
    </w:p>
    <w:p w:rsidR="002C3973" w:rsidRPr="00045E69" w:rsidRDefault="002C3973" w:rsidP="00C82F81">
      <w:pPr>
        <w:pStyle w:val="ColorfulList-Accent11"/>
        <w:spacing w:after="0" w:line="360" w:lineRule="auto"/>
        <w:jc w:val="both"/>
        <w:rPr>
          <w:rFonts w:ascii="Times New Roman" w:hAnsi="Times New Roman"/>
          <w:b/>
          <w:color w:val="000000"/>
          <w:sz w:val="24"/>
          <w:szCs w:val="24"/>
          <w:lang w:val="es-ES"/>
        </w:rPr>
      </w:pPr>
    </w:p>
    <w:p w:rsidR="002C3973" w:rsidRPr="00045E69" w:rsidRDefault="002C3973" w:rsidP="00C82F81">
      <w:pPr>
        <w:pStyle w:val="ColorfulList-Accent11"/>
        <w:spacing w:after="0" w:line="360" w:lineRule="auto"/>
        <w:jc w:val="both"/>
        <w:rPr>
          <w:rFonts w:ascii="Times New Roman" w:hAnsi="Times New Roman"/>
          <w:b/>
          <w:color w:val="000000"/>
          <w:sz w:val="24"/>
          <w:szCs w:val="24"/>
          <w:lang w:val="es-ES"/>
        </w:rPr>
      </w:pPr>
      <w:r w:rsidRPr="00045E69">
        <w:rPr>
          <w:rFonts w:ascii="Times New Roman" w:hAnsi="Times New Roman"/>
          <w:b/>
          <w:color w:val="000000"/>
          <w:sz w:val="24"/>
          <w:szCs w:val="24"/>
          <w:lang w:val="es-ES"/>
        </w:rPr>
        <w:t xml:space="preserve">Análisis de Descomposición con un modelo DCGE </w:t>
      </w:r>
    </w:p>
    <w:p w:rsidR="002C3973" w:rsidRPr="00045E69" w:rsidRDefault="009957C8"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Análisis con </w:t>
      </w:r>
      <w:r w:rsidR="002C3973" w:rsidRPr="00045E69">
        <w:rPr>
          <w:rFonts w:ascii="Times New Roman" w:hAnsi="Times New Roman"/>
          <w:color w:val="000000"/>
          <w:sz w:val="24"/>
          <w:szCs w:val="24"/>
          <w:lang w:val="es-ES"/>
        </w:rPr>
        <w:t>DCGE</w:t>
      </w:r>
      <w:r w:rsidRPr="00045E69">
        <w:rPr>
          <w:rFonts w:ascii="Times New Roman" w:hAnsi="Times New Roman"/>
          <w:color w:val="000000"/>
          <w:sz w:val="24"/>
          <w:szCs w:val="24"/>
          <w:lang w:val="es-ES"/>
        </w:rPr>
        <w:t xml:space="preserve"> ha sido utilizado por algún tiempo para investigar </w:t>
      </w:r>
      <w:r w:rsidR="002C3973" w:rsidRPr="00045E69">
        <w:rPr>
          <w:rFonts w:ascii="Times New Roman" w:hAnsi="Times New Roman"/>
          <w:color w:val="000000"/>
          <w:sz w:val="24"/>
          <w:szCs w:val="24"/>
          <w:lang w:val="es-ES"/>
        </w:rPr>
        <w:t>una amplia gama de políticas y escenarios de inversión. Métodos para el análisis ex-post con DCGE y responder a la cuestión de la atribución de un inversión aún no se han desarrollado plenamente. Los investigadores del Center of Policy Studies (CoPS)</w:t>
      </w:r>
      <w:r w:rsidR="00751859">
        <w:rPr>
          <w:rFonts w:ascii="Times New Roman" w:hAnsi="Times New Roman"/>
          <w:color w:val="000000"/>
          <w:sz w:val="24"/>
          <w:szCs w:val="24"/>
          <w:lang w:val="es-ES"/>
        </w:rPr>
        <w:t xml:space="preserve"> de </w:t>
      </w:r>
      <w:r w:rsidR="002C3973" w:rsidRPr="00045E69">
        <w:rPr>
          <w:rFonts w:ascii="Times New Roman" w:hAnsi="Times New Roman"/>
          <w:color w:val="000000"/>
          <w:sz w:val="24"/>
          <w:szCs w:val="24"/>
          <w:lang w:val="es-ES"/>
        </w:rPr>
        <w:t>la Universidad de Victoria (Melbourne, Australia)</w:t>
      </w:r>
      <w:r w:rsidR="00751859">
        <w:rPr>
          <w:rFonts w:ascii="Times New Roman" w:hAnsi="Times New Roman"/>
          <w:color w:val="000000"/>
          <w:sz w:val="24"/>
          <w:szCs w:val="24"/>
          <w:lang w:val="es-ES"/>
        </w:rPr>
        <w:t xml:space="preserve"> son los</w:t>
      </w:r>
      <w:r w:rsidR="002C3973" w:rsidRPr="00045E69">
        <w:rPr>
          <w:rFonts w:ascii="Times New Roman" w:hAnsi="Times New Roman"/>
          <w:color w:val="000000"/>
          <w:sz w:val="24"/>
          <w:szCs w:val="24"/>
          <w:lang w:val="es-ES"/>
        </w:rPr>
        <w:t xml:space="preserve"> pioneros de los primeros modelos DCGE y se mantiene</w:t>
      </w:r>
      <w:r w:rsidRPr="00045E69">
        <w:rPr>
          <w:rFonts w:ascii="Times New Roman" w:hAnsi="Times New Roman"/>
          <w:color w:val="000000"/>
          <w:sz w:val="24"/>
          <w:szCs w:val="24"/>
          <w:lang w:val="es-ES"/>
        </w:rPr>
        <w:t>n</w:t>
      </w:r>
      <w:r w:rsidR="002C3973" w:rsidRPr="00045E69">
        <w:rPr>
          <w:rFonts w:ascii="Times New Roman" w:hAnsi="Times New Roman"/>
          <w:color w:val="000000"/>
          <w:sz w:val="24"/>
          <w:szCs w:val="24"/>
          <w:lang w:val="es-ES"/>
        </w:rPr>
        <w:t xml:space="preserve"> en la vanguardia del campo. Avances recientes en el desarrollo de los modelos DCGE </w:t>
      </w:r>
      <w:r w:rsidR="00751859">
        <w:rPr>
          <w:rFonts w:ascii="Times New Roman" w:hAnsi="Times New Roman"/>
          <w:color w:val="000000"/>
          <w:sz w:val="24"/>
          <w:szCs w:val="24"/>
          <w:lang w:val="es-ES"/>
        </w:rPr>
        <w:t xml:space="preserve">para </w:t>
      </w:r>
      <w:r w:rsidR="002C3973" w:rsidRPr="00045E69">
        <w:rPr>
          <w:rFonts w:ascii="Times New Roman" w:hAnsi="Times New Roman"/>
          <w:color w:val="000000"/>
          <w:sz w:val="24"/>
          <w:szCs w:val="24"/>
          <w:lang w:val="es-ES"/>
        </w:rPr>
        <w:t>pr</w:t>
      </w:r>
      <w:r w:rsidRPr="00045E69">
        <w:rPr>
          <w:rFonts w:ascii="Times New Roman" w:hAnsi="Times New Roman"/>
          <w:color w:val="000000"/>
          <w:sz w:val="24"/>
          <w:szCs w:val="24"/>
          <w:lang w:val="es-ES"/>
        </w:rPr>
        <w:t xml:space="preserve">oyecciones </w:t>
      </w:r>
      <w:r w:rsidR="00751859">
        <w:rPr>
          <w:rFonts w:ascii="Times New Roman" w:hAnsi="Times New Roman"/>
          <w:color w:val="000000"/>
          <w:sz w:val="24"/>
          <w:szCs w:val="24"/>
          <w:lang w:val="es-ES"/>
        </w:rPr>
        <w:t xml:space="preserve">económicos </w:t>
      </w:r>
      <w:r w:rsidRPr="00045E69">
        <w:rPr>
          <w:rFonts w:ascii="Times New Roman" w:hAnsi="Times New Roman"/>
          <w:color w:val="000000"/>
          <w:sz w:val="24"/>
          <w:szCs w:val="24"/>
          <w:lang w:val="es-ES"/>
        </w:rPr>
        <w:t xml:space="preserve">han dado lugar a </w:t>
      </w:r>
      <w:r w:rsidR="002C3973" w:rsidRPr="00045E69">
        <w:rPr>
          <w:rFonts w:ascii="Times New Roman" w:hAnsi="Times New Roman"/>
          <w:color w:val="000000"/>
          <w:sz w:val="24"/>
          <w:szCs w:val="24"/>
          <w:lang w:val="es-ES"/>
        </w:rPr>
        <w:t>técnicas promete</w:t>
      </w:r>
      <w:r w:rsidR="00751859">
        <w:rPr>
          <w:rFonts w:ascii="Times New Roman" w:hAnsi="Times New Roman"/>
          <w:color w:val="000000"/>
          <w:sz w:val="24"/>
          <w:szCs w:val="24"/>
          <w:lang w:val="es-ES"/>
        </w:rPr>
        <w:t>dora</w:t>
      </w:r>
      <w:r w:rsidRPr="00045E69">
        <w:rPr>
          <w:rFonts w:ascii="Times New Roman" w:hAnsi="Times New Roman"/>
          <w:color w:val="000000"/>
          <w:sz w:val="24"/>
          <w:szCs w:val="24"/>
          <w:lang w:val="es-ES"/>
        </w:rPr>
        <w:t>s para su aplicación en el</w:t>
      </w:r>
      <w:r w:rsidR="002C3973" w:rsidRPr="00045E69">
        <w:rPr>
          <w:rFonts w:ascii="Times New Roman" w:hAnsi="Times New Roman"/>
          <w:color w:val="000000"/>
          <w:sz w:val="24"/>
          <w:szCs w:val="24"/>
          <w:lang w:val="es-ES"/>
        </w:rPr>
        <w:t xml:space="preserve"> análisis DCGE ex-post.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Los investigadores Dixon y Rimmer (2010) de CoPS han planteado como prio</w:t>
      </w:r>
      <w:r w:rsidR="00751859">
        <w:rPr>
          <w:rFonts w:ascii="Times New Roman" w:hAnsi="Times New Roman"/>
          <w:color w:val="000000"/>
          <w:sz w:val="24"/>
          <w:szCs w:val="24"/>
          <w:lang w:val="es-ES"/>
        </w:rPr>
        <w:t xml:space="preserve">ridad para investigación </w:t>
      </w:r>
      <w:r w:rsidRPr="00045E69">
        <w:rPr>
          <w:rFonts w:ascii="Times New Roman" w:hAnsi="Times New Roman"/>
          <w:color w:val="000000"/>
          <w:sz w:val="24"/>
          <w:szCs w:val="24"/>
          <w:lang w:val="es-ES"/>
        </w:rPr>
        <w:t>la evaluación de la precisión de los modelos DCGE en s</w:t>
      </w:r>
      <w:r w:rsidR="007F1F2C" w:rsidRPr="00045E69">
        <w:rPr>
          <w:rFonts w:ascii="Times New Roman" w:hAnsi="Times New Roman"/>
          <w:color w:val="000000"/>
          <w:sz w:val="24"/>
          <w:szCs w:val="24"/>
          <w:lang w:val="es-ES"/>
        </w:rPr>
        <w:t xml:space="preserve">us predicciones, </w:t>
      </w:r>
      <w:r w:rsidRPr="00045E69">
        <w:rPr>
          <w:rFonts w:ascii="Times New Roman" w:hAnsi="Times New Roman"/>
          <w:color w:val="000000"/>
          <w:sz w:val="24"/>
          <w:szCs w:val="24"/>
          <w:lang w:val="es-ES"/>
        </w:rPr>
        <w:t xml:space="preserve">a través del análisis de descomposición (Harrison et al., 1999, Dixon et al., 2000, Dixon y Rimmer, 2010). La dedicación de recursos hacia el desarrollo de este enfoque se propone como un componente de la estrategia de evaluación de impacto </w:t>
      </w:r>
      <w:r w:rsidR="00751859">
        <w:rPr>
          <w:rFonts w:ascii="Times New Roman" w:hAnsi="Times New Roman"/>
          <w:color w:val="000000"/>
          <w:sz w:val="24"/>
          <w:szCs w:val="24"/>
          <w:lang w:val="es-ES"/>
        </w:rPr>
        <w:t xml:space="preserve">ex-post </w:t>
      </w:r>
      <w:r w:rsidRPr="00045E69">
        <w:rPr>
          <w:rFonts w:ascii="Times New Roman" w:hAnsi="Times New Roman"/>
          <w:color w:val="000000"/>
          <w:sz w:val="24"/>
          <w:szCs w:val="24"/>
          <w:lang w:val="es-ES"/>
        </w:rPr>
        <w:t xml:space="preserve">Prodetur-ES. La consolidación de procedimientos para el análisis DCGE ex-post podrá contribuir de forma substantiva en las evaluaciones de impacto de </w:t>
      </w:r>
      <w:r w:rsidR="00751859">
        <w:rPr>
          <w:rFonts w:ascii="Times New Roman" w:hAnsi="Times New Roman"/>
          <w:color w:val="000000"/>
          <w:sz w:val="24"/>
          <w:szCs w:val="24"/>
          <w:lang w:val="es-ES"/>
        </w:rPr>
        <w:t xml:space="preserve">las </w:t>
      </w:r>
      <w:r w:rsidRPr="00045E69">
        <w:rPr>
          <w:rFonts w:ascii="Times New Roman" w:hAnsi="Times New Roman"/>
          <w:color w:val="000000"/>
          <w:sz w:val="24"/>
          <w:szCs w:val="24"/>
          <w:lang w:val="es-ES"/>
        </w:rPr>
        <w:t xml:space="preserve">inversiones del BID. Lo que sigue es una </w:t>
      </w:r>
      <w:r w:rsidR="00751859">
        <w:rPr>
          <w:rFonts w:ascii="Times New Roman" w:hAnsi="Times New Roman"/>
          <w:color w:val="000000"/>
          <w:sz w:val="24"/>
          <w:szCs w:val="24"/>
          <w:lang w:val="es-ES"/>
        </w:rPr>
        <w:t>descripción de los elementos básicos para el desarrollo de esta</w:t>
      </w:r>
      <w:r w:rsidRPr="00045E69">
        <w:rPr>
          <w:rFonts w:ascii="Times New Roman" w:hAnsi="Times New Roman"/>
          <w:color w:val="000000"/>
          <w:sz w:val="24"/>
          <w:szCs w:val="24"/>
          <w:lang w:val="es-ES"/>
        </w:rPr>
        <w:t xml:space="preserve"> </w:t>
      </w:r>
      <w:r w:rsidR="00751859">
        <w:rPr>
          <w:rFonts w:ascii="Times New Roman" w:hAnsi="Times New Roman"/>
          <w:color w:val="000000"/>
          <w:sz w:val="24"/>
          <w:szCs w:val="24"/>
          <w:lang w:val="es-ES"/>
        </w:rPr>
        <w:t xml:space="preserve">nueva </w:t>
      </w:r>
      <w:r w:rsidRPr="00045E69">
        <w:rPr>
          <w:rFonts w:ascii="Times New Roman" w:hAnsi="Times New Roman"/>
          <w:color w:val="000000"/>
          <w:sz w:val="24"/>
          <w:szCs w:val="24"/>
          <w:lang w:val="es-ES"/>
        </w:rPr>
        <w:t>metodología</w:t>
      </w:r>
      <w:r w:rsidR="00751859">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Las reglas de clausura de modelos </w:t>
      </w:r>
      <w:r w:rsidR="00751859">
        <w:rPr>
          <w:rFonts w:ascii="Times New Roman" w:hAnsi="Times New Roman"/>
          <w:color w:val="000000"/>
          <w:sz w:val="24"/>
          <w:szCs w:val="24"/>
          <w:lang w:val="es-ES"/>
        </w:rPr>
        <w:t>D</w:t>
      </w:r>
      <w:r w:rsidRPr="00045E69">
        <w:rPr>
          <w:rFonts w:ascii="Times New Roman" w:hAnsi="Times New Roman"/>
          <w:color w:val="000000"/>
          <w:sz w:val="24"/>
          <w:szCs w:val="24"/>
          <w:lang w:val="es-ES"/>
        </w:rPr>
        <w:t xml:space="preserve">CGE son </w:t>
      </w:r>
      <w:r w:rsidR="004D04EF" w:rsidRPr="00045E69">
        <w:rPr>
          <w:rFonts w:ascii="Times New Roman" w:hAnsi="Times New Roman"/>
          <w:color w:val="000000"/>
          <w:sz w:val="24"/>
          <w:szCs w:val="24"/>
          <w:lang w:val="es-ES"/>
        </w:rPr>
        <w:t>necesarias</w:t>
      </w:r>
      <w:r w:rsidRPr="00045E69">
        <w:rPr>
          <w:rFonts w:ascii="Times New Roman" w:hAnsi="Times New Roman"/>
          <w:color w:val="000000"/>
          <w:sz w:val="24"/>
          <w:szCs w:val="24"/>
          <w:lang w:val="es-ES"/>
        </w:rPr>
        <w:t xml:space="preserve"> para que su sistema de ecuaciones se pueda solucionar. Esta clausura implica la elección de </w:t>
      </w:r>
      <w:r w:rsidRPr="00045E69">
        <w:rPr>
          <w:rFonts w:ascii="Times New Roman" w:hAnsi="Times New Roman"/>
          <w:i/>
          <w:color w:val="000000"/>
          <w:sz w:val="24"/>
          <w:szCs w:val="24"/>
          <w:lang w:val="es-ES"/>
        </w:rPr>
        <w:t>n - m</w:t>
      </w:r>
      <w:r w:rsidRPr="00045E69">
        <w:rPr>
          <w:rFonts w:ascii="Times New Roman" w:hAnsi="Times New Roman"/>
          <w:color w:val="000000"/>
          <w:sz w:val="24"/>
          <w:szCs w:val="24"/>
          <w:lang w:val="es-ES"/>
        </w:rPr>
        <w:t xml:space="preserve"> variables para ser incluidos en el conjunto de variables exógenas. El modelo de Monash DCGE parte de la tradición de modelaje ORANI </w:t>
      </w:r>
      <w:r w:rsidR="004D04EF" w:rsidRPr="00045E69">
        <w:rPr>
          <w:rFonts w:ascii="Times New Roman" w:hAnsi="Times New Roman"/>
          <w:color w:val="000000"/>
          <w:sz w:val="24"/>
          <w:szCs w:val="24"/>
          <w:lang w:val="es-ES"/>
        </w:rPr>
        <w:t>(Dixon</w:t>
      </w:r>
      <w:r w:rsidRPr="00045E69">
        <w:rPr>
          <w:rFonts w:ascii="Times New Roman" w:hAnsi="Times New Roman"/>
          <w:color w:val="000000"/>
          <w:sz w:val="24"/>
          <w:szCs w:val="24"/>
          <w:lang w:val="es-ES"/>
        </w:rPr>
        <w:t xml:space="preserve"> et al., </w:t>
      </w:r>
      <w:r w:rsidR="004D04EF" w:rsidRPr="00045E69">
        <w:rPr>
          <w:rFonts w:ascii="Times New Roman" w:hAnsi="Times New Roman"/>
          <w:color w:val="000000"/>
          <w:sz w:val="24"/>
          <w:szCs w:val="24"/>
          <w:lang w:val="es-ES"/>
        </w:rPr>
        <w:t>1982)</w:t>
      </w:r>
      <w:r w:rsidRPr="00045E69">
        <w:rPr>
          <w:rFonts w:ascii="Times New Roman" w:hAnsi="Times New Roman"/>
          <w:color w:val="000000"/>
          <w:sz w:val="24"/>
          <w:szCs w:val="24"/>
          <w:lang w:val="es-ES"/>
        </w:rPr>
        <w:t xml:space="preserve"> y se describe en detalle en Dixon y Rimmer (2002). Dos clausuras son uti</w:t>
      </w:r>
      <w:r w:rsidR="00751859">
        <w:rPr>
          <w:rFonts w:ascii="Times New Roman" w:hAnsi="Times New Roman"/>
          <w:color w:val="000000"/>
          <w:sz w:val="24"/>
          <w:szCs w:val="24"/>
          <w:lang w:val="es-ES"/>
        </w:rPr>
        <w:t>lizadas este modelo: la clausura histórica y la clausura de</w:t>
      </w:r>
      <w:r w:rsidRPr="00045E69">
        <w:rPr>
          <w:rFonts w:ascii="Times New Roman" w:hAnsi="Times New Roman"/>
          <w:color w:val="000000"/>
          <w:sz w:val="24"/>
          <w:szCs w:val="24"/>
          <w:lang w:val="es-ES"/>
        </w:rPr>
        <w:t xml:space="preserve"> descomposición. La clausura histórica se utiliza para derivar estimacio</w:t>
      </w:r>
      <w:r w:rsidR="00751859">
        <w:rPr>
          <w:rFonts w:ascii="Times New Roman" w:hAnsi="Times New Roman"/>
          <w:color w:val="000000"/>
          <w:sz w:val="24"/>
          <w:szCs w:val="24"/>
          <w:lang w:val="es-ES"/>
        </w:rPr>
        <w:t>nes de</w:t>
      </w:r>
      <w:r w:rsidR="007F1F2C" w:rsidRPr="00045E69">
        <w:rPr>
          <w:rFonts w:ascii="Times New Roman" w:hAnsi="Times New Roman"/>
          <w:color w:val="000000"/>
          <w:sz w:val="24"/>
          <w:szCs w:val="24"/>
          <w:lang w:val="es-ES"/>
        </w:rPr>
        <w:t xml:space="preserve"> los cambios en tecnología, </w:t>
      </w:r>
      <w:r w:rsidRPr="00045E69">
        <w:rPr>
          <w:rFonts w:ascii="Times New Roman" w:hAnsi="Times New Roman"/>
          <w:color w:val="000000"/>
          <w:sz w:val="24"/>
          <w:szCs w:val="24"/>
          <w:lang w:val="es-ES"/>
        </w:rPr>
        <w:t>p</w:t>
      </w:r>
      <w:r w:rsidR="008E0754" w:rsidRPr="00045E69">
        <w:rPr>
          <w:rFonts w:ascii="Times New Roman" w:hAnsi="Times New Roman"/>
          <w:color w:val="000000"/>
          <w:sz w:val="24"/>
          <w:szCs w:val="24"/>
          <w:lang w:val="es-ES"/>
        </w:rPr>
        <w:t xml:space="preserve">referencias del consumidor, la </w:t>
      </w:r>
      <w:r w:rsidRPr="00045E69">
        <w:rPr>
          <w:rFonts w:ascii="Times New Roman" w:hAnsi="Times New Roman"/>
          <w:color w:val="000000"/>
          <w:sz w:val="24"/>
          <w:szCs w:val="24"/>
          <w:lang w:val="es-ES"/>
        </w:rPr>
        <w:t xml:space="preserve">demanda, </w:t>
      </w:r>
      <w:r w:rsidR="008E0754" w:rsidRPr="00045E69">
        <w:rPr>
          <w:rFonts w:ascii="Times New Roman" w:hAnsi="Times New Roman"/>
          <w:color w:val="000000"/>
          <w:sz w:val="24"/>
          <w:szCs w:val="24"/>
          <w:lang w:val="es-ES"/>
        </w:rPr>
        <w:t>y las</w:t>
      </w:r>
      <w:r w:rsidRPr="00045E69">
        <w:rPr>
          <w:rFonts w:ascii="Times New Roman" w:hAnsi="Times New Roman"/>
          <w:color w:val="000000"/>
          <w:sz w:val="24"/>
          <w:szCs w:val="24"/>
          <w:lang w:val="es-ES"/>
        </w:rPr>
        <w:t xml:space="preserve"> exportaciones. Simulaciones históricas no están dirigidas a atribuir las causas de los</w:t>
      </w:r>
      <w:r w:rsidR="00751859">
        <w:rPr>
          <w:rFonts w:ascii="Times New Roman" w:hAnsi="Times New Roman"/>
          <w:color w:val="000000"/>
          <w:sz w:val="24"/>
          <w:szCs w:val="24"/>
          <w:lang w:val="es-ES"/>
        </w:rPr>
        <w:t xml:space="preserve"> acontecimientos del pasado, si </w:t>
      </w:r>
      <w:r w:rsidRPr="00045E69">
        <w:rPr>
          <w:rFonts w:ascii="Times New Roman" w:hAnsi="Times New Roman"/>
          <w:color w:val="000000"/>
          <w:sz w:val="24"/>
          <w:szCs w:val="24"/>
          <w:lang w:val="es-ES"/>
        </w:rPr>
        <w:t xml:space="preserve">no, son utilizadas para reproducir los eventos históricos. La solución de la clausura de descomposición utiliza </w:t>
      </w:r>
      <w:r w:rsidR="008E0754" w:rsidRPr="00045E69">
        <w:rPr>
          <w:rFonts w:ascii="Times New Roman" w:hAnsi="Times New Roman"/>
          <w:color w:val="000000"/>
          <w:sz w:val="24"/>
          <w:szCs w:val="24"/>
          <w:lang w:val="es-ES"/>
        </w:rPr>
        <w:t xml:space="preserve">resultados </w:t>
      </w:r>
      <w:r w:rsidR="008E0754" w:rsidRPr="00045E69">
        <w:rPr>
          <w:rFonts w:ascii="Times New Roman" w:hAnsi="Times New Roman"/>
          <w:color w:val="000000"/>
          <w:sz w:val="24"/>
          <w:szCs w:val="24"/>
          <w:lang w:val="es-ES"/>
        </w:rPr>
        <w:lastRenderedPageBreak/>
        <w:t>previamente derivado</w:t>
      </w:r>
      <w:r w:rsidR="00751859">
        <w:rPr>
          <w:rFonts w:ascii="Times New Roman" w:hAnsi="Times New Roman"/>
          <w:color w:val="000000"/>
          <w:sz w:val="24"/>
          <w:szCs w:val="24"/>
          <w:lang w:val="es-ES"/>
        </w:rPr>
        <w:t>s para explicar cambios en la</w:t>
      </w:r>
      <w:r w:rsidRPr="00045E69">
        <w:rPr>
          <w:rFonts w:ascii="Times New Roman" w:hAnsi="Times New Roman"/>
          <w:color w:val="000000"/>
          <w:sz w:val="24"/>
          <w:szCs w:val="24"/>
          <w:lang w:val="es-ES"/>
        </w:rPr>
        <w:t>s variables de interés</w:t>
      </w:r>
      <w:r w:rsidR="00751859">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La simulación de descomposición resuelve la cuestión de atribución, explica</w:t>
      </w:r>
      <w:r w:rsidR="008E0754" w:rsidRPr="00045E69">
        <w:rPr>
          <w:rFonts w:ascii="Times New Roman" w:hAnsi="Times New Roman"/>
          <w:color w:val="000000"/>
          <w:sz w:val="24"/>
          <w:szCs w:val="24"/>
          <w:lang w:val="es-ES"/>
        </w:rPr>
        <w:t>n</w:t>
      </w:r>
      <w:r w:rsidRPr="00045E69">
        <w:rPr>
          <w:rFonts w:ascii="Times New Roman" w:hAnsi="Times New Roman"/>
          <w:color w:val="000000"/>
          <w:sz w:val="24"/>
          <w:szCs w:val="24"/>
          <w:lang w:val="es-ES"/>
        </w:rPr>
        <w:t xml:space="preserve">do los </w:t>
      </w:r>
      <w:r w:rsidR="008E0754" w:rsidRPr="00045E69">
        <w:rPr>
          <w:rFonts w:ascii="Times New Roman" w:hAnsi="Times New Roman"/>
          <w:color w:val="000000"/>
          <w:sz w:val="24"/>
          <w:szCs w:val="24"/>
          <w:lang w:val="es-ES"/>
        </w:rPr>
        <w:t>cambios</w:t>
      </w:r>
      <w:r w:rsidR="00751859">
        <w:rPr>
          <w:rFonts w:ascii="Times New Roman" w:hAnsi="Times New Roman"/>
          <w:color w:val="000000"/>
          <w:sz w:val="24"/>
          <w:szCs w:val="24"/>
          <w:lang w:val="es-ES"/>
        </w:rPr>
        <w:t xml:space="preserve"> ocurridos</w:t>
      </w:r>
      <w:r w:rsidR="008E0754" w:rsidRPr="00045E69">
        <w:rPr>
          <w:rFonts w:ascii="Times New Roman" w:hAnsi="Times New Roman"/>
          <w:color w:val="000000"/>
          <w:sz w:val="24"/>
          <w:szCs w:val="24"/>
          <w:lang w:val="es-ES"/>
        </w:rPr>
        <w:t xml:space="preserve"> en una economía </w:t>
      </w:r>
      <w:r w:rsidRPr="00045E69">
        <w:rPr>
          <w:rFonts w:ascii="Times New Roman" w:hAnsi="Times New Roman"/>
          <w:color w:val="000000"/>
          <w:sz w:val="24"/>
          <w:szCs w:val="24"/>
          <w:lang w:val="es-ES"/>
        </w:rPr>
        <w:t xml:space="preserve">en términos de </w:t>
      </w:r>
      <w:r w:rsidR="00751859">
        <w:rPr>
          <w:rFonts w:ascii="Times New Roman" w:hAnsi="Times New Roman"/>
          <w:color w:val="000000"/>
          <w:sz w:val="24"/>
          <w:szCs w:val="24"/>
          <w:lang w:val="es-ES"/>
        </w:rPr>
        <w:t xml:space="preserve">los </w:t>
      </w:r>
      <w:r w:rsidRPr="00045E69">
        <w:rPr>
          <w:rFonts w:ascii="Times New Roman" w:hAnsi="Times New Roman"/>
          <w:color w:val="000000"/>
          <w:sz w:val="24"/>
          <w:szCs w:val="24"/>
          <w:lang w:val="es-ES"/>
        </w:rPr>
        <w:t xml:space="preserve">cambios en tecnología, preferencias y otras variables naturalmente exógenas (Dixon y Rimmer, 2010).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Más en concreto, la clausura de descomposic</w:t>
      </w:r>
      <w:r w:rsidR="00E55D95" w:rsidRPr="00045E69">
        <w:rPr>
          <w:rFonts w:ascii="Times New Roman" w:hAnsi="Times New Roman"/>
          <w:color w:val="000000"/>
          <w:sz w:val="24"/>
          <w:szCs w:val="24"/>
          <w:lang w:val="es-ES"/>
        </w:rPr>
        <w:t>ión y la clausura histórica representa</w:t>
      </w:r>
      <w:r w:rsidR="00FA6DA8">
        <w:rPr>
          <w:rFonts w:ascii="Times New Roman" w:hAnsi="Times New Roman"/>
          <w:color w:val="000000"/>
          <w:sz w:val="24"/>
          <w:szCs w:val="24"/>
          <w:lang w:val="es-ES"/>
        </w:rPr>
        <w:t>n</w:t>
      </w:r>
      <w:r w:rsidR="00E55D95" w:rsidRPr="00045E69">
        <w:rPr>
          <w:rFonts w:ascii="Times New Roman" w:hAnsi="Times New Roman"/>
          <w:color w:val="000000"/>
          <w:sz w:val="24"/>
          <w:szCs w:val="24"/>
          <w:lang w:val="es-ES"/>
        </w:rPr>
        <w:t xml:space="preserve"> una decisión </w:t>
      </w:r>
      <w:r w:rsidR="00FA6DA8">
        <w:rPr>
          <w:rFonts w:ascii="Times New Roman" w:hAnsi="Times New Roman"/>
          <w:color w:val="000000"/>
          <w:sz w:val="24"/>
          <w:szCs w:val="24"/>
          <w:lang w:val="es-ES"/>
        </w:rPr>
        <w:t xml:space="preserve">sobre cuales variables </w:t>
      </w:r>
      <w:r w:rsidRPr="00045E69">
        <w:rPr>
          <w:rFonts w:ascii="Times New Roman" w:hAnsi="Times New Roman"/>
          <w:color w:val="000000"/>
          <w:sz w:val="24"/>
          <w:szCs w:val="24"/>
          <w:lang w:val="es-ES"/>
        </w:rPr>
        <w:t>debería</w:t>
      </w:r>
      <w:r w:rsidR="00FA6DA8">
        <w:rPr>
          <w:rFonts w:ascii="Times New Roman" w:hAnsi="Times New Roman"/>
          <w:color w:val="000000"/>
          <w:sz w:val="24"/>
          <w:szCs w:val="24"/>
          <w:lang w:val="es-ES"/>
        </w:rPr>
        <w:t>n</w:t>
      </w:r>
      <w:r w:rsidRPr="00045E69">
        <w:rPr>
          <w:rFonts w:ascii="Times New Roman" w:hAnsi="Times New Roman"/>
          <w:color w:val="000000"/>
          <w:sz w:val="24"/>
          <w:szCs w:val="24"/>
          <w:lang w:val="es-ES"/>
        </w:rPr>
        <w:t xml:space="preserve"> </w:t>
      </w:r>
      <w:r w:rsidR="00FA6DA8">
        <w:rPr>
          <w:rFonts w:ascii="Times New Roman" w:hAnsi="Times New Roman"/>
          <w:color w:val="000000"/>
          <w:sz w:val="24"/>
          <w:szCs w:val="24"/>
          <w:lang w:val="es-ES"/>
        </w:rPr>
        <w:t>ser incluidas</w:t>
      </w:r>
      <w:r w:rsidRPr="00045E69">
        <w:rPr>
          <w:rFonts w:ascii="Times New Roman" w:hAnsi="Times New Roman"/>
          <w:color w:val="000000"/>
          <w:sz w:val="24"/>
          <w:szCs w:val="24"/>
          <w:lang w:val="es-ES"/>
        </w:rPr>
        <w:t xml:space="preserve"> en el conjunto </w:t>
      </w:r>
      <w:r w:rsidR="00E55D95" w:rsidRPr="00045E69">
        <w:rPr>
          <w:rFonts w:ascii="Times New Roman" w:hAnsi="Times New Roman"/>
          <w:color w:val="000000"/>
          <w:sz w:val="24"/>
          <w:szCs w:val="24"/>
          <w:lang w:val="es-ES"/>
        </w:rPr>
        <w:t xml:space="preserve">de variables </w:t>
      </w:r>
      <w:r w:rsidRPr="00045E69">
        <w:rPr>
          <w:rFonts w:ascii="Times New Roman" w:hAnsi="Times New Roman"/>
          <w:color w:val="000000"/>
          <w:sz w:val="24"/>
          <w:szCs w:val="24"/>
          <w:lang w:val="es-ES"/>
        </w:rPr>
        <w:t>exógena</w:t>
      </w:r>
      <w:r w:rsidR="00FA6DA8">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en cada clausura. En la clausura histórica, el modelo es obligado a seguir las variables que son observables ex–post. Para lograr esto, se endogeniza las variables no observables residuales que representan las preferencias de consum</w:t>
      </w:r>
      <w:r w:rsidR="00E55D95" w:rsidRPr="00045E69">
        <w:rPr>
          <w:rFonts w:ascii="Times New Roman" w:hAnsi="Times New Roman"/>
          <w:color w:val="000000"/>
          <w:sz w:val="24"/>
          <w:szCs w:val="24"/>
          <w:lang w:val="es-ES"/>
        </w:rPr>
        <w:t>idores</w:t>
      </w:r>
      <w:r w:rsidRPr="00045E69">
        <w:rPr>
          <w:rFonts w:ascii="Times New Roman" w:hAnsi="Times New Roman"/>
          <w:color w:val="000000"/>
          <w:sz w:val="24"/>
          <w:szCs w:val="24"/>
          <w:lang w:val="es-ES"/>
        </w:rPr>
        <w:t xml:space="preserve"> y </w:t>
      </w:r>
      <w:r w:rsidR="00E55D95" w:rsidRPr="00045E69">
        <w:rPr>
          <w:rFonts w:ascii="Times New Roman" w:hAnsi="Times New Roman"/>
          <w:color w:val="000000"/>
          <w:sz w:val="24"/>
          <w:szCs w:val="24"/>
          <w:lang w:val="es-ES"/>
        </w:rPr>
        <w:t xml:space="preserve">las </w:t>
      </w:r>
      <w:r w:rsidRPr="00045E69">
        <w:rPr>
          <w:rFonts w:ascii="Times New Roman" w:hAnsi="Times New Roman"/>
          <w:color w:val="000000"/>
          <w:sz w:val="24"/>
          <w:szCs w:val="24"/>
          <w:lang w:val="es-ES"/>
        </w:rPr>
        <w:t>tecnologías de producción. El conjunto exógena en la clausura histórica incluye las variables observables y asignables. Variables observables se observan fácilmente a partir de fuentes estadísticas. Cuan</w:t>
      </w:r>
      <w:r w:rsidR="00FA6DA8">
        <w:rPr>
          <w:rFonts w:ascii="Times New Roman" w:hAnsi="Times New Roman"/>
          <w:color w:val="000000"/>
          <w:sz w:val="24"/>
          <w:szCs w:val="24"/>
          <w:lang w:val="es-ES"/>
        </w:rPr>
        <w:t>do hay datos de insumo-producto</w:t>
      </w:r>
      <w:r w:rsidRPr="00045E69">
        <w:rPr>
          <w:rFonts w:ascii="Times New Roman" w:hAnsi="Times New Roman"/>
          <w:color w:val="000000"/>
          <w:sz w:val="24"/>
          <w:szCs w:val="24"/>
          <w:lang w:val="es-ES"/>
        </w:rPr>
        <w:t xml:space="preserve"> disponibles para el período inicial de</w:t>
      </w:r>
      <w:r w:rsidR="00FA6DA8">
        <w:rPr>
          <w:rFonts w:ascii="Times New Roman" w:hAnsi="Times New Roman"/>
          <w:color w:val="000000"/>
          <w:sz w:val="24"/>
          <w:szCs w:val="24"/>
          <w:lang w:val="es-ES"/>
        </w:rPr>
        <w:t>l</w:t>
      </w:r>
      <w:r w:rsidRPr="00045E69">
        <w:rPr>
          <w:rFonts w:ascii="Times New Roman" w:hAnsi="Times New Roman"/>
          <w:color w:val="000000"/>
          <w:sz w:val="24"/>
          <w:szCs w:val="24"/>
          <w:lang w:val="es-ES"/>
        </w:rPr>
        <w:t xml:space="preserve"> análisis y el período final del análisis (las MMCS de la línea de base y </w:t>
      </w:r>
      <w:r w:rsidR="00FA6DA8">
        <w:rPr>
          <w:rFonts w:ascii="Times New Roman" w:hAnsi="Times New Roman"/>
          <w:color w:val="000000"/>
          <w:sz w:val="24"/>
          <w:szCs w:val="24"/>
          <w:lang w:val="es-ES"/>
        </w:rPr>
        <w:t xml:space="preserve">la MMCS </w:t>
      </w:r>
      <w:r w:rsidRPr="00045E69">
        <w:rPr>
          <w:rFonts w:ascii="Times New Roman" w:hAnsi="Times New Roman"/>
          <w:color w:val="000000"/>
          <w:sz w:val="24"/>
          <w:szCs w:val="24"/>
          <w:lang w:val="es-ES"/>
        </w:rPr>
        <w:t>ex-post), los flujos de insumos intermedios</w:t>
      </w:r>
      <w:r w:rsidR="00E55D95" w:rsidRPr="00045E69">
        <w:rPr>
          <w:rFonts w:ascii="Times New Roman" w:hAnsi="Times New Roman"/>
          <w:color w:val="000000"/>
          <w:sz w:val="24"/>
          <w:szCs w:val="24"/>
          <w:lang w:val="es-ES"/>
        </w:rPr>
        <w:t xml:space="preserve"> de sectores</w:t>
      </w:r>
      <w:r w:rsidRPr="00045E69">
        <w:rPr>
          <w:rFonts w:ascii="Times New Roman" w:hAnsi="Times New Roman"/>
          <w:color w:val="000000"/>
          <w:sz w:val="24"/>
          <w:szCs w:val="24"/>
          <w:lang w:val="es-ES"/>
        </w:rPr>
        <w:t xml:space="preserve"> </w:t>
      </w:r>
      <w:r w:rsidRPr="00045E69">
        <w:rPr>
          <w:rFonts w:ascii="Times New Roman" w:hAnsi="Times New Roman"/>
          <w:i/>
          <w:color w:val="000000"/>
          <w:sz w:val="24"/>
          <w:szCs w:val="24"/>
          <w:lang w:val="es-ES"/>
        </w:rPr>
        <w:t>i</w:t>
      </w:r>
      <w:r w:rsidRPr="00045E69">
        <w:rPr>
          <w:rFonts w:ascii="Times New Roman" w:hAnsi="Times New Roman"/>
          <w:color w:val="000000"/>
          <w:sz w:val="24"/>
          <w:szCs w:val="24"/>
          <w:lang w:val="es-ES"/>
        </w:rPr>
        <w:t xml:space="preserve"> a sectores </w:t>
      </w:r>
      <w:r w:rsidRPr="00045E69">
        <w:rPr>
          <w:rFonts w:ascii="Times New Roman" w:hAnsi="Times New Roman"/>
          <w:i/>
          <w:color w:val="000000"/>
          <w:sz w:val="24"/>
          <w:szCs w:val="24"/>
          <w:lang w:val="es-ES"/>
        </w:rPr>
        <w:t>j</w:t>
      </w:r>
      <w:r w:rsidRPr="00045E69">
        <w:rPr>
          <w:rFonts w:ascii="Times New Roman" w:hAnsi="Times New Roman"/>
          <w:color w:val="000000"/>
          <w:sz w:val="24"/>
          <w:szCs w:val="24"/>
          <w:lang w:val="es-ES"/>
        </w:rPr>
        <w:t xml:space="preserve"> también pueden ser incluidos en la categoría de variables observables y fijados como exógenos en la clausura histórica (Dixon et al., 2000).</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En la clausura de descomposición, las variables residuales son fijadas como </w:t>
      </w:r>
      <w:r w:rsidR="004D04EF" w:rsidRPr="00045E69">
        <w:rPr>
          <w:rFonts w:ascii="Times New Roman" w:hAnsi="Times New Roman"/>
          <w:color w:val="000000"/>
          <w:sz w:val="24"/>
          <w:szCs w:val="24"/>
          <w:lang w:val="es-ES"/>
        </w:rPr>
        <w:t>exógenas</w:t>
      </w:r>
      <w:r w:rsidRPr="00045E69">
        <w:rPr>
          <w:rFonts w:ascii="Times New Roman" w:hAnsi="Times New Roman"/>
          <w:color w:val="000000"/>
          <w:sz w:val="24"/>
          <w:szCs w:val="24"/>
          <w:lang w:val="es-ES"/>
        </w:rPr>
        <w:t xml:space="preserve"> y </w:t>
      </w:r>
      <w:r w:rsidR="00FA6DA8">
        <w:rPr>
          <w:rFonts w:ascii="Times New Roman" w:hAnsi="Times New Roman"/>
          <w:color w:val="000000"/>
          <w:sz w:val="24"/>
          <w:szCs w:val="24"/>
          <w:lang w:val="es-ES"/>
        </w:rPr>
        <w:t xml:space="preserve">se calcula </w:t>
      </w:r>
      <w:r w:rsidRPr="00045E69">
        <w:rPr>
          <w:rFonts w:ascii="Times New Roman" w:hAnsi="Times New Roman"/>
          <w:color w:val="000000"/>
          <w:sz w:val="24"/>
          <w:szCs w:val="24"/>
          <w:lang w:val="es-ES"/>
        </w:rPr>
        <w:t xml:space="preserve">su </w:t>
      </w:r>
      <w:r w:rsidR="00FA6DA8">
        <w:rPr>
          <w:rFonts w:ascii="Times New Roman" w:hAnsi="Times New Roman"/>
          <w:color w:val="000000"/>
          <w:sz w:val="24"/>
          <w:szCs w:val="24"/>
          <w:lang w:val="es-ES"/>
        </w:rPr>
        <w:t>impacto sobre los movimientos de</w:t>
      </w:r>
      <w:r w:rsidRPr="00045E69">
        <w:rPr>
          <w:rFonts w:ascii="Times New Roman" w:hAnsi="Times New Roman"/>
          <w:color w:val="000000"/>
          <w:sz w:val="24"/>
          <w:szCs w:val="24"/>
          <w:lang w:val="es-ES"/>
        </w:rPr>
        <w:t xml:space="preserve"> la</w:t>
      </w:r>
      <w:r w:rsidR="00A306D1" w:rsidRPr="00045E69">
        <w:rPr>
          <w:rFonts w:ascii="Times New Roman" w:hAnsi="Times New Roman"/>
          <w:color w:val="000000"/>
          <w:sz w:val="24"/>
          <w:szCs w:val="24"/>
          <w:lang w:val="es-ES"/>
        </w:rPr>
        <w:t>s variables macroeconómicas y las</w:t>
      </w:r>
      <w:r w:rsidRPr="00045E69">
        <w:rPr>
          <w:rFonts w:ascii="Times New Roman" w:hAnsi="Times New Roman"/>
          <w:color w:val="000000"/>
          <w:sz w:val="24"/>
          <w:szCs w:val="24"/>
          <w:lang w:val="es-ES"/>
        </w:rPr>
        <w:t xml:space="preserve"> </w:t>
      </w:r>
      <w:r w:rsidR="00A306D1" w:rsidRPr="00045E69">
        <w:rPr>
          <w:rFonts w:ascii="Times New Roman" w:hAnsi="Times New Roman"/>
          <w:color w:val="000000"/>
          <w:sz w:val="24"/>
          <w:szCs w:val="24"/>
          <w:lang w:val="es-ES"/>
        </w:rPr>
        <w:t xml:space="preserve">variables de </w:t>
      </w:r>
      <w:r w:rsidR="00FA6DA8">
        <w:rPr>
          <w:rFonts w:ascii="Times New Roman" w:hAnsi="Times New Roman"/>
          <w:color w:val="000000"/>
          <w:sz w:val="24"/>
          <w:szCs w:val="24"/>
          <w:lang w:val="es-ES"/>
        </w:rPr>
        <w:t>comercio internacional</w:t>
      </w:r>
      <w:r w:rsidRPr="00045E69">
        <w:rPr>
          <w:rFonts w:ascii="Times New Roman" w:hAnsi="Times New Roman"/>
          <w:color w:val="000000"/>
          <w:sz w:val="24"/>
          <w:szCs w:val="24"/>
          <w:lang w:val="es-ES"/>
        </w:rPr>
        <w:t xml:space="preserve">. En la clausura de descomposición, </w:t>
      </w:r>
      <w:r w:rsidR="00FA6DA8">
        <w:rPr>
          <w:rFonts w:ascii="Times New Roman" w:hAnsi="Times New Roman"/>
          <w:color w:val="000000"/>
          <w:sz w:val="24"/>
          <w:szCs w:val="24"/>
          <w:lang w:val="es-ES"/>
        </w:rPr>
        <w:t>se incluyen</w:t>
      </w:r>
      <w:r w:rsidRPr="00045E69">
        <w:rPr>
          <w:rFonts w:ascii="Times New Roman" w:hAnsi="Times New Roman"/>
          <w:color w:val="000000"/>
          <w:sz w:val="24"/>
          <w:szCs w:val="24"/>
          <w:lang w:val="es-ES"/>
        </w:rPr>
        <w:t xml:space="preserve"> todas las variables que son naturalmente exógenas, que son aquellas variables que normalmente no son explicadas por los modelos DCGE. Estas son las variables observables, como </w:t>
      </w:r>
      <w:r w:rsidR="00FA6DA8">
        <w:rPr>
          <w:rFonts w:ascii="Times New Roman" w:hAnsi="Times New Roman"/>
          <w:color w:val="000000"/>
          <w:sz w:val="24"/>
          <w:szCs w:val="24"/>
          <w:lang w:val="es-ES"/>
        </w:rPr>
        <w:t xml:space="preserve">son </w:t>
      </w:r>
      <w:r w:rsidRPr="00045E69">
        <w:rPr>
          <w:rFonts w:ascii="Times New Roman" w:hAnsi="Times New Roman"/>
          <w:color w:val="000000"/>
          <w:sz w:val="24"/>
          <w:szCs w:val="24"/>
          <w:lang w:val="es-ES"/>
        </w:rPr>
        <w:t>las tasas de impuestos y crecimiento de la población y las variables no observables como son las preferencias de los consumidores y las tecnologías de producción (Dixon et al., 2000).</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En resumen, siguiendo Dixon et al (2000), las variables del modelo se</w:t>
      </w:r>
      <w:r w:rsidR="00A306D1" w:rsidRPr="00045E69">
        <w:rPr>
          <w:rFonts w:ascii="Times New Roman" w:hAnsi="Times New Roman"/>
          <w:color w:val="000000"/>
          <w:sz w:val="24"/>
          <w:szCs w:val="24"/>
          <w:lang w:val="es-ES"/>
        </w:rPr>
        <w:t xml:space="preserve"> pueden dividir en cuatro componentes</w:t>
      </w:r>
      <w:r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r>
              <w:rPr>
                <w:rFonts w:ascii="Cambria Math" w:hAnsi="Cambria Math"/>
                <w:color w:val="000000"/>
                <w:sz w:val="24"/>
                <w:szCs w:val="24"/>
                <w:lang w:val="es-ES"/>
              </w:rPr>
              <m:t>HD</m:t>
            </m:r>
          </m:e>
        </m:d>
        <m:r>
          <w:rPr>
            <w:rFonts w:ascii="Cambria Math" w:hAnsi="Cambria Math"/>
            <w:color w:val="000000"/>
            <w:sz w:val="24"/>
            <w:szCs w:val="24"/>
            <w:lang w:val="es-ES"/>
          </w:rPr>
          <m:t>, X</m:t>
        </m:r>
        <m:d>
          <m:dPr>
            <m:ctrlPr>
              <w:rPr>
                <w:rFonts w:ascii="Cambria Math" w:hAnsi="Cambria Math"/>
                <w:i/>
                <w:color w:val="000000"/>
                <w:sz w:val="24"/>
                <w:szCs w:val="24"/>
                <w:lang w:val="es-ES"/>
              </w:rPr>
            </m:ctrlPr>
          </m:dPr>
          <m:e>
            <m:r>
              <w:rPr>
                <w:rFonts w:ascii="Cambria Math" w:hAnsi="Cambria Math"/>
                <w:color w:val="000000"/>
                <w:sz w:val="24"/>
                <w:szCs w:val="24"/>
                <w:lang w:val="es-ES"/>
              </w:rPr>
              <m:t>H</m:t>
            </m:r>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D</m:t>
                </m:r>
              </m:e>
            </m:acc>
          </m:e>
        </m:d>
        <m:r>
          <w:rPr>
            <w:rFonts w:ascii="Cambria Math" w:hAnsi="Cambria Math"/>
            <w:color w:val="000000"/>
            <w:sz w:val="24"/>
            <w:szCs w:val="24"/>
            <w:lang w:val="es-ES"/>
          </w:rPr>
          <m:t>, X</m:t>
        </m:r>
        <m:d>
          <m:dPr>
            <m:ctrlPr>
              <w:rPr>
                <w:rFonts w:ascii="Cambria Math" w:hAnsi="Cambria Math"/>
                <w:i/>
                <w:color w:val="000000"/>
                <w:sz w:val="24"/>
                <w:szCs w:val="24"/>
                <w:lang w:val="es-ES"/>
              </w:rPr>
            </m:ctrlPr>
          </m:dPr>
          <m:e>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m:t>
                </m:r>
              </m:e>
            </m:acc>
            <m:r>
              <w:rPr>
                <w:rFonts w:ascii="Cambria Math" w:hAnsi="Cambria Math"/>
                <w:color w:val="000000"/>
                <w:sz w:val="24"/>
                <w:szCs w:val="24"/>
                <w:lang w:val="es-ES"/>
              </w:rPr>
              <m:t>D</m:t>
            </m:r>
          </m:e>
        </m:d>
        <m:r>
          <w:rPr>
            <w:rFonts w:ascii="Cambria Math" w:hAnsi="Cambria Math"/>
            <w:color w:val="000000"/>
            <w:sz w:val="24"/>
            <w:szCs w:val="24"/>
            <w:lang w:val="es-ES"/>
          </w:rPr>
          <m:t>, X(</m:t>
        </m:r>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HD</m:t>
            </m:r>
          </m:e>
        </m:acc>
        <m:r>
          <w:rPr>
            <w:rFonts w:ascii="Cambria Math" w:hAnsi="Cambria Math"/>
            <w:color w:val="000000"/>
            <w:sz w:val="24"/>
            <w:szCs w:val="24"/>
            <w:lang w:val="es-ES"/>
          </w:rPr>
          <m:t>)</m:t>
        </m:r>
      </m:oMath>
      <w:r w:rsidRPr="00045E69">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t>(1)</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A306D1"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Do</w:t>
      </w:r>
      <w:r w:rsidR="002C3973" w:rsidRPr="00045E69">
        <w:rPr>
          <w:rFonts w:ascii="Times New Roman" w:hAnsi="Times New Roman"/>
          <w:color w:val="000000"/>
          <w:sz w:val="24"/>
          <w:szCs w:val="24"/>
          <w:lang w:val="es-ES"/>
        </w:rPr>
        <w:t>nde:</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m:oMath>
        <m:r>
          <w:rPr>
            <w:rFonts w:ascii="Cambria Math" w:hAnsi="Cambria Math"/>
            <w:color w:val="000000"/>
            <w:sz w:val="24"/>
            <w:szCs w:val="24"/>
            <w:lang w:val="es-ES"/>
          </w:rPr>
          <w:lastRenderedPageBreak/>
          <m:t>H</m:t>
        </m:r>
      </m:oMath>
      <w:r w:rsidRPr="00045E69">
        <w:rPr>
          <w:rFonts w:ascii="Times New Roman" w:hAnsi="Times New Roman"/>
          <w:color w:val="000000"/>
          <w:sz w:val="24"/>
          <w:szCs w:val="24"/>
          <w:lang w:val="es-ES"/>
        </w:rPr>
        <w:t xml:space="preserve"> son variables exógenas en la clausura histórica</w:t>
      </w:r>
    </w:p>
    <w:p w:rsidR="002C3973" w:rsidRPr="00045E69" w:rsidRDefault="00C453D8" w:rsidP="00C82F81">
      <w:pPr>
        <w:pStyle w:val="ColorfulList-Accent11"/>
        <w:spacing w:after="0" w:line="360" w:lineRule="auto"/>
        <w:ind w:left="0"/>
        <w:jc w:val="both"/>
        <w:rPr>
          <w:rFonts w:ascii="Times New Roman" w:hAnsi="Times New Roman"/>
          <w:color w:val="000000"/>
          <w:sz w:val="24"/>
          <w:szCs w:val="24"/>
          <w:lang w:val="es-ES"/>
        </w:rPr>
      </w:pPr>
      <m:oMath>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m:t>
            </m:r>
          </m:e>
        </m:acc>
      </m:oMath>
      <w:r w:rsidR="002C3973" w:rsidRPr="00045E69">
        <w:rPr>
          <w:rFonts w:ascii="Times New Roman" w:hAnsi="Times New Roman"/>
          <w:color w:val="000000"/>
          <w:sz w:val="24"/>
          <w:szCs w:val="24"/>
          <w:lang w:val="es-ES"/>
        </w:rPr>
        <w:t xml:space="preserve"> son variables endógenas en la clausura histórica</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m:oMath>
        <m:r>
          <w:rPr>
            <w:rFonts w:ascii="Cambria Math" w:hAnsi="Cambria Math"/>
            <w:color w:val="000000"/>
            <w:sz w:val="24"/>
            <w:szCs w:val="24"/>
            <w:lang w:val="es-ES"/>
          </w:rPr>
          <m:t>D</m:t>
        </m:r>
      </m:oMath>
      <w:r w:rsidRPr="00045E69">
        <w:rPr>
          <w:rFonts w:ascii="Times New Roman" w:hAnsi="Times New Roman"/>
          <w:color w:val="000000"/>
          <w:sz w:val="24"/>
          <w:szCs w:val="24"/>
          <w:lang w:val="es-ES"/>
        </w:rPr>
        <w:t xml:space="preserve"> son variables exógenas en la clausura de descomposición</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 </w:t>
      </w:r>
      <m:oMath>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D</m:t>
            </m:r>
          </m:e>
        </m:acc>
      </m:oMath>
      <w:r w:rsidRPr="00045E69">
        <w:rPr>
          <w:rFonts w:ascii="Times New Roman" w:hAnsi="Times New Roman"/>
          <w:color w:val="000000"/>
          <w:sz w:val="24"/>
          <w:szCs w:val="24"/>
          <w:lang w:val="es-ES"/>
        </w:rPr>
        <w:t xml:space="preserve"> son variables endógenas en la clausura de descomposición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keepNext/>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lastRenderedPageBreak/>
        <w:t xml:space="preserve">Tabla 1. La partición de las cuatro variables en las clausuras históricas y de descomposición (Dixon et al., 2000)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7"/>
        <w:gridCol w:w="2347"/>
        <w:gridCol w:w="2347"/>
        <w:gridCol w:w="2348"/>
      </w:tblGrid>
      <w:tr w:rsidR="002C3973" w:rsidRPr="00045E69" w:rsidTr="00C82F81">
        <w:tc>
          <w:tcPr>
            <w:tcW w:w="2347" w:type="dxa"/>
            <w:tcBorders>
              <w:top w:val="single" w:sz="4" w:space="0" w:color="auto"/>
              <w:bottom w:val="double" w:sz="4" w:space="0" w:color="auto"/>
            </w:tcBorders>
          </w:tcPr>
          <w:p w:rsidR="002C3973" w:rsidRPr="00045E69" w:rsidRDefault="002C3973" w:rsidP="00C82F81">
            <w:pPr>
              <w:pStyle w:val="ColorfulList-Accent11"/>
              <w:keepNext/>
              <w:spacing w:line="360" w:lineRule="auto"/>
              <w:ind w:left="0"/>
              <w:jc w:val="center"/>
              <w:rPr>
                <w:rFonts w:ascii="Times New Roman" w:hAnsi="Times New Roman"/>
                <w:color w:val="000000"/>
                <w:lang w:val="es-ES"/>
              </w:rPr>
            </w:pPr>
            <m:oMath>
              <m:r>
                <w:rPr>
                  <w:rFonts w:ascii="Cambria Math" w:hAnsi="Cambria Math"/>
                  <w:color w:val="000000"/>
                  <w:lang w:val="es-ES"/>
                </w:rPr>
                <m:t>X</m:t>
              </m:r>
              <m:d>
                <m:dPr>
                  <m:ctrlPr>
                    <w:rPr>
                      <w:rFonts w:ascii="Cambria Math" w:hAnsi="Cambria Math"/>
                      <w:i/>
                      <w:color w:val="000000"/>
                      <w:lang w:val="es-ES"/>
                    </w:rPr>
                  </m:ctrlPr>
                </m:dPr>
                <m:e>
                  <m:r>
                    <w:rPr>
                      <w:rFonts w:ascii="Cambria Math" w:hAnsi="Cambria Math"/>
                      <w:color w:val="000000"/>
                      <w:lang w:val="es-ES"/>
                    </w:rPr>
                    <m:t>H</m:t>
                  </m:r>
                  <m:acc>
                    <m:accPr>
                      <m:chr m:val="̅"/>
                      <m:ctrlPr>
                        <w:rPr>
                          <w:rFonts w:ascii="Cambria Math" w:hAnsi="Cambria Math"/>
                          <w:i/>
                          <w:color w:val="000000"/>
                          <w:lang w:val="es-ES"/>
                        </w:rPr>
                      </m:ctrlPr>
                    </m:accPr>
                    <m:e>
                      <m:r>
                        <w:rPr>
                          <w:rFonts w:ascii="Cambria Math" w:hAnsi="Cambria Math"/>
                          <w:color w:val="000000"/>
                          <w:lang w:val="es-ES"/>
                        </w:rPr>
                        <m:t>D</m:t>
                      </m:r>
                    </m:e>
                  </m:acc>
                </m:e>
              </m:d>
            </m:oMath>
            <w:r w:rsidRPr="00045E69">
              <w:rPr>
                <w:rFonts w:ascii="Times New Roman" w:hAnsi="Times New Roman"/>
                <w:color w:val="000000"/>
                <w:lang w:val="es-ES"/>
              </w:rPr>
              <w:t xml:space="preserve"> componente</w:t>
            </w:r>
          </w:p>
        </w:tc>
        <w:tc>
          <w:tcPr>
            <w:tcW w:w="2347" w:type="dxa"/>
            <w:tcBorders>
              <w:top w:val="single" w:sz="4" w:space="0" w:color="auto"/>
              <w:bottom w:val="double" w:sz="4" w:space="0" w:color="auto"/>
            </w:tcBorders>
          </w:tcPr>
          <w:p w:rsidR="002C3973" w:rsidRPr="00045E69" w:rsidRDefault="002C3973" w:rsidP="00C82F81">
            <w:pPr>
              <w:pStyle w:val="ColorfulList-Accent11"/>
              <w:keepNext/>
              <w:spacing w:line="360" w:lineRule="auto"/>
              <w:ind w:left="0"/>
              <w:jc w:val="center"/>
              <w:rPr>
                <w:rFonts w:ascii="Times New Roman" w:hAnsi="Times New Roman"/>
                <w:color w:val="000000"/>
                <w:lang w:val="es-ES"/>
              </w:rPr>
            </w:pPr>
            <w:r w:rsidRPr="00045E69">
              <w:rPr>
                <w:rFonts w:ascii="Times New Roman" w:hAnsi="Times New Roman"/>
                <w:color w:val="000000"/>
                <w:lang w:val="es-ES"/>
              </w:rPr>
              <w:t xml:space="preserve">Componente correspondiente en </w:t>
            </w:r>
            <m:oMath>
              <m:r>
                <w:rPr>
                  <w:rFonts w:ascii="Cambria Math" w:hAnsi="Cambria Math"/>
                  <w:color w:val="000000"/>
                  <w:lang w:val="es-ES"/>
                </w:rPr>
                <m:t>X</m:t>
              </m:r>
              <m:d>
                <m:dPr>
                  <m:ctrlPr>
                    <w:rPr>
                      <w:rFonts w:ascii="Cambria Math" w:hAnsi="Cambria Math"/>
                      <w:i/>
                      <w:color w:val="000000"/>
                      <w:lang w:val="es-ES"/>
                    </w:rPr>
                  </m:ctrlPr>
                </m:dPr>
                <m:e>
                  <m:acc>
                    <m:accPr>
                      <m:chr m:val="̅"/>
                      <m:ctrlPr>
                        <w:rPr>
                          <w:rFonts w:ascii="Cambria Math" w:hAnsi="Cambria Math"/>
                          <w:i/>
                          <w:color w:val="000000"/>
                          <w:lang w:val="es-ES"/>
                        </w:rPr>
                      </m:ctrlPr>
                    </m:accPr>
                    <m:e>
                      <m:r>
                        <w:rPr>
                          <w:rFonts w:ascii="Cambria Math" w:hAnsi="Cambria Math"/>
                          <w:color w:val="000000"/>
                          <w:lang w:val="es-ES"/>
                        </w:rPr>
                        <m:t>H</m:t>
                      </m:r>
                    </m:e>
                  </m:acc>
                  <m:r>
                    <w:rPr>
                      <w:rFonts w:ascii="Cambria Math" w:hAnsi="Cambria Math"/>
                      <w:color w:val="000000"/>
                      <w:lang w:val="es-ES"/>
                    </w:rPr>
                    <m:t>D</m:t>
                  </m:r>
                </m:e>
              </m:d>
            </m:oMath>
          </w:p>
        </w:tc>
        <w:tc>
          <w:tcPr>
            <w:tcW w:w="2347" w:type="dxa"/>
            <w:tcBorders>
              <w:top w:val="single" w:sz="4" w:space="0" w:color="auto"/>
              <w:bottom w:val="double" w:sz="4" w:space="0" w:color="auto"/>
            </w:tcBorders>
          </w:tcPr>
          <w:p w:rsidR="002C3973" w:rsidRPr="00045E69" w:rsidRDefault="002C3973" w:rsidP="00C82F81">
            <w:pPr>
              <w:pStyle w:val="ColorfulList-Accent11"/>
              <w:keepNext/>
              <w:spacing w:line="360" w:lineRule="auto"/>
              <w:ind w:left="0"/>
              <w:jc w:val="center"/>
              <w:rPr>
                <w:rFonts w:ascii="Times New Roman" w:hAnsi="Times New Roman"/>
                <w:color w:val="000000"/>
                <w:lang w:val="es-ES"/>
              </w:rPr>
            </w:pPr>
            <m:oMathPara>
              <m:oMath>
                <m:r>
                  <w:rPr>
                    <w:rFonts w:ascii="Cambria Math" w:hAnsi="Cambria Math"/>
                    <w:color w:val="000000"/>
                    <w:lang w:val="es-ES"/>
                  </w:rPr>
                  <m:t>X</m:t>
                </m:r>
                <m:d>
                  <m:dPr>
                    <m:ctrlPr>
                      <w:rPr>
                        <w:rFonts w:ascii="Cambria Math" w:hAnsi="Cambria Math"/>
                        <w:i/>
                        <w:color w:val="000000"/>
                        <w:lang w:val="es-ES"/>
                      </w:rPr>
                    </m:ctrlPr>
                  </m:dPr>
                  <m:e>
                    <m:r>
                      <w:rPr>
                        <w:rFonts w:ascii="Cambria Math" w:hAnsi="Cambria Math"/>
                        <w:color w:val="000000"/>
                        <w:lang w:val="es-ES"/>
                      </w:rPr>
                      <m:t>HD</m:t>
                    </m:r>
                  </m:e>
                </m:d>
              </m:oMath>
            </m:oMathPara>
          </w:p>
        </w:tc>
        <w:tc>
          <w:tcPr>
            <w:tcW w:w="2348" w:type="dxa"/>
            <w:tcBorders>
              <w:top w:val="single" w:sz="4" w:space="0" w:color="auto"/>
              <w:bottom w:val="double" w:sz="4" w:space="0" w:color="auto"/>
            </w:tcBorders>
          </w:tcPr>
          <w:p w:rsidR="002C3973" w:rsidRPr="00045E69" w:rsidRDefault="002C3973" w:rsidP="00C82F81">
            <w:pPr>
              <w:pStyle w:val="ColorfulList-Accent11"/>
              <w:keepNext/>
              <w:spacing w:line="360" w:lineRule="auto"/>
              <w:ind w:left="0"/>
              <w:jc w:val="center"/>
              <w:rPr>
                <w:rFonts w:ascii="Times New Roman" w:hAnsi="Times New Roman"/>
                <w:color w:val="000000"/>
                <w:lang w:val="es-ES"/>
              </w:rPr>
            </w:pPr>
            <m:oMathPara>
              <m:oMath>
                <m:r>
                  <w:rPr>
                    <w:rFonts w:ascii="Cambria Math" w:hAnsi="Cambria Math"/>
                    <w:color w:val="000000"/>
                    <w:lang w:val="es-ES"/>
                  </w:rPr>
                  <m:t>X(</m:t>
                </m:r>
                <m:acc>
                  <m:accPr>
                    <m:chr m:val="̅"/>
                    <m:ctrlPr>
                      <w:rPr>
                        <w:rFonts w:ascii="Cambria Math" w:hAnsi="Cambria Math"/>
                        <w:i/>
                        <w:color w:val="000000"/>
                        <w:lang w:val="es-ES"/>
                      </w:rPr>
                    </m:ctrlPr>
                  </m:accPr>
                  <m:e>
                    <m:r>
                      <w:rPr>
                        <w:rFonts w:ascii="Cambria Math" w:hAnsi="Cambria Math"/>
                        <w:color w:val="000000"/>
                        <w:lang w:val="es-ES"/>
                      </w:rPr>
                      <m:t>HD</m:t>
                    </m:r>
                  </m:e>
                </m:acc>
                <m:r>
                  <w:rPr>
                    <w:rFonts w:ascii="Cambria Math" w:hAnsi="Cambria Math"/>
                    <w:color w:val="000000"/>
                    <w:lang w:val="es-ES"/>
                  </w:rPr>
                  <m:t>)</m:t>
                </m:r>
              </m:oMath>
            </m:oMathPara>
          </w:p>
        </w:tc>
      </w:tr>
      <w:tr w:rsidR="002C3973" w:rsidRPr="00B94E54" w:rsidTr="00C82F81">
        <w:tc>
          <w:tcPr>
            <w:tcW w:w="2347" w:type="dxa"/>
            <w:tcBorders>
              <w:top w:val="double" w:sz="4" w:space="0" w:color="auto"/>
            </w:tcBorders>
          </w:tcPr>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Consumo de productos</w:t>
            </w:r>
          </w:p>
        </w:tc>
        <w:tc>
          <w:tcPr>
            <w:tcW w:w="2347" w:type="dxa"/>
            <w:tcBorders>
              <w:top w:val="double" w:sz="4" w:space="0" w:color="auto"/>
            </w:tcBorders>
          </w:tcPr>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Cambios en las preferencias de los consumidores</w:t>
            </w:r>
          </w:p>
        </w:tc>
        <w:tc>
          <w:tcPr>
            <w:tcW w:w="2347" w:type="dxa"/>
            <w:tcBorders>
              <w:top w:val="double" w:sz="4" w:space="0" w:color="auto"/>
            </w:tcBorders>
          </w:tcPr>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Variables de política</w:t>
            </w:r>
            <w:r w:rsidR="00FA6DA8">
              <w:rPr>
                <w:rFonts w:ascii="Times New Roman" w:hAnsi="Times New Roman"/>
                <w:color w:val="000000"/>
                <w:lang w:val="es-ES"/>
              </w:rPr>
              <w:t>s del gobierno</w:t>
            </w:r>
            <w:r w:rsidRPr="00045E69">
              <w:rPr>
                <w:rFonts w:ascii="Times New Roman" w:hAnsi="Times New Roman"/>
                <w:color w:val="000000"/>
                <w:lang w:val="es-ES"/>
              </w:rPr>
              <w:t xml:space="preserve"> (por ejemplo, las tasas de impuestos y aranceles, el gasto público</w:t>
            </w:r>
            <w:r w:rsidR="00FA6DA8">
              <w:rPr>
                <w:rFonts w:ascii="Times New Roman" w:hAnsi="Times New Roman"/>
                <w:color w:val="000000"/>
                <w:lang w:val="es-ES"/>
              </w:rPr>
              <w:t>, etc.</w:t>
            </w:r>
            <w:r w:rsidRPr="00045E69">
              <w:rPr>
                <w:rFonts w:ascii="Times New Roman" w:hAnsi="Times New Roman"/>
                <w:color w:val="000000"/>
                <w:lang w:val="es-ES"/>
              </w:rPr>
              <w:t>)</w:t>
            </w:r>
          </w:p>
        </w:tc>
        <w:tc>
          <w:tcPr>
            <w:tcW w:w="2348" w:type="dxa"/>
            <w:tcBorders>
              <w:top w:val="double" w:sz="4" w:space="0" w:color="auto"/>
            </w:tcBorders>
          </w:tcPr>
          <w:p w:rsidR="002C3973" w:rsidRPr="00045E69" w:rsidRDefault="002C3973" w:rsidP="00FA6DA8">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La demanda de insumos intermedios y servicios de margen. NOTA: cuando existen tablas de insumo-producto para el período inicial y final del análisis, estas variables pueden ser tratad</w:t>
            </w:r>
            <w:r w:rsidR="00FA6DA8">
              <w:rPr>
                <w:rFonts w:ascii="Times New Roman" w:hAnsi="Times New Roman"/>
                <w:color w:val="000000"/>
                <w:lang w:val="es-ES"/>
              </w:rPr>
              <w:t>as como exógena</w:t>
            </w:r>
            <w:r w:rsidRPr="00045E69">
              <w:rPr>
                <w:rFonts w:ascii="Times New Roman" w:hAnsi="Times New Roman"/>
                <w:color w:val="000000"/>
                <w:lang w:val="es-ES"/>
              </w:rPr>
              <w:t>s</w:t>
            </w:r>
          </w:p>
        </w:tc>
      </w:tr>
      <w:tr w:rsidR="002C3973" w:rsidRPr="00B94E54" w:rsidTr="00C82F81">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Consumo intermedio por producto- estimado por datos de insumo producto, importaciones e otros datos de uso</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Cambios en tecnología que ahorran </w:t>
            </w:r>
            <w:r w:rsidR="00FA6DA8">
              <w:rPr>
                <w:rFonts w:ascii="Times New Roman" w:hAnsi="Times New Roman"/>
                <w:color w:val="000000"/>
                <w:lang w:val="es-ES"/>
              </w:rPr>
              <w:t xml:space="preserve">los </w:t>
            </w:r>
            <w:r w:rsidRPr="00045E69">
              <w:rPr>
                <w:rFonts w:ascii="Times New Roman" w:hAnsi="Times New Roman"/>
                <w:color w:val="000000"/>
                <w:lang w:val="es-ES"/>
              </w:rPr>
              <w:t>insumos intermedios</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Los precios de importación (cif) en moneda extranjera</w:t>
            </w:r>
          </w:p>
        </w:tc>
        <w:tc>
          <w:tcPr>
            <w:tcW w:w="2348" w:type="dxa"/>
          </w:tcPr>
          <w:p w:rsidR="002C3973" w:rsidRPr="00045E69" w:rsidRDefault="002C3973" w:rsidP="00C82F81">
            <w:pPr>
              <w:pStyle w:val="ColorfulList-Accent11"/>
              <w:keepNext/>
              <w:ind w:left="0"/>
              <w:jc w:val="both"/>
              <w:rPr>
                <w:rFonts w:ascii="Times New Roman" w:hAnsi="Times New Roman"/>
                <w:color w:val="000000"/>
                <w:lang w:val="es-ES"/>
              </w:rPr>
            </w:pPr>
          </w:p>
        </w:tc>
      </w:tr>
      <w:tr w:rsidR="002C3973" w:rsidRPr="00045E69" w:rsidTr="00C82F81">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Empleo e estoques de capital por actividad </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Cambios en tecnología que ahorran el uso de</w:t>
            </w:r>
            <w:r w:rsidR="00FA6DA8">
              <w:rPr>
                <w:rFonts w:ascii="Times New Roman" w:hAnsi="Times New Roman"/>
                <w:color w:val="000000"/>
                <w:lang w:val="es-ES"/>
              </w:rPr>
              <w:t xml:space="preserve"> los</w:t>
            </w:r>
            <w:r w:rsidRPr="00045E69">
              <w:rPr>
                <w:rFonts w:ascii="Times New Roman" w:hAnsi="Times New Roman"/>
                <w:color w:val="000000"/>
                <w:lang w:val="es-ES"/>
              </w:rPr>
              <w:t xml:space="preserve"> factores primarias; tendencia de capital/mano de obra en cambio </w:t>
            </w:r>
            <w:r w:rsidR="004D04EF" w:rsidRPr="00045E69">
              <w:rPr>
                <w:rFonts w:ascii="Times New Roman" w:hAnsi="Times New Roman"/>
                <w:color w:val="000000"/>
                <w:lang w:val="es-ES"/>
              </w:rPr>
              <w:t>tecnológico</w:t>
            </w:r>
            <w:r w:rsidRPr="00045E69">
              <w:rPr>
                <w:rFonts w:ascii="Times New Roman" w:hAnsi="Times New Roman"/>
                <w:color w:val="000000"/>
                <w:lang w:val="es-ES"/>
              </w:rPr>
              <w:t xml:space="preserve"> </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Población </w:t>
            </w:r>
          </w:p>
        </w:tc>
        <w:tc>
          <w:tcPr>
            <w:tcW w:w="2348" w:type="dxa"/>
          </w:tcPr>
          <w:p w:rsidR="002C3973" w:rsidRPr="00045E69" w:rsidRDefault="002C3973" w:rsidP="00C82F81">
            <w:pPr>
              <w:pStyle w:val="ColorfulList-Accent11"/>
              <w:keepNext/>
              <w:ind w:left="0"/>
              <w:jc w:val="both"/>
              <w:rPr>
                <w:rFonts w:ascii="Times New Roman" w:hAnsi="Times New Roman"/>
                <w:color w:val="000000"/>
                <w:lang w:val="es-ES"/>
              </w:rPr>
            </w:pPr>
          </w:p>
        </w:tc>
      </w:tr>
      <w:tr w:rsidR="002C3973" w:rsidRPr="00B94E54" w:rsidTr="00C82F81">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Importaciones por producto</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A306D1" w:rsidP="00FA6DA8">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Cambios en preferencias hacia</w:t>
            </w:r>
            <w:r w:rsidR="002C3973" w:rsidRPr="00045E69">
              <w:rPr>
                <w:rFonts w:ascii="Times New Roman" w:hAnsi="Times New Roman"/>
                <w:color w:val="000000"/>
                <w:lang w:val="es-ES"/>
              </w:rPr>
              <w:t xml:space="preserve"> importaciones vs. </w:t>
            </w:r>
            <w:r w:rsidR="00FA6DA8">
              <w:rPr>
                <w:rFonts w:ascii="Times New Roman" w:hAnsi="Times New Roman"/>
                <w:color w:val="000000"/>
                <w:lang w:val="es-ES"/>
              </w:rPr>
              <w:t>La p</w:t>
            </w:r>
            <w:r w:rsidR="002C3973" w:rsidRPr="00045E69">
              <w:rPr>
                <w:rFonts w:ascii="Times New Roman" w:hAnsi="Times New Roman"/>
                <w:color w:val="000000"/>
                <w:lang w:val="es-ES"/>
              </w:rPr>
              <w:t xml:space="preserve">roducción domestica </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tc>
        <w:tc>
          <w:tcPr>
            <w:tcW w:w="2348" w:type="dxa"/>
          </w:tcPr>
          <w:p w:rsidR="002C3973" w:rsidRPr="00045E69" w:rsidRDefault="002C3973" w:rsidP="00C82F81">
            <w:pPr>
              <w:pStyle w:val="ColorfulList-Accent11"/>
              <w:keepNext/>
              <w:ind w:left="0"/>
              <w:jc w:val="both"/>
              <w:rPr>
                <w:rFonts w:ascii="Times New Roman" w:hAnsi="Times New Roman"/>
                <w:color w:val="000000"/>
                <w:lang w:val="es-ES"/>
              </w:rPr>
            </w:pPr>
          </w:p>
        </w:tc>
      </w:tr>
      <w:tr w:rsidR="002C3973" w:rsidRPr="00045E69" w:rsidTr="00C82F81">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Precios de productor por actividad</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Tasas de retorno de capital; mark-up de costos</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tc>
        <w:tc>
          <w:tcPr>
            <w:tcW w:w="2348" w:type="dxa"/>
          </w:tcPr>
          <w:p w:rsidR="002C3973" w:rsidRPr="00045E69" w:rsidRDefault="002C3973" w:rsidP="00C82F81">
            <w:pPr>
              <w:pStyle w:val="ColorfulList-Accent11"/>
              <w:keepNext/>
              <w:ind w:left="0"/>
              <w:jc w:val="both"/>
              <w:rPr>
                <w:rFonts w:ascii="Times New Roman" w:hAnsi="Times New Roman"/>
                <w:color w:val="000000"/>
                <w:lang w:val="es-ES"/>
              </w:rPr>
            </w:pPr>
          </w:p>
        </w:tc>
      </w:tr>
      <w:tr w:rsidR="002C3973" w:rsidRPr="00045E69" w:rsidTr="00C82F81">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Volumen de exportaciones, precios f.o.b. </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Cambios en demanda externo e oferta domestica</w:t>
            </w:r>
          </w:p>
        </w:tc>
        <w:tc>
          <w:tcPr>
            <w:tcW w:w="2347" w:type="dxa"/>
          </w:tcPr>
          <w:p w:rsidR="002C3973" w:rsidRPr="00045E69" w:rsidRDefault="002C3973" w:rsidP="00C82F81">
            <w:pPr>
              <w:pStyle w:val="ColorfulList-Accent11"/>
              <w:keepNext/>
              <w:ind w:left="0"/>
              <w:jc w:val="both"/>
              <w:rPr>
                <w:rFonts w:ascii="Times New Roman" w:hAnsi="Times New Roman"/>
                <w:color w:val="000000"/>
                <w:lang w:val="es-ES"/>
              </w:rPr>
            </w:pPr>
          </w:p>
        </w:tc>
        <w:tc>
          <w:tcPr>
            <w:tcW w:w="2348" w:type="dxa"/>
          </w:tcPr>
          <w:p w:rsidR="002C3973" w:rsidRPr="00045E69" w:rsidRDefault="002C3973" w:rsidP="00C82F81">
            <w:pPr>
              <w:pStyle w:val="ColorfulList-Accent11"/>
              <w:keepNext/>
              <w:ind w:left="0"/>
              <w:jc w:val="both"/>
              <w:rPr>
                <w:rFonts w:ascii="Times New Roman" w:hAnsi="Times New Roman"/>
                <w:color w:val="000000"/>
                <w:lang w:val="es-ES"/>
              </w:rPr>
            </w:pPr>
          </w:p>
        </w:tc>
      </w:tr>
      <w:tr w:rsidR="002C3973" w:rsidRPr="00B94E54" w:rsidTr="00C82F81">
        <w:tc>
          <w:tcPr>
            <w:tcW w:w="2347" w:type="dxa"/>
            <w:tcBorders>
              <w:bottom w:val="single" w:sz="4" w:space="0" w:color="auto"/>
            </w:tcBorders>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C82F8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Macro</w:t>
            </w:r>
            <w:r w:rsidR="00A306D1" w:rsidRPr="00045E69">
              <w:rPr>
                <w:rFonts w:ascii="Times New Roman" w:hAnsi="Times New Roman"/>
                <w:color w:val="000000"/>
                <w:lang w:val="es-ES"/>
              </w:rPr>
              <w:t xml:space="preserve"> variables (por ejemplo: consumo</w:t>
            </w:r>
            <w:r w:rsidRPr="00045E69">
              <w:rPr>
                <w:rFonts w:ascii="Times New Roman" w:hAnsi="Times New Roman"/>
                <w:color w:val="000000"/>
                <w:lang w:val="es-ES"/>
              </w:rPr>
              <w:t xml:space="preserve"> agregado)</w:t>
            </w:r>
          </w:p>
        </w:tc>
        <w:tc>
          <w:tcPr>
            <w:tcW w:w="2347" w:type="dxa"/>
            <w:tcBorders>
              <w:bottom w:val="single" w:sz="4" w:space="0" w:color="auto"/>
            </w:tcBorders>
          </w:tcPr>
          <w:p w:rsidR="002C3973" w:rsidRPr="00045E69" w:rsidRDefault="002C3973" w:rsidP="00C82F81">
            <w:pPr>
              <w:pStyle w:val="ColorfulList-Accent11"/>
              <w:keepNext/>
              <w:ind w:left="0"/>
              <w:jc w:val="both"/>
              <w:rPr>
                <w:rFonts w:ascii="Times New Roman" w:hAnsi="Times New Roman"/>
                <w:color w:val="000000"/>
                <w:lang w:val="es-ES"/>
              </w:rPr>
            </w:pPr>
          </w:p>
          <w:p w:rsidR="002C3973" w:rsidRPr="00045E69" w:rsidRDefault="002C3973" w:rsidP="003731F1">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Cambios en macro funciones (por ejemplo: propensión </w:t>
            </w:r>
            <w:r w:rsidR="003731F1">
              <w:rPr>
                <w:rFonts w:ascii="Times New Roman" w:hAnsi="Times New Roman"/>
                <w:color w:val="000000"/>
                <w:lang w:val="es-ES"/>
              </w:rPr>
              <w:t xml:space="preserve">promedio </w:t>
            </w:r>
            <w:r w:rsidRPr="00045E69">
              <w:rPr>
                <w:rFonts w:ascii="Times New Roman" w:hAnsi="Times New Roman"/>
                <w:color w:val="000000"/>
                <w:lang w:val="es-ES"/>
              </w:rPr>
              <w:t>de consumo) tasas de cambio, salarios</w:t>
            </w:r>
          </w:p>
        </w:tc>
        <w:tc>
          <w:tcPr>
            <w:tcW w:w="2347" w:type="dxa"/>
            <w:tcBorders>
              <w:bottom w:val="single" w:sz="4" w:space="0" w:color="auto"/>
            </w:tcBorders>
          </w:tcPr>
          <w:p w:rsidR="002C3973" w:rsidRPr="00045E69" w:rsidRDefault="002C3973" w:rsidP="00C82F81">
            <w:pPr>
              <w:pStyle w:val="ColorfulList-Accent11"/>
              <w:keepNext/>
              <w:ind w:left="0"/>
              <w:jc w:val="both"/>
              <w:rPr>
                <w:rFonts w:ascii="Times New Roman" w:hAnsi="Times New Roman"/>
                <w:color w:val="000000"/>
                <w:lang w:val="es-ES"/>
              </w:rPr>
            </w:pPr>
          </w:p>
        </w:tc>
        <w:tc>
          <w:tcPr>
            <w:tcW w:w="2348" w:type="dxa"/>
            <w:tcBorders>
              <w:bottom w:val="single" w:sz="4" w:space="0" w:color="auto"/>
            </w:tcBorders>
          </w:tcPr>
          <w:p w:rsidR="002C3973" w:rsidRPr="00045E69" w:rsidRDefault="002C3973" w:rsidP="00C82F81">
            <w:pPr>
              <w:pStyle w:val="ColorfulList-Accent11"/>
              <w:keepNext/>
              <w:ind w:left="0"/>
              <w:jc w:val="both"/>
              <w:rPr>
                <w:rFonts w:ascii="Times New Roman" w:hAnsi="Times New Roman"/>
                <w:color w:val="000000"/>
                <w:lang w:val="es-ES"/>
              </w:rPr>
            </w:pPr>
          </w:p>
        </w:tc>
      </w:tr>
    </w:tbl>
    <w:p w:rsidR="002C3973" w:rsidRPr="00045E69" w:rsidRDefault="002C3973" w:rsidP="00C82F81">
      <w:pPr>
        <w:pStyle w:val="ColorfulList-Accent11"/>
        <w:spacing w:after="0" w:line="360" w:lineRule="auto"/>
        <w:ind w:left="0"/>
        <w:jc w:val="both"/>
        <w:rPr>
          <w:rFonts w:ascii="Times New Roman" w:hAnsi="Times New Roman"/>
          <w:color w:val="000000"/>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La Tabla 1 proporciona una visión general de los 4 conjuntos de variables. Cabe señalar que </w:t>
      </w: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m:t>
                </m:r>
              </m:e>
            </m:acc>
            <m:r>
              <w:rPr>
                <w:rFonts w:ascii="Cambria Math" w:hAnsi="Cambria Math"/>
                <w:color w:val="000000"/>
                <w:sz w:val="24"/>
                <w:szCs w:val="24"/>
                <w:lang w:val="es-ES"/>
              </w:rPr>
              <m:t>D</m:t>
            </m:r>
          </m:e>
        </m:d>
      </m:oMath>
      <w:r w:rsidRPr="00045E69">
        <w:rPr>
          <w:rFonts w:ascii="Times New Roman" w:hAnsi="Times New Roman"/>
          <w:color w:val="000000"/>
          <w:sz w:val="24"/>
          <w:szCs w:val="24"/>
          <w:lang w:val="es-ES"/>
        </w:rPr>
        <w:t xml:space="preserve"> tiene el mismo número de variables que </w:t>
      </w: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r>
              <w:rPr>
                <w:rFonts w:ascii="Cambria Math" w:hAnsi="Cambria Math"/>
                <w:color w:val="000000"/>
                <w:sz w:val="24"/>
                <w:szCs w:val="24"/>
                <w:lang w:val="es-ES"/>
              </w:rPr>
              <m:t>H</m:t>
            </m:r>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D</m:t>
                </m:r>
              </m:e>
            </m:acc>
          </m:e>
        </m:d>
      </m:oMath>
      <w:r w:rsidRPr="00045E69">
        <w:rPr>
          <w:rFonts w:ascii="Times New Roman" w:hAnsi="Times New Roman"/>
          <w:color w:val="000000"/>
          <w:sz w:val="24"/>
          <w:szCs w:val="24"/>
          <w:lang w:val="es-ES"/>
        </w:rPr>
        <w:t xml:space="preserve"> y que cada variable en la partición de </w:t>
      </w: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r>
              <w:rPr>
                <w:rFonts w:ascii="Cambria Math" w:hAnsi="Cambria Math"/>
                <w:color w:val="000000"/>
                <w:sz w:val="24"/>
                <w:szCs w:val="24"/>
                <w:lang w:val="es-ES"/>
              </w:rPr>
              <m:t>H</m:t>
            </m:r>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D</m:t>
                </m:r>
              </m:e>
            </m:acc>
          </m:e>
        </m:d>
      </m:oMath>
      <w:r w:rsidRPr="00045E69">
        <w:rPr>
          <w:rFonts w:ascii="Times New Roman" w:hAnsi="Times New Roman"/>
          <w:color w:val="000000"/>
          <w:sz w:val="24"/>
          <w:szCs w:val="24"/>
          <w:lang w:val="es-ES"/>
        </w:rPr>
        <w:t xml:space="preserve"> tiene una variable correspondiente en la partición de </w:t>
      </w: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m:t>
                </m:r>
              </m:e>
            </m:acc>
            <m:r>
              <w:rPr>
                <w:rFonts w:ascii="Cambria Math" w:hAnsi="Cambria Math"/>
                <w:color w:val="000000"/>
                <w:sz w:val="24"/>
                <w:szCs w:val="24"/>
                <w:lang w:val="es-ES"/>
              </w:rPr>
              <m:t>D</m:t>
            </m:r>
          </m:e>
        </m:d>
      </m:oMath>
      <w:r w:rsidRPr="00045E69">
        <w:rPr>
          <w:rFonts w:ascii="Times New Roman" w:hAnsi="Times New Roman"/>
          <w:color w:val="000000"/>
          <w:sz w:val="24"/>
          <w:szCs w:val="24"/>
          <w:lang w:val="es-ES"/>
        </w:rPr>
        <w:t xml:space="preserve">. Las variables </w:t>
      </w:r>
      <w:r w:rsidRPr="00045E69">
        <w:rPr>
          <w:rFonts w:ascii="Times New Roman" w:hAnsi="Times New Roman"/>
          <w:color w:val="000000"/>
          <w:sz w:val="24"/>
          <w:szCs w:val="24"/>
          <w:lang w:val="es-ES"/>
        </w:rPr>
        <w:lastRenderedPageBreak/>
        <w:t>correspondientes en esta última son en gran medida las variables no observables que describen los cambios tecnológicos y cambios en las preferencias del consumidor</w:t>
      </w:r>
      <w:r w:rsidRPr="00045E69">
        <w:rPr>
          <w:rStyle w:val="FootnoteReference"/>
          <w:rFonts w:ascii="Times New Roman" w:hAnsi="Times New Roman"/>
          <w:color w:val="000000"/>
          <w:lang w:val="es-ES"/>
        </w:rPr>
        <w:footnoteReference w:id="2"/>
      </w:r>
      <w:r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045E69"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Ha</w:t>
      </w:r>
      <w:r w:rsidR="002C3973" w:rsidRPr="00045E69">
        <w:rPr>
          <w:rFonts w:ascii="Times New Roman" w:hAnsi="Times New Roman"/>
          <w:color w:val="000000"/>
          <w:sz w:val="24"/>
          <w:szCs w:val="24"/>
          <w:lang w:val="es-ES"/>
        </w:rPr>
        <w:t xml:space="preserve"> habido </w:t>
      </w:r>
      <w:r w:rsidR="005573E0" w:rsidRPr="00045E69">
        <w:rPr>
          <w:rFonts w:ascii="Times New Roman" w:hAnsi="Times New Roman"/>
          <w:color w:val="000000"/>
          <w:sz w:val="24"/>
          <w:szCs w:val="24"/>
          <w:lang w:val="es-ES"/>
        </w:rPr>
        <w:t xml:space="preserve">algunos </w:t>
      </w:r>
      <w:r w:rsidR="002C3973" w:rsidRPr="00045E69">
        <w:rPr>
          <w:rFonts w:ascii="Times New Roman" w:hAnsi="Times New Roman"/>
          <w:color w:val="000000"/>
          <w:sz w:val="24"/>
          <w:szCs w:val="24"/>
          <w:lang w:val="es-ES"/>
        </w:rPr>
        <w:t xml:space="preserve">estudios en los últimos años que utilizan </w:t>
      </w:r>
      <w:r w:rsidR="005573E0" w:rsidRPr="00045E69">
        <w:rPr>
          <w:rFonts w:ascii="Times New Roman" w:hAnsi="Times New Roman"/>
          <w:color w:val="000000"/>
          <w:sz w:val="24"/>
          <w:szCs w:val="24"/>
          <w:lang w:val="es-ES"/>
        </w:rPr>
        <w:t>las clausuras histórica</w:t>
      </w:r>
      <w:r w:rsidR="002C3973" w:rsidRPr="00045E69">
        <w:rPr>
          <w:rFonts w:ascii="Times New Roman" w:hAnsi="Times New Roman"/>
          <w:color w:val="000000"/>
          <w:sz w:val="24"/>
          <w:szCs w:val="24"/>
          <w:lang w:val="es-ES"/>
        </w:rPr>
        <w:t xml:space="preserve">s y </w:t>
      </w:r>
      <w:r w:rsidR="003731F1">
        <w:rPr>
          <w:rFonts w:ascii="Times New Roman" w:hAnsi="Times New Roman"/>
          <w:color w:val="000000"/>
          <w:sz w:val="24"/>
          <w:szCs w:val="24"/>
          <w:lang w:val="es-ES"/>
        </w:rPr>
        <w:t xml:space="preserve">las clausuras </w:t>
      </w:r>
      <w:r w:rsidR="002C3973" w:rsidRPr="00045E69">
        <w:rPr>
          <w:rFonts w:ascii="Times New Roman" w:hAnsi="Times New Roman"/>
          <w:color w:val="000000"/>
          <w:sz w:val="24"/>
          <w:szCs w:val="24"/>
          <w:lang w:val="es-ES"/>
        </w:rPr>
        <w:t xml:space="preserve">de descomposición en DCGE para </w:t>
      </w:r>
      <w:r w:rsidR="005573E0" w:rsidRPr="00045E69">
        <w:rPr>
          <w:rFonts w:ascii="Times New Roman" w:hAnsi="Times New Roman"/>
          <w:color w:val="000000"/>
          <w:sz w:val="24"/>
          <w:szCs w:val="24"/>
          <w:lang w:val="es-ES"/>
        </w:rPr>
        <w:t xml:space="preserve">intentar a </w:t>
      </w:r>
      <w:r w:rsidR="002C3973" w:rsidRPr="00045E69">
        <w:rPr>
          <w:rFonts w:ascii="Times New Roman" w:hAnsi="Times New Roman"/>
          <w:color w:val="000000"/>
          <w:sz w:val="24"/>
          <w:szCs w:val="24"/>
          <w:lang w:val="es-ES"/>
        </w:rPr>
        <w:t xml:space="preserve">desenredar los impactos de eventos sobre una economía a través del tiempo. </w:t>
      </w:r>
      <w:r w:rsidR="004D04EF" w:rsidRPr="00045E69">
        <w:rPr>
          <w:rFonts w:ascii="Times New Roman" w:hAnsi="Times New Roman"/>
          <w:color w:val="000000"/>
          <w:sz w:val="24"/>
          <w:szCs w:val="24"/>
          <w:lang w:val="es-ES"/>
        </w:rPr>
        <w:t xml:space="preserve">Giesecke y </w:t>
      </w:r>
      <w:r w:rsidR="005573E0" w:rsidRPr="00045E69">
        <w:rPr>
          <w:rFonts w:ascii="Times New Roman" w:hAnsi="Times New Roman"/>
          <w:color w:val="000000"/>
          <w:sz w:val="24"/>
          <w:szCs w:val="24"/>
          <w:lang w:val="es-ES"/>
        </w:rPr>
        <w:t>Madden (2007)</w:t>
      </w:r>
      <w:r w:rsidR="003731F1">
        <w:rPr>
          <w:rFonts w:ascii="Times New Roman" w:hAnsi="Times New Roman"/>
          <w:color w:val="000000"/>
          <w:sz w:val="24"/>
          <w:szCs w:val="24"/>
          <w:lang w:val="es-ES"/>
        </w:rPr>
        <w:t>, por ejemplo,</w:t>
      </w:r>
      <w:r w:rsidR="005573E0" w:rsidRPr="00045E69">
        <w:rPr>
          <w:rFonts w:ascii="Times New Roman" w:hAnsi="Times New Roman"/>
          <w:color w:val="000000"/>
          <w:sz w:val="24"/>
          <w:szCs w:val="24"/>
          <w:lang w:val="es-ES"/>
        </w:rPr>
        <w:t xml:space="preserve"> argumentan que el</w:t>
      </w:r>
      <w:r w:rsidR="004D04EF" w:rsidRPr="00045E69">
        <w:rPr>
          <w:rFonts w:ascii="Times New Roman" w:hAnsi="Times New Roman"/>
          <w:color w:val="000000"/>
          <w:sz w:val="24"/>
          <w:szCs w:val="24"/>
          <w:lang w:val="es-ES"/>
        </w:rPr>
        <w:t xml:space="preserve"> análisis </w:t>
      </w:r>
      <w:r w:rsidR="005573E0" w:rsidRPr="00045E69">
        <w:rPr>
          <w:rFonts w:ascii="Times New Roman" w:hAnsi="Times New Roman"/>
          <w:color w:val="000000"/>
          <w:sz w:val="24"/>
          <w:szCs w:val="24"/>
          <w:lang w:val="es-ES"/>
        </w:rPr>
        <w:t xml:space="preserve">DCGE </w:t>
      </w:r>
      <w:r w:rsidR="004D04EF" w:rsidRPr="00045E69">
        <w:rPr>
          <w:rFonts w:ascii="Times New Roman" w:hAnsi="Times New Roman"/>
          <w:color w:val="000000"/>
          <w:sz w:val="24"/>
          <w:szCs w:val="24"/>
          <w:lang w:val="es-ES"/>
        </w:rPr>
        <w:t>ex-ante de los mega-eventos</w:t>
      </w:r>
      <w:r w:rsidR="005573E0" w:rsidRPr="00045E69">
        <w:rPr>
          <w:rFonts w:ascii="Times New Roman" w:hAnsi="Times New Roman"/>
          <w:color w:val="000000"/>
          <w:sz w:val="24"/>
          <w:szCs w:val="24"/>
          <w:lang w:val="es-ES"/>
        </w:rPr>
        <w:t xml:space="preserve"> ha sido</w:t>
      </w:r>
      <w:r w:rsidR="004D04EF" w:rsidRPr="00045E69">
        <w:rPr>
          <w:rFonts w:ascii="Times New Roman" w:hAnsi="Times New Roman"/>
          <w:color w:val="000000"/>
          <w:sz w:val="24"/>
          <w:szCs w:val="24"/>
          <w:lang w:val="es-ES"/>
        </w:rPr>
        <w:t xml:space="preserve"> demasiado optimista en su estimación de beneficios debido a: </w:t>
      </w:r>
      <w:r w:rsidR="005573E0" w:rsidRPr="00045E69">
        <w:rPr>
          <w:rFonts w:ascii="Times New Roman" w:hAnsi="Times New Roman"/>
          <w:color w:val="000000"/>
          <w:sz w:val="24"/>
          <w:szCs w:val="24"/>
          <w:lang w:val="es-ES"/>
        </w:rPr>
        <w:t xml:space="preserve">el no tratar de </w:t>
      </w:r>
      <w:r w:rsidR="004D04EF" w:rsidRPr="00045E69">
        <w:rPr>
          <w:rFonts w:ascii="Times New Roman" w:hAnsi="Times New Roman"/>
          <w:color w:val="000000"/>
          <w:sz w:val="24"/>
          <w:szCs w:val="24"/>
          <w:lang w:val="es-ES"/>
        </w:rPr>
        <w:t>la</w:t>
      </w:r>
      <w:r w:rsidR="005573E0" w:rsidRPr="00045E69">
        <w:rPr>
          <w:rFonts w:ascii="Times New Roman" w:hAnsi="Times New Roman"/>
          <w:color w:val="000000"/>
          <w:sz w:val="24"/>
          <w:szCs w:val="24"/>
          <w:lang w:val="es-ES"/>
        </w:rPr>
        <w:t>s</w:t>
      </w:r>
      <w:r w:rsidR="004D04EF" w:rsidRPr="00045E69">
        <w:rPr>
          <w:rFonts w:ascii="Times New Roman" w:hAnsi="Times New Roman"/>
          <w:color w:val="000000"/>
          <w:sz w:val="24"/>
          <w:szCs w:val="24"/>
          <w:lang w:val="es-ES"/>
        </w:rPr>
        <w:t xml:space="preserve"> inversi</w:t>
      </w:r>
      <w:r w:rsidR="003B2306" w:rsidRPr="00045E69">
        <w:rPr>
          <w:rFonts w:ascii="Times New Roman" w:hAnsi="Times New Roman"/>
          <w:color w:val="000000"/>
          <w:sz w:val="24"/>
          <w:szCs w:val="24"/>
          <w:lang w:val="es-ES"/>
        </w:rPr>
        <w:t>o</w:t>
      </w:r>
      <w:r w:rsidR="004D04EF" w:rsidRPr="00045E69">
        <w:rPr>
          <w:rFonts w:ascii="Times New Roman" w:hAnsi="Times New Roman"/>
          <w:color w:val="000000"/>
          <w:sz w:val="24"/>
          <w:szCs w:val="24"/>
          <w:lang w:val="es-ES"/>
        </w:rPr>
        <w:t>n</w:t>
      </w:r>
      <w:r w:rsidR="005573E0" w:rsidRPr="00045E69">
        <w:rPr>
          <w:rFonts w:ascii="Times New Roman" w:hAnsi="Times New Roman"/>
          <w:color w:val="000000"/>
          <w:sz w:val="24"/>
          <w:szCs w:val="24"/>
          <w:lang w:val="es-ES"/>
        </w:rPr>
        <w:t>es</w:t>
      </w:r>
      <w:r w:rsidR="004D04EF" w:rsidRPr="00045E69">
        <w:rPr>
          <w:rFonts w:ascii="Times New Roman" w:hAnsi="Times New Roman"/>
          <w:color w:val="000000"/>
          <w:sz w:val="24"/>
          <w:szCs w:val="24"/>
          <w:lang w:val="es-ES"/>
        </w:rPr>
        <w:t xml:space="preserve"> pública</w:t>
      </w:r>
      <w:r w:rsidR="005573E0" w:rsidRPr="00045E69">
        <w:rPr>
          <w:rFonts w:ascii="Times New Roman" w:hAnsi="Times New Roman"/>
          <w:color w:val="000000"/>
          <w:sz w:val="24"/>
          <w:szCs w:val="24"/>
          <w:lang w:val="es-ES"/>
        </w:rPr>
        <w:t>s</w:t>
      </w:r>
      <w:r w:rsidR="004D04EF" w:rsidRPr="00045E69">
        <w:rPr>
          <w:rFonts w:ascii="Times New Roman" w:hAnsi="Times New Roman"/>
          <w:color w:val="000000"/>
          <w:sz w:val="24"/>
          <w:szCs w:val="24"/>
          <w:lang w:val="es-ES"/>
        </w:rPr>
        <w:t xml:space="preserve"> como </w:t>
      </w:r>
      <w:r w:rsidR="003B2306" w:rsidRPr="00045E69">
        <w:rPr>
          <w:rFonts w:ascii="Times New Roman" w:hAnsi="Times New Roman"/>
          <w:color w:val="000000"/>
          <w:sz w:val="24"/>
          <w:szCs w:val="24"/>
          <w:lang w:val="es-ES"/>
        </w:rPr>
        <w:t xml:space="preserve">un gasto en el modelo </w:t>
      </w:r>
      <w:r w:rsidR="004D04EF" w:rsidRPr="00045E69">
        <w:rPr>
          <w:rFonts w:ascii="Times New Roman" w:hAnsi="Times New Roman"/>
          <w:color w:val="000000"/>
          <w:sz w:val="24"/>
          <w:szCs w:val="24"/>
          <w:lang w:val="es-ES"/>
        </w:rPr>
        <w:t>(que sigue siendo un problema en la mayoría de modelos de DCGE</w:t>
      </w:r>
      <w:r w:rsidR="003B2306" w:rsidRPr="00045E69">
        <w:rPr>
          <w:rFonts w:ascii="Times New Roman" w:hAnsi="Times New Roman"/>
          <w:color w:val="000000"/>
          <w:sz w:val="24"/>
          <w:szCs w:val="24"/>
          <w:lang w:val="es-ES"/>
        </w:rPr>
        <w:t xml:space="preserve"> hoy día</w:t>
      </w:r>
      <w:r w:rsidR="004D04EF" w:rsidRPr="00045E69">
        <w:rPr>
          <w:rFonts w:ascii="Times New Roman" w:hAnsi="Times New Roman"/>
          <w:color w:val="000000"/>
          <w:sz w:val="24"/>
          <w:szCs w:val="24"/>
          <w:lang w:val="es-ES"/>
        </w:rPr>
        <w:t xml:space="preserve">); </w:t>
      </w:r>
      <w:r w:rsidR="003B2306" w:rsidRPr="00045E69">
        <w:rPr>
          <w:rFonts w:ascii="Times New Roman" w:hAnsi="Times New Roman"/>
          <w:color w:val="000000"/>
          <w:sz w:val="24"/>
          <w:szCs w:val="24"/>
          <w:lang w:val="es-ES"/>
        </w:rPr>
        <w:t xml:space="preserve">suposiciones </w:t>
      </w:r>
      <w:r w:rsidR="004D04EF" w:rsidRPr="00045E69">
        <w:rPr>
          <w:rFonts w:ascii="Times New Roman" w:hAnsi="Times New Roman"/>
          <w:color w:val="000000"/>
          <w:sz w:val="24"/>
          <w:szCs w:val="24"/>
          <w:lang w:val="es-ES"/>
        </w:rPr>
        <w:t>de una grande elasticidad de ofert</w:t>
      </w:r>
      <w:r w:rsidR="003B2306" w:rsidRPr="00045E69">
        <w:rPr>
          <w:rFonts w:ascii="Times New Roman" w:hAnsi="Times New Roman"/>
          <w:color w:val="000000"/>
          <w:sz w:val="24"/>
          <w:szCs w:val="24"/>
          <w:lang w:val="es-ES"/>
        </w:rPr>
        <w:t xml:space="preserve">a de factores (por ejemplo, suposiciones </w:t>
      </w:r>
      <w:r w:rsidR="004D04EF" w:rsidRPr="00045E69">
        <w:rPr>
          <w:rFonts w:ascii="Times New Roman" w:hAnsi="Times New Roman"/>
          <w:color w:val="000000"/>
          <w:sz w:val="24"/>
          <w:szCs w:val="24"/>
          <w:lang w:val="es-ES"/>
        </w:rPr>
        <w:t>de factores sub-utilizados</w:t>
      </w:r>
      <w:r w:rsidR="003731F1">
        <w:rPr>
          <w:rFonts w:ascii="Times New Roman" w:hAnsi="Times New Roman"/>
          <w:color w:val="000000"/>
          <w:sz w:val="24"/>
          <w:szCs w:val="24"/>
          <w:lang w:val="es-ES"/>
        </w:rPr>
        <w:t>, desempleo, etc.</w:t>
      </w:r>
      <w:r w:rsidR="004D04EF" w:rsidRPr="00045E69">
        <w:rPr>
          <w:rFonts w:ascii="Times New Roman" w:hAnsi="Times New Roman"/>
          <w:color w:val="000000"/>
          <w:sz w:val="24"/>
          <w:szCs w:val="24"/>
          <w:lang w:val="es-ES"/>
        </w:rPr>
        <w:t xml:space="preserve">), y; sobre-estimaciones de </w:t>
      </w:r>
      <w:r w:rsidR="003B2306" w:rsidRPr="00045E69">
        <w:rPr>
          <w:rFonts w:ascii="Times New Roman" w:hAnsi="Times New Roman"/>
          <w:color w:val="000000"/>
          <w:sz w:val="24"/>
          <w:szCs w:val="24"/>
          <w:lang w:val="es-ES"/>
        </w:rPr>
        <w:t xml:space="preserve">la </w:t>
      </w:r>
      <w:r w:rsidR="004D04EF" w:rsidRPr="00045E69">
        <w:rPr>
          <w:rFonts w:ascii="Times New Roman" w:hAnsi="Times New Roman"/>
          <w:color w:val="000000"/>
          <w:sz w:val="24"/>
          <w:szCs w:val="24"/>
          <w:lang w:val="es-ES"/>
        </w:rPr>
        <w:t xml:space="preserve">demanda externa para el turismo, y como tal, </w:t>
      </w:r>
      <w:r w:rsidR="003B2306" w:rsidRPr="00045E69">
        <w:rPr>
          <w:rFonts w:ascii="Times New Roman" w:hAnsi="Times New Roman"/>
          <w:color w:val="000000"/>
          <w:sz w:val="24"/>
          <w:szCs w:val="24"/>
          <w:lang w:val="es-ES"/>
        </w:rPr>
        <w:t>la inclusión de efecto</w:t>
      </w:r>
      <w:r w:rsidR="004D04EF" w:rsidRPr="00045E69">
        <w:rPr>
          <w:rFonts w:ascii="Times New Roman" w:hAnsi="Times New Roman"/>
          <w:color w:val="000000"/>
          <w:sz w:val="24"/>
          <w:szCs w:val="24"/>
          <w:lang w:val="es-ES"/>
        </w:rPr>
        <w:t xml:space="preserve">s inducidos </w:t>
      </w:r>
      <w:r w:rsidR="003731F1">
        <w:rPr>
          <w:rFonts w:ascii="Times New Roman" w:hAnsi="Times New Roman"/>
          <w:color w:val="000000"/>
          <w:sz w:val="24"/>
          <w:szCs w:val="24"/>
          <w:lang w:val="es-ES"/>
        </w:rPr>
        <w:t xml:space="preserve">sobre el </w:t>
      </w:r>
      <w:r w:rsidR="004D04EF" w:rsidRPr="00045E69">
        <w:rPr>
          <w:rFonts w:ascii="Times New Roman" w:hAnsi="Times New Roman"/>
          <w:color w:val="000000"/>
          <w:sz w:val="24"/>
          <w:szCs w:val="24"/>
          <w:lang w:val="es-ES"/>
        </w:rPr>
        <w:t xml:space="preserve">gasto turístico en los modelos.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Giesecke y Madden (2007) llevaron a cabo un análisis ex-post de los Juegos Olímpicos de Sídney para explorar y abordar los riesgos antes mencionados a través de: </w:t>
      </w:r>
      <w:r w:rsidR="003B2306" w:rsidRPr="00045E69">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 xml:space="preserve">contabilidad explicita de los servicios y gastos públicos adicionales necesarios para mantener los juegos; </w:t>
      </w:r>
      <w:r w:rsidR="003B2306" w:rsidRPr="00045E69">
        <w:rPr>
          <w:rFonts w:ascii="Times New Roman" w:hAnsi="Times New Roman"/>
          <w:color w:val="000000"/>
          <w:sz w:val="24"/>
          <w:szCs w:val="24"/>
          <w:lang w:val="es-ES"/>
        </w:rPr>
        <w:t xml:space="preserve">modelar el </w:t>
      </w:r>
      <w:r w:rsidRPr="00045E69">
        <w:rPr>
          <w:rFonts w:ascii="Times New Roman" w:hAnsi="Times New Roman"/>
          <w:color w:val="000000"/>
          <w:sz w:val="24"/>
          <w:szCs w:val="24"/>
          <w:lang w:val="es-ES"/>
        </w:rPr>
        <w:t>mercado de trabajo sin una tasa</w:t>
      </w:r>
      <w:r w:rsidR="003731F1">
        <w:rPr>
          <w:rFonts w:ascii="Times New Roman" w:hAnsi="Times New Roman"/>
          <w:color w:val="000000"/>
          <w:sz w:val="24"/>
          <w:szCs w:val="24"/>
          <w:lang w:val="es-ES"/>
        </w:rPr>
        <w:t xml:space="preserve"> de empleo</w:t>
      </w:r>
      <w:r w:rsidRPr="00045E69">
        <w:rPr>
          <w:rFonts w:ascii="Times New Roman" w:hAnsi="Times New Roman"/>
          <w:color w:val="000000"/>
          <w:sz w:val="24"/>
          <w:szCs w:val="24"/>
          <w:lang w:val="es-ES"/>
        </w:rPr>
        <w:t xml:space="preserve"> significativa</w:t>
      </w:r>
      <w:r w:rsidR="003B2306" w:rsidRPr="00045E69">
        <w:rPr>
          <w:rFonts w:ascii="Times New Roman" w:hAnsi="Times New Roman"/>
          <w:color w:val="000000"/>
          <w:sz w:val="24"/>
          <w:szCs w:val="24"/>
          <w:lang w:val="es-ES"/>
        </w:rPr>
        <w:t>, y</w:t>
      </w:r>
      <w:r w:rsidRPr="00045E69">
        <w:rPr>
          <w:rFonts w:ascii="Times New Roman" w:hAnsi="Times New Roman"/>
          <w:color w:val="000000"/>
          <w:sz w:val="24"/>
          <w:szCs w:val="24"/>
          <w:lang w:val="es-ES"/>
        </w:rPr>
        <w:t xml:space="preserve">; </w:t>
      </w:r>
      <w:r w:rsidR="003B2306" w:rsidRPr="00045E69">
        <w:rPr>
          <w:rFonts w:ascii="Times New Roman" w:hAnsi="Times New Roman"/>
          <w:color w:val="000000"/>
          <w:sz w:val="24"/>
          <w:szCs w:val="24"/>
          <w:lang w:val="es-ES"/>
        </w:rPr>
        <w:t xml:space="preserve">la realización de </w:t>
      </w:r>
      <w:r w:rsidRPr="00045E69">
        <w:rPr>
          <w:rFonts w:ascii="Times New Roman" w:hAnsi="Times New Roman"/>
          <w:color w:val="000000"/>
          <w:sz w:val="24"/>
          <w:szCs w:val="24"/>
          <w:lang w:val="es-ES"/>
        </w:rPr>
        <w:t xml:space="preserve">una simulación histórica para determinar si </w:t>
      </w:r>
      <w:r w:rsidR="003B2306" w:rsidRPr="00045E69">
        <w:rPr>
          <w:rFonts w:ascii="Times New Roman" w:hAnsi="Times New Roman"/>
          <w:color w:val="000000"/>
          <w:sz w:val="24"/>
          <w:szCs w:val="24"/>
          <w:lang w:val="es-ES"/>
        </w:rPr>
        <w:t xml:space="preserve">el turismo tuvo un efecto inducido importante </w:t>
      </w:r>
      <w:r w:rsidRPr="00045E69">
        <w:rPr>
          <w:rFonts w:ascii="Times New Roman" w:hAnsi="Times New Roman"/>
          <w:color w:val="000000"/>
          <w:sz w:val="24"/>
          <w:szCs w:val="24"/>
          <w:lang w:val="es-ES"/>
        </w:rPr>
        <w:t>sobre la economía. Mientras que el estudio se centró en la clausura histórica, no deja de ser perspicaz para el debat</w:t>
      </w:r>
      <w:r w:rsidR="003B2306" w:rsidRPr="00045E69">
        <w:rPr>
          <w:rFonts w:ascii="Times New Roman" w:hAnsi="Times New Roman"/>
          <w:color w:val="000000"/>
          <w:sz w:val="24"/>
          <w:szCs w:val="24"/>
          <w:lang w:val="es-ES"/>
        </w:rPr>
        <w:t>e actual sobre el uso de DCGE para</w:t>
      </w:r>
      <w:r w:rsidRPr="00045E69">
        <w:rPr>
          <w:rFonts w:ascii="Times New Roman" w:hAnsi="Times New Roman"/>
          <w:color w:val="000000"/>
          <w:sz w:val="24"/>
          <w:szCs w:val="24"/>
          <w:lang w:val="es-ES"/>
        </w:rPr>
        <w:t xml:space="preserve"> resolver la cuestión de atribución en el análisis ex-post.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Giesecke y Madden (2007) utilizaron una clausura histórica en el modelo DCGE MMRF para explicar los movimientos en las curvas de demanda de exportación que representan los cambios en la demanda turística para los Juegos Ol</w:t>
      </w:r>
      <w:r w:rsidR="003B2306" w:rsidRPr="00045E69">
        <w:rPr>
          <w:rFonts w:ascii="Times New Roman" w:hAnsi="Times New Roman"/>
          <w:color w:val="000000"/>
          <w:sz w:val="24"/>
          <w:szCs w:val="24"/>
          <w:lang w:val="es-ES"/>
        </w:rPr>
        <w:t>ímpicos de Sídney. El modelo MMR</w:t>
      </w:r>
      <w:r w:rsidRPr="00045E69">
        <w:rPr>
          <w:rFonts w:ascii="Times New Roman" w:hAnsi="Times New Roman"/>
          <w:color w:val="000000"/>
          <w:sz w:val="24"/>
          <w:szCs w:val="24"/>
          <w:lang w:val="es-ES"/>
        </w:rPr>
        <w:t>F desarrollado</w:t>
      </w:r>
      <w:r w:rsidR="003B2306" w:rsidRPr="00045E69">
        <w:rPr>
          <w:rFonts w:ascii="Times New Roman" w:hAnsi="Times New Roman"/>
          <w:color w:val="000000"/>
          <w:sz w:val="24"/>
          <w:szCs w:val="24"/>
          <w:lang w:val="es-ES"/>
        </w:rPr>
        <w:t xml:space="preserve"> por CoPS  proviene de la </w:t>
      </w:r>
      <w:r w:rsidRPr="00045E69">
        <w:rPr>
          <w:rFonts w:ascii="Times New Roman" w:hAnsi="Times New Roman"/>
          <w:color w:val="000000"/>
          <w:sz w:val="24"/>
          <w:szCs w:val="24"/>
          <w:lang w:val="es-ES"/>
        </w:rPr>
        <w:t>tradición</w:t>
      </w:r>
      <w:r w:rsidR="003B2306" w:rsidRPr="00045E69">
        <w:rPr>
          <w:rFonts w:ascii="Times New Roman" w:hAnsi="Times New Roman"/>
          <w:color w:val="000000"/>
          <w:sz w:val="24"/>
          <w:szCs w:val="24"/>
          <w:lang w:val="es-ES"/>
        </w:rPr>
        <w:t xml:space="preserve"> de modelaje de</w:t>
      </w:r>
      <w:r w:rsidRPr="00045E69">
        <w:rPr>
          <w:rFonts w:ascii="Times New Roman" w:hAnsi="Times New Roman"/>
          <w:color w:val="000000"/>
          <w:sz w:val="24"/>
          <w:szCs w:val="24"/>
          <w:lang w:val="es-ES"/>
        </w:rPr>
        <w:t xml:space="preserve"> Monash. Este modelo tiene cuatro clausuras: la </w:t>
      </w:r>
      <w:r w:rsidR="003731F1">
        <w:rPr>
          <w:rFonts w:ascii="Times New Roman" w:hAnsi="Times New Roman"/>
          <w:color w:val="000000"/>
          <w:sz w:val="24"/>
          <w:szCs w:val="24"/>
          <w:lang w:val="es-ES"/>
        </w:rPr>
        <w:t xml:space="preserve">clausura </w:t>
      </w:r>
      <w:r w:rsidRPr="00045E69">
        <w:rPr>
          <w:rFonts w:ascii="Times New Roman" w:hAnsi="Times New Roman"/>
          <w:color w:val="000000"/>
          <w:sz w:val="24"/>
          <w:szCs w:val="24"/>
          <w:lang w:val="es-ES"/>
        </w:rPr>
        <w:t xml:space="preserve">histórica, la de descomposición, la de proyección, y por ultima, la de análisis. En el trabajo de Giesecke y Madden (2007), se utilizó la simulación histórica para explicar la medida en que los cambios en el sector turístico se atribuyeron a los Juegos </w:t>
      </w:r>
      <w:r w:rsidRPr="00045E69">
        <w:rPr>
          <w:rFonts w:ascii="Times New Roman" w:hAnsi="Times New Roman"/>
          <w:color w:val="000000"/>
          <w:sz w:val="24"/>
          <w:szCs w:val="24"/>
          <w:lang w:val="es-ES"/>
        </w:rPr>
        <w:lastRenderedPageBreak/>
        <w:t xml:space="preserve">Olímpicos y en qué medida se deben a otros factores no relacionados. </w:t>
      </w:r>
      <w:r w:rsidR="003731F1">
        <w:rPr>
          <w:rFonts w:ascii="Times New Roman" w:hAnsi="Times New Roman"/>
          <w:color w:val="000000"/>
          <w:sz w:val="24"/>
          <w:szCs w:val="24"/>
          <w:lang w:val="es-ES"/>
        </w:rPr>
        <w:t>La clausura de análisis se</w:t>
      </w:r>
      <w:r w:rsidRPr="00045E69">
        <w:rPr>
          <w:rFonts w:ascii="Times New Roman" w:hAnsi="Times New Roman"/>
          <w:color w:val="000000"/>
          <w:sz w:val="24"/>
          <w:szCs w:val="24"/>
          <w:lang w:val="es-ES"/>
        </w:rPr>
        <w:t xml:space="preserve"> utilizó para examinar el período histórico para explicar el impacto de la inversión en los Juegos Olímpicos. En este análisis, se fijaron endógenas las variables macroeconómicas. Se fijaron exógenas las variables macroeconómicas </w:t>
      </w:r>
      <w:r w:rsidR="003731F1" w:rsidRPr="00045E69">
        <w:rPr>
          <w:rFonts w:ascii="Times New Roman" w:hAnsi="Times New Roman"/>
          <w:color w:val="000000"/>
          <w:sz w:val="24"/>
          <w:szCs w:val="24"/>
          <w:lang w:val="es-ES"/>
        </w:rPr>
        <w:t xml:space="preserve">estructurales </w:t>
      </w:r>
      <w:r w:rsidR="003731F1">
        <w:rPr>
          <w:rFonts w:ascii="Times New Roman" w:hAnsi="Times New Roman"/>
          <w:color w:val="000000"/>
          <w:sz w:val="24"/>
          <w:szCs w:val="24"/>
          <w:lang w:val="es-ES"/>
        </w:rPr>
        <w:t>correspondientes y se introdujeron</w:t>
      </w:r>
      <w:r w:rsidRPr="00045E69">
        <w:rPr>
          <w:rFonts w:ascii="Times New Roman" w:hAnsi="Times New Roman"/>
          <w:color w:val="000000"/>
          <w:sz w:val="24"/>
          <w:szCs w:val="24"/>
          <w:lang w:val="es-ES"/>
        </w:rPr>
        <w:t xml:space="preserve">  choques con base en los resultados de </w:t>
      </w:r>
      <w:r w:rsidR="003B2306" w:rsidRPr="00045E69">
        <w:rPr>
          <w:rFonts w:ascii="Times New Roman" w:hAnsi="Times New Roman"/>
          <w:color w:val="000000"/>
          <w:sz w:val="24"/>
          <w:szCs w:val="24"/>
          <w:lang w:val="es-ES"/>
        </w:rPr>
        <w:t>la simulación histórica. Recorda</w:t>
      </w:r>
      <w:r w:rsidRPr="00045E69">
        <w:rPr>
          <w:rFonts w:ascii="Times New Roman" w:hAnsi="Times New Roman"/>
          <w:color w:val="000000"/>
          <w:sz w:val="24"/>
          <w:szCs w:val="24"/>
          <w:lang w:val="es-ES"/>
        </w:rPr>
        <w:t>mos que la clausura histórica se utiliza para derivar estimaciones d</w:t>
      </w:r>
      <w:r w:rsidR="003B2306" w:rsidRPr="00045E69">
        <w:rPr>
          <w:rFonts w:ascii="Times New Roman" w:hAnsi="Times New Roman"/>
          <w:color w:val="000000"/>
          <w:sz w:val="24"/>
          <w:szCs w:val="24"/>
          <w:lang w:val="es-ES"/>
        </w:rPr>
        <w:t xml:space="preserve">e cambios en la tecnología, preferencias del consumidor, </w:t>
      </w:r>
      <w:r w:rsidRPr="00045E69">
        <w:rPr>
          <w:rFonts w:ascii="Times New Roman" w:hAnsi="Times New Roman"/>
          <w:color w:val="000000"/>
          <w:sz w:val="24"/>
          <w:szCs w:val="24"/>
          <w:lang w:val="es-ES"/>
        </w:rPr>
        <w:t>demanda y en las exportaciones. Los resultados de este análisis producen una desviación de la línea de base, que representa el impacto de la inversión (Giesecke y Madden, 2007).</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Giesecke y </w:t>
      </w:r>
      <w:r w:rsidR="003B2306" w:rsidRPr="00045E69">
        <w:rPr>
          <w:rFonts w:ascii="Times New Roman" w:hAnsi="Times New Roman"/>
          <w:color w:val="000000"/>
          <w:sz w:val="24"/>
          <w:szCs w:val="24"/>
          <w:lang w:val="es-ES"/>
        </w:rPr>
        <w:t>Madden (2007) llevaron a cabo lo</w:t>
      </w:r>
      <w:r w:rsidR="003731F1">
        <w:rPr>
          <w:rFonts w:ascii="Times New Roman" w:hAnsi="Times New Roman"/>
          <w:color w:val="000000"/>
          <w:sz w:val="24"/>
          <w:szCs w:val="24"/>
          <w:lang w:val="es-ES"/>
        </w:rPr>
        <w:t>s siguientes substituciones</w:t>
      </w:r>
      <w:r w:rsidRPr="00045E69">
        <w:rPr>
          <w:rFonts w:ascii="Times New Roman" w:hAnsi="Times New Roman"/>
          <w:color w:val="000000"/>
          <w:sz w:val="24"/>
          <w:szCs w:val="24"/>
          <w:lang w:val="es-ES"/>
        </w:rPr>
        <w:t xml:space="preserve">: </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La inversión real se determina de manera exógena a través de la determinación endógena del vínculo entre la inversión por cada actividad y las tasas de retorno</w:t>
      </w:r>
      <w:r w:rsidR="003731F1">
        <w:rPr>
          <w:rFonts w:ascii="Times New Roman" w:hAnsi="Times New Roman"/>
          <w:color w:val="000000"/>
          <w:sz w:val="24"/>
          <w:szCs w:val="24"/>
          <w:lang w:val="es-ES"/>
        </w:rPr>
        <w:t xml:space="preserve"> de la inversión</w:t>
      </w:r>
      <w:r w:rsidRPr="00045E69">
        <w:rPr>
          <w:rFonts w:ascii="Times New Roman" w:hAnsi="Times New Roman"/>
          <w:color w:val="000000"/>
          <w:sz w:val="24"/>
          <w:szCs w:val="24"/>
          <w:lang w:val="es-ES"/>
        </w:rPr>
        <w:t xml:space="preserve">; </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El con</w:t>
      </w:r>
      <w:r w:rsidR="003731F1">
        <w:rPr>
          <w:rFonts w:ascii="Times New Roman" w:hAnsi="Times New Roman"/>
          <w:color w:val="000000"/>
          <w:sz w:val="24"/>
          <w:szCs w:val="24"/>
          <w:lang w:val="es-ES"/>
        </w:rPr>
        <w:t>sumo particular está determinado</w:t>
      </w:r>
      <w:r w:rsidRPr="00045E69">
        <w:rPr>
          <w:rFonts w:ascii="Times New Roman" w:hAnsi="Times New Roman"/>
          <w:color w:val="000000"/>
          <w:sz w:val="24"/>
          <w:szCs w:val="24"/>
          <w:lang w:val="es-ES"/>
        </w:rPr>
        <w:t xml:space="preserve"> por la propensión </w:t>
      </w:r>
      <w:r w:rsidR="003731F1">
        <w:rPr>
          <w:rFonts w:ascii="Times New Roman" w:hAnsi="Times New Roman"/>
          <w:color w:val="000000"/>
          <w:sz w:val="24"/>
          <w:szCs w:val="24"/>
          <w:lang w:val="es-ES"/>
        </w:rPr>
        <w:t>promedio de</w:t>
      </w:r>
      <w:r w:rsidRPr="00045E69">
        <w:rPr>
          <w:rFonts w:ascii="Times New Roman" w:hAnsi="Times New Roman"/>
          <w:color w:val="000000"/>
          <w:sz w:val="24"/>
          <w:szCs w:val="24"/>
          <w:lang w:val="es-ES"/>
        </w:rPr>
        <w:t xml:space="preserve"> consumir; </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 El consumo del gobierno es naturalmente exógeno; </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Las importaciones se determinan de forma exógena a través de la determ</w:t>
      </w:r>
      <w:r w:rsidR="003731F1">
        <w:rPr>
          <w:rFonts w:ascii="Times New Roman" w:hAnsi="Times New Roman"/>
          <w:color w:val="000000"/>
          <w:sz w:val="24"/>
          <w:szCs w:val="24"/>
          <w:lang w:val="es-ES"/>
        </w:rPr>
        <w:t>inación endógena de cambios en preferencias para</w:t>
      </w:r>
      <w:r w:rsidRPr="00045E69">
        <w:rPr>
          <w:rFonts w:ascii="Times New Roman" w:hAnsi="Times New Roman"/>
          <w:color w:val="000000"/>
          <w:sz w:val="24"/>
          <w:szCs w:val="24"/>
          <w:lang w:val="es-ES"/>
        </w:rPr>
        <w:t xml:space="preserve"> las importaciones; </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 Los volúmenes de exportaciones se determinan de forma exógena a través de la determinación endógena de </w:t>
      </w:r>
      <w:r w:rsidR="003731F1">
        <w:rPr>
          <w:rFonts w:ascii="Times New Roman" w:hAnsi="Times New Roman"/>
          <w:color w:val="000000"/>
          <w:sz w:val="24"/>
          <w:szCs w:val="24"/>
          <w:lang w:val="es-ES"/>
        </w:rPr>
        <w:t xml:space="preserve">cambios en </w:t>
      </w:r>
      <w:r w:rsidRPr="00045E69">
        <w:rPr>
          <w:rFonts w:ascii="Times New Roman" w:hAnsi="Times New Roman"/>
          <w:color w:val="000000"/>
          <w:sz w:val="24"/>
          <w:szCs w:val="24"/>
          <w:lang w:val="es-ES"/>
        </w:rPr>
        <w:t>preferencia</w:t>
      </w:r>
      <w:r w:rsidR="003731F1">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w:t>
      </w:r>
      <w:r w:rsidR="003731F1">
        <w:rPr>
          <w:rFonts w:ascii="Times New Roman" w:hAnsi="Times New Roman"/>
          <w:color w:val="000000"/>
          <w:sz w:val="24"/>
          <w:szCs w:val="24"/>
          <w:lang w:val="es-ES"/>
        </w:rPr>
        <w:t xml:space="preserve">para </w:t>
      </w:r>
      <w:r w:rsidRPr="00045E69">
        <w:rPr>
          <w:rFonts w:ascii="Times New Roman" w:hAnsi="Times New Roman"/>
          <w:color w:val="000000"/>
          <w:sz w:val="24"/>
          <w:szCs w:val="24"/>
          <w:lang w:val="es-ES"/>
        </w:rPr>
        <w:t>e</w:t>
      </w:r>
      <w:r w:rsidR="003B2306" w:rsidRPr="00045E69">
        <w:rPr>
          <w:rFonts w:ascii="Times New Roman" w:hAnsi="Times New Roman"/>
          <w:color w:val="000000"/>
          <w:sz w:val="24"/>
          <w:szCs w:val="24"/>
          <w:lang w:val="es-ES"/>
        </w:rPr>
        <w:t>l</w:t>
      </w:r>
      <w:r w:rsidRPr="00045E69">
        <w:rPr>
          <w:rFonts w:ascii="Times New Roman" w:hAnsi="Times New Roman"/>
          <w:color w:val="000000"/>
          <w:sz w:val="24"/>
          <w:szCs w:val="24"/>
          <w:lang w:val="es-ES"/>
        </w:rPr>
        <w:t xml:space="preserve"> origen de productos, y; </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Las llegadas de visitantes internacionales se fijan exógenamente a los valores observados históricamente a través de la fijación endógena de las curvas de demanda de turistas extranjeros.</w:t>
      </w:r>
    </w:p>
    <w:p w:rsidR="002C3973" w:rsidRPr="00045E69" w:rsidRDefault="002C3973" w:rsidP="00C82F81">
      <w:pPr>
        <w:pStyle w:val="ColorfulList-Accent11"/>
        <w:spacing w:after="0" w:line="360" w:lineRule="auto"/>
        <w:ind w:left="36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Giesecke y Madden (2007) encontraron que los Juegos Olímpicos r</w:t>
      </w:r>
      <w:r w:rsidR="003B2306" w:rsidRPr="00045E69">
        <w:rPr>
          <w:rFonts w:ascii="Times New Roman" w:hAnsi="Times New Roman"/>
          <w:color w:val="000000"/>
          <w:sz w:val="24"/>
          <w:szCs w:val="24"/>
          <w:lang w:val="es-ES"/>
        </w:rPr>
        <w:t>esultaron en una pérdida de AUD</w:t>
      </w:r>
      <w:r w:rsidRPr="00045E69">
        <w:rPr>
          <w:rFonts w:ascii="Times New Roman" w:hAnsi="Times New Roman"/>
          <w:color w:val="000000"/>
          <w:sz w:val="24"/>
          <w:szCs w:val="24"/>
          <w:lang w:val="es-ES"/>
        </w:rPr>
        <w:t>$2.1 billones para la economía Australiana sin tener en cuenta los beneficios intangibles tales ev</w:t>
      </w:r>
      <w:r w:rsidR="003B2306" w:rsidRPr="00045E69">
        <w:rPr>
          <w:rFonts w:ascii="Times New Roman" w:hAnsi="Times New Roman"/>
          <w:color w:val="000000"/>
          <w:sz w:val="24"/>
          <w:szCs w:val="24"/>
          <w:lang w:val="es-ES"/>
        </w:rPr>
        <w:t>entos puedan proporcionar a</w:t>
      </w:r>
      <w:r w:rsidRPr="00045E69">
        <w:rPr>
          <w:rFonts w:ascii="Times New Roman" w:hAnsi="Times New Roman"/>
          <w:color w:val="000000"/>
          <w:sz w:val="24"/>
          <w:szCs w:val="24"/>
          <w:lang w:val="es-ES"/>
        </w:rPr>
        <w:t>l público. Por otra parte, no encontraron ninguna evidencia de un</w:t>
      </w:r>
      <w:r w:rsidR="003731F1">
        <w:rPr>
          <w:rFonts w:ascii="Times New Roman" w:hAnsi="Times New Roman"/>
          <w:color w:val="000000"/>
          <w:sz w:val="24"/>
          <w:szCs w:val="24"/>
          <w:lang w:val="es-ES"/>
        </w:rPr>
        <w:t xml:space="preserve"> efecto inducido por el turismo. Un efecto inducido del turismo en este contexto se interpreta como un crecimiento más rápido del sector turístico debido a</w:t>
      </w:r>
      <w:r w:rsidR="003B2306" w:rsidRPr="00045E69">
        <w:rPr>
          <w:rFonts w:ascii="Times New Roman" w:hAnsi="Times New Roman"/>
          <w:color w:val="000000"/>
          <w:sz w:val="24"/>
          <w:szCs w:val="24"/>
          <w:lang w:val="es-ES"/>
        </w:rPr>
        <w:t>l</w:t>
      </w:r>
      <w:r w:rsidRPr="00045E69">
        <w:rPr>
          <w:rFonts w:ascii="Times New Roman" w:hAnsi="Times New Roman"/>
          <w:color w:val="000000"/>
          <w:sz w:val="24"/>
          <w:szCs w:val="24"/>
          <w:lang w:val="es-ES"/>
        </w:rPr>
        <w:t xml:space="preserve"> mayor conocimiento de Australia como un destino turístico </w:t>
      </w:r>
      <w:r w:rsidR="003731F1">
        <w:rPr>
          <w:rFonts w:ascii="Times New Roman" w:hAnsi="Times New Roman"/>
          <w:color w:val="000000"/>
          <w:sz w:val="24"/>
          <w:szCs w:val="24"/>
          <w:lang w:val="es-ES"/>
        </w:rPr>
        <w:t xml:space="preserve">por causa </w:t>
      </w:r>
      <w:r w:rsidRPr="00045E69">
        <w:rPr>
          <w:rFonts w:ascii="Times New Roman" w:hAnsi="Times New Roman"/>
          <w:color w:val="000000"/>
          <w:sz w:val="24"/>
          <w:szCs w:val="24"/>
          <w:lang w:val="es-ES"/>
        </w:rPr>
        <w:t xml:space="preserve">de los Juegos de Sídney. Por último, los </w:t>
      </w:r>
      <w:r w:rsidRPr="00045E69">
        <w:rPr>
          <w:rFonts w:ascii="Times New Roman" w:hAnsi="Times New Roman"/>
          <w:color w:val="000000"/>
          <w:sz w:val="24"/>
          <w:szCs w:val="24"/>
          <w:lang w:val="es-ES"/>
        </w:rPr>
        <w:lastRenderedPageBreak/>
        <w:t>autores sugieren que para que los métodos de análisis ex</w:t>
      </w:r>
      <w:r w:rsidR="003B2306" w:rsidRPr="00045E69">
        <w:rPr>
          <w:rFonts w:ascii="Times New Roman" w:hAnsi="Times New Roman"/>
          <w:color w:val="000000"/>
          <w:sz w:val="24"/>
          <w:szCs w:val="24"/>
          <w:lang w:val="es-ES"/>
        </w:rPr>
        <w:t>-</w:t>
      </w:r>
      <w:r w:rsidRPr="00045E69">
        <w:rPr>
          <w:rFonts w:ascii="Times New Roman" w:hAnsi="Times New Roman"/>
          <w:color w:val="000000"/>
          <w:sz w:val="24"/>
          <w:szCs w:val="24"/>
          <w:lang w:val="es-ES"/>
        </w:rPr>
        <w:t>ante sean más robustos, má</w:t>
      </w:r>
      <w:r w:rsidR="003B2306" w:rsidRPr="00045E69">
        <w:rPr>
          <w:rFonts w:ascii="Times New Roman" w:hAnsi="Times New Roman"/>
          <w:color w:val="000000"/>
          <w:sz w:val="24"/>
          <w:szCs w:val="24"/>
          <w:lang w:val="es-ES"/>
        </w:rPr>
        <w:t>s experimentos de modelaje ex-post serán</w:t>
      </w:r>
      <w:r w:rsidRPr="00045E69">
        <w:rPr>
          <w:rFonts w:ascii="Times New Roman" w:hAnsi="Times New Roman"/>
          <w:color w:val="000000"/>
          <w:sz w:val="24"/>
          <w:szCs w:val="24"/>
          <w:lang w:val="es-ES"/>
        </w:rPr>
        <w:t xml:space="preserve"> necesarios.</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Otro estudio que ha experimentado con </w:t>
      </w:r>
      <w:r w:rsidR="003B2306" w:rsidRPr="00045E69">
        <w:rPr>
          <w:rFonts w:ascii="Times New Roman" w:hAnsi="Times New Roman"/>
          <w:color w:val="000000"/>
          <w:sz w:val="24"/>
          <w:szCs w:val="24"/>
          <w:lang w:val="es-ES"/>
        </w:rPr>
        <w:t xml:space="preserve">el </w:t>
      </w:r>
      <w:r w:rsidRPr="00045E69">
        <w:rPr>
          <w:rFonts w:ascii="Times New Roman" w:hAnsi="Times New Roman"/>
          <w:color w:val="000000"/>
          <w:sz w:val="24"/>
          <w:szCs w:val="24"/>
          <w:lang w:val="es-ES"/>
        </w:rPr>
        <w:t xml:space="preserve">análisis </w:t>
      </w:r>
      <w:r w:rsidR="003B2306" w:rsidRPr="00045E69">
        <w:rPr>
          <w:rFonts w:ascii="Times New Roman" w:hAnsi="Times New Roman"/>
          <w:color w:val="000000"/>
          <w:sz w:val="24"/>
          <w:szCs w:val="24"/>
          <w:lang w:val="es-ES"/>
        </w:rPr>
        <w:t xml:space="preserve">DCGE </w:t>
      </w:r>
      <w:r w:rsidRPr="00045E69">
        <w:rPr>
          <w:rFonts w:ascii="Times New Roman" w:hAnsi="Times New Roman"/>
          <w:color w:val="000000"/>
          <w:sz w:val="24"/>
          <w:szCs w:val="24"/>
          <w:lang w:val="es-ES"/>
        </w:rPr>
        <w:t>ex-post es el</w:t>
      </w:r>
      <w:r w:rsidR="00817F1D">
        <w:rPr>
          <w:rFonts w:ascii="Times New Roman" w:hAnsi="Times New Roman"/>
          <w:color w:val="000000"/>
          <w:sz w:val="24"/>
          <w:szCs w:val="24"/>
          <w:lang w:val="es-ES"/>
        </w:rPr>
        <w:t xml:space="preserve"> estudio</w:t>
      </w:r>
      <w:r w:rsidRPr="00045E69">
        <w:rPr>
          <w:rFonts w:ascii="Times New Roman" w:hAnsi="Times New Roman"/>
          <w:color w:val="000000"/>
          <w:sz w:val="24"/>
          <w:szCs w:val="24"/>
          <w:lang w:val="es-ES"/>
        </w:rPr>
        <w:t xml:space="preserve"> de Jean et al. (2012) q</w:t>
      </w:r>
      <w:r w:rsidR="003B2306" w:rsidRPr="00045E69">
        <w:rPr>
          <w:rFonts w:ascii="Times New Roman" w:hAnsi="Times New Roman"/>
          <w:color w:val="000000"/>
          <w:sz w:val="24"/>
          <w:szCs w:val="24"/>
          <w:lang w:val="es-ES"/>
        </w:rPr>
        <w:t xml:space="preserve">ue examina los impactos </w:t>
      </w:r>
      <w:r w:rsidRPr="00045E69">
        <w:rPr>
          <w:rFonts w:ascii="Times New Roman" w:hAnsi="Times New Roman"/>
          <w:color w:val="000000"/>
          <w:sz w:val="24"/>
          <w:szCs w:val="24"/>
          <w:lang w:val="es-ES"/>
        </w:rPr>
        <w:t xml:space="preserve">del Tratado de Libre Comercio entre la </w:t>
      </w:r>
      <w:r w:rsidR="00817F1D" w:rsidRPr="00045E69">
        <w:rPr>
          <w:rFonts w:ascii="Times New Roman" w:hAnsi="Times New Roman"/>
          <w:color w:val="000000"/>
          <w:sz w:val="24"/>
          <w:szCs w:val="24"/>
          <w:lang w:val="es-ES"/>
        </w:rPr>
        <w:t>U</w:t>
      </w:r>
      <w:r w:rsidR="00817F1D">
        <w:rPr>
          <w:rFonts w:ascii="Times New Roman" w:hAnsi="Times New Roman"/>
          <w:color w:val="000000"/>
          <w:sz w:val="24"/>
          <w:szCs w:val="24"/>
          <w:lang w:val="es-ES"/>
        </w:rPr>
        <w:t xml:space="preserve">nión </w:t>
      </w:r>
      <w:r w:rsidRPr="00045E69">
        <w:rPr>
          <w:rFonts w:ascii="Times New Roman" w:hAnsi="Times New Roman"/>
          <w:color w:val="000000"/>
          <w:sz w:val="24"/>
          <w:szCs w:val="24"/>
          <w:lang w:val="es-ES"/>
        </w:rPr>
        <w:t>E</w:t>
      </w:r>
      <w:r w:rsidR="00817F1D">
        <w:rPr>
          <w:rFonts w:ascii="Times New Roman" w:hAnsi="Times New Roman"/>
          <w:color w:val="000000"/>
          <w:sz w:val="24"/>
          <w:szCs w:val="24"/>
          <w:lang w:val="es-ES"/>
        </w:rPr>
        <w:t>uropea</w:t>
      </w:r>
      <w:r w:rsidRPr="00045E69">
        <w:rPr>
          <w:rFonts w:ascii="Times New Roman" w:hAnsi="Times New Roman"/>
          <w:color w:val="000000"/>
          <w:sz w:val="24"/>
          <w:szCs w:val="24"/>
          <w:lang w:val="es-ES"/>
        </w:rPr>
        <w:t xml:space="preserve"> y Chile. Jean et al. (2012) propusieron una metodología con base en los métodos de descomposición estructural donde la calibración del modelo toma en cuenta los cambios estructurales en la economía y la política. Este enfoque tiene como objetivo </w:t>
      </w:r>
      <w:r w:rsidR="00817F1D">
        <w:rPr>
          <w:rFonts w:ascii="Times New Roman" w:hAnsi="Times New Roman"/>
          <w:color w:val="000000"/>
          <w:sz w:val="24"/>
          <w:szCs w:val="24"/>
          <w:lang w:val="es-ES"/>
        </w:rPr>
        <w:t xml:space="preserve">la proporción de una </w:t>
      </w:r>
      <w:r w:rsidRPr="00045E69">
        <w:rPr>
          <w:rFonts w:ascii="Times New Roman" w:hAnsi="Times New Roman"/>
          <w:color w:val="000000"/>
          <w:sz w:val="24"/>
          <w:szCs w:val="24"/>
          <w:lang w:val="es-ES"/>
        </w:rPr>
        <w:t xml:space="preserve">interpretación de los cambios observados en la economía siguiendo métodos de descomposición estructural </w:t>
      </w:r>
      <w:r w:rsidR="004D04EF" w:rsidRPr="00045E69">
        <w:rPr>
          <w:rFonts w:ascii="Times New Roman" w:hAnsi="Times New Roman"/>
          <w:color w:val="000000"/>
          <w:sz w:val="24"/>
          <w:szCs w:val="24"/>
          <w:lang w:val="es-ES"/>
        </w:rPr>
        <w:t>aplicada</w:t>
      </w:r>
      <w:r w:rsidRPr="00045E69">
        <w:rPr>
          <w:rFonts w:ascii="Times New Roman" w:hAnsi="Times New Roman"/>
          <w:color w:val="000000"/>
          <w:sz w:val="24"/>
          <w:szCs w:val="24"/>
          <w:lang w:val="es-ES"/>
        </w:rPr>
        <w:t xml:space="preserve"> por Jean y Bontout (2001) y Abrego y Whalley (2003). Esta metodología es similar a</w:t>
      </w:r>
      <w:r w:rsidR="003B2306" w:rsidRPr="00045E69">
        <w:rPr>
          <w:rFonts w:ascii="Times New Roman" w:hAnsi="Times New Roman"/>
          <w:color w:val="000000"/>
          <w:sz w:val="24"/>
          <w:szCs w:val="24"/>
          <w:lang w:val="es-ES"/>
        </w:rPr>
        <w:t>l</w:t>
      </w:r>
      <w:r w:rsidRPr="00045E69">
        <w:rPr>
          <w:rFonts w:ascii="Times New Roman" w:hAnsi="Times New Roman"/>
          <w:color w:val="000000"/>
          <w:sz w:val="24"/>
          <w:szCs w:val="24"/>
          <w:lang w:val="es-ES"/>
        </w:rPr>
        <w:t xml:space="preserve"> análisis de descomposición presentado anteriormente (Dixon y Rimmer, 2010; Dixon y Rimmer, 2004; Jean y Bontout, 2001; Abrego y Whalley, </w:t>
      </w:r>
      <w:r w:rsidR="004D04EF" w:rsidRPr="00045E69">
        <w:rPr>
          <w:rFonts w:ascii="Times New Roman" w:hAnsi="Times New Roman"/>
          <w:color w:val="000000"/>
          <w:sz w:val="24"/>
          <w:szCs w:val="24"/>
          <w:lang w:val="es-ES"/>
        </w:rPr>
        <w:t>2003)</w:t>
      </w:r>
      <w:r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En resumen, la evaluación ex-post con DCGE es una frontera </w:t>
      </w:r>
      <w:r w:rsidR="008B09B3" w:rsidRPr="00045E69">
        <w:rPr>
          <w:rFonts w:ascii="Times New Roman" w:hAnsi="Times New Roman"/>
          <w:color w:val="000000"/>
          <w:sz w:val="24"/>
          <w:szCs w:val="24"/>
          <w:lang w:val="es-ES"/>
        </w:rPr>
        <w:t>en la disciplina</w:t>
      </w:r>
      <w:r w:rsidR="00817F1D">
        <w:rPr>
          <w:rFonts w:ascii="Times New Roman" w:hAnsi="Times New Roman"/>
          <w:color w:val="000000"/>
          <w:sz w:val="24"/>
          <w:szCs w:val="24"/>
          <w:lang w:val="es-ES"/>
        </w:rPr>
        <w:t>. Los</w:t>
      </w:r>
      <w:r w:rsidRPr="00045E69">
        <w:rPr>
          <w:rFonts w:ascii="Times New Roman" w:hAnsi="Times New Roman"/>
          <w:color w:val="000000"/>
          <w:sz w:val="24"/>
          <w:szCs w:val="24"/>
          <w:lang w:val="es-ES"/>
        </w:rPr>
        <w:t xml:space="preserve"> trabajo</w:t>
      </w:r>
      <w:r w:rsidR="00817F1D">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de Dixon y Rimmer, y </w:t>
      </w:r>
      <w:r w:rsidR="00817F1D">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Giesecke y Madden demuestra</w:t>
      </w:r>
      <w:r w:rsidR="00817F1D">
        <w:rPr>
          <w:rFonts w:ascii="Times New Roman" w:hAnsi="Times New Roman"/>
          <w:color w:val="000000"/>
          <w:sz w:val="24"/>
          <w:szCs w:val="24"/>
          <w:lang w:val="es-ES"/>
        </w:rPr>
        <w:t>n la potencial del análisis de descomposición con DCGE para el análisis ex-post</w:t>
      </w:r>
      <w:r w:rsidR="008B09B3" w:rsidRPr="00045E69">
        <w:rPr>
          <w:rFonts w:ascii="Times New Roman" w:hAnsi="Times New Roman"/>
          <w:color w:val="000000"/>
          <w:sz w:val="24"/>
          <w:szCs w:val="24"/>
          <w:lang w:val="es-ES"/>
        </w:rPr>
        <w:t>. La escala más pequeña de las</w:t>
      </w:r>
      <w:r w:rsidR="00817F1D">
        <w:rPr>
          <w:rFonts w:ascii="Times New Roman" w:hAnsi="Times New Roman"/>
          <w:color w:val="000000"/>
          <w:sz w:val="24"/>
          <w:szCs w:val="24"/>
          <w:lang w:val="es-ES"/>
        </w:rPr>
        <w:t xml:space="preserve"> MMCS facilita</w:t>
      </w:r>
      <w:r w:rsidRPr="00045E69">
        <w:rPr>
          <w:rFonts w:ascii="Times New Roman" w:hAnsi="Times New Roman"/>
          <w:color w:val="000000"/>
          <w:sz w:val="24"/>
          <w:szCs w:val="24"/>
          <w:lang w:val="es-ES"/>
        </w:rPr>
        <w:t xml:space="preserve"> el aislamiento de los efectos de intervención, proporcionando una herramienta de gran alcance para responder a la cuestión la atribución de impacto a una inversión. El desarrollo de métodos de descomposici</w:t>
      </w:r>
      <w:r w:rsidR="00817F1D">
        <w:rPr>
          <w:rFonts w:ascii="Times New Roman" w:hAnsi="Times New Roman"/>
          <w:color w:val="000000"/>
          <w:sz w:val="24"/>
          <w:szCs w:val="24"/>
          <w:lang w:val="es-ES"/>
        </w:rPr>
        <w:t xml:space="preserve">ón DCGE </w:t>
      </w:r>
      <w:r w:rsidRPr="00045E69">
        <w:rPr>
          <w:rFonts w:ascii="Times New Roman" w:hAnsi="Times New Roman"/>
          <w:color w:val="000000"/>
          <w:sz w:val="24"/>
          <w:szCs w:val="24"/>
          <w:lang w:val="es-ES"/>
        </w:rPr>
        <w:t>ampliar</w:t>
      </w:r>
      <w:r w:rsidR="00817F1D">
        <w:rPr>
          <w:rFonts w:ascii="Times New Roman" w:hAnsi="Times New Roman"/>
          <w:color w:val="000000"/>
          <w:sz w:val="24"/>
          <w:szCs w:val="24"/>
          <w:lang w:val="es-ES"/>
        </w:rPr>
        <w:t>á</w:t>
      </w:r>
      <w:r w:rsidRPr="00045E69">
        <w:rPr>
          <w:rFonts w:ascii="Times New Roman" w:hAnsi="Times New Roman"/>
          <w:color w:val="000000"/>
          <w:sz w:val="24"/>
          <w:szCs w:val="24"/>
          <w:lang w:val="es-ES"/>
        </w:rPr>
        <w:t xml:space="preserve"> las </w:t>
      </w:r>
      <w:r w:rsidR="00817F1D">
        <w:rPr>
          <w:rFonts w:ascii="Times New Roman" w:hAnsi="Times New Roman"/>
          <w:color w:val="000000"/>
          <w:sz w:val="24"/>
          <w:szCs w:val="24"/>
          <w:lang w:val="es-ES"/>
        </w:rPr>
        <w:t>opciones de evaluación disponibles en la evaluación de i</w:t>
      </w:r>
      <w:r w:rsidRPr="00045E69">
        <w:rPr>
          <w:rFonts w:ascii="Times New Roman" w:hAnsi="Times New Roman"/>
          <w:color w:val="000000"/>
          <w:sz w:val="24"/>
          <w:szCs w:val="24"/>
          <w:lang w:val="es-ES"/>
        </w:rPr>
        <w:t>mpacto de la cartera de inversiones del BID</w:t>
      </w:r>
      <w:r w:rsidR="008B09B3"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A33A1A" w:rsidP="00C82F81">
      <w:pPr>
        <w:pStyle w:val="ColorfulList-Accent11"/>
        <w:spacing w:after="0" w:line="360" w:lineRule="auto"/>
        <w:jc w:val="both"/>
        <w:rPr>
          <w:rFonts w:ascii="Times New Roman" w:hAnsi="Times New Roman"/>
          <w:b/>
          <w:color w:val="000000"/>
          <w:sz w:val="24"/>
          <w:szCs w:val="24"/>
          <w:lang w:val="es-ES"/>
        </w:rPr>
      </w:pPr>
      <w:r>
        <w:rPr>
          <w:rFonts w:ascii="Times New Roman" w:hAnsi="Times New Roman"/>
          <w:b/>
          <w:color w:val="000000"/>
          <w:sz w:val="24"/>
          <w:szCs w:val="24"/>
          <w:lang w:val="es-ES"/>
        </w:rPr>
        <w:t>El C</w:t>
      </w:r>
      <w:r w:rsidR="002C3973" w:rsidRPr="00045E69">
        <w:rPr>
          <w:rFonts w:ascii="Times New Roman" w:hAnsi="Times New Roman"/>
          <w:b/>
          <w:color w:val="000000"/>
          <w:sz w:val="24"/>
          <w:szCs w:val="24"/>
          <w:lang w:val="es-ES"/>
        </w:rPr>
        <w:t xml:space="preserve">ontrol </w:t>
      </w:r>
      <w:r w:rsidR="004D04EF" w:rsidRPr="00045E69">
        <w:rPr>
          <w:rFonts w:ascii="Times New Roman" w:hAnsi="Times New Roman"/>
          <w:b/>
          <w:color w:val="000000"/>
          <w:sz w:val="24"/>
          <w:szCs w:val="24"/>
          <w:lang w:val="es-ES"/>
        </w:rPr>
        <w:t>Sintético</w:t>
      </w:r>
      <w:r w:rsidR="002C3973" w:rsidRPr="00045E69">
        <w:rPr>
          <w:rFonts w:ascii="Times New Roman" w:hAnsi="Times New Roman"/>
          <w:b/>
          <w:color w:val="000000"/>
          <w:sz w:val="24"/>
          <w:szCs w:val="24"/>
          <w:lang w:val="es-ES"/>
        </w:rPr>
        <w:t xml:space="preserve">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método de control sintético involucra </w:t>
      </w:r>
      <w:r w:rsidR="00A33A1A">
        <w:rPr>
          <w:rFonts w:ascii="Times New Roman" w:hAnsi="Times New Roman"/>
          <w:color w:val="000000"/>
          <w:sz w:val="24"/>
          <w:szCs w:val="24"/>
          <w:lang w:val="es-ES"/>
        </w:rPr>
        <w:t xml:space="preserve">desarrollar </w:t>
      </w:r>
      <w:r w:rsidRPr="00045E69">
        <w:rPr>
          <w:rFonts w:ascii="Times New Roman" w:hAnsi="Times New Roman"/>
          <w:color w:val="000000"/>
          <w:sz w:val="24"/>
          <w:szCs w:val="24"/>
          <w:lang w:val="es-ES"/>
        </w:rPr>
        <w:t>un escenario contrafactual para algunos</w:t>
      </w:r>
      <w:r w:rsidR="00A33A1A">
        <w:rPr>
          <w:rFonts w:ascii="Times New Roman" w:hAnsi="Times New Roman"/>
          <w:color w:val="000000"/>
          <w:sz w:val="24"/>
          <w:szCs w:val="24"/>
          <w:lang w:val="es-ES"/>
        </w:rPr>
        <w:t xml:space="preserve"> indicadores económicos </w:t>
      </w:r>
      <w:r w:rsidRPr="00045E69">
        <w:rPr>
          <w:rFonts w:ascii="Times New Roman" w:hAnsi="Times New Roman"/>
          <w:color w:val="000000"/>
          <w:sz w:val="24"/>
          <w:szCs w:val="24"/>
          <w:lang w:val="es-ES"/>
        </w:rPr>
        <w:t>con base en un promedio ponderado de los indicadores procedentes de otros municipios o regiones que tengan un histórico e características económicos similare</w:t>
      </w:r>
      <w:r w:rsidR="001144DD" w:rsidRPr="00045E69">
        <w:rPr>
          <w:rFonts w:ascii="Times New Roman" w:hAnsi="Times New Roman"/>
          <w:color w:val="000000"/>
          <w:sz w:val="24"/>
          <w:szCs w:val="24"/>
          <w:lang w:val="es-ES"/>
        </w:rPr>
        <w:t>s. Métodos de control sintético</w:t>
      </w:r>
      <w:r w:rsidRPr="00045E69">
        <w:rPr>
          <w:rFonts w:ascii="Times New Roman" w:hAnsi="Times New Roman"/>
          <w:color w:val="000000"/>
          <w:sz w:val="24"/>
          <w:szCs w:val="24"/>
          <w:lang w:val="es-ES"/>
        </w:rPr>
        <w:t xml:space="preserve"> fueron desarrollados por Abadie y Gardeazabal (2003) en su a</w:t>
      </w:r>
      <w:r w:rsidR="00A33A1A">
        <w:rPr>
          <w:rFonts w:ascii="Times New Roman" w:hAnsi="Times New Roman"/>
          <w:color w:val="000000"/>
          <w:sz w:val="24"/>
          <w:szCs w:val="24"/>
          <w:lang w:val="es-ES"/>
        </w:rPr>
        <w:t xml:space="preserve">nálisis del costo económico de </w:t>
      </w:r>
      <w:r w:rsidRPr="00045E69">
        <w:rPr>
          <w:rFonts w:ascii="Times New Roman" w:hAnsi="Times New Roman"/>
          <w:color w:val="000000"/>
          <w:sz w:val="24"/>
          <w:szCs w:val="24"/>
          <w:lang w:val="es-ES"/>
        </w:rPr>
        <w:t xml:space="preserve">terrorismo en la región del País Vasco de España. </w:t>
      </w:r>
      <w:r w:rsidR="00A33A1A">
        <w:rPr>
          <w:rFonts w:ascii="Times New Roman" w:hAnsi="Times New Roman"/>
          <w:color w:val="000000"/>
          <w:sz w:val="24"/>
          <w:szCs w:val="24"/>
          <w:lang w:val="es-ES"/>
        </w:rPr>
        <w:t xml:space="preserve">El </w:t>
      </w:r>
      <w:r w:rsidRPr="00045E69">
        <w:rPr>
          <w:rFonts w:ascii="Times New Roman" w:hAnsi="Times New Roman"/>
          <w:color w:val="000000"/>
          <w:sz w:val="24"/>
          <w:szCs w:val="24"/>
          <w:lang w:val="es-ES"/>
        </w:rPr>
        <w:t>control sintético qu</w:t>
      </w:r>
      <w:r w:rsidR="00A33A1A">
        <w:rPr>
          <w:rFonts w:ascii="Times New Roman" w:hAnsi="Times New Roman"/>
          <w:color w:val="000000"/>
          <w:sz w:val="24"/>
          <w:szCs w:val="24"/>
          <w:lang w:val="es-ES"/>
        </w:rPr>
        <w:t xml:space="preserve">e desarrollaron fue un agregado de promedios </w:t>
      </w:r>
      <w:r w:rsidRPr="00045E69">
        <w:rPr>
          <w:rFonts w:ascii="Times New Roman" w:hAnsi="Times New Roman"/>
          <w:color w:val="000000"/>
          <w:sz w:val="24"/>
          <w:szCs w:val="24"/>
          <w:lang w:val="es-ES"/>
        </w:rPr>
        <w:t>ponderado</w:t>
      </w:r>
      <w:r w:rsidR="00A33A1A">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w:t>
      </w:r>
      <w:r w:rsidR="00A33A1A">
        <w:rPr>
          <w:rFonts w:ascii="Times New Roman" w:hAnsi="Times New Roman"/>
          <w:color w:val="000000"/>
          <w:sz w:val="24"/>
          <w:szCs w:val="24"/>
          <w:lang w:val="es-ES"/>
        </w:rPr>
        <w:t xml:space="preserve">de un indicador </w:t>
      </w:r>
      <w:r w:rsidRPr="00045E69">
        <w:rPr>
          <w:rFonts w:ascii="Times New Roman" w:hAnsi="Times New Roman"/>
          <w:color w:val="000000"/>
          <w:sz w:val="24"/>
          <w:szCs w:val="24"/>
          <w:lang w:val="es-ES"/>
        </w:rPr>
        <w:t>de otras regiones con características</w:t>
      </w:r>
      <w:r w:rsidR="00A33A1A">
        <w:rPr>
          <w:rFonts w:ascii="Times New Roman" w:hAnsi="Times New Roman"/>
          <w:color w:val="000000"/>
          <w:sz w:val="24"/>
          <w:szCs w:val="24"/>
          <w:lang w:val="es-ES"/>
        </w:rPr>
        <w:t xml:space="preserve"> similares </w:t>
      </w:r>
      <w:r w:rsidR="001144DD" w:rsidRPr="00045E69">
        <w:rPr>
          <w:rFonts w:ascii="Times New Roman" w:hAnsi="Times New Roman"/>
          <w:color w:val="000000"/>
          <w:sz w:val="24"/>
          <w:szCs w:val="24"/>
          <w:lang w:val="es-ES"/>
        </w:rPr>
        <w:t xml:space="preserve">a las de la región </w:t>
      </w:r>
      <w:r w:rsidR="00A33A1A">
        <w:rPr>
          <w:rFonts w:ascii="Times New Roman" w:hAnsi="Times New Roman"/>
          <w:color w:val="000000"/>
          <w:sz w:val="24"/>
          <w:szCs w:val="24"/>
          <w:lang w:val="es-ES"/>
        </w:rPr>
        <w:t xml:space="preserve">del País </w:t>
      </w:r>
      <w:r w:rsidR="001144DD" w:rsidRPr="00045E69">
        <w:rPr>
          <w:rFonts w:ascii="Times New Roman" w:hAnsi="Times New Roman"/>
          <w:color w:val="000000"/>
          <w:sz w:val="24"/>
          <w:szCs w:val="24"/>
          <w:lang w:val="es-ES"/>
        </w:rPr>
        <w:t>V</w:t>
      </w:r>
      <w:r w:rsidR="00A33A1A">
        <w:rPr>
          <w:rFonts w:ascii="Times New Roman" w:hAnsi="Times New Roman"/>
          <w:color w:val="000000"/>
          <w:sz w:val="24"/>
          <w:szCs w:val="24"/>
          <w:lang w:val="es-ES"/>
        </w:rPr>
        <w:t>asco</w:t>
      </w:r>
      <w:r w:rsidRPr="00045E69">
        <w:rPr>
          <w:rFonts w:ascii="Times New Roman" w:hAnsi="Times New Roman"/>
          <w:color w:val="000000"/>
          <w:sz w:val="24"/>
          <w:szCs w:val="24"/>
          <w:lang w:val="es-ES"/>
        </w:rPr>
        <w:t xml:space="preserve"> antes del evento de interés- el aumento en el terrorismo político que ocurrió en la década de 1960. La trayectoria económica de la región </w:t>
      </w:r>
      <w:r w:rsidR="00A33A1A">
        <w:rPr>
          <w:rFonts w:ascii="Times New Roman" w:hAnsi="Times New Roman"/>
          <w:color w:val="000000"/>
          <w:sz w:val="24"/>
          <w:szCs w:val="24"/>
          <w:lang w:val="es-ES"/>
        </w:rPr>
        <w:t>del País Vasco</w:t>
      </w:r>
      <w:r w:rsidRPr="00045E69">
        <w:rPr>
          <w:rFonts w:ascii="Times New Roman" w:hAnsi="Times New Roman"/>
          <w:color w:val="000000"/>
          <w:sz w:val="24"/>
          <w:szCs w:val="24"/>
          <w:lang w:val="es-ES"/>
        </w:rPr>
        <w:t xml:space="preserve"> contrafactual, después de los años 1960</w:t>
      </w:r>
      <w:r w:rsidR="00A33A1A">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se desarrolló </w:t>
      </w:r>
      <w:r w:rsidRPr="00045E69">
        <w:rPr>
          <w:rFonts w:ascii="Times New Roman" w:hAnsi="Times New Roman"/>
          <w:color w:val="000000"/>
          <w:sz w:val="24"/>
          <w:szCs w:val="24"/>
          <w:lang w:val="es-ES"/>
        </w:rPr>
        <w:lastRenderedPageBreak/>
        <w:t>sin la presencia de</w:t>
      </w:r>
      <w:r w:rsidR="001144DD" w:rsidRPr="00045E69">
        <w:rPr>
          <w:rFonts w:ascii="Times New Roman" w:hAnsi="Times New Roman"/>
          <w:color w:val="000000"/>
          <w:sz w:val="24"/>
          <w:szCs w:val="24"/>
          <w:lang w:val="es-ES"/>
        </w:rPr>
        <w:t xml:space="preserve"> terrorismo y fue la base de </w:t>
      </w:r>
      <w:r w:rsidRPr="00045E69">
        <w:rPr>
          <w:rFonts w:ascii="Times New Roman" w:hAnsi="Times New Roman"/>
          <w:color w:val="000000"/>
          <w:sz w:val="24"/>
          <w:szCs w:val="24"/>
          <w:lang w:val="es-ES"/>
        </w:rPr>
        <w:t>comparación con el País Vasco. E</w:t>
      </w:r>
      <w:r w:rsidR="00A33A1A">
        <w:rPr>
          <w:rFonts w:ascii="Times New Roman" w:hAnsi="Times New Roman"/>
          <w:color w:val="000000"/>
          <w:sz w:val="24"/>
          <w:szCs w:val="24"/>
          <w:lang w:val="es-ES"/>
        </w:rPr>
        <w:t>s evidente que un contrafactual sintético</w:t>
      </w:r>
      <w:r w:rsidRPr="00045E69">
        <w:rPr>
          <w:rFonts w:ascii="Times New Roman" w:hAnsi="Times New Roman"/>
          <w:color w:val="000000"/>
          <w:sz w:val="24"/>
          <w:szCs w:val="24"/>
          <w:lang w:val="es-ES"/>
        </w:rPr>
        <w:t xml:space="preserve"> era necesario ya que comparaciones de antes y después no </w:t>
      </w:r>
      <w:r w:rsidR="001144DD" w:rsidRPr="00045E69">
        <w:rPr>
          <w:rFonts w:ascii="Times New Roman" w:hAnsi="Times New Roman"/>
          <w:color w:val="000000"/>
          <w:sz w:val="24"/>
          <w:szCs w:val="24"/>
          <w:lang w:val="es-ES"/>
        </w:rPr>
        <w:t>fueron</w:t>
      </w:r>
      <w:r w:rsidRPr="00045E69">
        <w:rPr>
          <w:rFonts w:ascii="Times New Roman" w:hAnsi="Times New Roman"/>
          <w:color w:val="000000"/>
          <w:sz w:val="24"/>
          <w:szCs w:val="24"/>
          <w:lang w:val="es-ES"/>
        </w:rPr>
        <w:t xml:space="preserve"> posible</w:t>
      </w:r>
      <w:r w:rsidR="001144DD" w:rsidRPr="00045E69">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debido a la inviabilidad de aislar el impacto de los eventos de terrorismo de otros cambios en la economía, incluyendo la recesión general por la cual la economía </w:t>
      </w:r>
      <w:r w:rsidR="004D04EF" w:rsidRPr="00045E69">
        <w:rPr>
          <w:rFonts w:ascii="Times New Roman" w:hAnsi="Times New Roman"/>
          <w:color w:val="000000"/>
          <w:sz w:val="24"/>
          <w:szCs w:val="24"/>
          <w:lang w:val="es-ES"/>
        </w:rPr>
        <w:t>pasa</w:t>
      </w:r>
      <w:r w:rsidR="00A33A1A">
        <w:rPr>
          <w:rFonts w:ascii="Times New Roman" w:hAnsi="Times New Roman"/>
          <w:color w:val="000000"/>
          <w:sz w:val="24"/>
          <w:szCs w:val="24"/>
          <w:lang w:val="es-ES"/>
        </w:rPr>
        <w:t>ba</w:t>
      </w:r>
      <w:r w:rsidRPr="00045E69">
        <w:rPr>
          <w:rFonts w:ascii="Times New Roman" w:hAnsi="Times New Roman"/>
          <w:color w:val="000000"/>
          <w:sz w:val="24"/>
          <w:szCs w:val="24"/>
          <w:lang w:val="es-ES"/>
        </w:rPr>
        <w:t>. Además, una comparación válida entre el País</w:t>
      </w:r>
      <w:r w:rsidR="001144DD" w:rsidRPr="00045E69">
        <w:rPr>
          <w:rFonts w:ascii="Times New Roman" w:hAnsi="Times New Roman"/>
          <w:color w:val="000000"/>
          <w:sz w:val="24"/>
          <w:szCs w:val="24"/>
          <w:lang w:val="es-ES"/>
        </w:rPr>
        <w:t xml:space="preserve"> Vasco con otras regiones no fue</w:t>
      </w:r>
      <w:r w:rsidRPr="00045E69">
        <w:rPr>
          <w:rFonts w:ascii="Times New Roman" w:hAnsi="Times New Roman"/>
          <w:color w:val="000000"/>
          <w:sz w:val="24"/>
          <w:szCs w:val="24"/>
          <w:lang w:val="es-ES"/>
        </w:rPr>
        <w:t xml:space="preserve"> viable debido a sus características singulares (Henderson y Corral, </w:t>
      </w:r>
      <w:r w:rsidR="004D04EF" w:rsidRPr="00045E69">
        <w:rPr>
          <w:rFonts w:ascii="Times New Roman" w:hAnsi="Times New Roman"/>
          <w:color w:val="000000"/>
          <w:sz w:val="24"/>
          <w:szCs w:val="24"/>
          <w:lang w:val="es-ES"/>
        </w:rPr>
        <w:t>2013)</w:t>
      </w:r>
      <w:r w:rsidRPr="00045E69">
        <w:rPr>
          <w:rFonts w:ascii="Times New Roman" w:hAnsi="Times New Roman"/>
          <w:color w:val="000000"/>
          <w:sz w:val="24"/>
          <w:szCs w:val="24"/>
          <w:lang w:val="es-ES"/>
        </w:rPr>
        <w:t>.</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A33A1A" w:rsidRDefault="00045E69"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Ha</w:t>
      </w:r>
      <w:r w:rsidR="002C3973" w:rsidRPr="00045E69">
        <w:rPr>
          <w:rFonts w:ascii="Times New Roman" w:hAnsi="Times New Roman"/>
          <w:color w:val="000000"/>
          <w:sz w:val="24"/>
          <w:szCs w:val="24"/>
          <w:lang w:val="es-ES"/>
        </w:rPr>
        <w:t xml:space="preserve"> habido varias aplicaciones de control </w:t>
      </w:r>
      <w:r w:rsidR="004D04EF" w:rsidRPr="00045E69">
        <w:rPr>
          <w:rFonts w:ascii="Times New Roman" w:hAnsi="Times New Roman"/>
          <w:color w:val="000000"/>
          <w:sz w:val="24"/>
          <w:szCs w:val="24"/>
          <w:lang w:val="es-ES"/>
        </w:rPr>
        <w:t>sintético</w:t>
      </w:r>
      <w:r w:rsidR="002C3973" w:rsidRPr="00045E69">
        <w:rPr>
          <w:rFonts w:ascii="Times New Roman" w:hAnsi="Times New Roman"/>
          <w:color w:val="000000"/>
          <w:sz w:val="24"/>
          <w:szCs w:val="24"/>
          <w:lang w:val="es-ES"/>
        </w:rPr>
        <w:t xml:space="preserve"> desde el estudio de Abadie y Gardeazabal (2003). Abadie, Diamond y Hainmueller (2012) describen el método como un acercamiento a la integración de métodos cualitativos y cuantitativos para el análisis</w:t>
      </w:r>
      <w:r w:rsidR="00A33A1A">
        <w:rPr>
          <w:rFonts w:ascii="Times New Roman" w:hAnsi="Times New Roman"/>
          <w:color w:val="000000"/>
          <w:sz w:val="24"/>
          <w:szCs w:val="24"/>
          <w:lang w:val="es-ES"/>
        </w:rPr>
        <w:t xml:space="preserve"> comparativa de política. Los</w:t>
      </w:r>
      <w:r w:rsidR="002C3973" w:rsidRPr="00045E69">
        <w:rPr>
          <w:rFonts w:ascii="Times New Roman" w:hAnsi="Times New Roman"/>
          <w:color w:val="000000"/>
          <w:sz w:val="24"/>
          <w:szCs w:val="24"/>
          <w:lang w:val="es-ES"/>
        </w:rPr>
        <w:t xml:space="preserve"> autores aplican el </w:t>
      </w:r>
      <w:r w:rsidR="00A33A1A">
        <w:rPr>
          <w:rFonts w:ascii="Times New Roman" w:hAnsi="Times New Roman"/>
          <w:color w:val="000000"/>
          <w:sz w:val="24"/>
          <w:szCs w:val="24"/>
          <w:lang w:val="es-ES"/>
        </w:rPr>
        <w:t xml:space="preserve">control sintético a un </w:t>
      </w:r>
      <w:r w:rsidR="002C3973" w:rsidRPr="00045E69">
        <w:rPr>
          <w:rFonts w:ascii="Times New Roman" w:hAnsi="Times New Roman"/>
          <w:color w:val="000000"/>
          <w:sz w:val="24"/>
          <w:szCs w:val="24"/>
          <w:lang w:val="es-ES"/>
        </w:rPr>
        <w:t xml:space="preserve">estudio de caso de los impactos económicos de la reunificación de Alemania en 1990. En </w:t>
      </w:r>
      <w:r w:rsidR="004D04EF" w:rsidRPr="00045E69">
        <w:rPr>
          <w:rFonts w:ascii="Times New Roman" w:hAnsi="Times New Roman"/>
          <w:color w:val="000000"/>
          <w:sz w:val="24"/>
          <w:szCs w:val="24"/>
          <w:lang w:val="es-ES"/>
        </w:rPr>
        <w:t>otro</w:t>
      </w:r>
      <w:r w:rsidR="002C3973" w:rsidRPr="00045E69">
        <w:rPr>
          <w:rFonts w:ascii="Times New Roman" w:hAnsi="Times New Roman"/>
          <w:color w:val="000000"/>
          <w:sz w:val="24"/>
          <w:szCs w:val="24"/>
          <w:lang w:val="es-ES"/>
        </w:rPr>
        <w:t xml:space="preserve"> estudio, Abadie et al. (2012) aplica</w:t>
      </w:r>
      <w:r w:rsidR="00A33A1A">
        <w:rPr>
          <w:rFonts w:ascii="Times New Roman" w:hAnsi="Times New Roman"/>
          <w:color w:val="000000"/>
          <w:sz w:val="24"/>
          <w:szCs w:val="24"/>
          <w:lang w:val="es-ES"/>
        </w:rPr>
        <w:t xml:space="preserve">ron el control sintético a </w:t>
      </w:r>
      <w:r w:rsidR="002C3973" w:rsidRPr="00045E69">
        <w:rPr>
          <w:rFonts w:ascii="Times New Roman" w:hAnsi="Times New Roman"/>
          <w:color w:val="000000"/>
          <w:sz w:val="24"/>
          <w:szCs w:val="24"/>
          <w:lang w:val="es-ES"/>
        </w:rPr>
        <w:t>un caso compara</w:t>
      </w:r>
      <w:r w:rsidR="00A33A1A">
        <w:rPr>
          <w:rFonts w:ascii="Times New Roman" w:hAnsi="Times New Roman"/>
          <w:color w:val="000000"/>
          <w:sz w:val="24"/>
          <w:szCs w:val="24"/>
          <w:lang w:val="es-ES"/>
        </w:rPr>
        <w:t>tivo del programa de control de</w:t>
      </w:r>
      <w:r w:rsidR="002C3973" w:rsidRPr="00045E69">
        <w:rPr>
          <w:rFonts w:ascii="Times New Roman" w:hAnsi="Times New Roman"/>
          <w:color w:val="000000"/>
          <w:sz w:val="24"/>
          <w:szCs w:val="24"/>
          <w:lang w:val="es-ES"/>
        </w:rPr>
        <w:t xml:space="preserve"> tabaco en California</w:t>
      </w:r>
      <w:r w:rsidR="00A33A1A">
        <w:rPr>
          <w:rFonts w:ascii="Times New Roman" w:hAnsi="Times New Roman"/>
          <w:color w:val="000000"/>
          <w:sz w:val="24"/>
          <w:szCs w:val="24"/>
          <w:lang w:val="es-ES"/>
        </w:rPr>
        <w:t xml:space="preserve"> en los Estados Unidos</w:t>
      </w:r>
      <w:r w:rsidR="002C3973" w:rsidRPr="00045E69">
        <w:rPr>
          <w:rFonts w:ascii="Times New Roman" w:hAnsi="Times New Roman"/>
          <w:color w:val="000000"/>
          <w:sz w:val="24"/>
          <w:szCs w:val="24"/>
          <w:lang w:val="es-ES"/>
        </w:rPr>
        <w:t xml:space="preserve">. Almer y Winkler (2012) aplicaron el método para un análisis del efecto de los compromisos del Protocolo de </w:t>
      </w:r>
      <w:r w:rsidR="004D04EF" w:rsidRPr="00045E69">
        <w:rPr>
          <w:rFonts w:ascii="Times New Roman" w:hAnsi="Times New Roman"/>
          <w:color w:val="000000"/>
          <w:sz w:val="24"/>
          <w:szCs w:val="24"/>
          <w:lang w:val="es-ES"/>
        </w:rPr>
        <w:t>Kioto</w:t>
      </w:r>
      <w:r w:rsidR="002C3973" w:rsidRPr="00045E69">
        <w:rPr>
          <w:rFonts w:ascii="Times New Roman" w:hAnsi="Times New Roman"/>
          <w:color w:val="000000"/>
          <w:sz w:val="24"/>
          <w:szCs w:val="24"/>
          <w:lang w:val="es-ES"/>
        </w:rPr>
        <w:t xml:space="preserve"> sobre las emisiones de CO2 en algunos países industrializados. Para una muestra </w:t>
      </w:r>
      <w:r w:rsidR="008B15CA" w:rsidRPr="00045E69">
        <w:rPr>
          <w:rFonts w:ascii="Times New Roman" w:hAnsi="Times New Roman"/>
          <w:color w:val="000000"/>
          <w:sz w:val="24"/>
          <w:szCs w:val="24"/>
          <w:lang w:val="es-ES"/>
        </w:rPr>
        <w:t xml:space="preserve">de </w:t>
      </w:r>
      <w:r w:rsidR="002C3973" w:rsidRPr="00045E69">
        <w:rPr>
          <w:rFonts w:ascii="Times New Roman" w:hAnsi="Times New Roman"/>
          <w:color w:val="000000"/>
          <w:sz w:val="24"/>
          <w:szCs w:val="24"/>
          <w:lang w:val="es-ES"/>
        </w:rPr>
        <w:t>países, Billmeier y Nannicini (2013) examinaron el impacto de la lib</w:t>
      </w:r>
      <w:r w:rsidR="00A33A1A">
        <w:rPr>
          <w:rFonts w:ascii="Times New Roman" w:hAnsi="Times New Roman"/>
          <w:color w:val="000000"/>
          <w:sz w:val="24"/>
          <w:szCs w:val="24"/>
          <w:lang w:val="es-ES"/>
        </w:rPr>
        <w:t xml:space="preserve">eralización económica sobre el producto interno producto bruto </w:t>
      </w:r>
      <w:r w:rsidR="002C3973" w:rsidRPr="00045E69">
        <w:rPr>
          <w:rFonts w:ascii="Times New Roman" w:hAnsi="Times New Roman"/>
          <w:color w:val="000000"/>
          <w:sz w:val="24"/>
          <w:szCs w:val="24"/>
          <w:lang w:val="es-ES"/>
        </w:rPr>
        <w:t>per cápita. Abadie (2013) aplicó el control sintético para examinar el impacto de la reforma económica y los flujos de Inversión Extranj</w:t>
      </w:r>
      <w:r w:rsidR="00A33A1A">
        <w:rPr>
          <w:rFonts w:ascii="Times New Roman" w:hAnsi="Times New Roman"/>
          <w:color w:val="000000"/>
          <w:sz w:val="24"/>
          <w:szCs w:val="24"/>
          <w:lang w:val="es-ES"/>
        </w:rPr>
        <w:t>era Directa en Uruguay.</w:t>
      </w:r>
    </w:p>
    <w:p w:rsidR="002C3973" w:rsidRPr="00045E69" w:rsidRDefault="00A33A1A" w:rsidP="00C82F81">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 xml:space="preserve"> </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Gathani et al. (2013) demostraron la utilidad del control sintético en la evaluación del impacto de las reformas d</w:t>
      </w:r>
      <w:r w:rsidR="00A33A1A">
        <w:rPr>
          <w:rFonts w:ascii="Times New Roman" w:hAnsi="Times New Roman"/>
          <w:color w:val="000000"/>
          <w:sz w:val="24"/>
          <w:szCs w:val="24"/>
          <w:lang w:val="es-ES"/>
        </w:rPr>
        <w:t xml:space="preserve">el sector privado. Específicamente, </w:t>
      </w:r>
      <w:r w:rsidRPr="00045E69">
        <w:rPr>
          <w:rFonts w:ascii="Times New Roman" w:hAnsi="Times New Roman"/>
          <w:color w:val="000000"/>
          <w:sz w:val="24"/>
          <w:szCs w:val="24"/>
          <w:lang w:val="es-ES"/>
        </w:rPr>
        <w:t>examinaron el impacto de</w:t>
      </w:r>
      <w:r w:rsidR="00A33A1A">
        <w:rPr>
          <w:rFonts w:ascii="Times New Roman" w:hAnsi="Times New Roman"/>
          <w:color w:val="000000"/>
          <w:sz w:val="24"/>
          <w:szCs w:val="24"/>
          <w:lang w:val="es-ES"/>
        </w:rPr>
        <w:t xml:space="preserve"> la creación</w:t>
      </w:r>
      <w:r w:rsidRPr="00045E69">
        <w:rPr>
          <w:rFonts w:ascii="Times New Roman" w:hAnsi="Times New Roman"/>
          <w:color w:val="000000"/>
          <w:sz w:val="24"/>
          <w:szCs w:val="24"/>
          <w:lang w:val="es-ES"/>
        </w:rPr>
        <w:t xml:space="preserve"> </w:t>
      </w:r>
      <w:r w:rsidR="00A33A1A">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una ventanilla única de servicios para el registro de nuevas empresas</w:t>
      </w:r>
      <w:r w:rsidR="007713D4">
        <w:rPr>
          <w:rFonts w:ascii="Times New Roman" w:hAnsi="Times New Roman"/>
          <w:color w:val="000000"/>
          <w:sz w:val="24"/>
          <w:szCs w:val="24"/>
          <w:lang w:val="es-ES"/>
        </w:rPr>
        <w:t xml:space="preserve"> en Ruanda y 11 otros países</w:t>
      </w:r>
      <w:r w:rsidRPr="00045E69">
        <w:rPr>
          <w:rFonts w:ascii="Times New Roman" w:hAnsi="Times New Roman"/>
          <w:color w:val="000000"/>
          <w:sz w:val="24"/>
          <w:szCs w:val="24"/>
          <w:lang w:val="es-ES"/>
        </w:rPr>
        <w:t xml:space="preserve">. Los autores también desarrollaron una variación en la metodología de control sintética que la llamaron el control de proximidad, que parece generar </w:t>
      </w:r>
      <w:r w:rsidR="007713D4">
        <w:rPr>
          <w:rFonts w:ascii="Times New Roman" w:hAnsi="Times New Roman"/>
          <w:color w:val="000000"/>
          <w:sz w:val="24"/>
          <w:szCs w:val="24"/>
          <w:lang w:val="es-ES"/>
        </w:rPr>
        <w:t xml:space="preserve">resultados </w:t>
      </w:r>
      <w:r w:rsidRPr="00045E69">
        <w:rPr>
          <w:rFonts w:ascii="Times New Roman" w:hAnsi="Times New Roman"/>
          <w:color w:val="000000"/>
          <w:sz w:val="24"/>
          <w:szCs w:val="24"/>
          <w:lang w:val="es-ES"/>
        </w:rPr>
        <w:t>similares a los del control sintética (Gathani et al., 2013). El método de control de proximidad se diferencia en</w:t>
      </w:r>
      <w:r w:rsidR="008B15CA" w:rsidRPr="00045E69">
        <w:rPr>
          <w:rFonts w:ascii="Times New Roman" w:hAnsi="Times New Roman"/>
          <w:color w:val="000000"/>
          <w:sz w:val="24"/>
          <w:szCs w:val="24"/>
          <w:lang w:val="es-ES"/>
        </w:rPr>
        <w:t xml:space="preserve"> cómo se construye la contrafactual</w:t>
      </w:r>
      <w:r w:rsidRPr="00045E69">
        <w:rPr>
          <w:rFonts w:ascii="Times New Roman" w:hAnsi="Times New Roman"/>
          <w:color w:val="000000"/>
          <w:sz w:val="24"/>
          <w:szCs w:val="24"/>
          <w:lang w:val="es-ES"/>
        </w:rPr>
        <w:t xml:space="preserve"> sintética. Con el método de control de proximidad, la región de referencia se crea utilizando combinaciones lineales de las regiones que tienen las características más similares a la región de interés. Finalmente, Castillo et al. (en preparación) utili</w:t>
      </w:r>
      <w:r w:rsidR="007713D4">
        <w:rPr>
          <w:rFonts w:ascii="Times New Roman" w:hAnsi="Times New Roman"/>
          <w:color w:val="000000"/>
          <w:sz w:val="24"/>
          <w:szCs w:val="24"/>
          <w:lang w:val="es-ES"/>
        </w:rPr>
        <w:t>za métodos de control sintético</w:t>
      </w:r>
      <w:r w:rsidRPr="00045E69">
        <w:rPr>
          <w:rFonts w:ascii="Times New Roman" w:hAnsi="Times New Roman"/>
          <w:color w:val="000000"/>
          <w:sz w:val="24"/>
          <w:szCs w:val="24"/>
          <w:lang w:val="es-ES"/>
        </w:rPr>
        <w:t xml:space="preserve"> para evaluar el impacto del Programa de Desarrollo de Turismo de Salta en Argentina, un proyecto financiado por el BID. Este programa de turismo </w:t>
      </w:r>
      <w:r w:rsidRPr="00045E69">
        <w:rPr>
          <w:rFonts w:ascii="Times New Roman" w:hAnsi="Times New Roman"/>
          <w:color w:val="000000"/>
          <w:sz w:val="24"/>
          <w:szCs w:val="24"/>
          <w:lang w:val="es-ES"/>
        </w:rPr>
        <w:lastRenderedPageBreak/>
        <w:t>incluye el fortalecimiento institucional, apoyo a la infraestructura turística, la preservación histórica y cultural, y la mejora</w:t>
      </w:r>
      <w:r w:rsidR="007713D4">
        <w:rPr>
          <w:rFonts w:ascii="Times New Roman" w:hAnsi="Times New Roman"/>
          <w:color w:val="000000"/>
          <w:sz w:val="24"/>
          <w:szCs w:val="24"/>
          <w:lang w:val="es-ES"/>
        </w:rPr>
        <w:t xml:space="preserve"> de la infraestructura social.</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S</w:t>
      </w:r>
      <w:r w:rsidR="00CD16A0">
        <w:rPr>
          <w:rFonts w:ascii="Times New Roman" w:hAnsi="Times New Roman"/>
          <w:color w:val="000000"/>
          <w:sz w:val="24"/>
          <w:szCs w:val="24"/>
          <w:lang w:val="es-ES"/>
        </w:rPr>
        <w:t xml:space="preserve">iguiendo Gathani et al. (2013) y en el contexto de Prodetur-ES, </w:t>
      </w:r>
      <w:r w:rsidRPr="00045E69">
        <w:rPr>
          <w:rFonts w:ascii="Times New Roman" w:hAnsi="Times New Roman"/>
          <w:color w:val="000000"/>
          <w:sz w:val="24"/>
          <w:szCs w:val="24"/>
          <w:lang w:val="es-ES"/>
        </w:rPr>
        <w:t xml:space="preserve">los pasos </w:t>
      </w:r>
      <w:r w:rsidR="008B15CA" w:rsidRPr="00045E69">
        <w:rPr>
          <w:rFonts w:ascii="Times New Roman" w:hAnsi="Times New Roman"/>
          <w:color w:val="000000"/>
          <w:sz w:val="24"/>
          <w:szCs w:val="24"/>
          <w:lang w:val="es-ES"/>
        </w:rPr>
        <w:t xml:space="preserve">a seguir </w:t>
      </w:r>
      <w:r w:rsidRPr="00045E69">
        <w:rPr>
          <w:rFonts w:ascii="Times New Roman" w:hAnsi="Times New Roman"/>
          <w:color w:val="000000"/>
          <w:sz w:val="24"/>
          <w:szCs w:val="24"/>
          <w:lang w:val="es-ES"/>
        </w:rPr>
        <w:t>en la construcción del cont</w:t>
      </w:r>
      <w:r w:rsidR="00CD16A0">
        <w:rPr>
          <w:rFonts w:ascii="Times New Roman" w:hAnsi="Times New Roman"/>
          <w:color w:val="000000"/>
          <w:sz w:val="24"/>
          <w:szCs w:val="24"/>
          <w:lang w:val="es-ES"/>
        </w:rPr>
        <w:t>rol sintético son:</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numPr>
          <w:ilvl w:val="0"/>
          <w:numId w:val="26"/>
        </w:numPr>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Definir la variable de interés. De acuerdo con los indicadores que se presentan en la Matriz de Resultados de Prodetur-ES, el aumento del empleo y el gasto turístico son resultados claves</w:t>
      </w:r>
      <w:r w:rsidR="00A56476">
        <w:rPr>
          <w:rFonts w:ascii="Times New Roman" w:hAnsi="Times New Roman"/>
          <w:color w:val="000000"/>
          <w:sz w:val="24"/>
          <w:szCs w:val="24"/>
          <w:lang w:val="es-ES"/>
        </w:rPr>
        <w:t xml:space="preserve"> del programa de inversión.</w:t>
      </w:r>
      <w:r w:rsidRPr="00045E69">
        <w:rPr>
          <w:rFonts w:ascii="Times New Roman" w:hAnsi="Times New Roman"/>
          <w:color w:val="000000"/>
          <w:sz w:val="24"/>
          <w:szCs w:val="24"/>
          <w:lang w:val="es-ES"/>
        </w:rPr>
        <w:t xml:space="preserve"> El indicador escogido debe ser elegido por su potencial para explicar el impacto de la inversión</w:t>
      </w:r>
      <w:r w:rsidR="008B15CA" w:rsidRPr="00045E69">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Para realizar esta evaluación ex-post, se propone que el empleo en el sector hotelero se</w:t>
      </w:r>
      <w:r w:rsidR="00A56476">
        <w:rPr>
          <w:rFonts w:ascii="Times New Roman" w:hAnsi="Times New Roman"/>
          <w:color w:val="000000"/>
          <w:sz w:val="24"/>
          <w:szCs w:val="24"/>
          <w:lang w:val="es-ES"/>
        </w:rPr>
        <w:t xml:space="preserve"> utiliza como indicador</w:t>
      </w:r>
      <w:r w:rsidRPr="00045E69">
        <w:rPr>
          <w:rFonts w:ascii="Times New Roman" w:hAnsi="Times New Roman"/>
          <w:color w:val="000000"/>
          <w:sz w:val="24"/>
          <w:szCs w:val="24"/>
          <w:lang w:val="es-ES"/>
        </w:rPr>
        <w:t xml:space="preserve"> ya que e</w:t>
      </w:r>
      <w:r w:rsidR="00AB314A">
        <w:rPr>
          <w:rFonts w:ascii="Times New Roman" w:hAnsi="Times New Roman"/>
          <w:color w:val="000000"/>
          <w:sz w:val="24"/>
          <w:szCs w:val="24"/>
          <w:lang w:val="es-ES"/>
        </w:rPr>
        <w:t xml:space="preserve">s más sensible a los cambios en el </w:t>
      </w:r>
      <w:r w:rsidRPr="00045E69">
        <w:rPr>
          <w:rFonts w:ascii="Times New Roman" w:hAnsi="Times New Roman"/>
          <w:color w:val="000000"/>
          <w:sz w:val="24"/>
          <w:szCs w:val="24"/>
          <w:lang w:val="es-ES"/>
        </w:rPr>
        <w:t xml:space="preserve">flujo turístico. </w:t>
      </w:r>
      <w:r w:rsidR="008B15CA" w:rsidRPr="00045E69">
        <w:rPr>
          <w:rFonts w:ascii="Times New Roman" w:hAnsi="Times New Roman"/>
          <w:color w:val="000000"/>
          <w:sz w:val="24"/>
          <w:szCs w:val="24"/>
          <w:lang w:val="es-ES"/>
        </w:rPr>
        <w:t>Un</w:t>
      </w:r>
      <w:r w:rsidRPr="00045E69">
        <w:rPr>
          <w:rFonts w:ascii="Times New Roman" w:hAnsi="Times New Roman"/>
          <w:color w:val="000000"/>
          <w:sz w:val="24"/>
          <w:szCs w:val="24"/>
          <w:lang w:val="es-ES"/>
        </w:rPr>
        <w:t xml:space="preserve"> aumento en el ingreso per cápita, por ejemplo, dentro de la zona de influencia de la intervención podría dar lugar a aumentos en los servicios gastronómicos y de restaurante</w:t>
      </w:r>
      <w:r w:rsidR="008B15CA" w:rsidRPr="00045E69">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que también </w:t>
      </w:r>
      <w:r w:rsidR="00AB314A">
        <w:rPr>
          <w:rFonts w:ascii="Times New Roman" w:hAnsi="Times New Roman"/>
          <w:color w:val="000000"/>
          <w:sz w:val="24"/>
          <w:szCs w:val="24"/>
          <w:lang w:val="es-ES"/>
        </w:rPr>
        <w:t xml:space="preserve">son </w:t>
      </w:r>
      <w:r w:rsidRPr="00045E69">
        <w:rPr>
          <w:rFonts w:ascii="Times New Roman" w:hAnsi="Times New Roman"/>
          <w:color w:val="000000"/>
          <w:sz w:val="24"/>
          <w:szCs w:val="24"/>
          <w:lang w:val="es-ES"/>
        </w:rPr>
        <w:t>sector</w:t>
      </w:r>
      <w:r w:rsidR="00AB314A">
        <w:rPr>
          <w:rFonts w:ascii="Times New Roman" w:hAnsi="Times New Roman"/>
          <w:color w:val="000000"/>
          <w:sz w:val="24"/>
          <w:szCs w:val="24"/>
          <w:lang w:val="es-ES"/>
        </w:rPr>
        <w:t>es</w:t>
      </w:r>
      <w:r w:rsidRPr="00045E69">
        <w:rPr>
          <w:rFonts w:ascii="Times New Roman" w:hAnsi="Times New Roman"/>
          <w:color w:val="000000"/>
          <w:sz w:val="24"/>
          <w:szCs w:val="24"/>
          <w:lang w:val="es-ES"/>
        </w:rPr>
        <w:t xml:space="preserve"> relacionado</w:t>
      </w:r>
      <w:r w:rsidR="00AB314A">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con el turismo, pero </w:t>
      </w:r>
      <w:r w:rsidR="00AB314A">
        <w:rPr>
          <w:rFonts w:ascii="Times New Roman" w:hAnsi="Times New Roman"/>
          <w:color w:val="000000"/>
          <w:sz w:val="24"/>
          <w:szCs w:val="24"/>
          <w:lang w:val="es-ES"/>
        </w:rPr>
        <w:t>este aumento puede</w:t>
      </w:r>
      <w:r w:rsidRPr="00045E69">
        <w:rPr>
          <w:rFonts w:ascii="Times New Roman" w:hAnsi="Times New Roman"/>
          <w:color w:val="000000"/>
          <w:sz w:val="24"/>
          <w:szCs w:val="24"/>
          <w:lang w:val="es-ES"/>
        </w:rPr>
        <w:t xml:space="preserve"> tener poco o ningún impacto </w:t>
      </w:r>
      <w:r w:rsidR="008B15CA" w:rsidRPr="00045E69">
        <w:rPr>
          <w:rFonts w:ascii="Times New Roman" w:hAnsi="Times New Roman"/>
          <w:color w:val="000000"/>
          <w:sz w:val="24"/>
          <w:szCs w:val="24"/>
          <w:lang w:val="es-ES"/>
        </w:rPr>
        <w:t xml:space="preserve">sobre </w:t>
      </w:r>
      <w:r w:rsidRPr="00045E69">
        <w:rPr>
          <w:rFonts w:ascii="Times New Roman" w:hAnsi="Times New Roman"/>
          <w:color w:val="000000"/>
          <w:sz w:val="24"/>
          <w:szCs w:val="24"/>
          <w:lang w:val="es-ES"/>
        </w:rPr>
        <w:t xml:space="preserve">el sector hotelera. Además, aumentando el gasto per cápita enfocando en un aumento en el turismo </w:t>
      </w:r>
      <w:r w:rsidR="00AB314A">
        <w:rPr>
          <w:rFonts w:ascii="Times New Roman" w:hAnsi="Times New Roman"/>
          <w:color w:val="000000"/>
          <w:sz w:val="24"/>
          <w:szCs w:val="24"/>
          <w:lang w:val="es-ES"/>
        </w:rPr>
        <w:t>de temporada baja</w:t>
      </w:r>
      <w:r w:rsidRPr="00045E69">
        <w:rPr>
          <w:rFonts w:ascii="Times New Roman" w:hAnsi="Times New Roman"/>
          <w:color w:val="000000"/>
          <w:sz w:val="24"/>
          <w:szCs w:val="24"/>
          <w:lang w:val="es-ES"/>
        </w:rPr>
        <w:t xml:space="preserve"> donde la mayoría de los turistas se alojan en hoteles</w:t>
      </w:r>
      <w:r w:rsidR="00AB314A">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w:t>
      </w:r>
      <w:r w:rsidR="008B15CA" w:rsidRPr="00045E69">
        <w:rPr>
          <w:rFonts w:ascii="Times New Roman" w:hAnsi="Times New Roman"/>
          <w:color w:val="000000"/>
          <w:sz w:val="24"/>
          <w:szCs w:val="24"/>
          <w:lang w:val="es-ES"/>
        </w:rPr>
        <w:t xml:space="preserve">es </w:t>
      </w:r>
      <w:r w:rsidRPr="00045E69">
        <w:rPr>
          <w:rFonts w:ascii="Times New Roman" w:hAnsi="Times New Roman"/>
          <w:color w:val="000000"/>
          <w:sz w:val="24"/>
          <w:szCs w:val="24"/>
          <w:lang w:val="es-ES"/>
        </w:rPr>
        <w:t xml:space="preserve">una de las estrategias básicas de Prodetur-ES. Datos de series históricos para el empleo en el sector hotelero están disponible </w:t>
      </w:r>
      <w:r w:rsidR="008B15CA" w:rsidRPr="00045E69">
        <w:rPr>
          <w:rFonts w:ascii="Times New Roman" w:hAnsi="Times New Roman"/>
          <w:color w:val="000000"/>
          <w:sz w:val="24"/>
          <w:szCs w:val="24"/>
          <w:lang w:val="es-ES"/>
        </w:rPr>
        <w:t>para Brazil/ES</w:t>
      </w:r>
      <w:r w:rsidRPr="00045E69">
        <w:rPr>
          <w:rFonts w:ascii="Times New Roman" w:hAnsi="Times New Roman"/>
          <w:color w:val="000000"/>
          <w:sz w:val="24"/>
          <w:szCs w:val="24"/>
          <w:lang w:val="es-ES"/>
        </w:rPr>
        <w:t xml:space="preserve"> por m</w:t>
      </w:r>
      <w:r w:rsidR="00AB314A">
        <w:rPr>
          <w:rFonts w:ascii="Times New Roman" w:hAnsi="Times New Roman"/>
          <w:color w:val="000000"/>
          <w:sz w:val="24"/>
          <w:szCs w:val="24"/>
          <w:lang w:val="es-ES"/>
        </w:rPr>
        <w:t xml:space="preserve">unicipio a través del sistema </w:t>
      </w:r>
      <w:r w:rsidRPr="00045E69">
        <w:rPr>
          <w:rFonts w:ascii="Times New Roman" w:hAnsi="Times New Roman"/>
          <w:color w:val="000000"/>
          <w:sz w:val="24"/>
          <w:szCs w:val="24"/>
          <w:lang w:val="es-ES"/>
        </w:rPr>
        <w:t>RAIS</w:t>
      </w:r>
      <w:r w:rsidRPr="00045E69">
        <w:rPr>
          <w:rStyle w:val="FootnoteReference"/>
          <w:rFonts w:ascii="Times New Roman" w:hAnsi="Times New Roman"/>
          <w:color w:val="000000"/>
          <w:lang w:val="es-ES"/>
        </w:rPr>
        <w:footnoteReference w:id="3"/>
      </w:r>
      <w:r w:rsidRPr="00045E69">
        <w:rPr>
          <w:rFonts w:ascii="Times New Roman" w:hAnsi="Times New Roman"/>
          <w:color w:val="000000"/>
          <w:sz w:val="24"/>
          <w:szCs w:val="24"/>
          <w:lang w:val="es-ES"/>
        </w:rPr>
        <w:t>.</w:t>
      </w:r>
    </w:p>
    <w:p w:rsidR="002C3973" w:rsidRPr="00045E69" w:rsidRDefault="00AB314A" w:rsidP="00C82F81">
      <w:pPr>
        <w:pStyle w:val="ColorfulList-Accent11"/>
        <w:numPr>
          <w:ilvl w:val="0"/>
          <w:numId w:val="26"/>
        </w:numPr>
        <w:spacing w:after="0" w:line="360" w:lineRule="auto"/>
        <w:jc w:val="both"/>
        <w:rPr>
          <w:rFonts w:ascii="Times New Roman" w:hAnsi="Times New Roman"/>
          <w:color w:val="000000"/>
          <w:sz w:val="24"/>
          <w:szCs w:val="24"/>
          <w:lang w:val="es-ES"/>
        </w:rPr>
      </w:pPr>
      <w:r>
        <w:rPr>
          <w:rFonts w:ascii="Times New Roman" w:hAnsi="Times New Roman"/>
          <w:color w:val="000000"/>
          <w:sz w:val="24"/>
          <w:szCs w:val="24"/>
          <w:lang w:val="es-ES"/>
        </w:rPr>
        <w:t xml:space="preserve">El segundo paso se trata de seleccionar </w:t>
      </w:r>
      <w:r w:rsidR="002C3973" w:rsidRPr="00045E69">
        <w:rPr>
          <w:rFonts w:ascii="Times New Roman" w:hAnsi="Times New Roman"/>
          <w:color w:val="000000"/>
          <w:sz w:val="24"/>
          <w:szCs w:val="24"/>
          <w:lang w:val="es-ES"/>
        </w:rPr>
        <w:t xml:space="preserve">predictores </w:t>
      </w:r>
      <w:r w:rsidR="008B15CA" w:rsidRPr="00045E69">
        <w:rPr>
          <w:rFonts w:ascii="Times New Roman" w:hAnsi="Times New Roman"/>
          <w:color w:val="000000"/>
          <w:sz w:val="24"/>
          <w:szCs w:val="24"/>
          <w:lang w:val="es-ES"/>
        </w:rPr>
        <w:t>que ayudarán</w:t>
      </w:r>
      <w:r w:rsidR="002C3973" w:rsidRPr="00045E69">
        <w:rPr>
          <w:rFonts w:ascii="Times New Roman" w:hAnsi="Times New Roman"/>
          <w:color w:val="000000"/>
          <w:sz w:val="24"/>
          <w:szCs w:val="24"/>
          <w:lang w:val="es-ES"/>
        </w:rPr>
        <w:t xml:space="preserve"> en la construcción de la contrafactual. Estos predictores se utilizan para construir una SRMV que coincida lo más posible con la RMV. </w:t>
      </w:r>
      <w:r w:rsidR="008B15CA" w:rsidRPr="00045E69">
        <w:rPr>
          <w:rFonts w:ascii="Times New Roman" w:hAnsi="Times New Roman"/>
          <w:color w:val="000000"/>
          <w:sz w:val="24"/>
          <w:szCs w:val="24"/>
          <w:lang w:val="es-ES"/>
        </w:rPr>
        <w:t xml:space="preserve">Algunos predictores </w:t>
      </w:r>
      <w:r w:rsidR="002C3973" w:rsidRPr="00045E69">
        <w:rPr>
          <w:rFonts w:ascii="Times New Roman" w:hAnsi="Times New Roman"/>
          <w:color w:val="000000"/>
          <w:sz w:val="24"/>
          <w:szCs w:val="24"/>
          <w:lang w:val="es-ES"/>
        </w:rPr>
        <w:t>que pueden ser utilizados para seleccionar los m</w:t>
      </w:r>
      <w:r w:rsidR="002B00C6" w:rsidRPr="00045E69">
        <w:rPr>
          <w:rFonts w:ascii="Times New Roman" w:hAnsi="Times New Roman"/>
          <w:color w:val="000000"/>
          <w:sz w:val="24"/>
          <w:szCs w:val="24"/>
          <w:lang w:val="es-ES"/>
        </w:rPr>
        <w:t xml:space="preserve">unicipios candidatos son: gasto </w:t>
      </w:r>
      <w:r w:rsidR="00045E69" w:rsidRPr="00045E69">
        <w:rPr>
          <w:rFonts w:ascii="Times New Roman" w:hAnsi="Times New Roman"/>
          <w:color w:val="000000"/>
          <w:sz w:val="24"/>
          <w:szCs w:val="24"/>
          <w:lang w:val="es-ES"/>
        </w:rPr>
        <w:t>turístico</w:t>
      </w:r>
      <w:r w:rsidR="002B00C6" w:rsidRPr="00045E69">
        <w:rPr>
          <w:rFonts w:ascii="Times New Roman" w:hAnsi="Times New Roman"/>
          <w:color w:val="000000"/>
          <w:sz w:val="24"/>
          <w:szCs w:val="24"/>
          <w:lang w:val="es-ES"/>
        </w:rPr>
        <w:t>,</w:t>
      </w:r>
      <w:r w:rsidR="002C3973" w:rsidRPr="00045E69">
        <w:rPr>
          <w:rFonts w:ascii="Times New Roman" w:hAnsi="Times New Roman"/>
          <w:color w:val="000000"/>
          <w:sz w:val="24"/>
          <w:szCs w:val="24"/>
          <w:lang w:val="es-ES"/>
        </w:rPr>
        <w:t xml:space="preserve"> y empleo e ingresos en hoteles, restaurantes, transporte, e agencias </w:t>
      </w:r>
      <w:r w:rsidR="004D04EF" w:rsidRPr="00045E69">
        <w:rPr>
          <w:rFonts w:ascii="Times New Roman" w:hAnsi="Times New Roman"/>
          <w:color w:val="000000"/>
          <w:sz w:val="24"/>
          <w:szCs w:val="24"/>
          <w:lang w:val="es-ES"/>
        </w:rPr>
        <w:t>turísticas</w:t>
      </w:r>
      <w:r w:rsidR="002C3973" w:rsidRPr="00045E69">
        <w:rPr>
          <w:rFonts w:ascii="Times New Roman" w:hAnsi="Times New Roman"/>
          <w:color w:val="000000"/>
          <w:sz w:val="24"/>
          <w:szCs w:val="24"/>
          <w:lang w:val="es-ES"/>
        </w:rPr>
        <w:t xml:space="preserve">. Contribuciones sectoriales al producto regional también pueden proporcionar evidencia de similitudes en la estructura </w:t>
      </w:r>
      <w:r w:rsidR="002B00C6" w:rsidRPr="00045E69">
        <w:rPr>
          <w:rFonts w:ascii="Times New Roman" w:hAnsi="Times New Roman"/>
          <w:color w:val="000000"/>
          <w:sz w:val="24"/>
          <w:szCs w:val="24"/>
          <w:lang w:val="es-ES"/>
        </w:rPr>
        <w:t xml:space="preserve">básica de una </w:t>
      </w:r>
      <w:r w:rsidR="00045E69" w:rsidRPr="00045E69">
        <w:rPr>
          <w:rFonts w:ascii="Times New Roman" w:hAnsi="Times New Roman"/>
          <w:color w:val="000000"/>
          <w:sz w:val="24"/>
          <w:szCs w:val="24"/>
          <w:lang w:val="es-ES"/>
        </w:rPr>
        <w:t>economía</w:t>
      </w:r>
      <w:r w:rsidR="002C3973" w:rsidRPr="00045E69">
        <w:rPr>
          <w:rFonts w:ascii="Times New Roman" w:hAnsi="Times New Roman"/>
          <w:color w:val="000000"/>
          <w:sz w:val="24"/>
          <w:szCs w:val="24"/>
          <w:lang w:val="es-ES"/>
        </w:rPr>
        <w:t>.</w:t>
      </w:r>
    </w:p>
    <w:p w:rsidR="002C3973" w:rsidRPr="00045E69" w:rsidRDefault="002C3973" w:rsidP="00C82F81">
      <w:pPr>
        <w:pStyle w:val="ColorfulList-Accent11"/>
        <w:numPr>
          <w:ilvl w:val="0"/>
          <w:numId w:val="26"/>
        </w:numPr>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tercer paso consiste en definir el periodo durante el cual se reducen al mínimo la diferencia entre el SRMV y </w:t>
      </w:r>
      <w:r w:rsidR="002B00C6" w:rsidRPr="00045E69">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RMV. Dado que se espera que</w:t>
      </w:r>
      <w:r w:rsidR="002B00C6" w:rsidRPr="00045E69">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Prodetur-ES se iniciará en 2015, se reunirán datos para el indicador de interés antes de 2015. Este período se </w:t>
      </w:r>
      <w:r w:rsidR="00AB314A">
        <w:rPr>
          <w:rFonts w:ascii="Times New Roman" w:hAnsi="Times New Roman"/>
          <w:color w:val="000000"/>
          <w:sz w:val="24"/>
          <w:szCs w:val="24"/>
          <w:lang w:val="es-ES"/>
        </w:rPr>
        <w:lastRenderedPageBreak/>
        <w:t>llama</w:t>
      </w:r>
      <w:r w:rsidRPr="00045E69">
        <w:rPr>
          <w:rFonts w:ascii="Times New Roman" w:hAnsi="Times New Roman"/>
          <w:color w:val="000000"/>
          <w:sz w:val="24"/>
          <w:szCs w:val="24"/>
          <w:lang w:val="es-ES"/>
        </w:rPr>
        <w:t xml:space="preserve"> </w:t>
      </w:r>
      <w:r w:rsidR="00AB314A">
        <w:rPr>
          <w:rFonts w:ascii="Times New Roman" w:hAnsi="Times New Roman"/>
          <w:color w:val="000000"/>
          <w:sz w:val="24"/>
          <w:szCs w:val="24"/>
          <w:lang w:val="es-ES"/>
        </w:rPr>
        <w:t>‘</w:t>
      </w:r>
      <w:r w:rsidRPr="00045E69">
        <w:rPr>
          <w:rFonts w:ascii="Times New Roman" w:hAnsi="Times New Roman"/>
          <w:color w:val="000000"/>
          <w:sz w:val="24"/>
          <w:szCs w:val="24"/>
          <w:lang w:val="es-ES"/>
        </w:rPr>
        <w:t>el período de entrada</w:t>
      </w:r>
      <w:r w:rsidR="00AB314A">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mientras que </w:t>
      </w:r>
      <w:r w:rsidR="00AB314A">
        <w:rPr>
          <w:rFonts w:ascii="Times New Roman" w:hAnsi="Times New Roman"/>
          <w:color w:val="000000"/>
          <w:sz w:val="24"/>
          <w:szCs w:val="24"/>
          <w:lang w:val="es-ES"/>
        </w:rPr>
        <w:t>‘</w:t>
      </w:r>
      <w:r w:rsidRPr="00045E69">
        <w:rPr>
          <w:rFonts w:ascii="Times New Roman" w:hAnsi="Times New Roman"/>
          <w:color w:val="000000"/>
          <w:sz w:val="24"/>
          <w:szCs w:val="24"/>
          <w:lang w:val="es-ES"/>
        </w:rPr>
        <w:t>el periodo de salida</w:t>
      </w:r>
      <w:r w:rsidR="00AB314A">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es el período que comienza con la implementación de la inversión. </w:t>
      </w:r>
    </w:p>
    <w:p w:rsidR="002C3973" w:rsidRPr="00045E69" w:rsidRDefault="002C3973" w:rsidP="00C82F81">
      <w:pPr>
        <w:pStyle w:val="ColorfulList-Accent11"/>
        <w:numPr>
          <w:ilvl w:val="0"/>
          <w:numId w:val="26"/>
        </w:numPr>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El cuarto paso es el más involucrado y consiste en determinar el número de donantes (mu</w:t>
      </w:r>
      <w:r w:rsidR="002B00C6" w:rsidRPr="00045E69">
        <w:rPr>
          <w:rFonts w:ascii="Times New Roman" w:hAnsi="Times New Roman"/>
          <w:color w:val="000000"/>
          <w:sz w:val="24"/>
          <w:szCs w:val="24"/>
          <w:lang w:val="es-ES"/>
        </w:rPr>
        <w:t xml:space="preserve">nicipios en este caso) </w:t>
      </w:r>
      <w:r w:rsidR="00AB314A">
        <w:rPr>
          <w:rFonts w:ascii="Times New Roman" w:hAnsi="Times New Roman"/>
          <w:color w:val="000000"/>
          <w:sz w:val="24"/>
          <w:szCs w:val="24"/>
          <w:lang w:val="es-ES"/>
        </w:rPr>
        <w:t xml:space="preserve">que se utilizará en construir </w:t>
      </w:r>
      <w:r w:rsidRPr="00045E69">
        <w:rPr>
          <w:rFonts w:ascii="Times New Roman" w:hAnsi="Times New Roman"/>
          <w:color w:val="000000"/>
          <w:sz w:val="24"/>
          <w:szCs w:val="24"/>
          <w:lang w:val="es-ES"/>
        </w:rPr>
        <w:t>la SRMV (Abadie et al., 2012). El núme</w:t>
      </w:r>
      <w:r w:rsidR="00AB314A">
        <w:rPr>
          <w:rFonts w:ascii="Times New Roman" w:hAnsi="Times New Roman"/>
          <w:color w:val="000000"/>
          <w:sz w:val="24"/>
          <w:szCs w:val="24"/>
          <w:lang w:val="es-ES"/>
        </w:rPr>
        <w:t>ro de donantes se establece</w:t>
      </w:r>
      <w:r w:rsidRPr="00045E69">
        <w:rPr>
          <w:rFonts w:ascii="Times New Roman" w:hAnsi="Times New Roman"/>
          <w:color w:val="000000"/>
          <w:sz w:val="24"/>
          <w:szCs w:val="24"/>
          <w:lang w:val="es-ES"/>
        </w:rPr>
        <w:t xml:space="preserve"> a través de un proceso de eliminación basado en 3 criterios. En primer lugar, los municipios que ya tienen un Prodetur en ejecución o que han experimentado con otra iniciativa de desarrollo turístico similar son excluidas de los donantes. En segundo lugar, sólo los municip</w:t>
      </w:r>
      <w:r w:rsidR="00AB314A">
        <w:rPr>
          <w:rFonts w:ascii="Times New Roman" w:hAnsi="Times New Roman"/>
          <w:color w:val="000000"/>
          <w:sz w:val="24"/>
          <w:szCs w:val="24"/>
          <w:lang w:val="es-ES"/>
        </w:rPr>
        <w:t xml:space="preserve">ios para los cuales existen datos para el indicador </w:t>
      </w:r>
      <w:r w:rsidRPr="00045E69">
        <w:rPr>
          <w:rFonts w:ascii="Times New Roman" w:hAnsi="Times New Roman"/>
          <w:color w:val="000000"/>
          <w:sz w:val="24"/>
          <w:szCs w:val="24"/>
          <w:lang w:val="es-ES"/>
        </w:rPr>
        <w:t xml:space="preserve">durante el período de interés y que </w:t>
      </w:r>
      <w:r w:rsidR="00AB314A">
        <w:rPr>
          <w:rFonts w:ascii="Times New Roman" w:hAnsi="Times New Roman"/>
          <w:color w:val="000000"/>
          <w:sz w:val="24"/>
          <w:szCs w:val="24"/>
          <w:lang w:val="es-ES"/>
        </w:rPr>
        <w:t xml:space="preserve">los municipios </w:t>
      </w:r>
      <w:r w:rsidRPr="00045E69">
        <w:rPr>
          <w:rFonts w:ascii="Times New Roman" w:hAnsi="Times New Roman"/>
          <w:color w:val="000000"/>
          <w:sz w:val="24"/>
          <w:szCs w:val="24"/>
          <w:lang w:val="es-ES"/>
        </w:rPr>
        <w:t>tengan al menos un dato para cada predictor para el período de entrada se mantienen como donantes. En tercer lugar, basado en el número de donantes restantes, el umbral para cada predictor se fija para excluir aquellos municipios que están más lejos de</w:t>
      </w:r>
      <w:r w:rsidR="00AB314A">
        <w:rPr>
          <w:rFonts w:ascii="Times New Roman" w:hAnsi="Times New Roman"/>
          <w:color w:val="000000"/>
          <w:sz w:val="24"/>
          <w:szCs w:val="24"/>
          <w:lang w:val="es-ES"/>
        </w:rPr>
        <w:t xml:space="preserve">l promedio </w:t>
      </w:r>
      <w:r w:rsidRPr="00045E69">
        <w:rPr>
          <w:rFonts w:ascii="Times New Roman" w:hAnsi="Times New Roman"/>
          <w:color w:val="000000"/>
          <w:sz w:val="24"/>
          <w:szCs w:val="24"/>
          <w:lang w:val="es-ES"/>
        </w:rPr>
        <w:t>en cada uno de los predictores.</w:t>
      </w:r>
    </w:p>
    <w:p w:rsidR="002C3973" w:rsidRPr="00045E69" w:rsidRDefault="002C3973" w:rsidP="00C82F81">
      <w:pPr>
        <w:pStyle w:val="ColorfulList-Accent11"/>
        <w:numPr>
          <w:ilvl w:val="0"/>
          <w:numId w:val="26"/>
        </w:numPr>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En el quinto paso, la SRMV se crea </w:t>
      </w:r>
      <w:r w:rsidR="00AB314A">
        <w:rPr>
          <w:rFonts w:ascii="Times New Roman" w:hAnsi="Times New Roman"/>
          <w:color w:val="000000"/>
          <w:sz w:val="24"/>
          <w:szCs w:val="24"/>
          <w:lang w:val="es-ES"/>
        </w:rPr>
        <w:t>a través de</w:t>
      </w:r>
      <w:r w:rsidRPr="00045E69">
        <w:rPr>
          <w:rFonts w:ascii="Times New Roman" w:hAnsi="Times New Roman"/>
          <w:color w:val="000000"/>
          <w:sz w:val="24"/>
          <w:szCs w:val="24"/>
          <w:lang w:val="es-ES"/>
        </w:rPr>
        <w:t xml:space="preserve"> una combinación lineal </w:t>
      </w:r>
      <w:r w:rsidR="00AB314A">
        <w:rPr>
          <w:rFonts w:ascii="Times New Roman" w:hAnsi="Times New Roman"/>
          <w:color w:val="000000"/>
          <w:sz w:val="24"/>
          <w:szCs w:val="24"/>
          <w:lang w:val="es-ES"/>
        </w:rPr>
        <w:t>del indicador de</w:t>
      </w:r>
      <w:r w:rsidRPr="00045E69">
        <w:rPr>
          <w:rFonts w:ascii="Times New Roman" w:hAnsi="Times New Roman"/>
          <w:color w:val="000000"/>
          <w:sz w:val="24"/>
          <w:szCs w:val="24"/>
          <w:lang w:val="es-ES"/>
        </w:rPr>
        <w:t xml:space="preserve">l grupo de donantes. Como se sugiere en Corral y Mosqueiro (2014), esta combinación lineal puede ser creado utilizando un modelo </w:t>
      </w:r>
      <w:r w:rsidR="00AB314A">
        <w:rPr>
          <w:rFonts w:ascii="Times New Roman" w:hAnsi="Times New Roman"/>
          <w:color w:val="000000"/>
          <w:sz w:val="24"/>
          <w:szCs w:val="24"/>
          <w:lang w:val="es-ES"/>
        </w:rPr>
        <w:t xml:space="preserve">existente, </w:t>
      </w:r>
      <w:r w:rsidRPr="00045E69">
        <w:rPr>
          <w:rFonts w:ascii="Times New Roman" w:hAnsi="Times New Roman"/>
          <w:color w:val="000000"/>
          <w:sz w:val="24"/>
          <w:szCs w:val="24"/>
          <w:lang w:val="es-ES"/>
        </w:rPr>
        <w:t>codificado en el programa STATA</w:t>
      </w:r>
      <w:r w:rsidRPr="00045E69">
        <w:rPr>
          <w:rStyle w:val="FootnoteReference"/>
          <w:rFonts w:ascii="Times New Roman" w:hAnsi="Times New Roman"/>
          <w:color w:val="000000"/>
          <w:lang w:val="es-ES"/>
        </w:rPr>
        <w:footnoteReference w:id="4"/>
      </w:r>
      <w:r w:rsidRPr="00045E69">
        <w:rPr>
          <w:rFonts w:ascii="Times New Roman" w:hAnsi="Times New Roman"/>
          <w:color w:val="000000"/>
          <w:sz w:val="24"/>
          <w:szCs w:val="24"/>
          <w:lang w:val="es-ES"/>
        </w:rPr>
        <w:t>. Varias pruebas están disponibles en el programa para comparar la precisión de la SRMV en represent</w:t>
      </w:r>
      <w:r w:rsidR="002B00C6" w:rsidRPr="00045E69">
        <w:rPr>
          <w:rFonts w:ascii="Times New Roman" w:hAnsi="Times New Roman"/>
          <w:color w:val="000000"/>
          <w:sz w:val="24"/>
          <w:szCs w:val="24"/>
          <w:lang w:val="es-ES"/>
        </w:rPr>
        <w:t xml:space="preserve">ar la RMV para </w:t>
      </w:r>
      <w:r w:rsidRPr="00045E69">
        <w:rPr>
          <w:rFonts w:ascii="Times New Roman" w:hAnsi="Times New Roman"/>
          <w:color w:val="000000"/>
          <w:sz w:val="24"/>
          <w:szCs w:val="24"/>
          <w:lang w:val="es-ES"/>
        </w:rPr>
        <w:t>el período de entrada (Corral y Mosquera, 2014</w:t>
      </w:r>
      <w:r w:rsidR="004D04EF" w:rsidRPr="00045E69">
        <w:rPr>
          <w:rFonts w:ascii="Times New Roman" w:hAnsi="Times New Roman"/>
          <w:color w:val="000000"/>
          <w:sz w:val="24"/>
          <w:szCs w:val="24"/>
          <w:lang w:val="es-ES"/>
        </w:rPr>
        <w:t>).</w:t>
      </w:r>
    </w:p>
    <w:p w:rsidR="002C3973" w:rsidRPr="00045E69" w:rsidRDefault="002C3973" w:rsidP="00C82F81">
      <w:pPr>
        <w:pStyle w:val="ColorfulList-Accent11"/>
        <w:numPr>
          <w:ilvl w:val="0"/>
          <w:numId w:val="26"/>
        </w:numPr>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En el último paso, se discierne los impactos de Prodetur-ES sobre el empleo formal en el sector hotelero con cálculos de diferencia en diferencia.  </w:t>
      </w:r>
    </w:p>
    <w:p w:rsidR="002C3973" w:rsidRPr="00045E69" w:rsidRDefault="002C3973" w:rsidP="00C82F81">
      <w:pPr>
        <w:pStyle w:val="ColorfulList-Accent11"/>
        <w:spacing w:after="0" w:line="360" w:lineRule="auto"/>
        <w:ind w:left="78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firstLine="720"/>
        <w:jc w:val="both"/>
        <w:rPr>
          <w:rFonts w:ascii="Times New Roman" w:hAnsi="Times New Roman"/>
          <w:b/>
          <w:color w:val="000000"/>
          <w:sz w:val="24"/>
          <w:szCs w:val="24"/>
          <w:lang w:val="es-ES"/>
        </w:rPr>
      </w:pPr>
      <w:r w:rsidRPr="00045E69">
        <w:rPr>
          <w:rFonts w:ascii="Times New Roman" w:hAnsi="Times New Roman"/>
          <w:b/>
          <w:color w:val="000000"/>
          <w:sz w:val="24"/>
          <w:szCs w:val="24"/>
          <w:lang w:val="es-ES"/>
        </w:rPr>
        <w:t>Coordinación y Presupuesto</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El BID será responsable por la evaluación de impacto Prodetur-ES y sus subcomponentes. Como tal, el BID será responsable para desarrollar los términos de referencia para cada una de las tres est</w:t>
      </w:r>
      <w:r w:rsidR="002B00C6" w:rsidRPr="00045E69">
        <w:rPr>
          <w:rFonts w:ascii="Times New Roman" w:hAnsi="Times New Roman"/>
          <w:color w:val="000000"/>
          <w:sz w:val="24"/>
          <w:szCs w:val="24"/>
          <w:lang w:val="es-ES"/>
        </w:rPr>
        <w:t>rategias de evaluación propuesta</w:t>
      </w:r>
      <w:r w:rsidRPr="00045E69">
        <w:rPr>
          <w:rFonts w:ascii="Times New Roman" w:hAnsi="Times New Roman"/>
          <w:color w:val="000000"/>
          <w:sz w:val="24"/>
          <w:szCs w:val="24"/>
          <w:lang w:val="es-ES"/>
        </w:rPr>
        <w:t xml:space="preserve"> en este plan</w:t>
      </w:r>
      <w:r w:rsidR="00AA1B25">
        <w:rPr>
          <w:rFonts w:ascii="Times New Roman" w:hAnsi="Times New Roman"/>
          <w:color w:val="000000"/>
          <w:sz w:val="24"/>
          <w:szCs w:val="24"/>
          <w:lang w:val="es-ES"/>
        </w:rPr>
        <w:t xml:space="preserve">, es decir, el enfoque MMCS, </w:t>
      </w:r>
      <w:r w:rsidRPr="00045E69">
        <w:rPr>
          <w:rFonts w:ascii="Times New Roman" w:hAnsi="Times New Roman"/>
          <w:color w:val="000000"/>
          <w:sz w:val="24"/>
          <w:szCs w:val="24"/>
          <w:lang w:val="es-ES"/>
        </w:rPr>
        <w:t>el análisis de descomposición con D</w:t>
      </w:r>
      <w:r w:rsidR="002B00C6" w:rsidRPr="00045E69">
        <w:rPr>
          <w:rFonts w:ascii="Times New Roman" w:hAnsi="Times New Roman"/>
          <w:color w:val="000000"/>
          <w:sz w:val="24"/>
          <w:szCs w:val="24"/>
          <w:lang w:val="es-ES"/>
        </w:rPr>
        <w:t>CGE, y el análisis de</w:t>
      </w:r>
      <w:r w:rsidRPr="00045E69">
        <w:rPr>
          <w:rFonts w:ascii="Times New Roman" w:hAnsi="Times New Roman"/>
          <w:color w:val="000000"/>
          <w:sz w:val="24"/>
          <w:szCs w:val="24"/>
          <w:lang w:val="es-ES"/>
        </w:rPr>
        <w:t xml:space="preserve"> control d</w:t>
      </w:r>
      <w:r w:rsidR="00AA1B25">
        <w:rPr>
          <w:rFonts w:ascii="Times New Roman" w:hAnsi="Times New Roman"/>
          <w:color w:val="000000"/>
          <w:sz w:val="24"/>
          <w:szCs w:val="24"/>
          <w:lang w:val="es-ES"/>
        </w:rPr>
        <w:t>e sintético. El BID se encarga</w:t>
      </w:r>
      <w:r w:rsidRPr="00045E69">
        <w:rPr>
          <w:rFonts w:ascii="Times New Roman" w:hAnsi="Times New Roman"/>
          <w:color w:val="000000"/>
          <w:sz w:val="24"/>
          <w:szCs w:val="24"/>
          <w:lang w:val="es-ES"/>
        </w:rPr>
        <w:t xml:space="preserve"> de supervisar la recogida </w:t>
      </w:r>
      <w:r w:rsidR="002B00C6" w:rsidRPr="00045E69">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datos y el desarrollo de modelos para cada uno de estos tres componentes. El costo total de la evaluación de impacto es USD$460.000 (tabla 2).</w:t>
      </w:r>
    </w:p>
    <w:p w:rsidR="002C3973" w:rsidRPr="00045E69" w:rsidRDefault="002C3973" w:rsidP="00C82F81">
      <w:pPr>
        <w:keepNext/>
        <w:spacing w:before="120" w:after="120" w:line="240" w:lineRule="auto"/>
        <w:jc w:val="both"/>
        <w:rPr>
          <w:rFonts w:ascii="Times New Roman" w:hAnsi="Times New Roman"/>
          <w:sz w:val="24"/>
          <w:szCs w:val="24"/>
          <w:lang w:val="es-ES"/>
        </w:rPr>
      </w:pPr>
      <w:r w:rsidRPr="00045E69">
        <w:rPr>
          <w:rFonts w:ascii="Times New Roman" w:hAnsi="Times New Roman"/>
          <w:sz w:val="24"/>
          <w:szCs w:val="24"/>
          <w:lang w:val="es-ES"/>
        </w:rPr>
        <w:lastRenderedPageBreak/>
        <w:t xml:space="preserve">Tabla 2. Presupuesto de la evaluación de impacto ex-post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6"/>
        <w:gridCol w:w="2553"/>
        <w:gridCol w:w="1116"/>
        <w:gridCol w:w="3304"/>
      </w:tblGrid>
      <w:tr w:rsidR="002C3973" w:rsidRPr="00045E69" w:rsidTr="00C82F81">
        <w:tc>
          <w:tcPr>
            <w:tcW w:w="0" w:type="auto"/>
            <w:tcBorders>
              <w:top w:val="single" w:sz="4" w:space="0" w:color="auto"/>
              <w:bottom w:val="double" w:sz="4" w:space="0" w:color="auto"/>
            </w:tcBorders>
          </w:tcPr>
          <w:p w:rsidR="002C3973" w:rsidRPr="00045E69" w:rsidRDefault="002C3973" w:rsidP="00C82F81">
            <w:pPr>
              <w:keepNext/>
              <w:spacing w:before="120" w:after="120"/>
              <w:jc w:val="both"/>
              <w:rPr>
                <w:rFonts w:ascii="Times New Roman" w:hAnsi="Times New Roman"/>
                <w:sz w:val="24"/>
                <w:szCs w:val="24"/>
                <w:lang w:val="es-ES"/>
              </w:rPr>
            </w:pPr>
            <w:r w:rsidRPr="00045E69">
              <w:rPr>
                <w:rFonts w:ascii="Times New Roman" w:hAnsi="Times New Roman"/>
                <w:sz w:val="24"/>
                <w:szCs w:val="24"/>
                <w:lang w:val="es-ES"/>
              </w:rPr>
              <w:t>Estrategia</w:t>
            </w:r>
          </w:p>
        </w:tc>
        <w:tc>
          <w:tcPr>
            <w:tcW w:w="0" w:type="auto"/>
            <w:tcBorders>
              <w:top w:val="single" w:sz="4" w:space="0" w:color="auto"/>
              <w:bottom w:val="double" w:sz="4" w:space="0" w:color="auto"/>
            </w:tcBorders>
          </w:tcPr>
          <w:p w:rsidR="002C3973" w:rsidRPr="00045E69" w:rsidRDefault="002C3973" w:rsidP="00C82F81">
            <w:pPr>
              <w:keepNext/>
              <w:spacing w:before="120" w:after="120"/>
              <w:jc w:val="both"/>
              <w:rPr>
                <w:rFonts w:ascii="Times New Roman" w:hAnsi="Times New Roman"/>
                <w:sz w:val="24"/>
                <w:szCs w:val="24"/>
                <w:lang w:val="es-ES"/>
              </w:rPr>
            </w:pPr>
            <w:r w:rsidRPr="00045E69">
              <w:rPr>
                <w:rFonts w:ascii="Times New Roman" w:hAnsi="Times New Roman"/>
                <w:sz w:val="24"/>
                <w:szCs w:val="24"/>
                <w:lang w:val="es-ES"/>
              </w:rPr>
              <w:t>Ítem</w:t>
            </w:r>
          </w:p>
        </w:tc>
        <w:tc>
          <w:tcPr>
            <w:tcW w:w="0" w:type="auto"/>
            <w:tcBorders>
              <w:top w:val="single" w:sz="4" w:space="0" w:color="auto"/>
              <w:bottom w:val="double" w:sz="4" w:space="0" w:color="auto"/>
            </w:tcBorders>
          </w:tcPr>
          <w:p w:rsidR="002C3973" w:rsidRPr="00045E69" w:rsidRDefault="002C3973" w:rsidP="00C82F81">
            <w:pPr>
              <w:keepNext/>
              <w:spacing w:before="120" w:after="120"/>
              <w:jc w:val="both"/>
              <w:rPr>
                <w:rFonts w:ascii="Times New Roman" w:hAnsi="Times New Roman"/>
                <w:sz w:val="24"/>
                <w:szCs w:val="24"/>
                <w:lang w:val="es-ES"/>
              </w:rPr>
            </w:pPr>
            <w:r w:rsidRPr="00045E69">
              <w:rPr>
                <w:rFonts w:ascii="Times New Roman" w:hAnsi="Times New Roman"/>
                <w:sz w:val="24"/>
                <w:szCs w:val="24"/>
                <w:lang w:val="es-ES"/>
              </w:rPr>
              <w:t>Valor</w:t>
            </w:r>
          </w:p>
        </w:tc>
        <w:tc>
          <w:tcPr>
            <w:tcW w:w="0" w:type="auto"/>
            <w:tcBorders>
              <w:top w:val="single" w:sz="4" w:space="0" w:color="auto"/>
              <w:bottom w:val="double" w:sz="4" w:space="0" w:color="auto"/>
            </w:tcBorders>
          </w:tcPr>
          <w:p w:rsidR="002C3973" w:rsidRPr="00045E69" w:rsidRDefault="002C3973" w:rsidP="00C82F81">
            <w:pPr>
              <w:keepNext/>
              <w:spacing w:before="120" w:after="120"/>
              <w:jc w:val="both"/>
              <w:rPr>
                <w:rFonts w:ascii="Times New Roman" w:hAnsi="Times New Roman"/>
                <w:sz w:val="24"/>
                <w:szCs w:val="24"/>
                <w:lang w:val="es-ES"/>
              </w:rPr>
            </w:pPr>
            <w:r w:rsidRPr="00045E69">
              <w:rPr>
                <w:rFonts w:ascii="Times New Roman" w:hAnsi="Times New Roman"/>
                <w:sz w:val="24"/>
                <w:szCs w:val="24"/>
                <w:lang w:val="es-ES"/>
              </w:rPr>
              <w:t>Cronometraje</w:t>
            </w:r>
          </w:p>
        </w:tc>
      </w:tr>
      <w:tr w:rsidR="002C3973" w:rsidRPr="00045E69" w:rsidTr="00C82F81">
        <w:tc>
          <w:tcPr>
            <w:tcW w:w="0" w:type="auto"/>
            <w:tcBorders>
              <w:top w:val="double" w:sz="4" w:space="0" w:color="auto"/>
            </w:tcBorders>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MMCS</w:t>
            </w:r>
          </w:p>
        </w:tc>
        <w:tc>
          <w:tcPr>
            <w:tcW w:w="0" w:type="auto"/>
            <w:tcBorders>
              <w:top w:val="double" w:sz="4" w:space="0" w:color="auto"/>
            </w:tcBorders>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Encuestas línea base</w:t>
            </w:r>
          </w:p>
        </w:tc>
        <w:tc>
          <w:tcPr>
            <w:tcW w:w="0" w:type="auto"/>
            <w:tcBorders>
              <w:top w:val="double" w:sz="4" w:space="0" w:color="auto"/>
            </w:tcBorders>
          </w:tcPr>
          <w:p w:rsidR="002C3973" w:rsidRPr="00045E69" w:rsidRDefault="002C3973" w:rsidP="00C82F81">
            <w:pPr>
              <w:keepNext/>
              <w:spacing w:before="120" w:after="120"/>
              <w:jc w:val="right"/>
              <w:rPr>
                <w:rFonts w:ascii="Times New Roman" w:hAnsi="Times New Roman"/>
                <w:sz w:val="24"/>
                <w:szCs w:val="24"/>
                <w:lang w:val="es-ES"/>
              </w:rPr>
            </w:pPr>
            <w:r w:rsidRPr="00045E69">
              <w:rPr>
                <w:rFonts w:ascii="Times New Roman" w:hAnsi="Times New Roman"/>
                <w:sz w:val="24"/>
                <w:szCs w:val="24"/>
                <w:lang w:val="es-ES"/>
              </w:rPr>
              <w:t>$100,000</w:t>
            </w:r>
          </w:p>
        </w:tc>
        <w:tc>
          <w:tcPr>
            <w:tcW w:w="0" w:type="auto"/>
            <w:tcBorders>
              <w:top w:val="double" w:sz="4" w:space="0" w:color="auto"/>
            </w:tcBorders>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Antes de cualquier obra</w:t>
            </w:r>
          </w:p>
        </w:tc>
      </w:tr>
      <w:tr w:rsidR="002C3973" w:rsidRPr="00045E69" w:rsidTr="00C82F81">
        <w:tc>
          <w:tcPr>
            <w:tcW w:w="0" w:type="auto"/>
          </w:tcPr>
          <w:p w:rsidR="002C3973" w:rsidRPr="00045E69" w:rsidRDefault="002C3973" w:rsidP="00C82F81">
            <w:pPr>
              <w:keepNext/>
              <w:spacing w:before="120" w:after="120"/>
              <w:rPr>
                <w:rFonts w:ascii="Times New Roman" w:hAnsi="Times New Roman"/>
                <w:sz w:val="24"/>
                <w:szCs w:val="24"/>
                <w:lang w:val="es-ES"/>
              </w:rPr>
            </w:pP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Encuestas ex-post</w:t>
            </w:r>
          </w:p>
        </w:tc>
        <w:tc>
          <w:tcPr>
            <w:tcW w:w="0" w:type="auto"/>
          </w:tcPr>
          <w:p w:rsidR="002C3973" w:rsidRPr="00045E69" w:rsidRDefault="002C3973" w:rsidP="00C82F81">
            <w:pPr>
              <w:keepNext/>
              <w:spacing w:before="120" w:after="120"/>
              <w:jc w:val="right"/>
              <w:rPr>
                <w:rFonts w:ascii="Times New Roman" w:hAnsi="Times New Roman"/>
                <w:sz w:val="24"/>
                <w:szCs w:val="24"/>
                <w:lang w:val="es-ES"/>
              </w:rPr>
            </w:pPr>
            <w:r w:rsidRPr="00045E69">
              <w:rPr>
                <w:rFonts w:ascii="Times New Roman" w:hAnsi="Times New Roman"/>
                <w:sz w:val="24"/>
                <w:szCs w:val="24"/>
                <w:lang w:val="es-ES"/>
              </w:rPr>
              <w:t>$100,000</w:t>
            </w: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Después de terminar implementación</w:t>
            </w:r>
          </w:p>
        </w:tc>
      </w:tr>
      <w:tr w:rsidR="002C3973" w:rsidRPr="00B94E54" w:rsidTr="00C82F81">
        <w:tc>
          <w:tcPr>
            <w:tcW w:w="0" w:type="auto"/>
          </w:tcPr>
          <w:p w:rsidR="002C3973" w:rsidRPr="00045E69" w:rsidRDefault="002C3973" w:rsidP="00C82F81">
            <w:pPr>
              <w:keepNext/>
              <w:spacing w:before="120" w:after="120"/>
              <w:rPr>
                <w:rFonts w:ascii="Times New Roman" w:hAnsi="Times New Roman"/>
                <w:sz w:val="24"/>
                <w:szCs w:val="24"/>
                <w:lang w:val="es-ES"/>
              </w:rPr>
            </w:pP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Análisis</w:t>
            </w:r>
          </w:p>
        </w:tc>
        <w:tc>
          <w:tcPr>
            <w:tcW w:w="0" w:type="auto"/>
          </w:tcPr>
          <w:p w:rsidR="002C3973" w:rsidRPr="00045E69" w:rsidRDefault="002C3973" w:rsidP="00C82F81">
            <w:pPr>
              <w:keepNext/>
              <w:spacing w:before="120" w:after="120"/>
              <w:jc w:val="right"/>
              <w:rPr>
                <w:rFonts w:ascii="Times New Roman" w:hAnsi="Times New Roman"/>
                <w:sz w:val="24"/>
                <w:szCs w:val="24"/>
                <w:lang w:val="es-ES"/>
              </w:rPr>
            </w:pPr>
            <w:r w:rsidRPr="00045E69">
              <w:rPr>
                <w:rFonts w:ascii="Times New Roman" w:hAnsi="Times New Roman"/>
                <w:sz w:val="24"/>
                <w:szCs w:val="24"/>
                <w:lang w:val="es-ES"/>
              </w:rPr>
              <w:t>$20,000</w:t>
            </w: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Después de construcción de MMCS ex-post</w:t>
            </w:r>
          </w:p>
        </w:tc>
      </w:tr>
      <w:tr w:rsidR="002C3973" w:rsidRPr="00045E69" w:rsidTr="00C82F81">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Control sintético</w:t>
            </w: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 xml:space="preserve">Construcción de </w:t>
            </w:r>
            <w:r w:rsidR="002B00C6" w:rsidRPr="00045E69">
              <w:rPr>
                <w:rFonts w:ascii="Times New Roman" w:hAnsi="Times New Roman"/>
                <w:sz w:val="24"/>
                <w:szCs w:val="24"/>
                <w:lang w:val="es-ES"/>
              </w:rPr>
              <w:t xml:space="preserve">la </w:t>
            </w:r>
            <w:r w:rsidRPr="00045E69">
              <w:rPr>
                <w:rFonts w:ascii="Times New Roman" w:hAnsi="Times New Roman"/>
                <w:sz w:val="24"/>
                <w:szCs w:val="24"/>
                <w:lang w:val="es-ES"/>
              </w:rPr>
              <w:t>contrafactual</w:t>
            </w:r>
          </w:p>
        </w:tc>
        <w:tc>
          <w:tcPr>
            <w:tcW w:w="0" w:type="auto"/>
          </w:tcPr>
          <w:p w:rsidR="002C3973" w:rsidRPr="00045E69" w:rsidRDefault="002C3973" w:rsidP="00C82F81">
            <w:pPr>
              <w:keepNext/>
              <w:spacing w:before="120" w:after="120"/>
              <w:jc w:val="right"/>
              <w:rPr>
                <w:rFonts w:ascii="Times New Roman" w:hAnsi="Times New Roman"/>
                <w:sz w:val="24"/>
                <w:szCs w:val="24"/>
                <w:lang w:val="es-ES"/>
              </w:rPr>
            </w:pPr>
            <w:r w:rsidRPr="00045E69">
              <w:rPr>
                <w:rFonts w:ascii="Times New Roman" w:hAnsi="Times New Roman"/>
                <w:sz w:val="24"/>
                <w:szCs w:val="24"/>
                <w:lang w:val="es-ES"/>
              </w:rPr>
              <w:t>$30,000</w:t>
            </w: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Antes de cualquier obra</w:t>
            </w:r>
          </w:p>
        </w:tc>
      </w:tr>
      <w:tr w:rsidR="002C3973" w:rsidRPr="00045E69" w:rsidTr="00C82F81">
        <w:tc>
          <w:tcPr>
            <w:tcW w:w="0" w:type="auto"/>
          </w:tcPr>
          <w:p w:rsidR="002C3973" w:rsidRPr="00045E69" w:rsidRDefault="002C3973" w:rsidP="00C82F81">
            <w:pPr>
              <w:keepNext/>
              <w:spacing w:before="120" w:after="120"/>
              <w:rPr>
                <w:rFonts w:ascii="Times New Roman" w:hAnsi="Times New Roman"/>
                <w:sz w:val="24"/>
                <w:szCs w:val="24"/>
                <w:lang w:val="es-ES"/>
              </w:rPr>
            </w:pP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Análisis</w:t>
            </w:r>
          </w:p>
        </w:tc>
        <w:tc>
          <w:tcPr>
            <w:tcW w:w="0" w:type="auto"/>
          </w:tcPr>
          <w:p w:rsidR="002C3973" w:rsidRPr="00045E69" w:rsidRDefault="002C3973" w:rsidP="00C82F81">
            <w:pPr>
              <w:keepNext/>
              <w:spacing w:before="120" w:after="120"/>
              <w:jc w:val="right"/>
              <w:rPr>
                <w:rFonts w:ascii="Times New Roman" w:hAnsi="Times New Roman"/>
                <w:sz w:val="24"/>
                <w:szCs w:val="24"/>
                <w:lang w:val="es-ES"/>
              </w:rPr>
            </w:pPr>
            <w:r w:rsidRPr="00045E69">
              <w:rPr>
                <w:rFonts w:ascii="Times New Roman" w:hAnsi="Times New Roman"/>
                <w:sz w:val="24"/>
                <w:szCs w:val="24"/>
                <w:lang w:val="es-ES"/>
              </w:rPr>
              <w:t>$15,000</w:t>
            </w: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Después de terminar implementación</w:t>
            </w:r>
          </w:p>
        </w:tc>
      </w:tr>
      <w:tr w:rsidR="002C3973" w:rsidRPr="00045E69" w:rsidTr="00C82F81">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Análisis de descomposición</w:t>
            </w: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Desarrollo de metodología</w:t>
            </w:r>
          </w:p>
        </w:tc>
        <w:tc>
          <w:tcPr>
            <w:tcW w:w="0" w:type="auto"/>
          </w:tcPr>
          <w:p w:rsidR="002C3973" w:rsidRPr="00045E69" w:rsidRDefault="002C3973" w:rsidP="00C82F81">
            <w:pPr>
              <w:keepNext/>
              <w:spacing w:before="120" w:after="120"/>
              <w:jc w:val="right"/>
              <w:rPr>
                <w:rFonts w:ascii="Times New Roman" w:hAnsi="Times New Roman"/>
                <w:sz w:val="24"/>
                <w:szCs w:val="24"/>
                <w:lang w:val="es-ES"/>
              </w:rPr>
            </w:pPr>
            <w:r w:rsidRPr="00045E69">
              <w:rPr>
                <w:rFonts w:ascii="Times New Roman" w:hAnsi="Times New Roman"/>
                <w:sz w:val="24"/>
                <w:szCs w:val="24"/>
                <w:lang w:val="es-ES"/>
              </w:rPr>
              <w:t>$175,000</w:t>
            </w: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Primer año</w:t>
            </w:r>
          </w:p>
        </w:tc>
      </w:tr>
      <w:tr w:rsidR="002C3973" w:rsidRPr="00045E69" w:rsidTr="00C82F81">
        <w:tc>
          <w:tcPr>
            <w:tcW w:w="0" w:type="auto"/>
          </w:tcPr>
          <w:p w:rsidR="002C3973" w:rsidRPr="00045E69" w:rsidRDefault="002C3973" w:rsidP="00C82F81">
            <w:pPr>
              <w:keepNext/>
              <w:spacing w:before="120" w:after="120"/>
              <w:rPr>
                <w:rFonts w:ascii="Times New Roman" w:hAnsi="Times New Roman"/>
                <w:sz w:val="24"/>
                <w:szCs w:val="24"/>
                <w:lang w:val="es-ES"/>
              </w:rPr>
            </w:pP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Análisis</w:t>
            </w:r>
          </w:p>
        </w:tc>
        <w:tc>
          <w:tcPr>
            <w:tcW w:w="0" w:type="auto"/>
          </w:tcPr>
          <w:p w:rsidR="002C3973" w:rsidRPr="00045E69" w:rsidRDefault="002C3973" w:rsidP="00C82F81">
            <w:pPr>
              <w:keepNext/>
              <w:spacing w:before="120" w:after="120"/>
              <w:jc w:val="right"/>
              <w:rPr>
                <w:rFonts w:ascii="Times New Roman" w:hAnsi="Times New Roman"/>
                <w:sz w:val="24"/>
                <w:szCs w:val="24"/>
                <w:lang w:val="es-ES"/>
              </w:rPr>
            </w:pPr>
            <w:r w:rsidRPr="00045E69">
              <w:rPr>
                <w:rFonts w:ascii="Times New Roman" w:hAnsi="Times New Roman"/>
                <w:sz w:val="24"/>
                <w:szCs w:val="24"/>
                <w:lang w:val="es-ES"/>
              </w:rPr>
              <w:t>$20,000</w:t>
            </w:r>
          </w:p>
        </w:tc>
        <w:tc>
          <w:tcPr>
            <w:tcW w:w="0" w:type="auto"/>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Después de terminar implementación</w:t>
            </w:r>
          </w:p>
        </w:tc>
      </w:tr>
      <w:tr w:rsidR="002C3973" w:rsidRPr="00045E69" w:rsidTr="00C82F81">
        <w:tc>
          <w:tcPr>
            <w:tcW w:w="0" w:type="auto"/>
            <w:tcBorders>
              <w:bottom w:val="single" w:sz="4" w:space="0" w:color="auto"/>
            </w:tcBorders>
          </w:tcPr>
          <w:p w:rsidR="002C3973" w:rsidRPr="00045E69" w:rsidRDefault="002C3973" w:rsidP="00C82F81">
            <w:pPr>
              <w:keepNext/>
              <w:spacing w:before="120" w:after="120"/>
              <w:rPr>
                <w:rFonts w:ascii="Times New Roman" w:hAnsi="Times New Roman"/>
                <w:sz w:val="24"/>
                <w:szCs w:val="24"/>
                <w:lang w:val="es-ES"/>
              </w:rPr>
            </w:pPr>
            <w:r w:rsidRPr="00045E69">
              <w:rPr>
                <w:rFonts w:ascii="Times New Roman" w:hAnsi="Times New Roman"/>
                <w:sz w:val="24"/>
                <w:szCs w:val="24"/>
                <w:lang w:val="es-ES"/>
              </w:rPr>
              <w:t>Total</w:t>
            </w:r>
          </w:p>
        </w:tc>
        <w:tc>
          <w:tcPr>
            <w:tcW w:w="0" w:type="auto"/>
            <w:tcBorders>
              <w:bottom w:val="single" w:sz="4" w:space="0" w:color="auto"/>
            </w:tcBorders>
          </w:tcPr>
          <w:p w:rsidR="002C3973" w:rsidRPr="00045E69" w:rsidRDefault="002C3973" w:rsidP="00C82F81">
            <w:pPr>
              <w:keepNext/>
              <w:spacing w:before="120" w:after="120"/>
              <w:rPr>
                <w:rFonts w:ascii="Times New Roman" w:hAnsi="Times New Roman"/>
                <w:sz w:val="24"/>
                <w:szCs w:val="24"/>
                <w:lang w:val="es-ES"/>
              </w:rPr>
            </w:pPr>
          </w:p>
        </w:tc>
        <w:tc>
          <w:tcPr>
            <w:tcW w:w="0" w:type="auto"/>
            <w:tcBorders>
              <w:bottom w:val="single" w:sz="4" w:space="0" w:color="auto"/>
            </w:tcBorders>
          </w:tcPr>
          <w:p w:rsidR="002C3973" w:rsidRPr="00045E69" w:rsidRDefault="002C3973" w:rsidP="00C82F81">
            <w:pPr>
              <w:keepNext/>
              <w:spacing w:before="120" w:after="120"/>
              <w:jc w:val="right"/>
              <w:rPr>
                <w:rFonts w:ascii="Times New Roman" w:hAnsi="Times New Roman"/>
                <w:sz w:val="24"/>
                <w:szCs w:val="24"/>
                <w:lang w:val="es-ES"/>
              </w:rPr>
            </w:pPr>
            <w:r w:rsidRPr="00045E69">
              <w:rPr>
                <w:rFonts w:ascii="Times New Roman" w:hAnsi="Times New Roman"/>
                <w:sz w:val="24"/>
                <w:szCs w:val="24"/>
                <w:lang w:val="es-ES"/>
              </w:rPr>
              <w:t>$460,000</w:t>
            </w:r>
          </w:p>
        </w:tc>
        <w:tc>
          <w:tcPr>
            <w:tcW w:w="0" w:type="auto"/>
            <w:tcBorders>
              <w:bottom w:val="single" w:sz="4" w:space="0" w:color="auto"/>
            </w:tcBorders>
          </w:tcPr>
          <w:p w:rsidR="002C3973" w:rsidRPr="00045E69" w:rsidRDefault="002C3973" w:rsidP="00C82F81">
            <w:pPr>
              <w:keepNext/>
              <w:spacing w:before="120" w:after="120"/>
              <w:rPr>
                <w:rFonts w:ascii="Times New Roman" w:hAnsi="Times New Roman"/>
                <w:sz w:val="24"/>
                <w:szCs w:val="24"/>
                <w:lang w:val="es-ES"/>
              </w:rPr>
            </w:pPr>
          </w:p>
        </w:tc>
      </w:tr>
    </w:tbl>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En el caso del análisis MMCS, puede haber la oportunidad de colaborar entre los varios programas Prodetur que e</w:t>
      </w:r>
      <w:r w:rsidR="002B00C6" w:rsidRPr="00045E69">
        <w:rPr>
          <w:rFonts w:ascii="Times New Roman" w:hAnsi="Times New Roman"/>
          <w:color w:val="000000"/>
          <w:sz w:val="24"/>
          <w:szCs w:val="24"/>
          <w:lang w:val="es-ES"/>
        </w:rPr>
        <w:t>stán empleando el enfoque MMCS para</w:t>
      </w:r>
      <w:r w:rsidRPr="00045E69">
        <w:rPr>
          <w:rFonts w:ascii="Times New Roman" w:hAnsi="Times New Roman"/>
          <w:color w:val="000000"/>
          <w:sz w:val="24"/>
          <w:szCs w:val="24"/>
          <w:lang w:val="es-ES"/>
        </w:rPr>
        <w:t xml:space="preserve"> la evaluación de impacto, con el objetivo estandarizar los métodos de recopilación de datos, la construcción de MMCS y el análisis ex-post. Varios </w:t>
      </w:r>
      <w:r w:rsidR="004D04EF" w:rsidRPr="00045E69">
        <w:rPr>
          <w:rFonts w:ascii="Times New Roman" w:hAnsi="Times New Roman"/>
          <w:color w:val="000000"/>
          <w:sz w:val="24"/>
          <w:szCs w:val="24"/>
          <w:lang w:val="es-ES"/>
        </w:rPr>
        <w:t>Prodetur</w:t>
      </w:r>
      <w:r w:rsidRPr="00045E69">
        <w:rPr>
          <w:rFonts w:ascii="Times New Roman" w:hAnsi="Times New Roman"/>
          <w:color w:val="000000"/>
          <w:sz w:val="24"/>
          <w:szCs w:val="24"/>
          <w:lang w:val="es-ES"/>
        </w:rPr>
        <w:t xml:space="preserve"> ya han empezado o completado el </w:t>
      </w:r>
      <w:r w:rsidR="0060270F">
        <w:rPr>
          <w:rFonts w:ascii="Times New Roman" w:hAnsi="Times New Roman"/>
          <w:color w:val="000000"/>
          <w:sz w:val="24"/>
          <w:szCs w:val="24"/>
          <w:lang w:val="es-ES"/>
        </w:rPr>
        <w:t>proceso de recolección de datos. P</w:t>
      </w:r>
      <w:r w:rsidRPr="00045E69">
        <w:rPr>
          <w:rFonts w:ascii="Times New Roman" w:hAnsi="Times New Roman"/>
          <w:color w:val="000000"/>
          <w:sz w:val="24"/>
          <w:szCs w:val="24"/>
          <w:lang w:val="es-ES"/>
        </w:rPr>
        <w:t>or lo tanto es imp</w:t>
      </w:r>
      <w:r w:rsidR="0060270F">
        <w:rPr>
          <w:rFonts w:ascii="Times New Roman" w:hAnsi="Times New Roman"/>
          <w:color w:val="000000"/>
          <w:sz w:val="24"/>
          <w:szCs w:val="24"/>
          <w:lang w:val="es-ES"/>
        </w:rPr>
        <w:t xml:space="preserve">ortante, si no fundamental </w:t>
      </w:r>
      <w:r w:rsidRPr="00045E69">
        <w:rPr>
          <w:rFonts w:ascii="Times New Roman" w:hAnsi="Times New Roman"/>
          <w:color w:val="000000"/>
          <w:sz w:val="24"/>
          <w:szCs w:val="24"/>
          <w:lang w:val="es-ES"/>
        </w:rPr>
        <w:t>garantizar que los procedimientos adecuados estén en lugar de tal manera que al final de la ejecución de</w:t>
      </w:r>
      <w:r w:rsidR="0060270F">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l</w:t>
      </w:r>
      <w:r w:rsidR="0060270F">
        <w:rPr>
          <w:rFonts w:ascii="Times New Roman" w:hAnsi="Times New Roman"/>
          <w:color w:val="000000"/>
          <w:sz w:val="24"/>
          <w:szCs w:val="24"/>
          <w:lang w:val="es-ES"/>
        </w:rPr>
        <w:t>os</w:t>
      </w:r>
      <w:r w:rsidRPr="00045E69">
        <w:rPr>
          <w:rFonts w:ascii="Times New Roman" w:hAnsi="Times New Roman"/>
          <w:color w:val="000000"/>
          <w:sz w:val="24"/>
          <w:szCs w:val="24"/>
          <w:lang w:val="es-ES"/>
        </w:rPr>
        <w:t xml:space="preserve"> programa</w:t>
      </w:r>
      <w:r w:rsidR="0060270F">
        <w:rPr>
          <w:rFonts w:ascii="Times New Roman" w:hAnsi="Times New Roman"/>
          <w:color w:val="000000"/>
          <w:sz w:val="24"/>
          <w:szCs w:val="24"/>
          <w:lang w:val="es-ES"/>
        </w:rPr>
        <w:t>s de inversión, que</w:t>
      </w:r>
      <w:r w:rsidRPr="00045E69">
        <w:rPr>
          <w:rFonts w:ascii="Times New Roman" w:hAnsi="Times New Roman"/>
          <w:color w:val="000000"/>
          <w:sz w:val="24"/>
          <w:szCs w:val="24"/>
          <w:lang w:val="es-ES"/>
        </w:rPr>
        <w:t xml:space="preserve"> las MMCS que se han creado sean robustas y </w:t>
      </w:r>
      <w:r w:rsidR="0060270F">
        <w:rPr>
          <w:rFonts w:ascii="Times New Roman" w:hAnsi="Times New Roman"/>
          <w:color w:val="000000"/>
          <w:sz w:val="24"/>
          <w:szCs w:val="24"/>
          <w:lang w:val="es-ES"/>
        </w:rPr>
        <w:t xml:space="preserve">que </w:t>
      </w:r>
      <w:r w:rsidR="00AA1B25">
        <w:rPr>
          <w:rFonts w:ascii="Times New Roman" w:hAnsi="Times New Roman"/>
          <w:color w:val="000000"/>
          <w:sz w:val="24"/>
          <w:szCs w:val="24"/>
          <w:lang w:val="es-ES"/>
        </w:rPr>
        <w:t>puede</w:t>
      </w:r>
      <w:r w:rsidR="0060270F">
        <w:rPr>
          <w:rFonts w:ascii="Times New Roman" w:hAnsi="Times New Roman"/>
          <w:color w:val="000000"/>
          <w:sz w:val="24"/>
          <w:szCs w:val="24"/>
          <w:lang w:val="es-ES"/>
        </w:rPr>
        <w:t>n ser utilizadas para</w:t>
      </w:r>
      <w:r w:rsidR="00AA1B25">
        <w:rPr>
          <w:rFonts w:ascii="Times New Roman" w:hAnsi="Times New Roman"/>
          <w:color w:val="000000"/>
          <w:sz w:val="24"/>
          <w:szCs w:val="24"/>
          <w:lang w:val="es-ES"/>
        </w:rPr>
        <w:t xml:space="preserve"> contestar </w:t>
      </w:r>
      <w:r w:rsidR="0060270F">
        <w:rPr>
          <w:rFonts w:ascii="Times New Roman" w:hAnsi="Times New Roman"/>
          <w:color w:val="000000"/>
          <w:sz w:val="24"/>
          <w:szCs w:val="24"/>
          <w:lang w:val="es-ES"/>
        </w:rPr>
        <w:t xml:space="preserve">a </w:t>
      </w:r>
      <w:r w:rsidRPr="00045E69">
        <w:rPr>
          <w:rFonts w:ascii="Times New Roman" w:hAnsi="Times New Roman"/>
          <w:color w:val="000000"/>
          <w:sz w:val="24"/>
          <w:szCs w:val="24"/>
          <w:lang w:val="es-ES"/>
        </w:rPr>
        <w:t xml:space="preserve">las preguntas propuestas en cada plan de evaluación. Inversión adicional para apoyar </w:t>
      </w:r>
      <w:r w:rsidR="0060270F">
        <w:rPr>
          <w:rFonts w:ascii="Times New Roman" w:hAnsi="Times New Roman"/>
          <w:color w:val="000000"/>
          <w:sz w:val="24"/>
          <w:szCs w:val="24"/>
          <w:lang w:val="es-ES"/>
        </w:rPr>
        <w:t xml:space="preserve">a </w:t>
      </w:r>
      <w:r w:rsidRPr="00045E69">
        <w:rPr>
          <w:rFonts w:ascii="Times New Roman" w:hAnsi="Times New Roman"/>
          <w:color w:val="000000"/>
          <w:sz w:val="24"/>
          <w:szCs w:val="24"/>
          <w:lang w:val="es-ES"/>
        </w:rPr>
        <w:t>esta iniciativa puede ser solicitada internamente por el equipo BID.</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Por lo general los costos de una evaluación de impacto ex-post se distribuyen en 3 componentes: (i) gastos de apoyo a</w:t>
      </w:r>
      <w:r w:rsidR="0060270F">
        <w:rPr>
          <w:rFonts w:ascii="Times New Roman" w:hAnsi="Times New Roman"/>
          <w:color w:val="000000"/>
          <w:sz w:val="24"/>
          <w:szCs w:val="24"/>
          <w:lang w:val="es-ES"/>
        </w:rPr>
        <w:t xml:space="preserve"> la definición del problema, coordinación y </w:t>
      </w:r>
      <w:r w:rsidRPr="00045E69">
        <w:rPr>
          <w:rFonts w:ascii="Times New Roman" w:hAnsi="Times New Roman"/>
          <w:color w:val="000000"/>
          <w:sz w:val="24"/>
          <w:szCs w:val="24"/>
          <w:lang w:val="es-ES"/>
        </w:rPr>
        <w:t>supervisión; (ii) costos involucrados en la recopilación de datos y asegurar su consistencia, y; (iii) costos para apoyar el análisis ex-post.</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En el caso de la estrategia de evaluación de impacto ex-post Prodetur-ES, hay un componente adicional que se trata del desarrollo de métodos para poner a prueba el análisis de descomposición con DCGE. El costo de este componente se dirigirá a apoyar los investigadores en el desarrollo del modelo. Este trabajo no requiere necesariamente la recolección de datos primarios y se puede inic</w:t>
      </w:r>
      <w:r w:rsidR="002B00C6" w:rsidRPr="00045E69">
        <w:rPr>
          <w:rFonts w:ascii="Times New Roman" w:hAnsi="Times New Roman"/>
          <w:color w:val="000000"/>
          <w:sz w:val="24"/>
          <w:szCs w:val="24"/>
          <w:lang w:val="es-ES"/>
        </w:rPr>
        <w:t>iar una vez que el préstamo sea</w:t>
      </w:r>
      <w:r w:rsidRPr="00045E69">
        <w:rPr>
          <w:rFonts w:ascii="Times New Roman" w:hAnsi="Times New Roman"/>
          <w:color w:val="000000"/>
          <w:sz w:val="24"/>
          <w:szCs w:val="24"/>
          <w:lang w:val="es-ES"/>
        </w:rPr>
        <w:t xml:space="preserve"> aprobado y los fondos son liberados. Aproximadamente USD$195.000 se han presupuestado para este componente de la evaluación de impacto.</w:t>
      </w: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045E69" w:rsidRDefault="002C3973" w:rsidP="00C82F81">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En el caso del análisis MMCS, el segundo componente que corresponda a gastos de recogida de datos es el más significativo. El trabajo de construir y analizar las MMCS debe ocurrir en 3 fases. La primera fase consiste en definir el problema y establecer las estructuras de coordinación y supervisión del trabajo. Esta fase debe comenzar</w:t>
      </w:r>
      <w:r w:rsidR="002B00C6" w:rsidRPr="00045E69">
        <w:rPr>
          <w:rFonts w:ascii="Times New Roman" w:hAnsi="Times New Roman"/>
          <w:color w:val="000000"/>
          <w:sz w:val="24"/>
          <w:szCs w:val="24"/>
          <w:lang w:val="es-ES"/>
        </w:rPr>
        <w:t xml:space="preserve"> tan pronto que el préstamo sea</w:t>
      </w:r>
      <w:r w:rsidRPr="00045E69">
        <w:rPr>
          <w:rFonts w:ascii="Times New Roman" w:hAnsi="Times New Roman"/>
          <w:color w:val="000000"/>
          <w:sz w:val="24"/>
          <w:szCs w:val="24"/>
          <w:lang w:val="es-ES"/>
        </w:rPr>
        <w:t xml:space="preserve"> aprobado y los fondos son liberados. La recopilación de los datos necesarios para la MMCS línea de base también debe iniciarse tan pronto como sea posible y definitivamente antes de que las primeras obras de Prodetur-ES comienzan. Esto es fundamental para la calidad del análisis MMCS. Tras la recogida de datos, los datos deben ser procesados ​​y la MMCS construida y probada. En la segunda fase, una vez que Prodetur-ES ha</w:t>
      </w:r>
      <w:r w:rsidR="00F6068F">
        <w:rPr>
          <w:rFonts w:ascii="Times New Roman" w:hAnsi="Times New Roman"/>
          <w:color w:val="000000"/>
          <w:sz w:val="24"/>
          <w:szCs w:val="24"/>
          <w:lang w:val="es-ES"/>
        </w:rPr>
        <w:t>ya</w:t>
      </w:r>
      <w:r w:rsidRPr="00045E69">
        <w:rPr>
          <w:rFonts w:ascii="Times New Roman" w:hAnsi="Times New Roman"/>
          <w:color w:val="000000"/>
          <w:sz w:val="24"/>
          <w:szCs w:val="24"/>
          <w:lang w:val="es-ES"/>
        </w:rPr>
        <w:t xml:space="preserve"> concluido, el proceso de recolección de datos para la construcción de la MMCS ex-post debe comenzar. Una vez más, después de la recogida de datos, los datos deben ser procesados ​​y la MMCS construida y </w:t>
      </w:r>
      <w:r w:rsidR="00F6068F">
        <w:rPr>
          <w:rFonts w:ascii="Times New Roman" w:hAnsi="Times New Roman"/>
          <w:color w:val="000000"/>
          <w:sz w:val="24"/>
          <w:szCs w:val="24"/>
          <w:lang w:val="es-ES"/>
        </w:rPr>
        <w:t>probada. En la tercera fase, se utilizan las MMCS de la l</w:t>
      </w:r>
      <w:r w:rsidR="002B00C6" w:rsidRPr="00045E69">
        <w:rPr>
          <w:rFonts w:ascii="Times New Roman" w:hAnsi="Times New Roman"/>
          <w:color w:val="000000"/>
          <w:sz w:val="24"/>
          <w:szCs w:val="24"/>
          <w:lang w:val="es-ES"/>
        </w:rPr>
        <w:t>ínea base y la MMCS ex-post</w:t>
      </w:r>
      <w:r w:rsidR="00F6068F">
        <w:rPr>
          <w:rFonts w:ascii="Times New Roman" w:hAnsi="Times New Roman"/>
          <w:color w:val="000000"/>
          <w:sz w:val="24"/>
          <w:szCs w:val="24"/>
          <w:lang w:val="es-ES"/>
        </w:rPr>
        <w:t xml:space="preserve"> para analizar la trayectoria del sector turístico y la contribución de la inversión al desarrollo económico. E</w:t>
      </w:r>
      <w:r w:rsidRPr="00045E69">
        <w:rPr>
          <w:rFonts w:ascii="Times New Roman" w:hAnsi="Times New Roman"/>
          <w:color w:val="000000"/>
          <w:sz w:val="24"/>
          <w:szCs w:val="24"/>
          <w:lang w:val="es-ES"/>
        </w:rPr>
        <w:t>n este momento, se espera que la metodología de análisis de descomposición con D</w:t>
      </w:r>
      <w:r w:rsidR="002B00C6" w:rsidRPr="00045E69">
        <w:rPr>
          <w:rFonts w:ascii="Times New Roman" w:hAnsi="Times New Roman"/>
          <w:color w:val="000000"/>
          <w:sz w:val="24"/>
          <w:szCs w:val="24"/>
          <w:lang w:val="es-ES"/>
        </w:rPr>
        <w:t>CGE esté desarrollada y disponible</w:t>
      </w:r>
      <w:r w:rsidRPr="00045E69">
        <w:rPr>
          <w:rFonts w:ascii="Times New Roman" w:hAnsi="Times New Roman"/>
          <w:color w:val="000000"/>
          <w:sz w:val="24"/>
          <w:szCs w:val="24"/>
          <w:lang w:val="es-ES"/>
        </w:rPr>
        <w:t xml:space="preserve"> para su aplicación. Aproximadamente USD$220,000 se han presupuestado para las tres fases, con USD$100,000 asignados a la primera fase, USD$100,000</w:t>
      </w:r>
      <w:r w:rsidR="00F6068F">
        <w:rPr>
          <w:rFonts w:ascii="Times New Roman" w:hAnsi="Times New Roman"/>
          <w:color w:val="000000"/>
          <w:sz w:val="24"/>
          <w:szCs w:val="24"/>
          <w:lang w:val="es-ES"/>
        </w:rPr>
        <w:t xml:space="preserve">  para la segunda fase y USD$20,</w:t>
      </w:r>
      <w:r w:rsidRPr="00045E69">
        <w:rPr>
          <w:rFonts w:ascii="Times New Roman" w:hAnsi="Times New Roman"/>
          <w:color w:val="000000"/>
          <w:sz w:val="24"/>
          <w:szCs w:val="24"/>
          <w:lang w:val="es-ES"/>
        </w:rPr>
        <w:t>000 para la fase final. Es posible que fondos a</w:t>
      </w:r>
      <w:r w:rsidR="002B00C6" w:rsidRPr="00045E69">
        <w:rPr>
          <w:rFonts w:ascii="Times New Roman" w:hAnsi="Times New Roman"/>
          <w:color w:val="000000"/>
          <w:sz w:val="24"/>
          <w:szCs w:val="24"/>
          <w:lang w:val="es-ES"/>
        </w:rPr>
        <w:t xml:space="preserve">dicionales </w:t>
      </w:r>
      <w:r w:rsidR="00F6068F">
        <w:rPr>
          <w:rFonts w:ascii="Times New Roman" w:hAnsi="Times New Roman"/>
          <w:color w:val="000000"/>
          <w:sz w:val="24"/>
          <w:szCs w:val="24"/>
          <w:lang w:val="es-ES"/>
        </w:rPr>
        <w:t xml:space="preserve">estén </w:t>
      </w:r>
      <w:r w:rsidRPr="00045E69">
        <w:rPr>
          <w:rFonts w:ascii="Times New Roman" w:hAnsi="Times New Roman"/>
          <w:color w:val="000000"/>
          <w:sz w:val="24"/>
          <w:szCs w:val="24"/>
          <w:lang w:val="es-ES"/>
        </w:rPr>
        <w:t xml:space="preserve">disponibles para financiar la estandarización de la metodología de MMCS como se </w:t>
      </w:r>
      <w:r w:rsidR="002B00C6" w:rsidRPr="00045E69">
        <w:rPr>
          <w:rFonts w:ascii="Times New Roman" w:hAnsi="Times New Roman"/>
          <w:color w:val="000000"/>
          <w:sz w:val="24"/>
          <w:szCs w:val="24"/>
          <w:lang w:val="es-ES"/>
        </w:rPr>
        <w:t>menciona</w:t>
      </w:r>
      <w:r w:rsidRPr="00045E69">
        <w:rPr>
          <w:rFonts w:ascii="Times New Roman" w:hAnsi="Times New Roman"/>
          <w:color w:val="000000"/>
          <w:sz w:val="24"/>
          <w:szCs w:val="24"/>
          <w:lang w:val="es-ES"/>
        </w:rPr>
        <w:t xml:space="preserve"> en la apertura de esta sección.</w:t>
      </w:r>
    </w:p>
    <w:p w:rsidR="002C3973" w:rsidRPr="00045E69" w:rsidRDefault="002C3973" w:rsidP="00C82F81">
      <w:pPr>
        <w:pStyle w:val="ColorfulList-Accent11"/>
        <w:spacing w:after="0" w:line="360" w:lineRule="auto"/>
        <w:jc w:val="both"/>
        <w:rPr>
          <w:rFonts w:ascii="Times New Roman" w:hAnsi="Times New Roman"/>
          <w:color w:val="000000"/>
          <w:sz w:val="24"/>
          <w:szCs w:val="24"/>
          <w:lang w:val="es-ES"/>
        </w:rPr>
      </w:pPr>
    </w:p>
    <w:p w:rsidR="002C3973" w:rsidRPr="00F6068F" w:rsidRDefault="002C3973" w:rsidP="00C82F81">
      <w:pPr>
        <w:pStyle w:val="ColorfulList-Accent11"/>
        <w:spacing w:after="0" w:line="360" w:lineRule="auto"/>
        <w:ind w:left="0"/>
        <w:jc w:val="both"/>
        <w:rPr>
          <w:rFonts w:ascii="Times New Roman" w:hAnsi="Times New Roman"/>
          <w:color w:val="000000"/>
          <w:sz w:val="24"/>
          <w:szCs w:val="24"/>
          <w:lang w:val="es-ES"/>
        </w:rPr>
      </w:pPr>
      <w:r w:rsidRPr="00F6068F">
        <w:rPr>
          <w:rFonts w:ascii="Times New Roman" w:hAnsi="Times New Roman"/>
          <w:color w:val="000000"/>
          <w:sz w:val="24"/>
          <w:szCs w:val="24"/>
          <w:lang w:val="es-ES"/>
        </w:rPr>
        <w:t>Por último, con respecto al análisis de control sintética, el costo de este análisis pesa más fuertemente en los últimos 2 componentes que son la recogida de datos (aunque</w:t>
      </w:r>
      <w:r w:rsidR="002B00C6" w:rsidRPr="00F6068F">
        <w:rPr>
          <w:rFonts w:ascii="Times New Roman" w:hAnsi="Times New Roman"/>
          <w:color w:val="000000"/>
          <w:sz w:val="24"/>
          <w:szCs w:val="24"/>
          <w:lang w:val="es-ES"/>
        </w:rPr>
        <w:t xml:space="preserve"> típicamente </w:t>
      </w:r>
      <w:r w:rsidR="002B00C6" w:rsidRPr="00F6068F">
        <w:rPr>
          <w:rFonts w:ascii="Times New Roman" w:hAnsi="Times New Roman"/>
          <w:color w:val="000000"/>
          <w:sz w:val="24"/>
          <w:szCs w:val="24"/>
          <w:lang w:val="es-ES"/>
        </w:rPr>
        <w:lastRenderedPageBreak/>
        <w:t xml:space="preserve">sólo se </w:t>
      </w:r>
      <w:r w:rsidR="00045E69" w:rsidRPr="00F6068F">
        <w:rPr>
          <w:rFonts w:ascii="Times New Roman" w:hAnsi="Times New Roman"/>
          <w:color w:val="000000"/>
          <w:sz w:val="24"/>
          <w:szCs w:val="24"/>
          <w:lang w:val="es-ES"/>
        </w:rPr>
        <w:t>necesitarán</w:t>
      </w:r>
      <w:r w:rsidRPr="00F6068F">
        <w:rPr>
          <w:rFonts w:ascii="Times New Roman" w:hAnsi="Times New Roman"/>
          <w:color w:val="000000"/>
          <w:sz w:val="24"/>
          <w:szCs w:val="24"/>
          <w:lang w:val="es-ES"/>
        </w:rPr>
        <w:t xml:space="preserve"> datos secundarios) y el análisis ex-post. El t</w:t>
      </w:r>
      <w:r w:rsidR="00F6068F" w:rsidRPr="00F6068F">
        <w:rPr>
          <w:rFonts w:ascii="Times New Roman" w:hAnsi="Times New Roman"/>
          <w:color w:val="000000"/>
          <w:sz w:val="24"/>
          <w:szCs w:val="24"/>
          <w:lang w:val="es-ES"/>
        </w:rPr>
        <w:t>rabajo en esta área se realizara</w:t>
      </w:r>
      <w:r w:rsidRPr="00F6068F">
        <w:rPr>
          <w:rFonts w:ascii="Times New Roman" w:hAnsi="Times New Roman"/>
          <w:color w:val="000000"/>
          <w:sz w:val="24"/>
          <w:szCs w:val="24"/>
          <w:lang w:val="es-ES"/>
        </w:rPr>
        <w:t xml:space="preserve"> en dos fases. La primera fase debe iniciarse una vez que se</w:t>
      </w:r>
      <w:r w:rsidR="002B00C6" w:rsidRPr="00F6068F">
        <w:rPr>
          <w:rFonts w:ascii="Times New Roman" w:hAnsi="Times New Roman"/>
          <w:color w:val="000000"/>
          <w:sz w:val="24"/>
          <w:szCs w:val="24"/>
          <w:lang w:val="es-ES"/>
        </w:rPr>
        <w:t>a aprobada</w:t>
      </w:r>
      <w:r w:rsidRPr="00F6068F">
        <w:rPr>
          <w:rFonts w:ascii="Times New Roman" w:hAnsi="Times New Roman"/>
          <w:color w:val="000000"/>
          <w:sz w:val="24"/>
          <w:szCs w:val="24"/>
          <w:lang w:val="es-ES"/>
        </w:rPr>
        <w:t xml:space="preserve"> el préstamo y los fondos son liberados. Esta fase consiste en el desarrollo d</w:t>
      </w:r>
      <w:r w:rsidR="002B00C6" w:rsidRPr="00F6068F">
        <w:rPr>
          <w:rFonts w:ascii="Times New Roman" w:hAnsi="Times New Roman"/>
          <w:color w:val="000000"/>
          <w:sz w:val="24"/>
          <w:szCs w:val="24"/>
          <w:lang w:val="es-ES"/>
        </w:rPr>
        <w:t xml:space="preserve">el control </w:t>
      </w:r>
      <w:r w:rsidR="00045E69" w:rsidRPr="00F6068F">
        <w:rPr>
          <w:rFonts w:ascii="Times New Roman" w:hAnsi="Times New Roman"/>
          <w:color w:val="000000"/>
          <w:sz w:val="24"/>
          <w:szCs w:val="24"/>
          <w:lang w:val="es-ES"/>
        </w:rPr>
        <w:t>sintético-</w:t>
      </w:r>
      <w:r w:rsidR="002B00C6" w:rsidRPr="00F6068F">
        <w:rPr>
          <w:rFonts w:ascii="Times New Roman" w:hAnsi="Times New Roman"/>
          <w:color w:val="000000"/>
          <w:sz w:val="24"/>
          <w:szCs w:val="24"/>
          <w:lang w:val="es-ES"/>
        </w:rPr>
        <w:t xml:space="preserve"> </w:t>
      </w:r>
      <w:r w:rsidRPr="00F6068F">
        <w:rPr>
          <w:rFonts w:ascii="Times New Roman" w:hAnsi="Times New Roman"/>
          <w:color w:val="000000"/>
          <w:sz w:val="24"/>
          <w:szCs w:val="24"/>
          <w:lang w:val="es-ES"/>
        </w:rPr>
        <w:t>la RMVS. La segun</w:t>
      </w:r>
      <w:r w:rsidR="00F6068F" w:rsidRPr="00F6068F">
        <w:rPr>
          <w:rFonts w:ascii="Times New Roman" w:hAnsi="Times New Roman"/>
          <w:color w:val="000000"/>
          <w:sz w:val="24"/>
          <w:szCs w:val="24"/>
          <w:lang w:val="es-ES"/>
        </w:rPr>
        <w:t>da fase del análisis se inicia</w:t>
      </w:r>
      <w:r w:rsidRPr="00F6068F">
        <w:rPr>
          <w:rFonts w:ascii="Times New Roman" w:hAnsi="Times New Roman"/>
          <w:color w:val="000000"/>
          <w:sz w:val="24"/>
          <w:szCs w:val="24"/>
          <w:lang w:val="es-ES"/>
        </w:rPr>
        <w:t xml:space="preserve"> una vez que </w:t>
      </w:r>
      <w:r w:rsidR="00F6068F" w:rsidRPr="00F6068F">
        <w:rPr>
          <w:rFonts w:ascii="Times New Roman" w:hAnsi="Times New Roman"/>
          <w:color w:val="000000"/>
          <w:sz w:val="24"/>
          <w:szCs w:val="24"/>
          <w:lang w:val="es-ES"/>
        </w:rPr>
        <w:t xml:space="preserve">la implementación de </w:t>
      </w:r>
      <w:r w:rsidRPr="00F6068F">
        <w:rPr>
          <w:rFonts w:ascii="Times New Roman" w:hAnsi="Times New Roman"/>
          <w:color w:val="000000"/>
          <w:sz w:val="24"/>
          <w:szCs w:val="24"/>
          <w:lang w:val="es-ES"/>
        </w:rPr>
        <w:t>Prodetur-ES se ha</w:t>
      </w:r>
      <w:r w:rsidR="00F6068F" w:rsidRPr="00F6068F">
        <w:rPr>
          <w:rFonts w:ascii="Times New Roman" w:hAnsi="Times New Roman"/>
          <w:color w:val="000000"/>
          <w:sz w:val="24"/>
          <w:szCs w:val="24"/>
          <w:lang w:val="es-ES"/>
        </w:rPr>
        <w:t>ya</w:t>
      </w:r>
      <w:r w:rsidRPr="00F6068F">
        <w:rPr>
          <w:rFonts w:ascii="Times New Roman" w:hAnsi="Times New Roman"/>
          <w:color w:val="000000"/>
          <w:sz w:val="24"/>
          <w:szCs w:val="24"/>
          <w:lang w:val="es-ES"/>
        </w:rPr>
        <w:t xml:space="preserve"> </w:t>
      </w:r>
      <w:r w:rsidR="002B00C6" w:rsidRPr="00F6068F">
        <w:rPr>
          <w:rFonts w:ascii="Times New Roman" w:hAnsi="Times New Roman"/>
          <w:color w:val="000000"/>
          <w:sz w:val="24"/>
          <w:szCs w:val="24"/>
          <w:lang w:val="es-ES"/>
        </w:rPr>
        <w:t>terminado</w:t>
      </w:r>
      <w:r w:rsidR="00F6068F" w:rsidRPr="00F6068F">
        <w:rPr>
          <w:rFonts w:ascii="Times New Roman" w:hAnsi="Times New Roman"/>
          <w:color w:val="000000"/>
          <w:sz w:val="24"/>
          <w:szCs w:val="24"/>
          <w:lang w:val="es-ES"/>
        </w:rPr>
        <w:t>, y consiste</w:t>
      </w:r>
      <w:r w:rsidRPr="00F6068F">
        <w:rPr>
          <w:rFonts w:ascii="Times New Roman" w:hAnsi="Times New Roman"/>
          <w:color w:val="000000"/>
          <w:sz w:val="24"/>
          <w:szCs w:val="24"/>
          <w:lang w:val="es-ES"/>
        </w:rPr>
        <w:t xml:space="preserve"> en el análisis de diferencia en diferencia. Para la primera fase, se ha presupuestado USD$30,000 y para la segunda fase se ha presupuestado USD$15,000 para un total de USD$45.000.</w:t>
      </w:r>
    </w:p>
    <w:p w:rsidR="002C3973" w:rsidRPr="00F6068F" w:rsidRDefault="002C3973" w:rsidP="00C82F81">
      <w:pPr>
        <w:pStyle w:val="ColorfulList-Accent11"/>
        <w:spacing w:after="0" w:line="360" w:lineRule="auto"/>
        <w:ind w:left="0"/>
        <w:jc w:val="both"/>
        <w:rPr>
          <w:rFonts w:ascii="Times New Roman" w:hAnsi="Times New Roman"/>
          <w:color w:val="000000"/>
          <w:sz w:val="24"/>
          <w:szCs w:val="24"/>
          <w:lang w:val="es-ES"/>
        </w:rPr>
      </w:pPr>
    </w:p>
    <w:p w:rsidR="002C3973" w:rsidRPr="00F6068F" w:rsidRDefault="002C3973" w:rsidP="00C82F81">
      <w:pPr>
        <w:pStyle w:val="ColorfulList-Accent11"/>
        <w:spacing w:after="0" w:line="360" w:lineRule="auto"/>
        <w:ind w:left="0"/>
        <w:jc w:val="both"/>
        <w:rPr>
          <w:rFonts w:ascii="Times New Roman" w:hAnsi="Times New Roman"/>
          <w:b/>
          <w:color w:val="000000"/>
          <w:sz w:val="24"/>
          <w:szCs w:val="24"/>
          <w:lang w:val="es-ES"/>
        </w:rPr>
      </w:pPr>
      <w:r w:rsidRPr="00F6068F">
        <w:rPr>
          <w:rFonts w:ascii="Times New Roman" w:hAnsi="Times New Roman"/>
          <w:b/>
          <w:color w:val="000000"/>
          <w:sz w:val="24"/>
          <w:szCs w:val="24"/>
          <w:lang w:val="es-ES"/>
        </w:rPr>
        <w:t>ANEXOS</w:t>
      </w:r>
    </w:p>
    <w:p w:rsidR="002C3973" w:rsidRPr="00F6068F" w:rsidRDefault="00C453D8" w:rsidP="00C82F81">
      <w:pPr>
        <w:pStyle w:val="ColorfulList-Accent11"/>
        <w:spacing w:after="0" w:line="360" w:lineRule="auto"/>
        <w:ind w:left="0"/>
        <w:jc w:val="both"/>
        <w:rPr>
          <w:rFonts w:ascii="Times New Roman" w:hAnsi="Times New Roman"/>
          <w:color w:val="000000"/>
          <w:sz w:val="24"/>
          <w:szCs w:val="24"/>
          <w:lang w:val="es-ES"/>
        </w:rPr>
      </w:pPr>
      <w:hyperlink r:id="rId11" w:history="1">
        <w:r w:rsidR="002C3973" w:rsidRPr="00F6068F">
          <w:rPr>
            <w:rStyle w:val="Hyperlink"/>
            <w:rFonts w:ascii="Times New Roman" w:hAnsi="Times New Roman"/>
            <w:szCs w:val="24"/>
            <w:lang w:val="es-ES"/>
          </w:rPr>
          <w:t xml:space="preserve">Modelo de Pesquisa de </w:t>
        </w:r>
        <w:r w:rsidR="004D04EF" w:rsidRPr="00F6068F">
          <w:rPr>
            <w:rStyle w:val="Hyperlink"/>
            <w:rFonts w:ascii="Times New Roman" w:hAnsi="Times New Roman"/>
            <w:szCs w:val="24"/>
            <w:lang w:val="es-ES"/>
          </w:rPr>
          <w:t>Negocio</w:t>
        </w:r>
      </w:hyperlink>
    </w:p>
    <w:p w:rsidR="002C3973" w:rsidRPr="00F6068F" w:rsidRDefault="00C453D8" w:rsidP="00C82F81">
      <w:pPr>
        <w:pStyle w:val="ColorfulList-Accent11"/>
        <w:spacing w:after="0" w:line="360" w:lineRule="auto"/>
        <w:ind w:left="0"/>
        <w:jc w:val="both"/>
        <w:rPr>
          <w:rFonts w:ascii="Times New Roman" w:hAnsi="Times New Roman"/>
          <w:color w:val="000000"/>
          <w:sz w:val="24"/>
          <w:szCs w:val="24"/>
          <w:lang w:val="es-ES"/>
        </w:rPr>
      </w:pPr>
      <w:hyperlink r:id="rId12" w:history="1">
        <w:r w:rsidR="004D04EF" w:rsidRPr="00F6068F">
          <w:rPr>
            <w:rStyle w:val="Hyperlink"/>
            <w:rFonts w:ascii="Times New Roman" w:hAnsi="Times New Roman"/>
            <w:szCs w:val="24"/>
            <w:lang w:val="es-ES"/>
          </w:rPr>
          <w:t>Cuestionario</w:t>
        </w:r>
        <w:r w:rsidR="002C3973" w:rsidRPr="00F6068F">
          <w:rPr>
            <w:rStyle w:val="Hyperlink"/>
            <w:rFonts w:ascii="Times New Roman" w:hAnsi="Times New Roman"/>
            <w:szCs w:val="24"/>
            <w:lang w:val="es-ES"/>
          </w:rPr>
          <w:t xml:space="preserve"> para Familias</w:t>
        </w:r>
      </w:hyperlink>
    </w:p>
    <w:p w:rsidR="002C3973" w:rsidRPr="00F6068F" w:rsidRDefault="00C453D8" w:rsidP="00C82F81">
      <w:pPr>
        <w:pStyle w:val="ColorfulList-Accent11"/>
        <w:spacing w:after="0" w:line="360" w:lineRule="auto"/>
        <w:ind w:left="0"/>
        <w:jc w:val="both"/>
        <w:rPr>
          <w:rFonts w:ascii="Times New Roman" w:hAnsi="Times New Roman"/>
          <w:color w:val="000000"/>
          <w:sz w:val="24"/>
          <w:szCs w:val="24"/>
          <w:lang w:val="es-ES"/>
        </w:rPr>
      </w:pPr>
      <w:hyperlink r:id="rId13" w:history="1">
        <w:r w:rsidR="002C3973" w:rsidRPr="00F6068F">
          <w:rPr>
            <w:rStyle w:val="Hyperlink"/>
            <w:rFonts w:ascii="Times New Roman" w:hAnsi="Times New Roman"/>
            <w:szCs w:val="24"/>
            <w:lang w:val="es-ES"/>
          </w:rPr>
          <w:t>Modelo de Pesquisa de Turismo</w:t>
        </w:r>
      </w:hyperlink>
    </w:p>
    <w:p w:rsidR="002C3973" w:rsidRPr="00F6068F" w:rsidRDefault="002C3973">
      <w:pPr>
        <w:spacing w:after="0" w:line="240" w:lineRule="auto"/>
        <w:rPr>
          <w:rFonts w:ascii="Times New Roman" w:hAnsi="Times New Roman"/>
          <w:b/>
          <w:sz w:val="24"/>
          <w:szCs w:val="24"/>
          <w:lang w:val="es-ES"/>
        </w:rPr>
      </w:pPr>
      <w:r w:rsidRPr="00F6068F">
        <w:rPr>
          <w:rFonts w:ascii="Times New Roman" w:hAnsi="Times New Roman"/>
          <w:b/>
          <w:sz w:val="24"/>
          <w:szCs w:val="24"/>
          <w:lang w:val="es-ES"/>
        </w:rPr>
        <w:br w:type="page"/>
      </w:r>
    </w:p>
    <w:p w:rsidR="002C3973" w:rsidRPr="00F6068F" w:rsidRDefault="004D04EF" w:rsidP="00C82F81">
      <w:pPr>
        <w:spacing w:after="0" w:line="360" w:lineRule="auto"/>
        <w:jc w:val="both"/>
        <w:rPr>
          <w:rFonts w:ascii="Times New Roman" w:hAnsi="Times New Roman"/>
          <w:lang w:val="es-ES"/>
        </w:rPr>
      </w:pPr>
      <w:r w:rsidRPr="00F6068F">
        <w:rPr>
          <w:rFonts w:ascii="Times New Roman" w:hAnsi="Times New Roman"/>
          <w:b/>
          <w:lang w:val="es-ES"/>
        </w:rPr>
        <w:lastRenderedPageBreak/>
        <w:t>Referencies</w:t>
      </w:r>
      <w:r w:rsidR="002C3973" w:rsidRPr="00F6068F">
        <w:rPr>
          <w:rFonts w:ascii="Times New Roman" w:hAnsi="Times New Roman"/>
          <w:lang w:val="es-ES"/>
        </w:rPr>
        <w:t xml:space="preserve"> </w:t>
      </w:r>
    </w:p>
    <w:p w:rsidR="00B57A53" w:rsidRPr="005F57F5" w:rsidRDefault="00B57A53" w:rsidP="00B57A53">
      <w:pPr>
        <w:pStyle w:val="EndNoteBibliography"/>
        <w:spacing w:after="0"/>
        <w:ind w:left="720" w:hanging="720"/>
        <w:rPr>
          <w:rFonts w:ascii="Times New Roman" w:hAnsi="Times New Roman"/>
        </w:rPr>
      </w:pPr>
      <w:bookmarkStart w:id="1" w:name="_ENREF_1"/>
      <w:r w:rsidRPr="005F57F5">
        <w:rPr>
          <w:rFonts w:ascii="Times New Roman" w:hAnsi="Times New Roman"/>
        </w:rPr>
        <w:t>ABADIE, A. 2013. Using Synthetic Controls to Evaluate an International Strategic Positioning Program in Uruguay: Feasibility, Data Requirements, and Methodological Aspects. Washington D.C.: Document of the Inter-American Development Bank.</w:t>
      </w:r>
      <w:bookmarkEnd w:id="1"/>
    </w:p>
    <w:p w:rsidR="004D04EF" w:rsidRPr="005F57F5" w:rsidRDefault="004D04EF" w:rsidP="00B57A53">
      <w:pPr>
        <w:pStyle w:val="EndNoteBibliography"/>
        <w:spacing w:after="0"/>
        <w:ind w:left="720" w:hanging="720"/>
        <w:rPr>
          <w:rFonts w:ascii="Times New Roman" w:hAnsi="Times New Roman"/>
        </w:rPr>
      </w:pPr>
    </w:p>
    <w:p w:rsidR="00B57A53" w:rsidRPr="005F57F5" w:rsidRDefault="00B57A53" w:rsidP="00B57A53">
      <w:pPr>
        <w:pStyle w:val="EndNoteBibliography"/>
        <w:spacing w:after="0"/>
        <w:ind w:left="720" w:hanging="720"/>
        <w:rPr>
          <w:rFonts w:ascii="Times New Roman" w:hAnsi="Times New Roman"/>
        </w:rPr>
      </w:pPr>
      <w:bookmarkStart w:id="2" w:name="_ENREF_2"/>
      <w:r w:rsidRPr="005F57F5">
        <w:rPr>
          <w:rFonts w:ascii="Times New Roman" w:hAnsi="Times New Roman"/>
        </w:rPr>
        <w:t xml:space="preserve">ABADIE, A., DIAMOND, A. &amp; HAINMUELLER, J. 2012. Comparative Politics and the Synthetic Control Method. </w:t>
      </w:r>
      <w:r w:rsidRPr="005F57F5">
        <w:rPr>
          <w:rFonts w:ascii="Times New Roman" w:hAnsi="Times New Roman"/>
          <w:i/>
        </w:rPr>
        <w:t>Harvard University Working Paper.</w:t>
      </w:r>
      <w:r w:rsidRPr="005F57F5">
        <w:rPr>
          <w:rFonts w:ascii="Times New Roman" w:hAnsi="Times New Roman"/>
        </w:rPr>
        <w:t xml:space="preserve"> Cambridge: Harvard University.</w:t>
      </w:r>
      <w:bookmarkEnd w:id="2"/>
    </w:p>
    <w:p w:rsidR="004D04EF" w:rsidRPr="005F57F5" w:rsidRDefault="004D04EF" w:rsidP="00B57A53">
      <w:pPr>
        <w:pStyle w:val="EndNoteBibliography"/>
        <w:spacing w:after="0"/>
        <w:ind w:left="720" w:hanging="720"/>
        <w:rPr>
          <w:rFonts w:ascii="Times New Roman" w:hAnsi="Times New Roman"/>
        </w:rPr>
      </w:pPr>
    </w:p>
    <w:p w:rsidR="00B57A53" w:rsidRPr="005F57F5" w:rsidRDefault="00B57A53" w:rsidP="00B57A53">
      <w:pPr>
        <w:pStyle w:val="EndNoteBibliography"/>
        <w:spacing w:after="0"/>
        <w:ind w:left="720" w:hanging="720"/>
        <w:rPr>
          <w:rFonts w:ascii="Times New Roman" w:hAnsi="Times New Roman"/>
        </w:rPr>
      </w:pPr>
      <w:bookmarkStart w:id="3" w:name="_ENREF_3"/>
      <w:r w:rsidRPr="005F57F5">
        <w:rPr>
          <w:rFonts w:ascii="Times New Roman" w:hAnsi="Times New Roman"/>
        </w:rPr>
        <w:t xml:space="preserve">ABADIE, A. &amp; GARDEAZABAL, J. 2003. The Economic Costs of Conflict: A Case Study of the Basque Country. </w:t>
      </w:r>
      <w:r w:rsidRPr="005F57F5">
        <w:rPr>
          <w:rFonts w:ascii="Times New Roman" w:hAnsi="Times New Roman"/>
          <w:i/>
        </w:rPr>
        <w:t>American Economic Review,</w:t>
      </w:r>
      <w:r w:rsidRPr="005F57F5">
        <w:rPr>
          <w:rFonts w:ascii="Times New Roman" w:hAnsi="Times New Roman"/>
        </w:rPr>
        <w:t xml:space="preserve"> 93</w:t>
      </w:r>
      <w:r w:rsidRPr="005F57F5">
        <w:rPr>
          <w:rFonts w:ascii="Times New Roman" w:hAnsi="Times New Roman"/>
          <w:b/>
        </w:rPr>
        <w:t>,</w:t>
      </w:r>
      <w:r w:rsidRPr="005F57F5">
        <w:rPr>
          <w:rFonts w:ascii="Times New Roman" w:hAnsi="Times New Roman"/>
        </w:rPr>
        <w:t xml:space="preserve"> 113-132.</w:t>
      </w:r>
      <w:bookmarkEnd w:id="3"/>
    </w:p>
    <w:p w:rsidR="004D04EF" w:rsidRPr="005F57F5" w:rsidRDefault="004D04EF" w:rsidP="00B57A53">
      <w:pPr>
        <w:pStyle w:val="EndNoteBibliography"/>
        <w:spacing w:after="0"/>
        <w:ind w:left="720" w:hanging="720"/>
        <w:rPr>
          <w:rFonts w:ascii="Times New Roman" w:hAnsi="Times New Roman"/>
        </w:rPr>
      </w:pPr>
    </w:p>
    <w:p w:rsidR="00B57A53" w:rsidRPr="005F57F5" w:rsidRDefault="00B57A53" w:rsidP="00B57A53">
      <w:pPr>
        <w:pStyle w:val="EndNoteBibliography"/>
        <w:spacing w:after="0"/>
        <w:ind w:left="720" w:hanging="720"/>
        <w:rPr>
          <w:rFonts w:ascii="Times New Roman" w:hAnsi="Times New Roman"/>
        </w:rPr>
      </w:pPr>
      <w:bookmarkStart w:id="4" w:name="_ENREF_4"/>
      <w:r w:rsidRPr="005F57F5">
        <w:rPr>
          <w:rFonts w:ascii="Times New Roman" w:hAnsi="Times New Roman"/>
        </w:rPr>
        <w:t xml:space="preserve">ABREGO, L. &amp; WHALLEY, J. 2003. Goods Market Responses to Trade Shocks and Trade and Wages Decompositions. </w:t>
      </w:r>
      <w:r w:rsidRPr="005F57F5">
        <w:rPr>
          <w:rFonts w:ascii="Times New Roman" w:hAnsi="Times New Roman"/>
          <w:i/>
        </w:rPr>
        <w:t>The Canadian Journal of Economics,</w:t>
      </w:r>
      <w:r w:rsidRPr="005F57F5">
        <w:rPr>
          <w:rFonts w:ascii="Times New Roman" w:hAnsi="Times New Roman"/>
        </w:rPr>
        <w:t xml:space="preserve"> 36</w:t>
      </w:r>
      <w:r w:rsidRPr="005F57F5">
        <w:rPr>
          <w:rFonts w:ascii="Times New Roman" w:hAnsi="Times New Roman"/>
          <w:b/>
        </w:rPr>
        <w:t>,</w:t>
      </w:r>
      <w:r w:rsidRPr="005F57F5">
        <w:rPr>
          <w:rFonts w:ascii="Times New Roman" w:hAnsi="Times New Roman"/>
        </w:rPr>
        <w:t xml:space="preserve"> 747-757.</w:t>
      </w:r>
      <w:bookmarkEnd w:id="4"/>
    </w:p>
    <w:p w:rsidR="004D04EF" w:rsidRPr="005F57F5" w:rsidRDefault="004D04EF" w:rsidP="00B57A53">
      <w:pPr>
        <w:pStyle w:val="EndNoteBibliography"/>
        <w:spacing w:after="0"/>
        <w:ind w:left="720" w:hanging="720"/>
        <w:rPr>
          <w:rFonts w:ascii="Times New Roman" w:hAnsi="Times New Roman"/>
        </w:rPr>
      </w:pPr>
      <w:bookmarkStart w:id="5" w:name="_ENREF_5"/>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ALMER, C. &amp; WINKLER, R. 2012. The Effect of Kyoto Emission Targets on Domestic CO2 Emissions: A Synthetic Control Approach. </w:t>
      </w:r>
      <w:r w:rsidRPr="005F57F5">
        <w:rPr>
          <w:rFonts w:ascii="Times New Roman" w:hAnsi="Times New Roman"/>
          <w:i/>
        </w:rPr>
        <w:t>Department of Economics Working Paper.</w:t>
      </w:r>
      <w:r w:rsidRPr="005F57F5">
        <w:rPr>
          <w:rFonts w:ascii="Times New Roman" w:hAnsi="Times New Roman"/>
        </w:rPr>
        <w:t xml:space="preserve"> University of Bern.</w:t>
      </w:r>
      <w:bookmarkEnd w:id="5"/>
    </w:p>
    <w:p w:rsidR="004D04EF" w:rsidRPr="005F57F5" w:rsidRDefault="004D04EF" w:rsidP="00B57A53">
      <w:pPr>
        <w:pStyle w:val="EndNoteBibliography"/>
        <w:spacing w:after="0"/>
        <w:ind w:left="720" w:hanging="720"/>
        <w:rPr>
          <w:rFonts w:ascii="Times New Roman" w:hAnsi="Times New Roman"/>
        </w:rPr>
      </w:pPr>
      <w:bookmarkStart w:id="6" w:name="_ENREF_6"/>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ARAUJO JUNIOR, I. T. 2012. Ex Ante Evaluation of Prodetur-Para. Document of the Inter-American Development Bank.</w:t>
      </w:r>
      <w:bookmarkEnd w:id="6"/>
    </w:p>
    <w:p w:rsidR="004D04EF" w:rsidRPr="005F57F5" w:rsidRDefault="004D04EF" w:rsidP="00B57A53">
      <w:pPr>
        <w:pStyle w:val="EndNoteBibliography"/>
        <w:spacing w:after="0"/>
        <w:ind w:left="720" w:hanging="720"/>
        <w:rPr>
          <w:rFonts w:ascii="Times New Roman" w:hAnsi="Times New Roman"/>
        </w:rPr>
      </w:pPr>
      <w:bookmarkStart w:id="7" w:name="_ENREF_7"/>
    </w:p>
    <w:p w:rsidR="00B57A53" w:rsidRPr="005F57F5" w:rsidRDefault="00B57A53" w:rsidP="00B57A53">
      <w:pPr>
        <w:pStyle w:val="EndNoteBibliography"/>
        <w:spacing w:after="0"/>
        <w:ind w:left="720" w:hanging="720"/>
        <w:rPr>
          <w:rFonts w:ascii="Times New Roman" w:hAnsi="Times New Roman"/>
          <w:i/>
        </w:rPr>
      </w:pPr>
      <w:r w:rsidRPr="005F57F5">
        <w:rPr>
          <w:rFonts w:ascii="Times New Roman" w:hAnsi="Times New Roman"/>
          <w:lang w:val="pt-BR"/>
        </w:rPr>
        <w:t xml:space="preserve">ARAUJO JUNIOR, I. T. 2014. Prodetur Espirito Santo: Uma Avaliacao Ex Ante. </w:t>
      </w:r>
      <w:r w:rsidRPr="005F57F5">
        <w:rPr>
          <w:rFonts w:ascii="Times New Roman" w:hAnsi="Times New Roman"/>
          <w:i/>
        </w:rPr>
        <w:t>Document of the Inter-American Development Bank.</w:t>
      </w:r>
      <w:bookmarkEnd w:id="7"/>
    </w:p>
    <w:p w:rsidR="00B57A53" w:rsidRPr="005F57F5" w:rsidRDefault="00B57A53" w:rsidP="00B57A53">
      <w:pPr>
        <w:pStyle w:val="EndNoteBibliography"/>
        <w:spacing w:after="0"/>
        <w:ind w:left="720" w:hanging="720"/>
        <w:rPr>
          <w:rFonts w:ascii="Times New Roman" w:hAnsi="Times New Roman"/>
        </w:rPr>
      </w:pPr>
      <w:bookmarkStart w:id="8" w:name="_ENREF_8"/>
      <w:r w:rsidRPr="005F57F5">
        <w:rPr>
          <w:rFonts w:ascii="Times New Roman" w:hAnsi="Times New Roman"/>
        </w:rPr>
        <w:t xml:space="preserve">BANERJEE, O. &amp; ALAVALAPATI, J. 2010. Illicit exploitation of natural resources: The forest concessions in Brazil. </w:t>
      </w:r>
      <w:r w:rsidRPr="005F57F5">
        <w:rPr>
          <w:rFonts w:ascii="Times New Roman" w:hAnsi="Times New Roman"/>
          <w:i/>
        </w:rPr>
        <w:t>Journal of Policy Modeling,</w:t>
      </w:r>
      <w:r w:rsidRPr="005F57F5">
        <w:rPr>
          <w:rFonts w:ascii="Times New Roman" w:hAnsi="Times New Roman"/>
        </w:rPr>
        <w:t xml:space="preserve"> 32</w:t>
      </w:r>
      <w:r w:rsidRPr="005F57F5">
        <w:rPr>
          <w:rFonts w:ascii="Times New Roman" w:hAnsi="Times New Roman"/>
          <w:b/>
        </w:rPr>
        <w:t>,</w:t>
      </w:r>
      <w:r w:rsidRPr="005F57F5">
        <w:rPr>
          <w:rFonts w:ascii="Times New Roman" w:hAnsi="Times New Roman"/>
        </w:rPr>
        <w:t xml:space="preserve"> 488-504.</w:t>
      </w:r>
      <w:bookmarkEnd w:id="8"/>
    </w:p>
    <w:p w:rsidR="004D04EF" w:rsidRPr="005F57F5" w:rsidRDefault="004D04EF" w:rsidP="00B57A53">
      <w:pPr>
        <w:pStyle w:val="EndNoteBibliography"/>
        <w:spacing w:after="0"/>
        <w:ind w:left="720" w:hanging="720"/>
        <w:rPr>
          <w:rFonts w:ascii="Times New Roman" w:hAnsi="Times New Roman"/>
        </w:rPr>
      </w:pPr>
      <w:bookmarkStart w:id="9" w:name="_ENREF_9"/>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BREISINGER, C., THOMAS, M. &amp; THURLOW, J. 2010. Social Accounting Matrices and Multiplier Analysis. </w:t>
      </w:r>
      <w:r w:rsidRPr="005F57F5">
        <w:rPr>
          <w:rFonts w:ascii="Times New Roman" w:hAnsi="Times New Roman"/>
          <w:i/>
        </w:rPr>
        <w:t>Food Security in Practice.</w:t>
      </w:r>
      <w:r w:rsidRPr="005F57F5">
        <w:rPr>
          <w:rFonts w:ascii="Times New Roman" w:hAnsi="Times New Roman"/>
        </w:rPr>
        <w:t xml:space="preserve"> Washington D.C.: IFPRI.</w:t>
      </w:r>
      <w:bookmarkEnd w:id="9"/>
    </w:p>
    <w:p w:rsidR="004D04EF" w:rsidRPr="005F57F5" w:rsidRDefault="004D04EF" w:rsidP="00B57A53">
      <w:pPr>
        <w:pStyle w:val="EndNoteBibliography"/>
        <w:spacing w:after="0"/>
        <w:ind w:left="720" w:hanging="720"/>
        <w:rPr>
          <w:rFonts w:ascii="Times New Roman" w:hAnsi="Times New Roman"/>
        </w:rPr>
      </w:pPr>
      <w:bookmarkStart w:id="10" w:name="_ENREF_10"/>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CASTILLO, V., FIGAL GARONE, L., MAFFIOLI, A., SALAZAR, L. &amp; STUCCHI, R. In preparation. Synthetic Control Methods: Estimating the Effect of Salta’s Tourism Development Program. Washington D.C.: Inter-American Development Bank.</w:t>
      </w:r>
      <w:bookmarkEnd w:id="10"/>
    </w:p>
    <w:p w:rsidR="004D04EF" w:rsidRPr="005F57F5" w:rsidRDefault="004D04EF" w:rsidP="00B57A53">
      <w:pPr>
        <w:pStyle w:val="EndNoteBibliography"/>
        <w:spacing w:after="0"/>
        <w:ind w:left="720" w:hanging="720"/>
        <w:rPr>
          <w:rFonts w:ascii="Times New Roman" w:hAnsi="Times New Roman"/>
        </w:rPr>
      </w:pPr>
      <w:bookmarkStart w:id="11" w:name="_ENREF_11"/>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CORRAL, L. &amp; MOSQUERA, C. R. 2014. </w:t>
      </w:r>
      <w:r w:rsidRPr="00045E69">
        <w:rPr>
          <w:rFonts w:ascii="Times New Roman" w:hAnsi="Times New Roman"/>
          <w:lang w:val="es-ES"/>
        </w:rPr>
        <w:t xml:space="preserve">Programa de Consolidacion Fiscal para el Desarrollo del Estado de Alagoas (PROCONFIS AL). </w:t>
      </w:r>
      <w:r w:rsidRPr="005F57F5">
        <w:rPr>
          <w:rFonts w:ascii="Times New Roman" w:hAnsi="Times New Roman"/>
          <w:i/>
        </w:rPr>
        <w:t>Plan de Monitoreo y Evaluacion.</w:t>
      </w:r>
      <w:r w:rsidRPr="005F57F5">
        <w:rPr>
          <w:rFonts w:ascii="Times New Roman" w:hAnsi="Times New Roman"/>
        </w:rPr>
        <w:t xml:space="preserve"> Washington D.C.: Inter-American Development Bank.</w:t>
      </w:r>
      <w:bookmarkEnd w:id="11"/>
    </w:p>
    <w:p w:rsidR="004D04EF" w:rsidRPr="005F57F5" w:rsidRDefault="004D04EF" w:rsidP="00B57A53">
      <w:pPr>
        <w:pStyle w:val="EndNoteBibliography"/>
        <w:spacing w:after="0"/>
        <w:ind w:left="720" w:hanging="720"/>
        <w:rPr>
          <w:rFonts w:ascii="Times New Roman" w:hAnsi="Times New Roman"/>
        </w:rPr>
      </w:pPr>
      <w:bookmarkStart w:id="12" w:name="_ENREF_12"/>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DIXON, P., PARMENTER, B. R., SUTTON, J. &amp; VICENT, D. 1982. </w:t>
      </w:r>
      <w:r w:rsidRPr="005F57F5">
        <w:rPr>
          <w:rFonts w:ascii="Times New Roman" w:hAnsi="Times New Roman"/>
          <w:i/>
        </w:rPr>
        <w:t xml:space="preserve">ORANI: A Multisectoral Model of the Australian Economy, </w:t>
      </w:r>
      <w:r w:rsidRPr="005F57F5">
        <w:rPr>
          <w:rFonts w:ascii="Times New Roman" w:hAnsi="Times New Roman"/>
        </w:rPr>
        <w:t>Amsterdam, North Holland.</w:t>
      </w:r>
      <w:bookmarkEnd w:id="12"/>
    </w:p>
    <w:p w:rsidR="004D04EF" w:rsidRPr="005F57F5" w:rsidRDefault="004D04EF" w:rsidP="00B57A53">
      <w:pPr>
        <w:pStyle w:val="EndNoteBibliography"/>
        <w:spacing w:after="0"/>
        <w:ind w:left="720" w:hanging="720"/>
        <w:rPr>
          <w:rFonts w:ascii="Times New Roman" w:hAnsi="Times New Roman"/>
        </w:rPr>
      </w:pPr>
      <w:bookmarkStart w:id="13" w:name="_ENREF_13"/>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DIXON, P. B., MENON, J. &amp; RIMMER, M. T. 2000. Changes in Technology and Preferences: A General Equilibrium Explanation of Rapid Growth in Trade. </w:t>
      </w:r>
      <w:r w:rsidRPr="005F57F5">
        <w:rPr>
          <w:rFonts w:ascii="Times New Roman" w:hAnsi="Times New Roman"/>
          <w:i/>
        </w:rPr>
        <w:t>Australian Economic Papers,</w:t>
      </w:r>
      <w:r w:rsidRPr="005F57F5">
        <w:rPr>
          <w:rFonts w:ascii="Times New Roman" w:hAnsi="Times New Roman"/>
        </w:rPr>
        <w:t xml:space="preserve"> 39</w:t>
      </w:r>
      <w:r w:rsidRPr="005F57F5">
        <w:rPr>
          <w:rFonts w:ascii="Times New Roman" w:hAnsi="Times New Roman"/>
          <w:b/>
        </w:rPr>
        <w:t>,</w:t>
      </w:r>
      <w:r w:rsidRPr="005F57F5">
        <w:rPr>
          <w:rFonts w:ascii="Times New Roman" w:hAnsi="Times New Roman"/>
        </w:rPr>
        <w:t xml:space="preserve"> 33-55.</w:t>
      </w:r>
      <w:bookmarkEnd w:id="13"/>
    </w:p>
    <w:p w:rsidR="004D04EF" w:rsidRPr="005F57F5" w:rsidRDefault="004D04EF" w:rsidP="00B57A53">
      <w:pPr>
        <w:pStyle w:val="EndNoteBibliography"/>
        <w:spacing w:after="0"/>
        <w:ind w:left="720" w:hanging="720"/>
        <w:rPr>
          <w:rFonts w:ascii="Times New Roman" w:hAnsi="Times New Roman"/>
        </w:rPr>
      </w:pPr>
      <w:bookmarkStart w:id="14" w:name="_ENREF_14"/>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DIXON, P. B. &amp; RIMMER, M. T. 2002. </w:t>
      </w:r>
      <w:r w:rsidRPr="005F57F5">
        <w:rPr>
          <w:rFonts w:ascii="Times New Roman" w:hAnsi="Times New Roman"/>
          <w:i/>
        </w:rPr>
        <w:t xml:space="preserve">Dynamic General Equilibrium Modelling for Forecasting and Policy: A Practical Guide and Documentation of MONASH, </w:t>
      </w:r>
      <w:r w:rsidRPr="005F57F5">
        <w:rPr>
          <w:rFonts w:ascii="Times New Roman" w:hAnsi="Times New Roman"/>
        </w:rPr>
        <w:t>Amsterdam, North-Holland.</w:t>
      </w:r>
      <w:bookmarkEnd w:id="14"/>
    </w:p>
    <w:p w:rsidR="004D04EF" w:rsidRPr="005F57F5" w:rsidRDefault="004D04EF" w:rsidP="00B57A53">
      <w:pPr>
        <w:pStyle w:val="EndNoteBibliography"/>
        <w:spacing w:after="0"/>
        <w:ind w:left="720" w:hanging="720"/>
        <w:rPr>
          <w:rFonts w:ascii="Times New Roman" w:hAnsi="Times New Roman"/>
        </w:rPr>
      </w:pPr>
      <w:bookmarkStart w:id="15" w:name="_ENREF_15"/>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DIXON, P. B. &amp; RIMMER, M. T. 2004. The US Economy from 1992 to 1998: Historical and Decomposition Simulations with the USAGE Model. </w:t>
      </w:r>
      <w:r w:rsidRPr="005F57F5">
        <w:rPr>
          <w:rFonts w:ascii="Times New Roman" w:hAnsi="Times New Roman"/>
          <w:i/>
        </w:rPr>
        <w:t>IIIS Discussion Paper.</w:t>
      </w:r>
      <w:r w:rsidRPr="005F57F5">
        <w:rPr>
          <w:rFonts w:ascii="Times New Roman" w:hAnsi="Times New Roman"/>
        </w:rPr>
        <w:t xml:space="preserve"> Dublin: Institute for International Integration Studies.</w:t>
      </w:r>
      <w:bookmarkEnd w:id="15"/>
    </w:p>
    <w:p w:rsidR="004D04EF" w:rsidRPr="005F57F5" w:rsidRDefault="004D04EF" w:rsidP="00B57A53">
      <w:pPr>
        <w:pStyle w:val="EndNoteBibliography"/>
        <w:spacing w:after="0"/>
        <w:ind w:left="720" w:hanging="720"/>
        <w:rPr>
          <w:rFonts w:ascii="Times New Roman" w:hAnsi="Times New Roman"/>
        </w:rPr>
      </w:pPr>
      <w:bookmarkStart w:id="16" w:name="_ENREF_16"/>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DIXON, P. B. &amp; RIMMER, M. T. 2010. Validating a Detailed, Dynamic CGE Model of the USA*. </w:t>
      </w:r>
      <w:r w:rsidRPr="005F57F5">
        <w:rPr>
          <w:rFonts w:ascii="Times New Roman" w:hAnsi="Times New Roman"/>
          <w:i/>
        </w:rPr>
        <w:t>Economic Record,</w:t>
      </w:r>
      <w:r w:rsidRPr="005F57F5">
        <w:rPr>
          <w:rFonts w:ascii="Times New Roman" w:hAnsi="Times New Roman"/>
        </w:rPr>
        <w:t xml:space="preserve"> 86</w:t>
      </w:r>
      <w:r w:rsidRPr="005F57F5">
        <w:rPr>
          <w:rFonts w:ascii="Times New Roman" w:hAnsi="Times New Roman"/>
          <w:b/>
        </w:rPr>
        <w:t>,</w:t>
      </w:r>
      <w:r w:rsidRPr="005F57F5">
        <w:rPr>
          <w:rFonts w:ascii="Times New Roman" w:hAnsi="Times New Roman"/>
        </w:rPr>
        <w:t xml:space="preserve"> 22-34.</w:t>
      </w:r>
      <w:bookmarkEnd w:id="16"/>
    </w:p>
    <w:p w:rsidR="004D04EF" w:rsidRPr="005F57F5" w:rsidRDefault="004D04EF" w:rsidP="00B57A53">
      <w:pPr>
        <w:pStyle w:val="EndNoteBibliography"/>
        <w:spacing w:after="0"/>
        <w:ind w:left="720" w:hanging="720"/>
        <w:rPr>
          <w:rFonts w:ascii="Times New Roman" w:hAnsi="Times New Roman"/>
        </w:rPr>
      </w:pPr>
      <w:bookmarkStart w:id="17" w:name="_ENREF_17"/>
    </w:p>
    <w:p w:rsidR="004D04EF" w:rsidRPr="005F57F5" w:rsidRDefault="004D04EF" w:rsidP="00B57A53">
      <w:pPr>
        <w:pStyle w:val="EndNoteBibliography"/>
        <w:spacing w:after="0"/>
        <w:ind w:left="720" w:hanging="720"/>
        <w:rPr>
          <w:rFonts w:ascii="Times New Roman" w:hAnsi="Times New Roman"/>
        </w:rPr>
      </w:pPr>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DWYER, L., FORSYTH, P. &amp; SPURR, R. 2004. Evaluating Tourism's Economic Effects: New and Old Approaches. </w:t>
      </w:r>
      <w:r w:rsidRPr="005F57F5">
        <w:rPr>
          <w:rFonts w:ascii="Times New Roman" w:hAnsi="Times New Roman"/>
          <w:i/>
        </w:rPr>
        <w:t>Tourism Management,</w:t>
      </w:r>
      <w:r w:rsidRPr="005F57F5">
        <w:rPr>
          <w:rFonts w:ascii="Times New Roman" w:hAnsi="Times New Roman"/>
        </w:rPr>
        <w:t xml:space="preserve"> 25</w:t>
      </w:r>
      <w:r w:rsidRPr="005F57F5">
        <w:rPr>
          <w:rFonts w:ascii="Times New Roman" w:hAnsi="Times New Roman"/>
          <w:b/>
        </w:rPr>
        <w:t>,</w:t>
      </w:r>
      <w:r w:rsidRPr="005F57F5">
        <w:rPr>
          <w:rFonts w:ascii="Times New Roman" w:hAnsi="Times New Roman"/>
        </w:rPr>
        <w:t xml:space="preserve"> 307-317.</w:t>
      </w:r>
      <w:bookmarkEnd w:id="17"/>
    </w:p>
    <w:p w:rsidR="004D04EF" w:rsidRPr="005F57F5" w:rsidRDefault="004D04EF" w:rsidP="00B57A53">
      <w:pPr>
        <w:pStyle w:val="EndNoteBibliography"/>
        <w:spacing w:after="0"/>
        <w:ind w:left="720" w:hanging="720"/>
        <w:rPr>
          <w:rFonts w:ascii="Times New Roman" w:hAnsi="Times New Roman"/>
        </w:rPr>
      </w:pPr>
      <w:bookmarkStart w:id="18" w:name="_ENREF_18"/>
    </w:p>
    <w:p w:rsidR="00B57A53" w:rsidRPr="005F57F5" w:rsidRDefault="00B57A53" w:rsidP="00B57A53">
      <w:pPr>
        <w:pStyle w:val="EndNoteBibliography"/>
        <w:spacing w:after="0"/>
        <w:ind w:left="720" w:hanging="720"/>
        <w:rPr>
          <w:rFonts w:ascii="Times New Roman" w:hAnsi="Times New Roman"/>
          <w:i/>
        </w:rPr>
      </w:pPr>
      <w:r w:rsidRPr="005F57F5">
        <w:rPr>
          <w:rFonts w:ascii="Times New Roman" w:hAnsi="Times New Roman"/>
        </w:rPr>
        <w:t xml:space="preserve">GATHANI, S., SANTINI, M. &amp; STOELINGA, D. 2013. Innovative Techniques to Evaluate the Impact of Private Sector Development Reforms: An Application to Rwanda and 11 Other Countries. </w:t>
      </w:r>
      <w:r w:rsidRPr="005F57F5">
        <w:rPr>
          <w:rFonts w:ascii="Times New Roman" w:hAnsi="Times New Roman"/>
          <w:i/>
        </w:rPr>
        <w:t>MPSA Annual Conference.</w:t>
      </w:r>
      <w:bookmarkEnd w:id="18"/>
    </w:p>
    <w:p w:rsidR="004D04EF" w:rsidRPr="005F57F5" w:rsidRDefault="004D04EF" w:rsidP="00B57A53">
      <w:pPr>
        <w:pStyle w:val="EndNoteBibliography"/>
        <w:spacing w:after="0"/>
        <w:ind w:left="720" w:hanging="720"/>
        <w:rPr>
          <w:rFonts w:ascii="Times New Roman" w:hAnsi="Times New Roman"/>
        </w:rPr>
      </w:pPr>
      <w:bookmarkStart w:id="19" w:name="_ENREF_19"/>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GIESECKE, J. &amp; MADDEN, J. 2007. The Sydney Olympics, Seven Years On: An Ex-Post Dynamic CGE Assessment. Clayton: Centre of Policy Studies.</w:t>
      </w:r>
      <w:bookmarkEnd w:id="19"/>
    </w:p>
    <w:p w:rsidR="004D04EF" w:rsidRPr="005F57F5" w:rsidRDefault="004D04EF" w:rsidP="00B57A53">
      <w:pPr>
        <w:pStyle w:val="EndNoteBibliography"/>
        <w:spacing w:after="0"/>
        <w:ind w:left="720" w:hanging="720"/>
        <w:rPr>
          <w:rFonts w:ascii="Times New Roman" w:hAnsi="Times New Roman"/>
        </w:rPr>
      </w:pPr>
      <w:bookmarkStart w:id="20" w:name="_ENREF_20"/>
    </w:p>
    <w:p w:rsidR="00B57A53" w:rsidRPr="005F57F5" w:rsidRDefault="00B57A53" w:rsidP="00B57A53">
      <w:pPr>
        <w:pStyle w:val="EndNoteBibliography"/>
        <w:spacing w:after="0"/>
        <w:ind w:left="720" w:hanging="720"/>
        <w:rPr>
          <w:rFonts w:ascii="Times New Roman" w:hAnsi="Times New Roman"/>
          <w:i/>
        </w:rPr>
      </w:pPr>
      <w:r w:rsidRPr="005F57F5">
        <w:rPr>
          <w:rFonts w:ascii="Times New Roman" w:hAnsi="Times New Roman"/>
        </w:rPr>
        <w:t xml:space="preserve">GUILHOTO, J. J. M. &amp; SESSO FILLHO, U. A. 2005. Estimation of Input-Output Matrix Using Preliminary Data from National Accounts. </w:t>
      </w:r>
      <w:r w:rsidRPr="005F57F5">
        <w:rPr>
          <w:rFonts w:ascii="Times New Roman" w:hAnsi="Times New Roman"/>
          <w:i/>
        </w:rPr>
        <w:t>Munich Personal RePEc Archiver.</w:t>
      </w:r>
      <w:bookmarkEnd w:id="20"/>
    </w:p>
    <w:p w:rsidR="004D04EF" w:rsidRPr="005F57F5" w:rsidRDefault="004D04EF" w:rsidP="00B57A53">
      <w:pPr>
        <w:pStyle w:val="EndNoteBibliography"/>
        <w:spacing w:after="0"/>
        <w:ind w:left="720" w:hanging="720"/>
        <w:rPr>
          <w:rFonts w:ascii="Times New Roman" w:hAnsi="Times New Roman"/>
        </w:rPr>
      </w:pPr>
      <w:bookmarkStart w:id="21" w:name="_ENREF_21"/>
    </w:p>
    <w:p w:rsidR="00B57A53" w:rsidRPr="005F57F5" w:rsidRDefault="00B57A53" w:rsidP="00B57A53">
      <w:pPr>
        <w:pStyle w:val="EndNoteBibliography"/>
        <w:spacing w:after="0"/>
        <w:ind w:left="720" w:hanging="720"/>
        <w:rPr>
          <w:rFonts w:ascii="Times New Roman" w:hAnsi="Times New Roman"/>
          <w:i/>
        </w:rPr>
      </w:pPr>
      <w:r w:rsidRPr="005F57F5">
        <w:rPr>
          <w:rFonts w:ascii="Times New Roman" w:hAnsi="Times New Roman"/>
        </w:rPr>
        <w:t xml:space="preserve">GUILHOTO, J. J. M. &amp; SESSO FILLHO, U. A. 2010. Estimation of Input-Output Matrix Using Preliminary Data from National Accounts: Application and Analysis of Economic Indicators for Brazil in 2005. </w:t>
      </w:r>
      <w:r w:rsidRPr="005F57F5">
        <w:rPr>
          <w:rFonts w:ascii="Times New Roman" w:hAnsi="Times New Roman"/>
          <w:i/>
        </w:rPr>
        <w:t>Munich Personal RePEc Archive.</w:t>
      </w:r>
      <w:bookmarkEnd w:id="21"/>
    </w:p>
    <w:p w:rsidR="004D04EF" w:rsidRPr="005F57F5" w:rsidRDefault="004D04EF" w:rsidP="00B57A53">
      <w:pPr>
        <w:pStyle w:val="EndNoteBibliography"/>
        <w:spacing w:after="0"/>
        <w:ind w:left="720" w:hanging="720"/>
        <w:rPr>
          <w:rFonts w:ascii="Times New Roman" w:hAnsi="Times New Roman"/>
        </w:rPr>
      </w:pPr>
      <w:bookmarkStart w:id="22" w:name="_ENREF_22"/>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HARRISON, W. J., HORRIDGE, J. M. &amp; PEARSON, K. R. 1999. Decomposing Simulation Results with Respect to Exogenous Shocks. </w:t>
      </w:r>
      <w:r w:rsidRPr="005F57F5">
        <w:rPr>
          <w:rFonts w:ascii="Times New Roman" w:hAnsi="Times New Roman"/>
          <w:i/>
        </w:rPr>
        <w:t>Preliminary Working Paper No. IP-73.</w:t>
      </w:r>
      <w:r w:rsidRPr="005F57F5">
        <w:rPr>
          <w:rFonts w:ascii="Times New Roman" w:hAnsi="Times New Roman"/>
        </w:rPr>
        <w:t xml:space="preserve"> Clayton: Centre of Policy Studies.</w:t>
      </w:r>
      <w:bookmarkEnd w:id="22"/>
    </w:p>
    <w:p w:rsidR="004D04EF" w:rsidRPr="005F57F5" w:rsidRDefault="004D04EF" w:rsidP="00B57A53">
      <w:pPr>
        <w:pStyle w:val="EndNoteBibliography"/>
        <w:spacing w:after="0"/>
        <w:ind w:left="720" w:hanging="720"/>
        <w:rPr>
          <w:rFonts w:ascii="Times New Roman" w:hAnsi="Times New Roman"/>
        </w:rPr>
      </w:pPr>
      <w:bookmarkStart w:id="23" w:name="_ENREF_23"/>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HENDERSON, H. &amp; CORRAL, L. 2013. Evaluation Plan Prodetur- Para. </w:t>
      </w:r>
      <w:r w:rsidRPr="005F57F5">
        <w:rPr>
          <w:rFonts w:ascii="Times New Roman" w:hAnsi="Times New Roman"/>
          <w:i/>
        </w:rPr>
        <w:t>Programa de Desenvolvimento Turistico de Para (Prodetur - Para).</w:t>
      </w:r>
      <w:r w:rsidRPr="005F57F5">
        <w:rPr>
          <w:rFonts w:ascii="Times New Roman" w:hAnsi="Times New Roman"/>
        </w:rPr>
        <w:t xml:space="preserve"> Washington DC: Inter-American Development Bank.</w:t>
      </w:r>
      <w:bookmarkEnd w:id="23"/>
    </w:p>
    <w:p w:rsidR="004D04EF" w:rsidRPr="005F57F5" w:rsidRDefault="004D04EF" w:rsidP="00B57A53">
      <w:pPr>
        <w:pStyle w:val="EndNoteBibliography"/>
        <w:spacing w:after="0"/>
        <w:ind w:left="720" w:hanging="720"/>
        <w:rPr>
          <w:rFonts w:ascii="Times New Roman" w:hAnsi="Times New Roman"/>
        </w:rPr>
      </w:pPr>
      <w:bookmarkStart w:id="24" w:name="_ENREF_24"/>
    </w:p>
    <w:p w:rsidR="00B57A53" w:rsidRPr="005F57F5" w:rsidRDefault="00B57A53" w:rsidP="00B57A53">
      <w:pPr>
        <w:pStyle w:val="EndNoteBibliography"/>
        <w:spacing w:after="0"/>
        <w:ind w:left="720" w:hanging="720"/>
        <w:rPr>
          <w:rFonts w:ascii="Times New Roman" w:hAnsi="Times New Roman"/>
          <w:i/>
        </w:rPr>
      </w:pPr>
      <w:r w:rsidRPr="005F57F5">
        <w:rPr>
          <w:rFonts w:ascii="Times New Roman" w:hAnsi="Times New Roman"/>
        </w:rPr>
        <w:t xml:space="preserve">JEAN, S. &amp; BONTOUT, O. 2001. What Drove Relative Wages in France? Structural Decomposition Analysis in a General Equilibrium Framework, 1970-1992. </w:t>
      </w:r>
      <w:r w:rsidRPr="005F57F5">
        <w:rPr>
          <w:rFonts w:ascii="Times New Roman" w:hAnsi="Times New Roman"/>
          <w:i/>
        </w:rPr>
        <w:t>ENEPRI Working Papers No. 5.</w:t>
      </w:r>
      <w:bookmarkEnd w:id="24"/>
    </w:p>
    <w:p w:rsidR="004D04EF" w:rsidRPr="005F57F5" w:rsidRDefault="004D04EF" w:rsidP="00B57A53">
      <w:pPr>
        <w:pStyle w:val="EndNoteBibliography"/>
        <w:spacing w:after="0"/>
        <w:ind w:left="720" w:hanging="720"/>
        <w:rPr>
          <w:rFonts w:ascii="Times New Roman" w:hAnsi="Times New Roman"/>
        </w:rPr>
      </w:pPr>
      <w:bookmarkStart w:id="25" w:name="_ENREF_25"/>
    </w:p>
    <w:p w:rsidR="00B57A53" w:rsidRPr="005F57F5" w:rsidRDefault="00B57A53" w:rsidP="00B57A53">
      <w:pPr>
        <w:pStyle w:val="EndNoteBibliography"/>
        <w:spacing w:after="0"/>
        <w:ind w:left="720" w:hanging="720"/>
        <w:rPr>
          <w:rFonts w:ascii="Times New Roman" w:hAnsi="Times New Roman"/>
        </w:rPr>
      </w:pPr>
      <w:r w:rsidRPr="00045E69">
        <w:rPr>
          <w:rFonts w:ascii="Times New Roman" w:hAnsi="Times New Roman"/>
          <w:lang w:val="es-ES"/>
        </w:rPr>
        <w:t xml:space="preserve">JEAN, S., MULDER, N. &amp; RAMOS, M. P. 2012. </w:t>
      </w:r>
      <w:r w:rsidRPr="005F57F5">
        <w:rPr>
          <w:rFonts w:ascii="Times New Roman" w:hAnsi="Times New Roman"/>
        </w:rPr>
        <w:t xml:space="preserve">A General Equilibrium, Ex-Post Evaluation of the EU-Chile Free Trade Agreement. </w:t>
      </w:r>
      <w:r w:rsidRPr="005F57F5">
        <w:rPr>
          <w:rFonts w:ascii="Times New Roman" w:hAnsi="Times New Roman"/>
          <w:i/>
        </w:rPr>
        <w:t>IV Encuentro Regional sobre Modelos de Equilibrio General Computable.</w:t>
      </w:r>
      <w:r w:rsidRPr="005F57F5">
        <w:rPr>
          <w:rFonts w:ascii="Times New Roman" w:hAnsi="Times New Roman"/>
        </w:rPr>
        <w:t xml:space="preserve"> CEPAL.</w:t>
      </w:r>
      <w:bookmarkEnd w:id="25"/>
    </w:p>
    <w:p w:rsidR="004D04EF" w:rsidRPr="005F57F5" w:rsidRDefault="004D04EF" w:rsidP="00B57A53">
      <w:pPr>
        <w:pStyle w:val="EndNoteBibliography"/>
        <w:spacing w:after="0"/>
        <w:ind w:left="720" w:hanging="720"/>
        <w:rPr>
          <w:rFonts w:ascii="Times New Roman" w:hAnsi="Times New Roman"/>
        </w:rPr>
      </w:pPr>
    </w:p>
    <w:p w:rsidR="00B57A53" w:rsidRPr="005F57F5" w:rsidRDefault="00B57A53" w:rsidP="00B57A53">
      <w:pPr>
        <w:pStyle w:val="EndNoteBibliography"/>
        <w:spacing w:after="0"/>
        <w:ind w:left="720" w:hanging="720"/>
        <w:rPr>
          <w:rFonts w:ascii="Times New Roman" w:hAnsi="Times New Roman"/>
        </w:rPr>
      </w:pPr>
      <w:bookmarkStart w:id="26" w:name="_ENREF_26"/>
      <w:r w:rsidRPr="005F57F5">
        <w:rPr>
          <w:rFonts w:ascii="Times New Roman" w:hAnsi="Times New Roman"/>
        </w:rPr>
        <w:t xml:space="preserve">KING, B. B. 1985. What is SAM? </w:t>
      </w:r>
      <w:r w:rsidRPr="005F57F5">
        <w:rPr>
          <w:rFonts w:ascii="Times New Roman" w:hAnsi="Times New Roman"/>
          <w:i/>
        </w:rPr>
        <w:t>In:</w:t>
      </w:r>
      <w:r w:rsidRPr="005F57F5">
        <w:rPr>
          <w:rFonts w:ascii="Times New Roman" w:hAnsi="Times New Roman"/>
        </w:rPr>
        <w:t xml:space="preserve"> PYATT &amp; ROUND (eds.) </w:t>
      </w:r>
      <w:r w:rsidRPr="005F57F5">
        <w:rPr>
          <w:rFonts w:ascii="Times New Roman" w:hAnsi="Times New Roman"/>
          <w:i/>
        </w:rPr>
        <w:t>Social Accounting Matrices: A Basis for Planning.</w:t>
      </w:r>
      <w:r w:rsidRPr="005F57F5">
        <w:rPr>
          <w:rFonts w:ascii="Times New Roman" w:hAnsi="Times New Roman"/>
        </w:rPr>
        <w:t xml:space="preserve"> Washington, D.C.: World Bank.</w:t>
      </w:r>
      <w:bookmarkEnd w:id="26"/>
    </w:p>
    <w:p w:rsidR="004D04EF" w:rsidRPr="005F57F5" w:rsidRDefault="004D04EF" w:rsidP="00B57A53">
      <w:pPr>
        <w:pStyle w:val="EndNoteBibliography"/>
        <w:spacing w:after="0"/>
        <w:ind w:left="720" w:hanging="720"/>
        <w:rPr>
          <w:rFonts w:ascii="Times New Roman" w:hAnsi="Times New Roman"/>
        </w:rPr>
      </w:pPr>
    </w:p>
    <w:p w:rsidR="00B57A53" w:rsidRPr="005F57F5" w:rsidRDefault="00B57A53" w:rsidP="00B57A53">
      <w:pPr>
        <w:pStyle w:val="EndNoteBibliography"/>
        <w:spacing w:after="0"/>
        <w:ind w:left="720" w:hanging="720"/>
        <w:rPr>
          <w:rFonts w:ascii="Times New Roman" w:hAnsi="Times New Roman"/>
        </w:rPr>
      </w:pPr>
      <w:bookmarkStart w:id="27" w:name="_ENREF_27"/>
      <w:r w:rsidRPr="005F57F5">
        <w:rPr>
          <w:rFonts w:ascii="Times New Roman" w:hAnsi="Times New Roman"/>
        </w:rPr>
        <w:t>LOFGREN, H., HARRIS, R. L., ROBINSON, S., THOMAS, M. &amp; EL-SAID, M. 2002. A Standard Computable General Equilibrium (CGE) Model in GAMS. W</w:t>
      </w:r>
      <w:r w:rsidR="004D04EF" w:rsidRPr="005F57F5">
        <w:rPr>
          <w:rFonts w:ascii="Times New Roman" w:hAnsi="Times New Roman"/>
        </w:rPr>
        <w:t>a</w:t>
      </w:r>
      <w:r w:rsidRPr="005F57F5">
        <w:rPr>
          <w:rFonts w:ascii="Times New Roman" w:hAnsi="Times New Roman"/>
        </w:rPr>
        <w:t>shington, D.C.: IFPRI.</w:t>
      </w:r>
      <w:bookmarkEnd w:id="27"/>
    </w:p>
    <w:p w:rsidR="004D04EF" w:rsidRPr="005F57F5" w:rsidRDefault="004D04EF" w:rsidP="00B57A53">
      <w:pPr>
        <w:pStyle w:val="EndNoteBibliography"/>
        <w:spacing w:after="0"/>
        <w:ind w:left="720" w:hanging="720"/>
        <w:rPr>
          <w:rFonts w:ascii="Times New Roman" w:hAnsi="Times New Roman"/>
        </w:rPr>
      </w:pPr>
    </w:p>
    <w:p w:rsidR="00B57A53" w:rsidRPr="005F57F5" w:rsidRDefault="00B57A53" w:rsidP="00B57A53">
      <w:pPr>
        <w:pStyle w:val="EndNoteBibliography"/>
        <w:spacing w:after="0"/>
        <w:ind w:left="720" w:hanging="720"/>
        <w:rPr>
          <w:rFonts w:ascii="Times New Roman" w:hAnsi="Times New Roman"/>
        </w:rPr>
      </w:pPr>
      <w:bookmarkStart w:id="28" w:name="_ENREF_28"/>
      <w:r w:rsidRPr="005F57F5">
        <w:rPr>
          <w:rFonts w:ascii="Times New Roman" w:hAnsi="Times New Roman"/>
        </w:rPr>
        <w:t xml:space="preserve">MILLER, R. E. &amp; BLAIR, P. D. 2009. </w:t>
      </w:r>
      <w:r w:rsidRPr="005F57F5">
        <w:rPr>
          <w:rFonts w:ascii="Times New Roman" w:hAnsi="Times New Roman"/>
          <w:i/>
        </w:rPr>
        <w:t xml:space="preserve">Input-Output Analysis: Foundations and Extensions, </w:t>
      </w:r>
      <w:r w:rsidRPr="005F57F5">
        <w:rPr>
          <w:rFonts w:ascii="Times New Roman" w:hAnsi="Times New Roman"/>
        </w:rPr>
        <w:t>Cambridge, Cambridge University Press.</w:t>
      </w:r>
      <w:bookmarkEnd w:id="28"/>
    </w:p>
    <w:p w:rsidR="004D04EF" w:rsidRPr="005F57F5" w:rsidRDefault="004D04EF" w:rsidP="00B57A53">
      <w:pPr>
        <w:pStyle w:val="EndNoteBibliography"/>
        <w:spacing w:after="0"/>
        <w:ind w:left="720" w:hanging="720"/>
        <w:rPr>
          <w:rFonts w:ascii="Times New Roman" w:hAnsi="Times New Roman"/>
        </w:rPr>
      </w:pPr>
      <w:bookmarkStart w:id="29" w:name="_ENREF_29"/>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NIN-PRATT, A., THURLOW, J. &amp; MORLEY, S. 2007. A 2002 National Social Accounting Matrix (SAM) for Peru and Sub-national Matrices for the Coastal and Sierra/Selva Regions. Washington, D.C.: IFPRI.</w:t>
      </w:r>
      <w:bookmarkEnd w:id="29"/>
    </w:p>
    <w:p w:rsidR="004D04EF" w:rsidRPr="005F57F5" w:rsidRDefault="004D04EF" w:rsidP="00B57A53">
      <w:pPr>
        <w:pStyle w:val="EndNoteBibliography"/>
        <w:spacing w:after="0"/>
        <w:ind w:left="720" w:hanging="720"/>
        <w:rPr>
          <w:rFonts w:ascii="Times New Roman" w:hAnsi="Times New Roman"/>
        </w:rPr>
      </w:pPr>
      <w:bookmarkStart w:id="30" w:name="_ENREF_30"/>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lastRenderedPageBreak/>
        <w:t xml:space="preserve">ROBINSON, S., CATTANEO, A. &amp; EL-SAID, M. 2001. Updating and estimating a social accounting matrix using cross entropy methods. </w:t>
      </w:r>
      <w:r w:rsidRPr="005F57F5">
        <w:rPr>
          <w:rFonts w:ascii="Times New Roman" w:hAnsi="Times New Roman"/>
          <w:i/>
        </w:rPr>
        <w:t>Economic Systems Research,</w:t>
      </w:r>
      <w:r w:rsidRPr="005F57F5">
        <w:rPr>
          <w:rFonts w:ascii="Times New Roman" w:hAnsi="Times New Roman"/>
        </w:rPr>
        <w:t xml:space="preserve"> 13</w:t>
      </w:r>
      <w:r w:rsidRPr="005F57F5">
        <w:rPr>
          <w:rFonts w:ascii="Times New Roman" w:hAnsi="Times New Roman"/>
          <w:b/>
        </w:rPr>
        <w:t>,</w:t>
      </w:r>
      <w:r w:rsidRPr="005F57F5">
        <w:rPr>
          <w:rFonts w:ascii="Times New Roman" w:hAnsi="Times New Roman"/>
        </w:rPr>
        <w:t xml:space="preserve"> 47-64.</w:t>
      </w:r>
      <w:bookmarkEnd w:id="30"/>
    </w:p>
    <w:p w:rsidR="004D04EF" w:rsidRPr="005F57F5" w:rsidRDefault="004D04EF" w:rsidP="00B57A53">
      <w:pPr>
        <w:pStyle w:val="EndNoteBibliography"/>
        <w:spacing w:after="0"/>
        <w:ind w:left="720" w:hanging="720"/>
        <w:rPr>
          <w:rFonts w:ascii="Times New Roman" w:hAnsi="Times New Roman"/>
        </w:rPr>
      </w:pPr>
      <w:bookmarkStart w:id="31" w:name="_ENREF_31"/>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ROBINSON, S., YUNEZ-NAUDE, A., HINOJOSA-OJEDA, R., LEWIS, J. D. &amp; DEVARAJAN, S. 1999. From stylized to applied models: - Building multisector CGE models for policy analysis. </w:t>
      </w:r>
      <w:r w:rsidRPr="005F57F5">
        <w:rPr>
          <w:rFonts w:ascii="Times New Roman" w:hAnsi="Times New Roman"/>
          <w:i/>
        </w:rPr>
        <w:t>North American Journal of Economics and Finance,</w:t>
      </w:r>
      <w:r w:rsidRPr="005F57F5">
        <w:rPr>
          <w:rFonts w:ascii="Times New Roman" w:hAnsi="Times New Roman"/>
        </w:rPr>
        <w:t xml:space="preserve"> 10</w:t>
      </w:r>
      <w:r w:rsidRPr="005F57F5">
        <w:rPr>
          <w:rFonts w:ascii="Times New Roman" w:hAnsi="Times New Roman"/>
          <w:b/>
        </w:rPr>
        <w:t>,</w:t>
      </w:r>
      <w:r w:rsidRPr="005F57F5">
        <w:rPr>
          <w:rFonts w:ascii="Times New Roman" w:hAnsi="Times New Roman"/>
        </w:rPr>
        <w:t xml:space="preserve"> 5-38.</w:t>
      </w:r>
      <w:bookmarkEnd w:id="31"/>
    </w:p>
    <w:p w:rsidR="004D04EF" w:rsidRPr="005F57F5" w:rsidRDefault="004D04EF" w:rsidP="00B57A53">
      <w:pPr>
        <w:pStyle w:val="EndNoteBibliography"/>
        <w:spacing w:after="0"/>
        <w:ind w:left="720" w:hanging="720"/>
        <w:rPr>
          <w:rFonts w:ascii="Times New Roman" w:hAnsi="Times New Roman"/>
        </w:rPr>
      </w:pPr>
      <w:bookmarkStart w:id="32" w:name="_ENREF_32"/>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TAYLOR, J. E. 2010a. Nicaragua Plan for the National Tourism Program: Ex-Ante Economic Analysis &amp; Ex-Post Impact Evaluation. </w:t>
      </w:r>
      <w:r w:rsidRPr="005F57F5">
        <w:rPr>
          <w:rFonts w:ascii="Times New Roman" w:hAnsi="Times New Roman"/>
          <w:i/>
        </w:rPr>
        <w:t>NI-L1039.</w:t>
      </w:r>
      <w:r w:rsidRPr="005F57F5">
        <w:rPr>
          <w:rFonts w:ascii="Times New Roman" w:hAnsi="Times New Roman"/>
        </w:rPr>
        <w:t xml:space="preserve"> Davis: University of California.</w:t>
      </w:r>
      <w:bookmarkEnd w:id="32"/>
    </w:p>
    <w:p w:rsidR="004D04EF" w:rsidRPr="005F57F5" w:rsidRDefault="004D04EF" w:rsidP="00B57A53">
      <w:pPr>
        <w:pStyle w:val="EndNoteBibliography"/>
        <w:spacing w:after="0"/>
        <w:ind w:left="720" w:hanging="720"/>
        <w:rPr>
          <w:rFonts w:ascii="Times New Roman" w:hAnsi="Times New Roman"/>
        </w:rPr>
      </w:pPr>
      <w:bookmarkStart w:id="33" w:name="_ENREF_33"/>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TAYLOR, J. E. 2010b. Technical Guidelines for Evaluating the Impacts of Tourism Using Simulation Models. </w:t>
      </w:r>
      <w:r w:rsidRPr="005F57F5">
        <w:rPr>
          <w:rFonts w:ascii="Times New Roman" w:hAnsi="Times New Roman"/>
          <w:i/>
        </w:rPr>
        <w:t>Impact Evaluation Guidelines.</w:t>
      </w:r>
      <w:r w:rsidRPr="005F57F5">
        <w:rPr>
          <w:rFonts w:ascii="Times New Roman" w:hAnsi="Times New Roman"/>
        </w:rPr>
        <w:t xml:space="preserve"> Washington D.C.: Inter-American Development Bank.</w:t>
      </w:r>
      <w:bookmarkEnd w:id="33"/>
    </w:p>
    <w:p w:rsidR="004D04EF" w:rsidRPr="005F57F5" w:rsidRDefault="004D04EF" w:rsidP="00B57A53">
      <w:pPr>
        <w:pStyle w:val="EndNoteBibliography"/>
        <w:spacing w:after="0"/>
        <w:ind w:left="720" w:hanging="720"/>
        <w:rPr>
          <w:rFonts w:ascii="Times New Roman" w:hAnsi="Times New Roman"/>
        </w:rPr>
      </w:pPr>
      <w:bookmarkStart w:id="34" w:name="_ENREF_34"/>
    </w:p>
    <w:p w:rsidR="00B57A53" w:rsidRPr="005F57F5" w:rsidRDefault="00B57A53" w:rsidP="00B57A53">
      <w:pPr>
        <w:pStyle w:val="EndNoteBibliography"/>
        <w:spacing w:after="0"/>
        <w:ind w:left="720" w:hanging="720"/>
        <w:rPr>
          <w:rFonts w:ascii="Times New Roman" w:hAnsi="Times New Roman"/>
        </w:rPr>
      </w:pPr>
      <w:r w:rsidRPr="005F57F5">
        <w:rPr>
          <w:rFonts w:ascii="Times New Roman" w:hAnsi="Times New Roman"/>
        </w:rPr>
        <w:t xml:space="preserve">WINTERS, P., CORRAL, L. &amp; MORA, A. M. 2013. Assessing the Role of Tourism in Poverty Alleviation: A Research Agenda. </w:t>
      </w:r>
      <w:r w:rsidRPr="005F57F5">
        <w:rPr>
          <w:rFonts w:ascii="Times New Roman" w:hAnsi="Times New Roman"/>
          <w:i/>
        </w:rPr>
        <w:t>Development Policy Review,</w:t>
      </w:r>
      <w:r w:rsidRPr="005F57F5">
        <w:rPr>
          <w:rFonts w:ascii="Times New Roman" w:hAnsi="Times New Roman"/>
        </w:rPr>
        <w:t xml:space="preserve"> 31</w:t>
      </w:r>
      <w:r w:rsidRPr="005F57F5">
        <w:rPr>
          <w:rFonts w:ascii="Times New Roman" w:hAnsi="Times New Roman"/>
          <w:b/>
        </w:rPr>
        <w:t>,</w:t>
      </w:r>
      <w:r w:rsidRPr="005F57F5">
        <w:rPr>
          <w:rFonts w:ascii="Times New Roman" w:hAnsi="Times New Roman"/>
        </w:rPr>
        <w:t xml:space="preserve"> 177-202.</w:t>
      </w:r>
      <w:bookmarkEnd w:id="34"/>
    </w:p>
    <w:p w:rsidR="004D04EF" w:rsidRPr="005F57F5" w:rsidRDefault="004D04EF" w:rsidP="00B57A53">
      <w:pPr>
        <w:pStyle w:val="EndNoteBibliography"/>
        <w:ind w:left="720" w:hanging="720"/>
        <w:rPr>
          <w:rFonts w:ascii="Times New Roman" w:hAnsi="Times New Roman"/>
        </w:rPr>
      </w:pPr>
      <w:bookmarkStart w:id="35" w:name="_ENREF_35"/>
    </w:p>
    <w:p w:rsidR="00B57A53" w:rsidRPr="005F57F5" w:rsidRDefault="00B57A53" w:rsidP="00B57A53">
      <w:pPr>
        <w:pStyle w:val="EndNoteBibliography"/>
        <w:ind w:left="720" w:hanging="720"/>
        <w:rPr>
          <w:rFonts w:ascii="Times New Roman" w:hAnsi="Times New Roman"/>
        </w:rPr>
      </w:pPr>
      <w:r w:rsidRPr="005F57F5">
        <w:rPr>
          <w:rFonts w:ascii="Times New Roman" w:hAnsi="Times New Roman"/>
        </w:rPr>
        <w:t xml:space="preserve">WINTERS, P., SALAZAR, L. &amp; MAFFIOLI, A. 2010. Designing Impact Evaluations for Agricultural Projects. </w:t>
      </w:r>
      <w:r w:rsidRPr="005F57F5">
        <w:rPr>
          <w:rFonts w:ascii="Times New Roman" w:hAnsi="Times New Roman"/>
          <w:i/>
        </w:rPr>
        <w:t>Impact Evaluation Guidelines.</w:t>
      </w:r>
      <w:r w:rsidRPr="005F57F5">
        <w:rPr>
          <w:rFonts w:ascii="Times New Roman" w:hAnsi="Times New Roman"/>
        </w:rPr>
        <w:t xml:space="preserve"> Washington D.C.: Interm-American Development Bank.</w:t>
      </w:r>
      <w:bookmarkEnd w:id="35"/>
    </w:p>
    <w:p w:rsidR="00B57A53" w:rsidRPr="005F57F5" w:rsidRDefault="00B57A53" w:rsidP="00B57A53">
      <w:pPr>
        <w:spacing w:after="0" w:line="360" w:lineRule="auto"/>
        <w:rPr>
          <w:rFonts w:ascii="Times New Roman" w:hAnsi="Times New Roman"/>
        </w:rPr>
      </w:pPr>
    </w:p>
    <w:p w:rsidR="00B57A53" w:rsidRPr="005F57F5" w:rsidRDefault="00B57A53" w:rsidP="00B57A53">
      <w:pPr>
        <w:rPr>
          <w:rFonts w:ascii="Times New Roman" w:hAnsi="Times New Roman"/>
        </w:rPr>
      </w:pPr>
    </w:p>
    <w:p w:rsidR="002C3973" w:rsidRPr="005F57F5" w:rsidRDefault="002C3973" w:rsidP="00C82F81">
      <w:pPr>
        <w:spacing w:after="0" w:line="360" w:lineRule="auto"/>
        <w:rPr>
          <w:rFonts w:ascii="Times New Roman" w:hAnsi="Times New Roman"/>
        </w:rPr>
      </w:pPr>
    </w:p>
    <w:sectPr w:rsidR="002C3973" w:rsidRPr="005F57F5" w:rsidSect="00C82F81">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5E7" w:rsidRDefault="003F35E7" w:rsidP="002C3973">
      <w:pPr>
        <w:spacing w:after="0" w:line="240" w:lineRule="auto"/>
      </w:pPr>
      <w:r>
        <w:separator/>
      </w:r>
    </w:p>
  </w:endnote>
  <w:endnote w:type="continuationSeparator" w:id="0">
    <w:p w:rsidR="003F35E7" w:rsidRDefault="003F35E7" w:rsidP="002C3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ヒラギノ角ゴ Pro W3">
    <w:altName w:val="MS PMincho"/>
    <w:panose1 w:val="00000000000000000000"/>
    <w:charset w:val="8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395020"/>
      <w:docPartObj>
        <w:docPartGallery w:val="Page Numbers (Bottom of Page)"/>
        <w:docPartUnique/>
      </w:docPartObj>
    </w:sdtPr>
    <w:sdtEndPr>
      <w:rPr>
        <w:rFonts w:ascii="Times New Roman" w:hAnsi="Times New Roman"/>
        <w:noProof/>
      </w:rPr>
    </w:sdtEndPr>
    <w:sdtContent>
      <w:p w:rsidR="00B94E54" w:rsidRPr="009B6DF7" w:rsidRDefault="00B94E54">
        <w:pPr>
          <w:pStyle w:val="Footer"/>
          <w:jc w:val="center"/>
          <w:rPr>
            <w:rFonts w:ascii="Times New Roman" w:hAnsi="Times New Roman"/>
          </w:rPr>
        </w:pPr>
        <w:r w:rsidRPr="009B6DF7">
          <w:rPr>
            <w:rFonts w:ascii="Times New Roman" w:hAnsi="Times New Roman"/>
          </w:rPr>
          <w:fldChar w:fldCharType="begin"/>
        </w:r>
        <w:r w:rsidRPr="009B6DF7">
          <w:rPr>
            <w:rFonts w:ascii="Times New Roman" w:hAnsi="Times New Roman"/>
          </w:rPr>
          <w:instrText xml:space="preserve"> PAGE   \* MERGEFORMAT </w:instrText>
        </w:r>
        <w:r w:rsidRPr="009B6DF7">
          <w:rPr>
            <w:rFonts w:ascii="Times New Roman" w:hAnsi="Times New Roman"/>
          </w:rPr>
          <w:fldChar w:fldCharType="separate"/>
        </w:r>
        <w:r w:rsidR="00C453D8">
          <w:rPr>
            <w:rFonts w:ascii="Times New Roman" w:hAnsi="Times New Roman"/>
            <w:noProof/>
          </w:rPr>
          <w:t>38</w:t>
        </w:r>
        <w:r w:rsidRPr="009B6DF7">
          <w:rPr>
            <w:rFonts w:ascii="Times New Roman" w:hAnsi="Times New Roman"/>
            <w:noProof/>
          </w:rPr>
          <w:fldChar w:fldCharType="end"/>
        </w:r>
      </w:p>
    </w:sdtContent>
  </w:sdt>
  <w:p w:rsidR="00B94E54" w:rsidRDefault="00B94E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5E7" w:rsidRDefault="003F35E7" w:rsidP="002C3973">
      <w:pPr>
        <w:spacing w:after="0" w:line="240" w:lineRule="auto"/>
      </w:pPr>
      <w:r>
        <w:separator/>
      </w:r>
    </w:p>
  </w:footnote>
  <w:footnote w:type="continuationSeparator" w:id="0">
    <w:p w:rsidR="003F35E7" w:rsidRDefault="003F35E7" w:rsidP="002C3973">
      <w:pPr>
        <w:spacing w:after="0" w:line="240" w:lineRule="auto"/>
      </w:pPr>
      <w:r>
        <w:continuationSeparator/>
      </w:r>
    </w:p>
  </w:footnote>
  <w:footnote w:id="1">
    <w:p w:rsidR="00B94E54" w:rsidRDefault="00B94E54" w:rsidP="00C82F81">
      <w:pPr>
        <w:pStyle w:val="FootnoteText"/>
      </w:pPr>
      <w:r>
        <w:rPr>
          <w:rStyle w:val="FootnoteReference"/>
        </w:rPr>
        <w:footnoteRef/>
      </w:r>
      <w:r>
        <w:t xml:space="preserve"> In Prodetur-Para, absent an estimate of the standard deviation of each sample of tourists, households and businesses, it was proposed that at minimum, 400 tourists, 400 households and </w:t>
      </w:r>
      <w:r>
        <w:rPr>
          <w:color w:val="000000"/>
        </w:rPr>
        <w:t xml:space="preserve">200 businesses be surveyed. </w:t>
      </w:r>
    </w:p>
    <w:p w:rsidR="00B94E54" w:rsidRDefault="00B94E54" w:rsidP="00C82F81">
      <w:pPr>
        <w:pStyle w:val="FootnoteText"/>
      </w:pPr>
    </w:p>
  </w:footnote>
  <w:footnote w:id="2">
    <w:p w:rsidR="00B94E54" w:rsidRPr="00D53CEE" w:rsidRDefault="00B94E54" w:rsidP="00C82F81">
      <w:pPr>
        <w:pStyle w:val="FootnoteText"/>
        <w:rPr>
          <w:lang w:val="es-ES"/>
        </w:rPr>
      </w:pPr>
      <w:r>
        <w:rPr>
          <w:rStyle w:val="FootnoteReference"/>
        </w:rPr>
        <w:footnoteRef/>
      </w:r>
      <w:r w:rsidRPr="00F44F31">
        <w:rPr>
          <w:lang w:val="es-ES_tradnl"/>
        </w:rPr>
        <w:t xml:space="preserve"> Ver Dixon et al. (2000) para la base que subyace</w:t>
      </w:r>
      <w:r>
        <w:rPr>
          <w:lang w:val="es-ES_tradnl"/>
        </w:rPr>
        <w:t xml:space="preserve"> la partición de v</w:t>
      </w:r>
      <w:r w:rsidRPr="00F44F31">
        <w:rPr>
          <w:lang w:val="es-ES_tradnl"/>
        </w:rPr>
        <w:t>ariables en</w:t>
      </w:r>
      <w:r>
        <w:rPr>
          <w:lang w:val="es-ES_tradnl"/>
        </w:rPr>
        <w:t xml:space="preserve"> la clausura histórica con un ejemplo estilizado</w:t>
      </w:r>
      <w:r w:rsidRPr="00F44F31">
        <w:rPr>
          <w:lang w:val="es-ES_tradnl"/>
        </w:rPr>
        <w:t xml:space="preserve"> del cálculo de uso intermedio por producto.</w:t>
      </w:r>
      <w:r>
        <w:rPr>
          <w:lang w:val="es-ES_tradnl"/>
        </w:rPr>
        <w:t xml:space="preserve"> </w:t>
      </w:r>
    </w:p>
  </w:footnote>
  <w:footnote w:id="3">
    <w:p w:rsidR="00B94E54" w:rsidRDefault="00B94E54" w:rsidP="00C82F81">
      <w:pPr>
        <w:pStyle w:val="FootnoteText"/>
      </w:pPr>
      <w:r>
        <w:rPr>
          <w:rStyle w:val="FootnoteReference"/>
        </w:rPr>
        <w:footnoteRef/>
      </w:r>
      <w:r>
        <w:t xml:space="preserve"> See: </w:t>
      </w:r>
      <w:hyperlink r:id="rId1" w:history="1">
        <w:r w:rsidRPr="00FB1C65">
          <w:rPr>
            <w:rStyle w:val="Hyperlink"/>
          </w:rPr>
          <w:t>http://portal.mte.gov.br/rais/</w:t>
        </w:r>
      </w:hyperlink>
      <w:r>
        <w:t xml:space="preserve"> </w:t>
      </w:r>
    </w:p>
  </w:footnote>
  <w:footnote w:id="4">
    <w:p w:rsidR="00B94E54" w:rsidRPr="00980E3F" w:rsidRDefault="00B94E54" w:rsidP="00C82F81">
      <w:pPr>
        <w:pStyle w:val="FootnoteText"/>
      </w:pPr>
      <w:r>
        <w:rPr>
          <w:rStyle w:val="FootnoteReference"/>
        </w:rPr>
        <w:footnoteRef/>
      </w:r>
      <w:r w:rsidRPr="00980E3F">
        <w:t xml:space="preserve"> </w:t>
      </w:r>
      <w:hyperlink r:id="rId2" w:history="1">
        <w:r w:rsidRPr="00980E3F">
          <w:rPr>
            <w:rStyle w:val="Hyperlink"/>
          </w:rPr>
          <w:t>http://www.mit.edu/~jhainm/synthpage.html</w:t>
        </w:r>
      </w:hyperlink>
      <w:r w:rsidRPr="00980E3F">
        <w:rPr>
          <w:color w:val="00000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533E"/>
    <w:multiLevelType w:val="hybridMultilevel"/>
    <w:tmpl w:val="43FEF4A0"/>
    <w:lvl w:ilvl="0" w:tplc="0FEC5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F81759"/>
    <w:multiLevelType w:val="hybridMultilevel"/>
    <w:tmpl w:val="76F8A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76B17"/>
    <w:multiLevelType w:val="hybridMultilevel"/>
    <w:tmpl w:val="B54CA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94E4F"/>
    <w:multiLevelType w:val="hybridMultilevel"/>
    <w:tmpl w:val="92A2ECC8"/>
    <w:lvl w:ilvl="0" w:tplc="B648978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CC30B3"/>
    <w:multiLevelType w:val="hybridMultilevel"/>
    <w:tmpl w:val="39FA8986"/>
    <w:lvl w:ilvl="0" w:tplc="38C41FF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FE719FA"/>
    <w:multiLevelType w:val="hybridMultilevel"/>
    <w:tmpl w:val="B3E25B66"/>
    <w:lvl w:ilvl="0" w:tplc="F15ACC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611F4"/>
    <w:multiLevelType w:val="multilevel"/>
    <w:tmpl w:val="780CD3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46C0457"/>
    <w:multiLevelType w:val="hybridMultilevel"/>
    <w:tmpl w:val="0AF80D2E"/>
    <w:lvl w:ilvl="0" w:tplc="44803E5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293C9B"/>
    <w:multiLevelType w:val="hybridMultilevel"/>
    <w:tmpl w:val="1E0C2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4B6B31"/>
    <w:multiLevelType w:val="hybridMultilevel"/>
    <w:tmpl w:val="7B54A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B26CFA"/>
    <w:multiLevelType w:val="hybridMultilevel"/>
    <w:tmpl w:val="1EF04EF4"/>
    <w:lvl w:ilvl="0" w:tplc="53E296F6">
      <w:start w:val="1"/>
      <w:numFmt w:val="decimal"/>
      <w:lvlText w:val="%1."/>
      <w:lvlJc w:val="left"/>
      <w:pPr>
        <w:ind w:left="1080" w:hanging="72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7F29E0"/>
    <w:multiLevelType w:val="hybridMultilevel"/>
    <w:tmpl w:val="71B0F8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1E4088"/>
    <w:multiLevelType w:val="hybridMultilevel"/>
    <w:tmpl w:val="7B54A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69747B"/>
    <w:multiLevelType w:val="hybridMultilevel"/>
    <w:tmpl w:val="537872C4"/>
    <w:lvl w:ilvl="0" w:tplc="21EA7D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F77067"/>
    <w:multiLevelType w:val="hybridMultilevel"/>
    <w:tmpl w:val="FE4AE4A0"/>
    <w:lvl w:ilvl="0" w:tplc="58589008">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6044D8"/>
    <w:multiLevelType w:val="hybridMultilevel"/>
    <w:tmpl w:val="B9F22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2B5484"/>
    <w:multiLevelType w:val="hybridMultilevel"/>
    <w:tmpl w:val="D9AE928E"/>
    <w:lvl w:ilvl="0" w:tplc="75825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9923C8"/>
    <w:multiLevelType w:val="multilevel"/>
    <w:tmpl w:val="8386323A"/>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63A904A5"/>
    <w:multiLevelType w:val="hybridMultilevel"/>
    <w:tmpl w:val="803605F6"/>
    <w:lvl w:ilvl="0" w:tplc="EE609AF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4F4FE8"/>
    <w:multiLevelType w:val="hybridMultilevel"/>
    <w:tmpl w:val="F4E6C338"/>
    <w:lvl w:ilvl="0" w:tplc="2D7A03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6">
    <w:nsid w:val="72601C8A"/>
    <w:multiLevelType w:val="hybridMultilevel"/>
    <w:tmpl w:val="B5B2072C"/>
    <w:lvl w:ilvl="0" w:tplc="253496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E67D00"/>
    <w:multiLevelType w:val="hybridMultilevel"/>
    <w:tmpl w:val="869690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A70092"/>
    <w:multiLevelType w:val="hybridMultilevel"/>
    <w:tmpl w:val="1846949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93A76F4"/>
    <w:multiLevelType w:val="hybridMultilevel"/>
    <w:tmpl w:val="F3164C04"/>
    <w:lvl w:ilvl="0" w:tplc="3CB2F7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3A45BB"/>
    <w:multiLevelType w:val="hybridMultilevel"/>
    <w:tmpl w:val="75EA0E6E"/>
    <w:lvl w:ilvl="0" w:tplc="703C21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FA1010"/>
    <w:multiLevelType w:val="hybridMultilevel"/>
    <w:tmpl w:val="F5AA3650"/>
    <w:lvl w:ilvl="0" w:tplc="A4665764">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2">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0"/>
  </w:num>
  <w:num w:numId="2">
    <w:abstractNumId w:val="24"/>
  </w:num>
  <w:num w:numId="3">
    <w:abstractNumId w:val="13"/>
  </w:num>
  <w:num w:numId="4">
    <w:abstractNumId w:val="7"/>
  </w:num>
  <w:num w:numId="5">
    <w:abstractNumId w:val="6"/>
  </w:num>
  <w:num w:numId="6">
    <w:abstractNumId w:val="25"/>
  </w:num>
  <w:num w:numId="7">
    <w:abstractNumId w:val="4"/>
  </w:num>
  <w:num w:numId="8">
    <w:abstractNumId w:val="32"/>
  </w:num>
  <w:num w:numId="9">
    <w:abstractNumId w:val="1"/>
  </w:num>
  <w:num w:numId="10">
    <w:abstractNumId w:val="19"/>
  </w:num>
  <w:num w:numId="11">
    <w:abstractNumId w:val="17"/>
  </w:num>
  <w:num w:numId="12">
    <w:abstractNumId w:val="22"/>
  </w:num>
  <w:num w:numId="13">
    <w:abstractNumId w:val="10"/>
  </w:num>
  <w:num w:numId="14">
    <w:abstractNumId w:val="28"/>
  </w:num>
  <w:num w:numId="15">
    <w:abstractNumId w:val="23"/>
  </w:num>
  <w:num w:numId="16">
    <w:abstractNumId w:val="29"/>
  </w:num>
  <w:num w:numId="17">
    <w:abstractNumId w:val="15"/>
  </w:num>
  <w:num w:numId="18">
    <w:abstractNumId w:val="8"/>
  </w:num>
  <w:num w:numId="19">
    <w:abstractNumId w:val="14"/>
  </w:num>
  <w:num w:numId="20">
    <w:abstractNumId w:val="2"/>
  </w:num>
  <w:num w:numId="21">
    <w:abstractNumId w:val="12"/>
  </w:num>
  <w:num w:numId="22">
    <w:abstractNumId w:val="21"/>
  </w:num>
  <w:num w:numId="23">
    <w:abstractNumId w:val="26"/>
  </w:num>
  <w:num w:numId="24">
    <w:abstractNumId w:val="18"/>
  </w:num>
  <w:num w:numId="25">
    <w:abstractNumId w:val="3"/>
  </w:num>
  <w:num w:numId="26">
    <w:abstractNumId w:val="31"/>
  </w:num>
  <w:num w:numId="27">
    <w:abstractNumId w:val="16"/>
  </w:num>
  <w:num w:numId="28">
    <w:abstractNumId w:val="11"/>
  </w:num>
  <w:num w:numId="29">
    <w:abstractNumId w:val="0"/>
  </w:num>
  <w:num w:numId="30">
    <w:abstractNumId w:val="9"/>
  </w:num>
  <w:num w:numId="31">
    <w:abstractNumId w:val="30"/>
  </w:num>
  <w:num w:numId="32">
    <w:abstractNumId w:val="2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C3973"/>
    <w:rsid w:val="00045E69"/>
    <w:rsid w:val="00080760"/>
    <w:rsid w:val="000C5E41"/>
    <w:rsid w:val="000D2AAB"/>
    <w:rsid w:val="001144DD"/>
    <w:rsid w:val="001B42B1"/>
    <w:rsid w:val="001C210D"/>
    <w:rsid w:val="001C54C1"/>
    <w:rsid w:val="001E6D01"/>
    <w:rsid w:val="00292724"/>
    <w:rsid w:val="002B00C6"/>
    <w:rsid w:val="002C3973"/>
    <w:rsid w:val="003056AD"/>
    <w:rsid w:val="00344190"/>
    <w:rsid w:val="003450DF"/>
    <w:rsid w:val="003639D2"/>
    <w:rsid w:val="003731F1"/>
    <w:rsid w:val="003B2306"/>
    <w:rsid w:val="003F35E7"/>
    <w:rsid w:val="004077FB"/>
    <w:rsid w:val="0041474F"/>
    <w:rsid w:val="00470A17"/>
    <w:rsid w:val="00481BDF"/>
    <w:rsid w:val="004D04EF"/>
    <w:rsid w:val="004F03D7"/>
    <w:rsid w:val="005573E0"/>
    <w:rsid w:val="00596655"/>
    <w:rsid w:val="005B6DE0"/>
    <w:rsid w:val="005F57F5"/>
    <w:rsid w:val="0060270F"/>
    <w:rsid w:val="00642550"/>
    <w:rsid w:val="006573FE"/>
    <w:rsid w:val="006A5FDD"/>
    <w:rsid w:val="006E3844"/>
    <w:rsid w:val="0070792F"/>
    <w:rsid w:val="0073280F"/>
    <w:rsid w:val="00742160"/>
    <w:rsid w:val="00751859"/>
    <w:rsid w:val="00762894"/>
    <w:rsid w:val="007713D4"/>
    <w:rsid w:val="00793AEE"/>
    <w:rsid w:val="007A2637"/>
    <w:rsid w:val="007A6D4A"/>
    <w:rsid w:val="007F1F2C"/>
    <w:rsid w:val="00817F1D"/>
    <w:rsid w:val="008B09B3"/>
    <w:rsid w:val="008B15CA"/>
    <w:rsid w:val="008B7E24"/>
    <w:rsid w:val="008E0754"/>
    <w:rsid w:val="0093275E"/>
    <w:rsid w:val="00976D8C"/>
    <w:rsid w:val="00983688"/>
    <w:rsid w:val="00984598"/>
    <w:rsid w:val="009957C8"/>
    <w:rsid w:val="009E1BC5"/>
    <w:rsid w:val="00A306D1"/>
    <w:rsid w:val="00A33A1A"/>
    <w:rsid w:val="00A447FB"/>
    <w:rsid w:val="00A56476"/>
    <w:rsid w:val="00AA1B25"/>
    <w:rsid w:val="00AB314A"/>
    <w:rsid w:val="00B244F6"/>
    <w:rsid w:val="00B30529"/>
    <w:rsid w:val="00B53DAE"/>
    <w:rsid w:val="00B57A53"/>
    <w:rsid w:val="00B94E54"/>
    <w:rsid w:val="00BF640F"/>
    <w:rsid w:val="00C22D5B"/>
    <w:rsid w:val="00C235CC"/>
    <w:rsid w:val="00C453D8"/>
    <w:rsid w:val="00C82F81"/>
    <w:rsid w:val="00CD16A0"/>
    <w:rsid w:val="00CE45A3"/>
    <w:rsid w:val="00D038A6"/>
    <w:rsid w:val="00E55D95"/>
    <w:rsid w:val="00E950F6"/>
    <w:rsid w:val="00EA03D6"/>
    <w:rsid w:val="00F031B9"/>
    <w:rsid w:val="00F42C8A"/>
    <w:rsid w:val="00F6068F"/>
    <w:rsid w:val="00F85829"/>
    <w:rsid w:val="00F9576F"/>
    <w:rsid w:val="00FA6DA8"/>
    <w:rsid w:val="00FD7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973"/>
    <w:rPr>
      <w:rFonts w:ascii="Calibri" w:eastAsia="Calibri" w:hAnsi="Calibri" w:cs="Times New Roman"/>
    </w:rPr>
  </w:style>
  <w:style w:type="paragraph" w:styleId="Heading1">
    <w:name w:val="heading 1"/>
    <w:aliases w:val="Heading 1.I"/>
    <w:next w:val="Normal"/>
    <w:link w:val="Heading1Char"/>
    <w:qFormat/>
    <w:rsid w:val="002C3973"/>
    <w:pPr>
      <w:keepNext/>
      <w:tabs>
        <w:tab w:val="num" w:pos="360"/>
      </w:tabs>
      <w:spacing w:before="240" w:after="240" w:line="240" w:lineRule="auto"/>
      <w:ind w:left="288" w:hanging="288"/>
      <w:jc w:val="center"/>
      <w:outlineLvl w:val="0"/>
    </w:pPr>
    <w:rPr>
      <w:rFonts w:ascii="Times New Roman Bold" w:eastAsia="Times New Roman" w:hAnsi="Times New Roman Bold" w:cs="Times New Roman"/>
      <w:b/>
      <w:smallCaps/>
      <w:noProof/>
      <w:sz w:val="28"/>
      <w:szCs w:val="20"/>
    </w:rPr>
  </w:style>
  <w:style w:type="paragraph" w:styleId="Heading2">
    <w:name w:val="heading 2"/>
    <w:basedOn w:val="Normal"/>
    <w:next w:val="Normal"/>
    <w:link w:val="Heading2Char"/>
    <w:qFormat/>
    <w:rsid w:val="002C3973"/>
    <w:pPr>
      <w:keepNext/>
      <w:numPr>
        <w:ilvl w:val="1"/>
        <w:numId w:val="6"/>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2C3973"/>
    <w:pPr>
      <w:keepNext/>
      <w:numPr>
        <w:ilvl w:val="2"/>
        <w:numId w:val="6"/>
      </w:numPr>
      <w:spacing w:before="240" w:after="60"/>
      <w:outlineLvl w:val="2"/>
    </w:pPr>
    <w:rPr>
      <w:rFonts w:ascii="Cambria" w:eastAsia="Times New Roman" w:hAnsi="Cambria"/>
      <w:b/>
      <w:bCs/>
      <w:sz w:val="26"/>
      <w:szCs w:val="26"/>
    </w:rPr>
  </w:style>
  <w:style w:type="paragraph" w:styleId="Heading4">
    <w:name w:val="heading 4"/>
    <w:aliases w:val="Heading 4.a"/>
    <w:basedOn w:val="Normal"/>
    <w:next w:val="Normal"/>
    <w:link w:val="Heading4Char"/>
    <w:qFormat/>
    <w:rsid w:val="002C3973"/>
    <w:pPr>
      <w:keepNext/>
      <w:numPr>
        <w:ilvl w:val="3"/>
        <w:numId w:val="6"/>
      </w:numPr>
      <w:spacing w:before="240" w:after="60"/>
      <w:outlineLvl w:val="3"/>
    </w:pPr>
    <w:rPr>
      <w:rFonts w:eastAsia="Times New Roman"/>
      <w:b/>
      <w:bCs/>
      <w:sz w:val="28"/>
      <w:szCs w:val="28"/>
    </w:rPr>
  </w:style>
  <w:style w:type="paragraph" w:styleId="Heading5">
    <w:name w:val="heading 5"/>
    <w:aliases w:val="Heading 5.(i)"/>
    <w:basedOn w:val="Normal"/>
    <w:next w:val="Normal"/>
    <w:link w:val="Heading5Char"/>
    <w:qFormat/>
    <w:rsid w:val="002C3973"/>
    <w:pPr>
      <w:numPr>
        <w:ilvl w:val="4"/>
        <w:numId w:val="6"/>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2C3973"/>
    <w:pPr>
      <w:numPr>
        <w:ilvl w:val="5"/>
        <w:numId w:val="6"/>
      </w:numPr>
      <w:spacing w:before="240" w:after="60"/>
      <w:outlineLvl w:val="5"/>
    </w:pPr>
    <w:rPr>
      <w:rFonts w:eastAsia="Times New Roman"/>
      <w:b/>
      <w:bCs/>
    </w:rPr>
  </w:style>
  <w:style w:type="paragraph" w:styleId="Heading7">
    <w:name w:val="heading 7"/>
    <w:basedOn w:val="Normal"/>
    <w:next w:val="Normal"/>
    <w:link w:val="Heading7Char"/>
    <w:qFormat/>
    <w:rsid w:val="002C3973"/>
    <w:pPr>
      <w:numPr>
        <w:ilvl w:val="6"/>
        <w:numId w:val="6"/>
      </w:numPr>
      <w:spacing w:before="240" w:after="60"/>
      <w:outlineLvl w:val="6"/>
    </w:pPr>
    <w:rPr>
      <w:rFonts w:eastAsia="Times New Roman"/>
      <w:sz w:val="24"/>
      <w:szCs w:val="24"/>
    </w:rPr>
  </w:style>
  <w:style w:type="paragraph" w:styleId="Heading8">
    <w:name w:val="heading 8"/>
    <w:basedOn w:val="Normal"/>
    <w:next w:val="Normal"/>
    <w:link w:val="Heading8Char"/>
    <w:qFormat/>
    <w:rsid w:val="002C3973"/>
    <w:pPr>
      <w:numPr>
        <w:ilvl w:val="7"/>
        <w:numId w:val="6"/>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2C3973"/>
    <w:pPr>
      <w:numPr>
        <w:ilvl w:val="8"/>
        <w:numId w:val="6"/>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2C3973"/>
    <w:rPr>
      <w:rFonts w:ascii="Times New Roman Bold" w:eastAsia="Times New Roman" w:hAnsi="Times New Roman Bold" w:cs="Times New Roman"/>
      <w:b/>
      <w:smallCaps/>
      <w:noProof/>
      <w:sz w:val="28"/>
      <w:szCs w:val="20"/>
    </w:rPr>
  </w:style>
  <w:style w:type="character" w:customStyle="1" w:styleId="Heading2Char">
    <w:name w:val="Heading 2 Char"/>
    <w:link w:val="Heading2"/>
    <w:rsid w:val="002C3973"/>
    <w:rPr>
      <w:rFonts w:ascii="Cambria" w:eastAsia="Times New Roman" w:hAnsi="Cambria" w:cs="Times New Roman"/>
      <w:b/>
      <w:bCs/>
      <w:i/>
      <w:iCs/>
      <w:sz w:val="28"/>
      <w:szCs w:val="28"/>
    </w:rPr>
  </w:style>
  <w:style w:type="character" w:customStyle="1" w:styleId="Heading3Char">
    <w:name w:val="Heading 3 Char"/>
    <w:link w:val="Heading3"/>
    <w:rsid w:val="002C3973"/>
    <w:rPr>
      <w:rFonts w:ascii="Cambria" w:eastAsia="Times New Roman" w:hAnsi="Cambria" w:cs="Times New Roman"/>
      <w:b/>
      <w:bCs/>
      <w:sz w:val="26"/>
      <w:szCs w:val="26"/>
    </w:rPr>
  </w:style>
  <w:style w:type="character" w:customStyle="1" w:styleId="Heading4Char">
    <w:name w:val="Heading 4 Char"/>
    <w:aliases w:val="Heading 4.a Char"/>
    <w:link w:val="Heading4"/>
    <w:rsid w:val="002C3973"/>
    <w:rPr>
      <w:rFonts w:ascii="Calibri" w:eastAsia="Times New Roman" w:hAnsi="Calibri" w:cs="Times New Roman"/>
      <w:b/>
      <w:bCs/>
      <w:sz w:val="28"/>
      <w:szCs w:val="28"/>
    </w:rPr>
  </w:style>
  <w:style w:type="character" w:customStyle="1" w:styleId="Heading5Char">
    <w:name w:val="Heading 5 Char"/>
    <w:aliases w:val="Heading 5.(i) Char"/>
    <w:link w:val="Heading5"/>
    <w:rsid w:val="002C3973"/>
    <w:rPr>
      <w:rFonts w:ascii="Calibri" w:eastAsia="Times New Roman" w:hAnsi="Calibri" w:cs="Times New Roman"/>
      <w:b/>
      <w:bCs/>
      <w:i/>
      <w:iCs/>
      <w:sz w:val="26"/>
      <w:szCs w:val="26"/>
    </w:rPr>
  </w:style>
  <w:style w:type="character" w:customStyle="1" w:styleId="Heading6Char">
    <w:name w:val="Heading 6 Char"/>
    <w:link w:val="Heading6"/>
    <w:rsid w:val="002C3973"/>
    <w:rPr>
      <w:rFonts w:ascii="Calibri" w:eastAsia="Times New Roman" w:hAnsi="Calibri" w:cs="Times New Roman"/>
      <w:b/>
      <w:bCs/>
    </w:rPr>
  </w:style>
  <w:style w:type="character" w:customStyle="1" w:styleId="Heading7Char">
    <w:name w:val="Heading 7 Char"/>
    <w:link w:val="Heading7"/>
    <w:rsid w:val="002C3973"/>
    <w:rPr>
      <w:rFonts w:ascii="Calibri" w:eastAsia="Times New Roman" w:hAnsi="Calibri" w:cs="Times New Roman"/>
      <w:sz w:val="24"/>
      <w:szCs w:val="24"/>
    </w:rPr>
  </w:style>
  <w:style w:type="character" w:customStyle="1" w:styleId="Heading8Char">
    <w:name w:val="Heading 8 Char"/>
    <w:link w:val="Heading8"/>
    <w:rsid w:val="002C3973"/>
    <w:rPr>
      <w:rFonts w:ascii="Calibri" w:eastAsia="Times New Roman" w:hAnsi="Calibri" w:cs="Times New Roman"/>
      <w:i/>
      <w:iCs/>
      <w:sz w:val="24"/>
      <w:szCs w:val="24"/>
    </w:rPr>
  </w:style>
  <w:style w:type="character" w:customStyle="1" w:styleId="Heading9Char">
    <w:name w:val="Heading 9 Char"/>
    <w:link w:val="Heading9"/>
    <w:rsid w:val="002C3973"/>
    <w:rPr>
      <w:rFonts w:ascii="Cambria" w:eastAsia="Times New Roman" w:hAnsi="Cambria" w:cs="Times New Roman"/>
    </w:rPr>
  </w:style>
  <w:style w:type="paragraph" w:customStyle="1" w:styleId="ColorfulList-Accent11">
    <w:name w:val="Colorful List - Accent 11"/>
    <w:basedOn w:val="Normal"/>
    <w:link w:val="ColorfulList-Accent1Char"/>
    <w:uiPriority w:val="34"/>
    <w:qFormat/>
    <w:rsid w:val="002C3973"/>
    <w:pPr>
      <w:ind w:left="720"/>
      <w:contextualSpacing/>
    </w:pPr>
  </w:style>
  <w:style w:type="table" w:styleId="TableGrid">
    <w:name w:val="Table Grid"/>
    <w:basedOn w:val="TableNormal"/>
    <w:uiPriority w:val="59"/>
    <w:rsid w:val="002C397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2C3973"/>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2C3973"/>
    <w:rPr>
      <w:rFonts w:ascii="Tahoma" w:eastAsia="Times New Roman" w:hAnsi="Tahoma" w:cs="Tahoma"/>
      <w:sz w:val="16"/>
      <w:szCs w:val="16"/>
    </w:rPr>
  </w:style>
  <w:style w:type="paragraph" w:styleId="FootnoteText">
    <w:name w:val="footnote text"/>
    <w:basedOn w:val="Normal"/>
    <w:link w:val="FootnoteTextChar"/>
    <w:uiPriority w:val="99"/>
    <w:unhideWhenUsed/>
    <w:rsid w:val="002C3973"/>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link w:val="FootnoteText"/>
    <w:uiPriority w:val="99"/>
    <w:rsid w:val="002C3973"/>
    <w:rPr>
      <w:rFonts w:ascii="Times New Roman" w:eastAsia="Calibri" w:hAnsi="Times New Roman" w:cs="Times New Roman"/>
      <w:spacing w:val="-3"/>
      <w:sz w:val="20"/>
      <w:szCs w:val="24"/>
    </w:rPr>
  </w:style>
  <w:style w:type="character" w:styleId="FootnoteReference">
    <w:name w:val="footnote reference"/>
    <w:uiPriority w:val="99"/>
    <w:semiHidden/>
    <w:unhideWhenUsed/>
    <w:rsid w:val="002C3973"/>
    <w:rPr>
      <w:vertAlign w:val="superscript"/>
    </w:rPr>
  </w:style>
  <w:style w:type="paragraph" w:styleId="Header">
    <w:name w:val="header"/>
    <w:basedOn w:val="Normal"/>
    <w:link w:val="HeaderChar"/>
    <w:uiPriority w:val="99"/>
    <w:unhideWhenUsed/>
    <w:rsid w:val="002C3973"/>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3973"/>
    <w:rPr>
      <w:rFonts w:ascii="Calibri" w:eastAsia="Calibri" w:hAnsi="Calibri" w:cs="Times New Roman"/>
    </w:rPr>
  </w:style>
  <w:style w:type="paragraph" w:styleId="Footer">
    <w:name w:val="footer"/>
    <w:basedOn w:val="Normal"/>
    <w:link w:val="FooterChar"/>
    <w:uiPriority w:val="99"/>
    <w:unhideWhenUsed/>
    <w:rsid w:val="002C3973"/>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3973"/>
    <w:rPr>
      <w:rFonts w:ascii="Calibri" w:eastAsia="Calibri" w:hAnsi="Calibri" w:cs="Times New Roman"/>
    </w:rPr>
  </w:style>
  <w:style w:type="paragraph" w:styleId="Title">
    <w:name w:val="Title"/>
    <w:basedOn w:val="Normal"/>
    <w:link w:val="TitleChar"/>
    <w:qFormat/>
    <w:rsid w:val="002C3973"/>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2C3973"/>
    <w:rPr>
      <w:rFonts w:ascii="Times New Roman" w:eastAsia="Times New Roman" w:hAnsi="Times New Roman" w:cs="Times New Roman"/>
      <w:sz w:val="24"/>
      <w:szCs w:val="20"/>
    </w:rPr>
  </w:style>
  <w:style w:type="paragraph" w:customStyle="1" w:styleId="Newpage">
    <w:name w:val="Newpage"/>
    <w:basedOn w:val="Normal"/>
    <w:rsid w:val="002C3973"/>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2C3973"/>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2C3973"/>
    <w:rPr>
      <w:rFonts w:ascii="Times New Roman" w:eastAsia="Times New Roman" w:hAnsi="Times New Roman" w:cs="Times New Roman"/>
      <w:sz w:val="24"/>
      <w:szCs w:val="20"/>
    </w:rPr>
  </w:style>
  <w:style w:type="character" w:customStyle="1" w:styleId="gt-icon-text1">
    <w:name w:val="gt-icon-text1"/>
    <w:basedOn w:val="DefaultParagraphFont"/>
    <w:rsid w:val="002C3973"/>
  </w:style>
  <w:style w:type="paragraph" w:styleId="z-TopofForm">
    <w:name w:val="HTML Top of Form"/>
    <w:basedOn w:val="Normal"/>
    <w:next w:val="Normal"/>
    <w:link w:val="z-TopofFormChar"/>
    <w:hidden/>
    <w:uiPriority w:val="99"/>
    <w:unhideWhenUsed/>
    <w:rsid w:val="002C397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2C397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2C397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2C3973"/>
    <w:rPr>
      <w:rFonts w:ascii="Arial" w:eastAsia="Times New Roman" w:hAnsi="Arial" w:cs="Arial"/>
      <w:vanish/>
      <w:sz w:val="16"/>
      <w:szCs w:val="16"/>
    </w:rPr>
  </w:style>
  <w:style w:type="character" w:styleId="CommentReference">
    <w:name w:val="annotation reference"/>
    <w:rsid w:val="002C3973"/>
    <w:rPr>
      <w:sz w:val="16"/>
      <w:szCs w:val="16"/>
    </w:rPr>
  </w:style>
  <w:style w:type="paragraph" w:styleId="CommentText">
    <w:name w:val="annotation text"/>
    <w:basedOn w:val="Normal"/>
    <w:link w:val="CommentTextChar"/>
    <w:rsid w:val="002C3973"/>
    <w:rPr>
      <w:sz w:val="20"/>
      <w:szCs w:val="20"/>
    </w:rPr>
  </w:style>
  <w:style w:type="character" w:customStyle="1" w:styleId="CommentTextChar">
    <w:name w:val="Comment Text Char"/>
    <w:basedOn w:val="DefaultParagraphFont"/>
    <w:link w:val="CommentText"/>
    <w:rsid w:val="002C3973"/>
    <w:rPr>
      <w:rFonts w:ascii="Calibri" w:eastAsia="Calibri" w:hAnsi="Calibri" w:cs="Times New Roman"/>
      <w:sz w:val="20"/>
      <w:szCs w:val="20"/>
    </w:rPr>
  </w:style>
  <w:style w:type="paragraph" w:styleId="CommentSubject">
    <w:name w:val="annotation subject"/>
    <w:basedOn w:val="CommentText"/>
    <w:next w:val="CommentText"/>
    <w:link w:val="CommentSubjectChar"/>
    <w:rsid w:val="002C3973"/>
    <w:rPr>
      <w:b/>
      <w:bCs/>
    </w:rPr>
  </w:style>
  <w:style w:type="character" w:customStyle="1" w:styleId="CommentSubjectChar">
    <w:name w:val="Comment Subject Char"/>
    <w:link w:val="CommentSubject"/>
    <w:rsid w:val="002C3973"/>
    <w:rPr>
      <w:rFonts w:ascii="Calibri" w:eastAsia="Calibri" w:hAnsi="Calibri" w:cs="Times New Roman"/>
      <w:b/>
      <w:bCs/>
      <w:sz w:val="20"/>
      <w:szCs w:val="20"/>
    </w:rPr>
  </w:style>
  <w:style w:type="paragraph" w:customStyle="1" w:styleId="Chapter">
    <w:name w:val="Chapter"/>
    <w:basedOn w:val="Normal"/>
    <w:next w:val="Normal"/>
    <w:link w:val="ChapterChar"/>
    <w:rsid w:val="002C3973"/>
    <w:pPr>
      <w:keepNext/>
      <w:numPr>
        <w:numId w:val="6"/>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2C3973"/>
    <w:rPr>
      <w:rFonts w:ascii="Calibri" w:eastAsia="Calibri" w:hAnsi="Calibri" w:cs="Times New Roman"/>
    </w:rPr>
  </w:style>
  <w:style w:type="character" w:customStyle="1" w:styleId="ChapterChar">
    <w:name w:val="Chapter Char"/>
    <w:link w:val="Chapter"/>
    <w:rsid w:val="002C3973"/>
    <w:rPr>
      <w:rFonts w:ascii="Times New Roman" w:eastAsia="Calibri" w:hAnsi="Times New Roman" w:cs="Times New Roman"/>
      <w:b/>
      <w:smallCaps/>
      <w:sz w:val="24"/>
    </w:rPr>
  </w:style>
  <w:style w:type="paragraph" w:customStyle="1" w:styleId="FirstHeading">
    <w:name w:val="FirstHeading"/>
    <w:basedOn w:val="Normal"/>
    <w:next w:val="Normal"/>
    <w:link w:val="FirstHeadingChar"/>
    <w:rsid w:val="002C3973"/>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2C3973"/>
    <w:rPr>
      <w:rFonts w:ascii="Times New Roman" w:eastAsia="Calibri" w:hAnsi="Times New Roman" w:cs="Times New Roman"/>
      <w:b/>
      <w:sz w:val="24"/>
    </w:rPr>
  </w:style>
  <w:style w:type="paragraph" w:customStyle="1" w:styleId="SecHeading">
    <w:name w:val="SecHeading"/>
    <w:basedOn w:val="Normal"/>
    <w:next w:val="Paragraph"/>
    <w:link w:val="SecHeadingChar"/>
    <w:rsid w:val="002C3973"/>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2C3973"/>
    <w:rPr>
      <w:rFonts w:ascii="Times New Roman" w:eastAsia="Calibri" w:hAnsi="Times New Roman" w:cs="Times New Roman"/>
      <w:b/>
      <w:sz w:val="24"/>
    </w:rPr>
  </w:style>
  <w:style w:type="paragraph" w:customStyle="1" w:styleId="SubHeading1">
    <w:name w:val="SubHeading1"/>
    <w:basedOn w:val="SecHeading"/>
    <w:link w:val="SubHeading1Char"/>
    <w:rsid w:val="002C3973"/>
    <w:pPr>
      <w:tabs>
        <w:tab w:val="clear" w:pos="1296"/>
        <w:tab w:val="num" w:pos="1872"/>
      </w:tabs>
      <w:ind w:left="1872"/>
    </w:pPr>
  </w:style>
  <w:style w:type="character" w:customStyle="1" w:styleId="SubHeading1Char">
    <w:name w:val="SubHeading1 Char"/>
    <w:link w:val="SubHeading1"/>
    <w:rsid w:val="002C3973"/>
    <w:rPr>
      <w:rFonts w:ascii="Times New Roman" w:eastAsia="Calibri" w:hAnsi="Times New Roman" w:cs="Times New Roman"/>
      <w:b/>
      <w:sz w:val="24"/>
    </w:rPr>
  </w:style>
  <w:style w:type="paragraph" w:customStyle="1" w:styleId="Subheading2">
    <w:name w:val="Subheading2"/>
    <w:basedOn w:val="SecHeading"/>
    <w:link w:val="Subheading2Char"/>
    <w:rsid w:val="002C3973"/>
    <w:pPr>
      <w:tabs>
        <w:tab w:val="clear" w:pos="1296"/>
        <w:tab w:val="num" w:pos="2376"/>
      </w:tabs>
      <w:ind w:left="2376" w:hanging="288"/>
    </w:pPr>
  </w:style>
  <w:style w:type="character" w:customStyle="1" w:styleId="Subheading2Char">
    <w:name w:val="Subheading2 Char"/>
    <w:link w:val="Subheading2"/>
    <w:rsid w:val="002C3973"/>
    <w:rPr>
      <w:rFonts w:ascii="Times New Roman" w:eastAsia="Calibri" w:hAnsi="Times New Roman" w:cs="Times New Roman"/>
      <w:b/>
      <w:sz w:val="24"/>
    </w:rPr>
  </w:style>
  <w:style w:type="paragraph" w:customStyle="1" w:styleId="Paragraph">
    <w:name w:val="Paragraph"/>
    <w:aliases w:val="paragraph,p,PARAGRAPH,PG,pa,at"/>
    <w:basedOn w:val="BodyTextIndent"/>
    <w:link w:val="ParagraphChar"/>
    <w:rsid w:val="002C3973"/>
    <w:pPr>
      <w:tabs>
        <w:tab w:val="num" w:pos="720"/>
      </w:tabs>
      <w:spacing w:before="120"/>
      <w:ind w:hanging="720"/>
      <w:jc w:val="both"/>
      <w:outlineLvl w:val="1"/>
    </w:pPr>
  </w:style>
  <w:style w:type="character" w:customStyle="1" w:styleId="ParagraphChar">
    <w:name w:val="Paragraph Char"/>
    <w:link w:val="Paragraph"/>
    <w:rsid w:val="002C3973"/>
    <w:rPr>
      <w:rFonts w:ascii="Times New Roman" w:eastAsia="Calibri" w:hAnsi="Times New Roman" w:cs="Times New Roman"/>
      <w:sz w:val="24"/>
    </w:rPr>
  </w:style>
  <w:style w:type="paragraph" w:customStyle="1" w:styleId="subpar">
    <w:name w:val="subpar"/>
    <w:basedOn w:val="BodyTextIndent3"/>
    <w:link w:val="subparChar"/>
    <w:rsid w:val="002C3973"/>
    <w:pPr>
      <w:tabs>
        <w:tab w:val="num" w:pos="1152"/>
      </w:tabs>
      <w:spacing w:before="120"/>
      <w:ind w:left="1152" w:hanging="432"/>
      <w:jc w:val="both"/>
      <w:outlineLvl w:val="2"/>
    </w:pPr>
  </w:style>
  <w:style w:type="character" w:customStyle="1" w:styleId="subparChar">
    <w:name w:val="subpar Char"/>
    <w:link w:val="subpar"/>
    <w:rsid w:val="002C3973"/>
    <w:rPr>
      <w:rFonts w:ascii="Times New Roman" w:eastAsia="Calibri" w:hAnsi="Times New Roman" w:cs="Times New Roman"/>
      <w:sz w:val="24"/>
      <w:szCs w:val="16"/>
    </w:rPr>
  </w:style>
  <w:style w:type="paragraph" w:customStyle="1" w:styleId="SubSubPar">
    <w:name w:val="SubSubPar"/>
    <w:basedOn w:val="subpar"/>
    <w:link w:val="SubSubParChar"/>
    <w:rsid w:val="002C3973"/>
    <w:pPr>
      <w:tabs>
        <w:tab w:val="left" w:pos="0"/>
        <w:tab w:val="num" w:pos="1296"/>
      </w:tabs>
      <w:ind w:left="1296" w:hanging="288"/>
    </w:pPr>
  </w:style>
  <w:style w:type="character" w:customStyle="1" w:styleId="SubSubParChar">
    <w:name w:val="SubSubPar Char"/>
    <w:link w:val="SubSubPar"/>
    <w:rsid w:val="002C3973"/>
    <w:rPr>
      <w:rFonts w:ascii="Times New Roman" w:eastAsia="Calibri" w:hAnsi="Times New Roman" w:cs="Times New Roman"/>
      <w:sz w:val="24"/>
      <w:szCs w:val="16"/>
    </w:rPr>
  </w:style>
  <w:style w:type="paragraph" w:customStyle="1" w:styleId="Regtable">
    <w:name w:val="Regtable"/>
    <w:basedOn w:val="Normal"/>
    <w:link w:val="RegtableChar"/>
    <w:rsid w:val="002C3973"/>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2C3973"/>
    <w:rPr>
      <w:rFonts w:ascii="Times New Roman" w:eastAsia="Calibri" w:hAnsi="Times New Roman" w:cs="Times New Roman"/>
      <w:sz w:val="20"/>
    </w:rPr>
  </w:style>
  <w:style w:type="paragraph" w:customStyle="1" w:styleId="TableTitle">
    <w:name w:val="TableTitle"/>
    <w:basedOn w:val="ColorfulList-Accent11"/>
    <w:link w:val="TableTitleChar"/>
    <w:rsid w:val="002C3973"/>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2C3973"/>
    <w:rPr>
      <w:rFonts w:ascii="Times New Roman Bold" w:eastAsia="Calibri" w:hAnsi="Times New Roman Bold" w:cs="Times New Roman"/>
      <w:b/>
      <w:spacing w:val="-3"/>
      <w:sz w:val="20"/>
    </w:rPr>
  </w:style>
  <w:style w:type="paragraph" w:styleId="BodyTextIndent">
    <w:name w:val="Body Text Indent"/>
    <w:basedOn w:val="Normal"/>
    <w:link w:val="BodyTextIndentChar"/>
    <w:rsid w:val="002C3973"/>
    <w:pPr>
      <w:spacing w:after="120" w:line="240" w:lineRule="auto"/>
      <w:ind w:left="360"/>
    </w:pPr>
    <w:rPr>
      <w:rFonts w:ascii="Times New Roman" w:hAnsi="Times New Roman"/>
      <w:sz w:val="24"/>
    </w:rPr>
  </w:style>
  <w:style w:type="character" w:customStyle="1" w:styleId="BodyTextIndentChar">
    <w:name w:val="Body Text Indent Char"/>
    <w:link w:val="BodyTextIndent"/>
    <w:rsid w:val="002C3973"/>
    <w:rPr>
      <w:rFonts w:ascii="Times New Roman" w:eastAsia="Calibri" w:hAnsi="Times New Roman" w:cs="Times New Roman"/>
      <w:sz w:val="24"/>
    </w:rPr>
  </w:style>
  <w:style w:type="paragraph" w:styleId="BodyTextIndent3">
    <w:name w:val="Body Text Indent 3"/>
    <w:basedOn w:val="Normal"/>
    <w:link w:val="BodyTextIndent3Char"/>
    <w:rsid w:val="002C3973"/>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2C3973"/>
    <w:rPr>
      <w:rFonts w:ascii="Times New Roman" w:eastAsia="Calibri" w:hAnsi="Times New Roman" w:cs="Times New Roman"/>
      <w:sz w:val="24"/>
      <w:szCs w:val="16"/>
    </w:rPr>
  </w:style>
  <w:style w:type="character" w:styleId="Hyperlink">
    <w:name w:val="Hyperlink"/>
    <w:rsid w:val="002C3973"/>
    <w:rPr>
      <w:color w:val="0000FF"/>
      <w:u w:val="single"/>
    </w:rPr>
  </w:style>
  <w:style w:type="character" w:styleId="FollowedHyperlink">
    <w:name w:val="FollowedHyperlink"/>
    <w:rsid w:val="002C3973"/>
    <w:rPr>
      <w:color w:val="800080"/>
      <w:u w:val="single"/>
    </w:rPr>
  </w:style>
  <w:style w:type="character" w:styleId="PlaceholderText">
    <w:name w:val="Placeholder Text"/>
    <w:basedOn w:val="DefaultParagraphFont"/>
    <w:rsid w:val="002C3973"/>
    <w:rPr>
      <w:color w:val="808080"/>
    </w:rPr>
  </w:style>
  <w:style w:type="character" w:customStyle="1" w:styleId="EndNoteBibliographyTitleChar">
    <w:name w:val="EndNote Bibliography Title Char"/>
    <w:rsid w:val="002C3973"/>
    <w:rPr>
      <w:rFonts w:ascii="Times New Roman" w:hAnsi="Times New Roman"/>
      <w:color w:val="000000"/>
      <w:sz w:val="22"/>
      <w:szCs w:val="22"/>
    </w:rPr>
  </w:style>
  <w:style w:type="character" w:customStyle="1" w:styleId="EndNoteBibliographyTitleChar1">
    <w:name w:val="EndNote Bibliography Title Char1"/>
    <w:rsid w:val="002C3973"/>
    <w:rPr>
      <w:rFonts w:ascii="Times New Roman" w:hAnsi="Times New Roman"/>
      <w:color w:val="000000"/>
      <w:sz w:val="22"/>
      <w:szCs w:val="22"/>
    </w:rPr>
  </w:style>
  <w:style w:type="character" w:customStyle="1" w:styleId="EndNoteBibliographyTitleChar2">
    <w:name w:val="EndNote Bibliography Title Char2"/>
    <w:basedOn w:val="ColorfulList-Accent1Char"/>
    <w:rsid w:val="002C3973"/>
    <w:rPr>
      <w:rFonts w:ascii="Times New Roman" w:eastAsia="Calibri" w:hAnsi="Times New Roman" w:cs="Times New Roman"/>
      <w:color w:val="000000"/>
    </w:rPr>
  </w:style>
  <w:style w:type="character" w:customStyle="1" w:styleId="EndNoteBibliographyTitleChar3">
    <w:name w:val="EndNote Bibliography Title Char3"/>
    <w:basedOn w:val="ColorfulList-Accent1Char"/>
    <w:rsid w:val="002C3973"/>
    <w:rPr>
      <w:rFonts w:ascii="Times New Roman" w:eastAsia="Calibri" w:hAnsi="Times New Roman" w:cs="Times New Roman"/>
      <w:color w:val="000000"/>
    </w:rPr>
  </w:style>
  <w:style w:type="character" w:customStyle="1" w:styleId="EndNoteBibliographyTitleChar4">
    <w:name w:val="EndNote Bibliography Title Char4"/>
    <w:basedOn w:val="ColorfulList-Accent1Char"/>
    <w:rsid w:val="002C3973"/>
    <w:rPr>
      <w:rFonts w:ascii="Times New Roman" w:eastAsia="Calibri" w:hAnsi="Times New Roman" w:cs="Times New Roman"/>
      <w:color w:val="000000"/>
    </w:rPr>
  </w:style>
  <w:style w:type="character" w:customStyle="1" w:styleId="EndNoteBibliographyTitleChar5">
    <w:name w:val="EndNote Bibliography Title Char5"/>
    <w:basedOn w:val="ColorfulList-Accent1Char"/>
    <w:rsid w:val="002C3973"/>
    <w:rPr>
      <w:rFonts w:ascii="Times New Roman" w:eastAsia="Calibri" w:hAnsi="Times New Roman" w:cs="Times New Roman"/>
      <w:color w:val="000000"/>
    </w:rPr>
  </w:style>
  <w:style w:type="character" w:customStyle="1" w:styleId="EndNoteBibliographyTitleChar6">
    <w:name w:val="EndNote Bibliography Title Char6"/>
    <w:basedOn w:val="ColorfulList-Accent1Char"/>
    <w:rsid w:val="002C3973"/>
    <w:rPr>
      <w:rFonts w:ascii="Times New Roman" w:eastAsia="Calibri" w:hAnsi="Times New Roman" w:cs="Times New Roman"/>
      <w:color w:val="000000"/>
    </w:rPr>
  </w:style>
  <w:style w:type="character" w:customStyle="1" w:styleId="EndNoteBibliographyTitleChar7">
    <w:name w:val="EndNote Bibliography Title Char7"/>
    <w:basedOn w:val="ColorfulList-Accent1Char"/>
    <w:rsid w:val="002C3973"/>
    <w:rPr>
      <w:rFonts w:ascii="Times New Roman" w:eastAsia="Calibri" w:hAnsi="Times New Roman" w:cs="Times New Roman"/>
      <w:color w:val="000000"/>
    </w:rPr>
  </w:style>
  <w:style w:type="character" w:customStyle="1" w:styleId="EndNoteBibliographyTitleChar8">
    <w:name w:val="EndNote Bibliography Title Char8"/>
    <w:basedOn w:val="ColorfulList-Accent1Char"/>
    <w:rsid w:val="002C3973"/>
    <w:rPr>
      <w:rFonts w:ascii="Times New Roman" w:eastAsia="Calibri" w:hAnsi="Times New Roman" w:cs="Times New Roman"/>
      <w:color w:val="000000"/>
    </w:rPr>
  </w:style>
  <w:style w:type="character" w:customStyle="1" w:styleId="EndNoteBibliographyTitleChar9">
    <w:name w:val="EndNote Bibliography Title Char9"/>
    <w:basedOn w:val="ColorfulList-Accent1Char"/>
    <w:rsid w:val="002C3973"/>
    <w:rPr>
      <w:rFonts w:ascii="Times New Roman" w:eastAsia="Calibri" w:hAnsi="Times New Roman" w:cs="Times New Roman"/>
      <w:color w:val="000000"/>
    </w:rPr>
  </w:style>
  <w:style w:type="character" w:customStyle="1" w:styleId="EndNoteBibliographyTitleChar10">
    <w:name w:val="EndNote Bibliography Title Char10"/>
    <w:basedOn w:val="ColorfulList-Accent1Char"/>
    <w:rsid w:val="002C3973"/>
    <w:rPr>
      <w:rFonts w:ascii="Times New Roman" w:eastAsia="Calibri" w:hAnsi="Times New Roman" w:cs="Times New Roman"/>
      <w:color w:val="000000"/>
    </w:rPr>
  </w:style>
  <w:style w:type="character" w:customStyle="1" w:styleId="EndNoteBibliographyTitleChar11">
    <w:name w:val="EndNote Bibliography Title Char11"/>
    <w:basedOn w:val="ColorfulList-Accent1Char"/>
    <w:rsid w:val="002C3973"/>
    <w:rPr>
      <w:rFonts w:ascii="Times New Roman" w:eastAsia="Calibri" w:hAnsi="Times New Roman" w:cs="Times New Roman"/>
      <w:color w:val="000000"/>
    </w:rPr>
  </w:style>
  <w:style w:type="character" w:customStyle="1" w:styleId="EndNoteBibliographyTitleChar12">
    <w:name w:val="EndNote Bibliography Title Char12"/>
    <w:basedOn w:val="ColorfulList-Accent1Char"/>
    <w:rsid w:val="002C3973"/>
    <w:rPr>
      <w:rFonts w:ascii="Times New Roman" w:eastAsia="Calibri" w:hAnsi="Times New Roman" w:cs="Times New Roman"/>
      <w:color w:val="000000"/>
    </w:rPr>
  </w:style>
  <w:style w:type="character" w:customStyle="1" w:styleId="EndNoteBibliographyTitleChar13">
    <w:name w:val="EndNote Bibliography Title Char13"/>
    <w:basedOn w:val="ColorfulList-Accent1Char"/>
    <w:rsid w:val="002C3973"/>
    <w:rPr>
      <w:rFonts w:ascii="Times New Roman" w:eastAsia="Calibri" w:hAnsi="Times New Roman" w:cs="Times New Roman"/>
      <w:color w:val="000000"/>
    </w:rPr>
  </w:style>
  <w:style w:type="character" w:customStyle="1" w:styleId="EndNoteBibliographyTitleChar14">
    <w:name w:val="EndNote Bibliography Title Char14"/>
    <w:basedOn w:val="ColorfulList-Accent1Char"/>
    <w:rsid w:val="002C3973"/>
    <w:rPr>
      <w:rFonts w:ascii="Times New Roman" w:eastAsia="Calibri" w:hAnsi="Times New Roman" w:cs="Times New Roman"/>
      <w:color w:val="000000"/>
    </w:rPr>
  </w:style>
  <w:style w:type="character" w:customStyle="1" w:styleId="EndNoteBibliographyTitleChar15">
    <w:name w:val="EndNote Bibliography Title Char15"/>
    <w:basedOn w:val="ColorfulList-Accent1Char"/>
    <w:rsid w:val="002C3973"/>
    <w:rPr>
      <w:rFonts w:ascii="Times New Roman" w:eastAsia="Calibri" w:hAnsi="Times New Roman" w:cs="Times New Roman"/>
      <w:color w:val="000000"/>
    </w:rPr>
  </w:style>
  <w:style w:type="character" w:customStyle="1" w:styleId="EndNoteBibliographyTitleChar16">
    <w:name w:val="EndNote Bibliography Title Char16"/>
    <w:basedOn w:val="ColorfulList-Accent1Char"/>
    <w:rsid w:val="002C3973"/>
    <w:rPr>
      <w:rFonts w:ascii="Times New Roman" w:eastAsia="Calibri" w:hAnsi="Times New Roman" w:cs="Times New Roman"/>
      <w:color w:val="000000"/>
    </w:rPr>
  </w:style>
  <w:style w:type="character" w:customStyle="1" w:styleId="EndNoteBibliographyTitleChar17">
    <w:name w:val="EndNote Bibliography Title Char17"/>
    <w:basedOn w:val="ColorfulList-Accent1Char"/>
    <w:rsid w:val="002C3973"/>
    <w:rPr>
      <w:rFonts w:ascii="Times New Roman" w:eastAsia="Calibri" w:hAnsi="Times New Roman" w:cs="Times New Roman"/>
      <w:color w:val="000000"/>
    </w:rPr>
  </w:style>
  <w:style w:type="character" w:customStyle="1" w:styleId="EndNoteBibliographyTitleChar18">
    <w:name w:val="EndNote Bibliography Title Char18"/>
    <w:basedOn w:val="ColorfulList-Accent1Char"/>
    <w:rsid w:val="002C3973"/>
    <w:rPr>
      <w:rFonts w:ascii="Times New Roman" w:eastAsia="Calibri" w:hAnsi="Times New Roman" w:cs="Times New Roman"/>
      <w:color w:val="000000"/>
    </w:rPr>
  </w:style>
  <w:style w:type="character" w:customStyle="1" w:styleId="EndNoteBibliographyTitleChar19">
    <w:name w:val="EndNote Bibliography Title Char19"/>
    <w:basedOn w:val="ColorfulList-Accent1Char"/>
    <w:rsid w:val="002C3973"/>
    <w:rPr>
      <w:rFonts w:ascii="Times New Roman" w:eastAsia="Calibri" w:hAnsi="Times New Roman" w:cs="Times New Roman"/>
      <w:color w:val="000000"/>
    </w:rPr>
  </w:style>
  <w:style w:type="paragraph" w:customStyle="1" w:styleId="EndNoteBibliographyTitle">
    <w:name w:val="EndNote Bibliography Title"/>
    <w:basedOn w:val="Normal"/>
    <w:link w:val="EndNoteBibliographyTitleChar20"/>
    <w:rsid w:val="002C3973"/>
    <w:pPr>
      <w:spacing w:after="0"/>
      <w:jc w:val="center"/>
    </w:pPr>
    <w:rPr>
      <w:noProof/>
    </w:rPr>
  </w:style>
  <w:style w:type="character" w:customStyle="1" w:styleId="EndNoteBibliographyTitleChar20">
    <w:name w:val="EndNote Bibliography Title Char20"/>
    <w:basedOn w:val="ColorfulList-Accent1Char"/>
    <w:link w:val="EndNoteBibliographyTitle"/>
    <w:rsid w:val="002C3973"/>
    <w:rPr>
      <w:rFonts w:ascii="Calibri" w:eastAsia="Calibri" w:hAnsi="Calibri" w:cs="Times New Roman"/>
      <w:noProof/>
    </w:rPr>
  </w:style>
  <w:style w:type="paragraph" w:customStyle="1" w:styleId="EndNoteBibliography">
    <w:name w:val="EndNote Bibliography"/>
    <w:basedOn w:val="Normal"/>
    <w:link w:val="EndNoteBibliographyChar"/>
    <w:rsid w:val="002C3973"/>
    <w:pPr>
      <w:spacing w:line="240" w:lineRule="auto"/>
    </w:pPr>
    <w:rPr>
      <w:noProof/>
    </w:rPr>
  </w:style>
  <w:style w:type="character" w:customStyle="1" w:styleId="EndNoteBibliographyChar">
    <w:name w:val="EndNote Bibliography Char"/>
    <w:basedOn w:val="ColorfulList-Accent1Char"/>
    <w:link w:val="EndNoteBibliography"/>
    <w:rsid w:val="002C3973"/>
    <w:rPr>
      <w:rFonts w:ascii="Calibri" w:eastAsia="Calibri" w:hAnsi="Calibri" w:cs="Times New Roman"/>
      <w:noProof/>
    </w:rPr>
  </w:style>
  <w:style w:type="paragraph" w:customStyle="1" w:styleId="AutoNumpara">
    <w:name w:val="AutoNumpara"/>
    <w:basedOn w:val="BodyTextIndent"/>
    <w:rsid w:val="002C3973"/>
    <w:pPr>
      <w:tabs>
        <w:tab w:val="num" w:pos="720"/>
      </w:tabs>
      <w:spacing w:before="120"/>
      <w:ind w:left="720" w:hanging="720"/>
      <w:jc w:val="both"/>
    </w:pPr>
    <w:rPr>
      <w:rFonts w:eastAsia="Times New Roman"/>
      <w:noProof/>
      <w:spacing w:val="-2"/>
      <w:szCs w:val="20"/>
      <w:lang w:val="es-ES_tradnl"/>
    </w:rPr>
  </w:style>
  <w:style w:type="paragraph" w:styleId="ListParagraph">
    <w:name w:val="List Paragraph"/>
    <w:basedOn w:val="Normal"/>
    <w:uiPriority w:val="34"/>
    <w:qFormat/>
    <w:rsid w:val="002C3973"/>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973"/>
    <w:rPr>
      <w:rFonts w:ascii="Calibri" w:eastAsia="Calibri" w:hAnsi="Calibri" w:cs="Times New Roman"/>
    </w:rPr>
  </w:style>
  <w:style w:type="paragraph" w:styleId="Heading1">
    <w:name w:val="heading 1"/>
    <w:aliases w:val="Heading 1.I"/>
    <w:next w:val="Normal"/>
    <w:link w:val="Heading1Char"/>
    <w:qFormat/>
    <w:rsid w:val="002C3973"/>
    <w:pPr>
      <w:keepNext/>
      <w:tabs>
        <w:tab w:val="num" w:pos="360"/>
      </w:tabs>
      <w:spacing w:before="240" w:after="240" w:line="240" w:lineRule="auto"/>
      <w:ind w:left="288" w:hanging="288"/>
      <w:jc w:val="center"/>
      <w:outlineLvl w:val="0"/>
    </w:pPr>
    <w:rPr>
      <w:rFonts w:ascii="Times New Roman Bold" w:eastAsia="Times New Roman" w:hAnsi="Times New Roman Bold" w:cs="Times New Roman"/>
      <w:b/>
      <w:smallCaps/>
      <w:noProof/>
      <w:sz w:val="28"/>
      <w:szCs w:val="20"/>
    </w:rPr>
  </w:style>
  <w:style w:type="paragraph" w:styleId="Heading2">
    <w:name w:val="heading 2"/>
    <w:basedOn w:val="Normal"/>
    <w:next w:val="Normal"/>
    <w:link w:val="Heading2Char"/>
    <w:qFormat/>
    <w:rsid w:val="002C3973"/>
    <w:pPr>
      <w:keepNext/>
      <w:numPr>
        <w:ilvl w:val="1"/>
        <w:numId w:val="6"/>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2C3973"/>
    <w:pPr>
      <w:keepNext/>
      <w:numPr>
        <w:ilvl w:val="2"/>
        <w:numId w:val="6"/>
      </w:numPr>
      <w:spacing w:before="240" w:after="60"/>
      <w:outlineLvl w:val="2"/>
    </w:pPr>
    <w:rPr>
      <w:rFonts w:ascii="Cambria" w:eastAsia="Times New Roman" w:hAnsi="Cambria"/>
      <w:b/>
      <w:bCs/>
      <w:sz w:val="26"/>
      <w:szCs w:val="26"/>
    </w:rPr>
  </w:style>
  <w:style w:type="paragraph" w:styleId="Heading4">
    <w:name w:val="heading 4"/>
    <w:aliases w:val="Heading 4.a"/>
    <w:basedOn w:val="Normal"/>
    <w:next w:val="Normal"/>
    <w:link w:val="Heading4Char"/>
    <w:qFormat/>
    <w:rsid w:val="002C3973"/>
    <w:pPr>
      <w:keepNext/>
      <w:numPr>
        <w:ilvl w:val="3"/>
        <w:numId w:val="6"/>
      </w:numPr>
      <w:spacing w:before="240" w:after="60"/>
      <w:outlineLvl w:val="3"/>
    </w:pPr>
    <w:rPr>
      <w:rFonts w:eastAsia="Times New Roman"/>
      <w:b/>
      <w:bCs/>
      <w:sz w:val="28"/>
      <w:szCs w:val="28"/>
    </w:rPr>
  </w:style>
  <w:style w:type="paragraph" w:styleId="Heading5">
    <w:name w:val="heading 5"/>
    <w:aliases w:val="Heading 5.(i)"/>
    <w:basedOn w:val="Normal"/>
    <w:next w:val="Normal"/>
    <w:link w:val="Heading5Char"/>
    <w:qFormat/>
    <w:rsid w:val="002C3973"/>
    <w:pPr>
      <w:numPr>
        <w:ilvl w:val="4"/>
        <w:numId w:val="6"/>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2C3973"/>
    <w:pPr>
      <w:numPr>
        <w:ilvl w:val="5"/>
        <w:numId w:val="6"/>
      </w:numPr>
      <w:spacing w:before="240" w:after="60"/>
      <w:outlineLvl w:val="5"/>
    </w:pPr>
    <w:rPr>
      <w:rFonts w:eastAsia="Times New Roman"/>
      <w:b/>
      <w:bCs/>
    </w:rPr>
  </w:style>
  <w:style w:type="paragraph" w:styleId="Heading7">
    <w:name w:val="heading 7"/>
    <w:basedOn w:val="Normal"/>
    <w:next w:val="Normal"/>
    <w:link w:val="Heading7Char"/>
    <w:qFormat/>
    <w:rsid w:val="002C3973"/>
    <w:pPr>
      <w:numPr>
        <w:ilvl w:val="6"/>
        <w:numId w:val="6"/>
      </w:numPr>
      <w:spacing w:before="240" w:after="60"/>
      <w:outlineLvl w:val="6"/>
    </w:pPr>
    <w:rPr>
      <w:rFonts w:eastAsia="Times New Roman"/>
      <w:sz w:val="24"/>
      <w:szCs w:val="24"/>
    </w:rPr>
  </w:style>
  <w:style w:type="paragraph" w:styleId="Heading8">
    <w:name w:val="heading 8"/>
    <w:basedOn w:val="Normal"/>
    <w:next w:val="Normal"/>
    <w:link w:val="Heading8Char"/>
    <w:qFormat/>
    <w:rsid w:val="002C3973"/>
    <w:pPr>
      <w:numPr>
        <w:ilvl w:val="7"/>
        <w:numId w:val="6"/>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2C3973"/>
    <w:pPr>
      <w:numPr>
        <w:ilvl w:val="8"/>
        <w:numId w:val="6"/>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2C3973"/>
    <w:rPr>
      <w:rFonts w:ascii="Times New Roman Bold" w:eastAsia="Times New Roman" w:hAnsi="Times New Roman Bold" w:cs="Times New Roman"/>
      <w:b/>
      <w:smallCaps/>
      <w:noProof/>
      <w:sz w:val="28"/>
      <w:szCs w:val="20"/>
    </w:rPr>
  </w:style>
  <w:style w:type="character" w:customStyle="1" w:styleId="Heading2Char">
    <w:name w:val="Heading 2 Char"/>
    <w:link w:val="Heading2"/>
    <w:rsid w:val="002C3973"/>
    <w:rPr>
      <w:rFonts w:ascii="Cambria" w:eastAsia="Times New Roman" w:hAnsi="Cambria" w:cs="Times New Roman"/>
      <w:b/>
      <w:bCs/>
      <w:i/>
      <w:iCs/>
      <w:sz w:val="28"/>
      <w:szCs w:val="28"/>
    </w:rPr>
  </w:style>
  <w:style w:type="character" w:customStyle="1" w:styleId="Heading3Char">
    <w:name w:val="Heading 3 Char"/>
    <w:link w:val="Heading3"/>
    <w:rsid w:val="002C3973"/>
    <w:rPr>
      <w:rFonts w:ascii="Cambria" w:eastAsia="Times New Roman" w:hAnsi="Cambria" w:cs="Times New Roman"/>
      <w:b/>
      <w:bCs/>
      <w:sz w:val="26"/>
      <w:szCs w:val="26"/>
    </w:rPr>
  </w:style>
  <w:style w:type="character" w:customStyle="1" w:styleId="Heading4Char">
    <w:name w:val="Heading 4 Char"/>
    <w:aliases w:val="Heading 4.a Char"/>
    <w:link w:val="Heading4"/>
    <w:rsid w:val="002C3973"/>
    <w:rPr>
      <w:rFonts w:ascii="Calibri" w:eastAsia="Times New Roman" w:hAnsi="Calibri" w:cs="Times New Roman"/>
      <w:b/>
      <w:bCs/>
      <w:sz w:val="28"/>
      <w:szCs w:val="28"/>
    </w:rPr>
  </w:style>
  <w:style w:type="character" w:customStyle="1" w:styleId="Heading5Char">
    <w:name w:val="Heading 5 Char"/>
    <w:aliases w:val="Heading 5.(i) Char"/>
    <w:link w:val="Heading5"/>
    <w:rsid w:val="002C3973"/>
    <w:rPr>
      <w:rFonts w:ascii="Calibri" w:eastAsia="Times New Roman" w:hAnsi="Calibri" w:cs="Times New Roman"/>
      <w:b/>
      <w:bCs/>
      <w:i/>
      <w:iCs/>
      <w:sz w:val="26"/>
      <w:szCs w:val="26"/>
    </w:rPr>
  </w:style>
  <w:style w:type="character" w:customStyle="1" w:styleId="Heading6Char">
    <w:name w:val="Heading 6 Char"/>
    <w:link w:val="Heading6"/>
    <w:rsid w:val="002C3973"/>
    <w:rPr>
      <w:rFonts w:ascii="Calibri" w:eastAsia="Times New Roman" w:hAnsi="Calibri" w:cs="Times New Roman"/>
      <w:b/>
      <w:bCs/>
    </w:rPr>
  </w:style>
  <w:style w:type="character" w:customStyle="1" w:styleId="Heading7Char">
    <w:name w:val="Heading 7 Char"/>
    <w:link w:val="Heading7"/>
    <w:rsid w:val="002C3973"/>
    <w:rPr>
      <w:rFonts w:ascii="Calibri" w:eastAsia="Times New Roman" w:hAnsi="Calibri" w:cs="Times New Roman"/>
      <w:sz w:val="24"/>
      <w:szCs w:val="24"/>
    </w:rPr>
  </w:style>
  <w:style w:type="character" w:customStyle="1" w:styleId="Heading8Char">
    <w:name w:val="Heading 8 Char"/>
    <w:link w:val="Heading8"/>
    <w:rsid w:val="002C3973"/>
    <w:rPr>
      <w:rFonts w:ascii="Calibri" w:eastAsia="Times New Roman" w:hAnsi="Calibri" w:cs="Times New Roman"/>
      <w:i/>
      <w:iCs/>
      <w:sz w:val="24"/>
      <w:szCs w:val="24"/>
    </w:rPr>
  </w:style>
  <w:style w:type="character" w:customStyle="1" w:styleId="Heading9Char">
    <w:name w:val="Heading 9 Char"/>
    <w:link w:val="Heading9"/>
    <w:rsid w:val="002C3973"/>
    <w:rPr>
      <w:rFonts w:ascii="Cambria" w:eastAsia="Times New Roman" w:hAnsi="Cambria" w:cs="Times New Roman"/>
    </w:rPr>
  </w:style>
  <w:style w:type="paragraph" w:customStyle="1" w:styleId="ColorfulList-Accent11">
    <w:name w:val="Colorful List - Accent 11"/>
    <w:basedOn w:val="Normal"/>
    <w:link w:val="ColorfulList-Accent1Char"/>
    <w:uiPriority w:val="34"/>
    <w:qFormat/>
    <w:rsid w:val="002C3973"/>
    <w:pPr>
      <w:ind w:left="720"/>
      <w:contextualSpacing/>
    </w:pPr>
  </w:style>
  <w:style w:type="table" w:styleId="TableGrid">
    <w:name w:val="Table Grid"/>
    <w:basedOn w:val="TableNormal"/>
    <w:uiPriority w:val="59"/>
    <w:rsid w:val="002C397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2C3973"/>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2C3973"/>
    <w:rPr>
      <w:rFonts w:ascii="Tahoma" w:eastAsia="Times New Roman" w:hAnsi="Tahoma" w:cs="Tahoma"/>
      <w:sz w:val="16"/>
      <w:szCs w:val="16"/>
    </w:rPr>
  </w:style>
  <w:style w:type="paragraph" w:styleId="FootnoteText">
    <w:name w:val="footnote text"/>
    <w:basedOn w:val="Normal"/>
    <w:link w:val="FootnoteTextChar"/>
    <w:uiPriority w:val="99"/>
    <w:unhideWhenUsed/>
    <w:rsid w:val="002C3973"/>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link w:val="FootnoteText"/>
    <w:uiPriority w:val="99"/>
    <w:rsid w:val="002C3973"/>
    <w:rPr>
      <w:rFonts w:ascii="Times New Roman" w:eastAsia="Calibri" w:hAnsi="Times New Roman" w:cs="Times New Roman"/>
      <w:spacing w:val="-3"/>
      <w:sz w:val="20"/>
      <w:szCs w:val="24"/>
    </w:rPr>
  </w:style>
  <w:style w:type="character" w:styleId="FootnoteReference">
    <w:name w:val="footnote reference"/>
    <w:uiPriority w:val="99"/>
    <w:semiHidden/>
    <w:unhideWhenUsed/>
    <w:rsid w:val="002C3973"/>
    <w:rPr>
      <w:vertAlign w:val="superscript"/>
    </w:rPr>
  </w:style>
  <w:style w:type="paragraph" w:styleId="Header">
    <w:name w:val="header"/>
    <w:basedOn w:val="Normal"/>
    <w:link w:val="HeaderChar"/>
    <w:uiPriority w:val="99"/>
    <w:unhideWhenUsed/>
    <w:rsid w:val="002C3973"/>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3973"/>
    <w:rPr>
      <w:rFonts w:ascii="Calibri" w:eastAsia="Calibri" w:hAnsi="Calibri" w:cs="Times New Roman"/>
    </w:rPr>
  </w:style>
  <w:style w:type="paragraph" w:styleId="Footer">
    <w:name w:val="footer"/>
    <w:basedOn w:val="Normal"/>
    <w:link w:val="FooterChar"/>
    <w:uiPriority w:val="99"/>
    <w:unhideWhenUsed/>
    <w:rsid w:val="002C3973"/>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3973"/>
    <w:rPr>
      <w:rFonts w:ascii="Calibri" w:eastAsia="Calibri" w:hAnsi="Calibri" w:cs="Times New Roman"/>
    </w:rPr>
  </w:style>
  <w:style w:type="paragraph" w:styleId="Title">
    <w:name w:val="Title"/>
    <w:basedOn w:val="Normal"/>
    <w:link w:val="TitleChar"/>
    <w:qFormat/>
    <w:rsid w:val="002C3973"/>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2C3973"/>
    <w:rPr>
      <w:rFonts w:ascii="Times New Roman" w:eastAsia="Times New Roman" w:hAnsi="Times New Roman" w:cs="Times New Roman"/>
      <w:sz w:val="24"/>
      <w:szCs w:val="20"/>
    </w:rPr>
  </w:style>
  <w:style w:type="paragraph" w:customStyle="1" w:styleId="Newpage">
    <w:name w:val="Newpage"/>
    <w:basedOn w:val="Normal"/>
    <w:rsid w:val="002C3973"/>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2C3973"/>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2C3973"/>
    <w:rPr>
      <w:rFonts w:ascii="Times New Roman" w:eastAsia="Times New Roman" w:hAnsi="Times New Roman" w:cs="Times New Roman"/>
      <w:sz w:val="24"/>
      <w:szCs w:val="20"/>
    </w:rPr>
  </w:style>
  <w:style w:type="character" w:customStyle="1" w:styleId="gt-icon-text1">
    <w:name w:val="gt-icon-text1"/>
    <w:basedOn w:val="DefaultParagraphFont"/>
    <w:rsid w:val="002C3973"/>
  </w:style>
  <w:style w:type="paragraph" w:styleId="z-TopofForm">
    <w:name w:val="HTML Top of Form"/>
    <w:basedOn w:val="Normal"/>
    <w:next w:val="Normal"/>
    <w:link w:val="z-TopofFormChar"/>
    <w:hidden/>
    <w:uiPriority w:val="99"/>
    <w:unhideWhenUsed/>
    <w:rsid w:val="002C397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2C397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2C397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2C3973"/>
    <w:rPr>
      <w:rFonts w:ascii="Arial" w:eastAsia="Times New Roman" w:hAnsi="Arial" w:cs="Arial"/>
      <w:vanish/>
      <w:sz w:val="16"/>
      <w:szCs w:val="16"/>
    </w:rPr>
  </w:style>
  <w:style w:type="character" w:styleId="CommentReference">
    <w:name w:val="annotation reference"/>
    <w:rsid w:val="002C3973"/>
    <w:rPr>
      <w:sz w:val="16"/>
      <w:szCs w:val="16"/>
    </w:rPr>
  </w:style>
  <w:style w:type="paragraph" w:styleId="CommentText">
    <w:name w:val="annotation text"/>
    <w:basedOn w:val="Normal"/>
    <w:link w:val="CommentTextChar"/>
    <w:rsid w:val="002C3973"/>
    <w:rPr>
      <w:sz w:val="20"/>
      <w:szCs w:val="20"/>
    </w:rPr>
  </w:style>
  <w:style w:type="character" w:customStyle="1" w:styleId="CommentTextChar">
    <w:name w:val="Comment Text Char"/>
    <w:basedOn w:val="DefaultParagraphFont"/>
    <w:link w:val="CommentText"/>
    <w:rsid w:val="002C3973"/>
    <w:rPr>
      <w:rFonts w:ascii="Calibri" w:eastAsia="Calibri" w:hAnsi="Calibri" w:cs="Times New Roman"/>
      <w:sz w:val="20"/>
      <w:szCs w:val="20"/>
    </w:rPr>
  </w:style>
  <w:style w:type="paragraph" w:styleId="CommentSubject">
    <w:name w:val="annotation subject"/>
    <w:basedOn w:val="CommentText"/>
    <w:next w:val="CommentText"/>
    <w:link w:val="CommentSubjectChar"/>
    <w:rsid w:val="002C3973"/>
    <w:rPr>
      <w:b/>
      <w:bCs/>
    </w:rPr>
  </w:style>
  <w:style w:type="character" w:customStyle="1" w:styleId="CommentSubjectChar">
    <w:name w:val="Comment Subject Char"/>
    <w:link w:val="CommentSubject"/>
    <w:rsid w:val="002C3973"/>
    <w:rPr>
      <w:rFonts w:ascii="Calibri" w:eastAsia="Calibri" w:hAnsi="Calibri" w:cs="Times New Roman"/>
      <w:b/>
      <w:bCs/>
      <w:sz w:val="20"/>
      <w:szCs w:val="20"/>
    </w:rPr>
  </w:style>
  <w:style w:type="paragraph" w:customStyle="1" w:styleId="Chapter">
    <w:name w:val="Chapter"/>
    <w:basedOn w:val="Normal"/>
    <w:next w:val="Normal"/>
    <w:link w:val="ChapterChar"/>
    <w:rsid w:val="002C3973"/>
    <w:pPr>
      <w:keepNext/>
      <w:numPr>
        <w:numId w:val="6"/>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2C3973"/>
    <w:rPr>
      <w:rFonts w:ascii="Calibri" w:eastAsia="Calibri" w:hAnsi="Calibri" w:cs="Times New Roman"/>
    </w:rPr>
  </w:style>
  <w:style w:type="character" w:customStyle="1" w:styleId="ChapterChar">
    <w:name w:val="Chapter Char"/>
    <w:link w:val="Chapter"/>
    <w:rsid w:val="002C3973"/>
    <w:rPr>
      <w:rFonts w:ascii="Times New Roman" w:eastAsia="Calibri" w:hAnsi="Times New Roman" w:cs="Times New Roman"/>
      <w:b/>
      <w:smallCaps/>
      <w:sz w:val="24"/>
    </w:rPr>
  </w:style>
  <w:style w:type="paragraph" w:customStyle="1" w:styleId="FirstHeading">
    <w:name w:val="FirstHeading"/>
    <w:basedOn w:val="Normal"/>
    <w:next w:val="Normal"/>
    <w:link w:val="FirstHeadingChar"/>
    <w:rsid w:val="002C3973"/>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2C3973"/>
    <w:rPr>
      <w:rFonts w:ascii="Times New Roman" w:eastAsia="Calibri" w:hAnsi="Times New Roman" w:cs="Times New Roman"/>
      <w:b/>
      <w:sz w:val="24"/>
    </w:rPr>
  </w:style>
  <w:style w:type="paragraph" w:customStyle="1" w:styleId="SecHeading">
    <w:name w:val="SecHeading"/>
    <w:basedOn w:val="Normal"/>
    <w:next w:val="Paragraph"/>
    <w:link w:val="SecHeadingChar"/>
    <w:rsid w:val="002C3973"/>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2C3973"/>
    <w:rPr>
      <w:rFonts w:ascii="Times New Roman" w:eastAsia="Calibri" w:hAnsi="Times New Roman" w:cs="Times New Roman"/>
      <w:b/>
      <w:sz w:val="24"/>
    </w:rPr>
  </w:style>
  <w:style w:type="paragraph" w:customStyle="1" w:styleId="SubHeading1">
    <w:name w:val="SubHeading1"/>
    <w:basedOn w:val="SecHeading"/>
    <w:link w:val="SubHeading1Char"/>
    <w:rsid w:val="002C3973"/>
    <w:pPr>
      <w:tabs>
        <w:tab w:val="clear" w:pos="1296"/>
        <w:tab w:val="num" w:pos="1872"/>
      </w:tabs>
      <w:ind w:left="1872"/>
    </w:pPr>
  </w:style>
  <w:style w:type="character" w:customStyle="1" w:styleId="SubHeading1Char">
    <w:name w:val="SubHeading1 Char"/>
    <w:link w:val="SubHeading1"/>
    <w:rsid w:val="002C3973"/>
    <w:rPr>
      <w:rFonts w:ascii="Times New Roman" w:eastAsia="Calibri" w:hAnsi="Times New Roman" w:cs="Times New Roman"/>
      <w:b/>
      <w:sz w:val="24"/>
    </w:rPr>
  </w:style>
  <w:style w:type="paragraph" w:customStyle="1" w:styleId="Subheading2">
    <w:name w:val="Subheading2"/>
    <w:basedOn w:val="SecHeading"/>
    <w:link w:val="Subheading2Char"/>
    <w:rsid w:val="002C3973"/>
    <w:pPr>
      <w:tabs>
        <w:tab w:val="clear" w:pos="1296"/>
        <w:tab w:val="num" w:pos="2376"/>
      </w:tabs>
      <w:ind w:left="2376" w:hanging="288"/>
    </w:pPr>
  </w:style>
  <w:style w:type="character" w:customStyle="1" w:styleId="Subheading2Char">
    <w:name w:val="Subheading2 Char"/>
    <w:link w:val="Subheading2"/>
    <w:rsid w:val="002C3973"/>
    <w:rPr>
      <w:rFonts w:ascii="Times New Roman" w:eastAsia="Calibri" w:hAnsi="Times New Roman" w:cs="Times New Roman"/>
      <w:b/>
      <w:sz w:val="24"/>
    </w:rPr>
  </w:style>
  <w:style w:type="paragraph" w:customStyle="1" w:styleId="Paragraph">
    <w:name w:val="Paragraph"/>
    <w:aliases w:val="paragraph,p,PARAGRAPH,PG,pa,at"/>
    <w:basedOn w:val="BodyTextIndent"/>
    <w:link w:val="ParagraphChar"/>
    <w:rsid w:val="002C3973"/>
    <w:pPr>
      <w:tabs>
        <w:tab w:val="num" w:pos="720"/>
      </w:tabs>
      <w:spacing w:before="120"/>
      <w:ind w:hanging="720"/>
      <w:jc w:val="both"/>
      <w:outlineLvl w:val="1"/>
    </w:pPr>
  </w:style>
  <w:style w:type="character" w:customStyle="1" w:styleId="ParagraphChar">
    <w:name w:val="Paragraph Char"/>
    <w:link w:val="Paragraph"/>
    <w:rsid w:val="002C3973"/>
    <w:rPr>
      <w:rFonts w:ascii="Times New Roman" w:eastAsia="Calibri" w:hAnsi="Times New Roman" w:cs="Times New Roman"/>
      <w:sz w:val="24"/>
    </w:rPr>
  </w:style>
  <w:style w:type="paragraph" w:customStyle="1" w:styleId="subpar">
    <w:name w:val="subpar"/>
    <w:basedOn w:val="BodyTextIndent3"/>
    <w:link w:val="subparChar"/>
    <w:rsid w:val="002C3973"/>
    <w:pPr>
      <w:tabs>
        <w:tab w:val="num" w:pos="1152"/>
      </w:tabs>
      <w:spacing w:before="120"/>
      <w:ind w:left="1152" w:hanging="432"/>
      <w:jc w:val="both"/>
      <w:outlineLvl w:val="2"/>
    </w:pPr>
  </w:style>
  <w:style w:type="character" w:customStyle="1" w:styleId="subparChar">
    <w:name w:val="subpar Char"/>
    <w:link w:val="subpar"/>
    <w:rsid w:val="002C3973"/>
    <w:rPr>
      <w:rFonts w:ascii="Times New Roman" w:eastAsia="Calibri" w:hAnsi="Times New Roman" w:cs="Times New Roman"/>
      <w:sz w:val="24"/>
      <w:szCs w:val="16"/>
    </w:rPr>
  </w:style>
  <w:style w:type="paragraph" w:customStyle="1" w:styleId="SubSubPar">
    <w:name w:val="SubSubPar"/>
    <w:basedOn w:val="subpar"/>
    <w:link w:val="SubSubParChar"/>
    <w:rsid w:val="002C3973"/>
    <w:pPr>
      <w:tabs>
        <w:tab w:val="left" w:pos="0"/>
        <w:tab w:val="num" w:pos="1296"/>
      </w:tabs>
      <w:ind w:left="1296" w:hanging="288"/>
    </w:pPr>
  </w:style>
  <w:style w:type="character" w:customStyle="1" w:styleId="SubSubParChar">
    <w:name w:val="SubSubPar Char"/>
    <w:link w:val="SubSubPar"/>
    <w:rsid w:val="002C3973"/>
    <w:rPr>
      <w:rFonts w:ascii="Times New Roman" w:eastAsia="Calibri" w:hAnsi="Times New Roman" w:cs="Times New Roman"/>
      <w:sz w:val="24"/>
      <w:szCs w:val="16"/>
    </w:rPr>
  </w:style>
  <w:style w:type="paragraph" w:customStyle="1" w:styleId="Regtable">
    <w:name w:val="Regtable"/>
    <w:basedOn w:val="Normal"/>
    <w:link w:val="RegtableChar"/>
    <w:rsid w:val="002C3973"/>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2C3973"/>
    <w:rPr>
      <w:rFonts w:ascii="Times New Roman" w:eastAsia="Calibri" w:hAnsi="Times New Roman" w:cs="Times New Roman"/>
      <w:sz w:val="20"/>
    </w:rPr>
  </w:style>
  <w:style w:type="paragraph" w:customStyle="1" w:styleId="TableTitle">
    <w:name w:val="TableTitle"/>
    <w:basedOn w:val="ColorfulList-Accent11"/>
    <w:link w:val="TableTitleChar"/>
    <w:rsid w:val="002C3973"/>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2C3973"/>
    <w:rPr>
      <w:rFonts w:ascii="Times New Roman Bold" w:eastAsia="Calibri" w:hAnsi="Times New Roman Bold" w:cs="Times New Roman"/>
      <w:b/>
      <w:spacing w:val="-3"/>
      <w:sz w:val="20"/>
    </w:rPr>
  </w:style>
  <w:style w:type="paragraph" w:styleId="BodyTextIndent">
    <w:name w:val="Body Text Indent"/>
    <w:basedOn w:val="Normal"/>
    <w:link w:val="BodyTextIndentChar"/>
    <w:rsid w:val="002C3973"/>
    <w:pPr>
      <w:spacing w:after="120" w:line="240" w:lineRule="auto"/>
      <w:ind w:left="360"/>
    </w:pPr>
    <w:rPr>
      <w:rFonts w:ascii="Times New Roman" w:hAnsi="Times New Roman"/>
      <w:sz w:val="24"/>
    </w:rPr>
  </w:style>
  <w:style w:type="character" w:customStyle="1" w:styleId="BodyTextIndentChar">
    <w:name w:val="Body Text Indent Char"/>
    <w:link w:val="BodyTextIndent"/>
    <w:rsid w:val="002C3973"/>
    <w:rPr>
      <w:rFonts w:ascii="Times New Roman" w:eastAsia="Calibri" w:hAnsi="Times New Roman" w:cs="Times New Roman"/>
      <w:sz w:val="24"/>
    </w:rPr>
  </w:style>
  <w:style w:type="paragraph" w:styleId="BodyTextIndent3">
    <w:name w:val="Body Text Indent 3"/>
    <w:basedOn w:val="Normal"/>
    <w:link w:val="BodyTextIndent3Char"/>
    <w:rsid w:val="002C3973"/>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2C3973"/>
    <w:rPr>
      <w:rFonts w:ascii="Times New Roman" w:eastAsia="Calibri" w:hAnsi="Times New Roman" w:cs="Times New Roman"/>
      <w:sz w:val="24"/>
      <w:szCs w:val="16"/>
    </w:rPr>
  </w:style>
  <w:style w:type="character" w:styleId="Hyperlink">
    <w:name w:val="Hyperlink"/>
    <w:rsid w:val="002C3973"/>
    <w:rPr>
      <w:color w:val="0000FF"/>
      <w:u w:val="single"/>
    </w:rPr>
  </w:style>
  <w:style w:type="character" w:styleId="FollowedHyperlink">
    <w:name w:val="FollowedHyperlink"/>
    <w:rsid w:val="002C3973"/>
    <w:rPr>
      <w:color w:val="800080"/>
      <w:u w:val="single"/>
    </w:rPr>
  </w:style>
  <w:style w:type="character" w:styleId="PlaceholderText">
    <w:name w:val="Placeholder Text"/>
    <w:basedOn w:val="DefaultParagraphFont"/>
    <w:rsid w:val="002C3973"/>
    <w:rPr>
      <w:color w:val="808080"/>
    </w:rPr>
  </w:style>
  <w:style w:type="character" w:customStyle="1" w:styleId="EndNoteBibliographyTitleChar">
    <w:name w:val="EndNote Bibliography Title Char"/>
    <w:rsid w:val="002C3973"/>
    <w:rPr>
      <w:rFonts w:ascii="Times New Roman" w:hAnsi="Times New Roman"/>
      <w:color w:val="000000"/>
      <w:sz w:val="22"/>
      <w:szCs w:val="22"/>
    </w:rPr>
  </w:style>
  <w:style w:type="character" w:customStyle="1" w:styleId="EndNoteBibliographyTitleChar1">
    <w:name w:val="EndNote Bibliography Title Char1"/>
    <w:rsid w:val="002C3973"/>
    <w:rPr>
      <w:rFonts w:ascii="Times New Roman" w:hAnsi="Times New Roman"/>
      <w:color w:val="000000"/>
      <w:sz w:val="22"/>
      <w:szCs w:val="22"/>
    </w:rPr>
  </w:style>
  <w:style w:type="character" w:customStyle="1" w:styleId="EndNoteBibliographyTitleChar2">
    <w:name w:val="EndNote Bibliography Title Char2"/>
    <w:basedOn w:val="ColorfulList-Accent1Char"/>
    <w:rsid w:val="002C3973"/>
    <w:rPr>
      <w:rFonts w:ascii="Times New Roman" w:eastAsia="Calibri" w:hAnsi="Times New Roman" w:cs="Times New Roman"/>
      <w:color w:val="000000"/>
    </w:rPr>
  </w:style>
  <w:style w:type="character" w:customStyle="1" w:styleId="EndNoteBibliographyTitleChar3">
    <w:name w:val="EndNote Bibliography Title Char3"/>
    <w:basedOn w:val="ColorfulList-Accent1Char"/>
    <w:rsid w:val="002C3973"/>
    <w:rPr>
      <w:rFonts w:ascii="Times New Roman" w:eastAsia="Calibri" w:hAnsi="Times New Roman" w:cs="Times New Roman"/>
      <w:color w:val="000000"/>
    </w:rPr>
  </w:style>
  <w:style w:type="character" w:customStyle="1" w:styleId="EndNoteBibliographyTitleChar4">
    <w:name w:val="EndNote Bibliography Title Char4"/>
    <w:basedOn w:val="ColorfulList-Accent1Char"/>
    <w:rsid w:val="002C3973"/>
    <w:rPr>
      <w:rFonts w:ascii="Times New Roman" w:eastAsia="Calibri" w:hAnsi="Times New Roman" w:cs="Times New Roman"/>
      <w:color w:val="000000"/>
    </w:rPr>
  </w:style>
  <w:style w:type="character" w:customStyle="1" w:styleId="EndNoteBibliographyTitleChar5">
    <w:name w:val="EndNote Bibliography Title Char5"/>
    <w:basedOn w:val="ColorfulList-Accent1Char"/>
    <w:rsid w:val="002C3973"/>
    <w:rPr>
      <w:rFonts w:ascii="Times New Roman" w:eastAsia="Calibri" w:hAnsi="Times New Roman" w:cs="Times New Roman"/>
      <w:color w:val="000000"/>
    </w:rPr>
  </w:style>
  <w:style w:type="character" w:customStyle="1" w:styleId="EndNoteBibliographyTitleChar6">
    <w:name w:val="EndNote Bibliography Title Char6"/>
    <w:basedOn w:val="ColorfulList-Accent1Char"/>
    <w:rsid w:val="002C3973"/>
    <w:rPr>
      <w:rFonts w:ascii="Times New Roman" w:eastAsia="Calibri" w:hAnsi="Times New Roman" w:cs="Times New Roman"/>
      <w:color w:val="000000"/>
    </w:rPr>
  </w:style>
  <w:style w:type="character" w:customStyle="1" w:styleId="EndNoteBibliographyTitleChar7">
    <w:name w:val="EndNote Bibliography Title Char7"/>
    <w:basedOn w:val="ColorfulList-Accent1Char"/>
    <w:rsid w:val="002C3973"/>
    <w:rPr>
      <w:rFonts w:ascii="Times New Roman" w:eastAsia="Calibri" w:hAnsi="Times New Roman" w:cs="Times New Roman"/>
      <w:color w:val="000000"/>
    </w:rPr>
  </w:style>
  <w:style w:type="character" w:customStyle="1" w:styleId="EndNoteBibliographyTitleChar8">
    <w:name w:val="EndNote Bibliography Title Char8"/>
    <w:basedOn w:val="ColorfulList-Accent1Char"/>
    <w:rsid w:val="002C3973"/>
    <w:rPr>
      <w:rFonts w:ascii="Times New Roman" w:eastAsia="Calibri" w:hAnsi="Times New Roman" w:cs="Times New Roman"/>
      <w:color w:val="000000"/>
    </w:rPr>
  </w:style>
  <w:style w:type="character" w:customStyle="1" w:styleId="EndNoteBibliographyTitleChar9">
    <w:name w:val="EndNote Bibliography Title Char9"/>
    <w:basedOn w:val="ColorfulList-Accent1Char"/>
    <w:rsid w:val="002C3973"/>
    <w:rPr>
      <w:rFonts w:ascii="Times New Roman" w:eastAsia="Calibri" w:hAnsi="Times New Roman" w:cs="Times New Roman"/>
      <w:color w:val="000000"/>
    </w:rPr>
  </w:style>
  <w:style w:type="character" w:customStyle="1" w:styleId="EndNoteBibliographyTitleChar10">
    <w:name w:val="EndNote Bibliography Title Char10"/>
    <w:basedOn w:val="ColorfulList-Accent1Char"/>
    <w:rsid w:val="002C3973"/>
    <w:rPr>
      <w:rFonts w:ascii="Times New Roman" w:eastAsia="Calibri" w:hAnsi="Times New Roman" w:cs="Times New Roman"/>
      <w:color w:val="000000"/>
    </w:rPr>
  </w:style>
  <w:style w:type="character" w:customStyle="1" w:styleId="EndNoteBibliographyTitleChar11">
    <w:name w:val="EndNote Bibliography Title Char11"/>
    <w:basedOn w:val="ColorfulList-Accent1Char"/>
    <w:rsid w:val="002C3973"/>
    <w:rPr>
      <w:rFonts w:ascii="Times New Roman" w:eastAsia="Calibri" w:hAnsi="Times New Roman" w:cs="Times New Roman"/>
      <w:color w:val="000000"/>
    </w:rPr>
  </w:style>
  <w:style w:type="character" w:customStyle="1" w:styleId="EndNoteBibliographyTitleChar12">
    <w:name w:val="EndNote Bibliography Title Char12"/>
    <w:basedOn w:val="ColorfulList-Accent1Char"/>
    <w:rsid w:val="002C3973"/>
    <w:rPr>
      <w:rFonts w:ascii="Times New Roman" w:eastAsia="Calibri" w:hAnsi="Times New Roman" w:cs="Times New Roman"/>
      <w:color w:val="000000"/>
    </w:rPr>
  </w:style>
  <w:style w:type="character" w:customStyle="1" w:styleId="EndNoteBibliographyTitleChar13">
    <w:name w:val="EndNote Bibliography Title Char13"/>
    <w:basedOn w:val="ColorfulList-Accent1Char"/>
    <w:rsid w:val="002C3973"/>
    <w:rPr>
      <w:rFonts w:ascii="Times New Roman" w:eastAsia="Calibri" w:hAnsi="Times New Roman" w:cs="Times New Roman"/>
      <w:color w:val="000000"/>
    </w:rPr>
  </w:style>
  <w:style w:type="character" w:customStyle="1" w:styleId="EndNoteBibliographyTitleChar14">
    <w:name w:val="EndNote Bibliography Title Char14"/>
    <w:basedOn w:val="ColorfulList-Accent1Char"/>
    <w:rsid w:val="002C3973"/>
    <w:rPr>
      <w:rFonts w:ascii="Times New Roman" w:eastAsia="Calibri" w:hAnsi="Times New Roman" w:cs="Times New Roman"/>
      <w:color w:val="000000"/>
    </w:rPr>
  </w:style>
  <w:style w:type="character" w:customStyle="1" w:styleId="EndNoteBibliographyTitleChar15">
    <w:name w:val="EndNote Bibliography Title Char15"/>
    <w:basedOn w:val="ColorfulList-Accent1Char"/>
    <w:rsid w:val="002C3973"/>
    <w:rPr>
      <w:rFonts w:ascii="Times New Roman" w:eastAsia="Calibri" w:hAnsi="Times New Roman" w:cs="Times New Roman"/>
      <w:color w:val="000000"/>
    </w:rPr>
  </w:style>
  <w:style w:type="character" w:customStyle="1" w:styleId="EndNoteBibliographyTitleChar16">
    <w:name w:val="EndNote Bibliography Title Char16"/>
    <w:basedOn w:val="ColorfulList-Accent1Char"/>
    <w:rsid w:val="002C3973"/>
    <w:rPr>
      <w:rFonts w:ascii="Times New Roman" w:eastAsia="Calibri" w:hAnsi="Times New Roman" w:cs="Times New Roman"/>
      <w:color w:val="000000"/>
    </w:rPr>
  </w:style>
  <w:style w:type="character" w:customStyle="1" w:styleId="EndNoteBibliographyTitleChar17">
    <w:name w:val="EndNote Bibliography Title Char17"/>
    <w:basedOn w:val="ColorfulList-Accent1Char"/>
    <w:rsid w:val="002C3973"/>
    <w:rPr>
      <w:rFonts w:ascii="Times New Roman" w:eastAsia="Calibri" w:hAnsi="Times New Roman" w:cs="Times New Roman"/>
      <w:color w:val="000000"/>
    </w:rPr>
  </w:style>
  <w:style w:type="character" w:customStyle="1" w:styleId="EndNoteBibliographyTitleChar18">
    <w:name w:val="EndNote Bibliography Title Char18"/>
    <w:basedOn w:val="ColorfulList-Accent1Char"/>
    <w:rsid w:val="002C3973"/>
    <w:rPr>
      <w:rFonts w:ascii="Times New Roman" w:eastAsia="Calibri" w:hAnsi="Times New Roman" w:cs="Times New Roman"/>
      <w:color w:val="000000"/>
    </w:rPr>
  </w:style>
  <w:style w:type="character" w:customStyle="1" w:styleId="EndNoteBibliographyTitleChar19">
    <w:name w:val="EndNote Bibliography Title Char19"/>
    <w:basedOn w:val="ColorfulList-Accent1Char"/>
    <w:rsid w:val="002C3973"/>
    <w:rPr>
      <w:rFonts w:ascii="Times New Roman" w:eastAsia="Calibri" w:hAnsi="Times New Roman" w:cs="Times New Roman"/>
      <w:color w:val="000000"/>
    </w:rPr>
  </w:style>
  <w:style w:type="paragraph" w:customStyle="1" w:styleId="EndNoteBibliographyTitle">
    <w:name w:val="EndNote Bibliography Title"/>
    <w:basedOn w:val="Normal"/>
    <w:link w:val="EndNoteBibliographyTitleChar20"/>
    <w:rsid w:val="002C3973"/>
    <w:pPr>
      <w:spacing w:after="0"/>
      <w:jc w:val="center"/>
    </w:pPr>
    <w:rPr>
      <w:noProof/>
    </w:rPr>
  </w:style>
  <w:style w:type="character" w:customStyle="1" w:styleId="EndNoteBibliographyTitleChar20">
    <w:name w:val="EndNote Bibliography Title Char20"/>
    <w:basedOn w:val="ColorfulList-Accent1Char"/>
    <w:link w:val="EndNoteBibliographyTitle"/>
    <w:rsid w:val="002C3973"/>
    <w:rPr>
      <w:rFonts w:ascii="Calibri" w:eastAsia="Calibri" w:hAnsi="Calibri" w:cs="Times New Roman"/>
      <w:noProof/>
    </w:rPr>
  </w:style>
  <w:style w:type="paragraph" w:customStyle="1" w:styleId="EndNoteBibliography">
    <w:name w:val="EndNote Bibliography"/>
    <w:basedOn w:val="Normal"/>
    <w:link w:val="EndNoteBibliographyChar"/>
    <w:rsid w:val="002C3973"/>
    <w:pPr>
      <w:spacing w:line="240" w:lineRule="auto"/>
    </w:pPr>
    <w:rPr>
      <w:noProof/>
    </w:rPr>
  </w:style>
  <w:style w:type="character" w:customStyle="1" w:styleId="EndNoteBibliographyChar">
    <w:name w:val="EndNote Bibliography Char"/>
    <w:basedOn w:val="ColorfulList-Accent1Char"/>
    <w:link w:val="EndNoteBibliography"/>
    <w:rsid w:val="002C3973"/>
    <w:rPr>
      <w:rFonts w:ascii="Calibri" w:eastAsia="Calibri" w:hAnsi="Calibri" w:cs="Times New Roman"/>
      <w:noProof/>
    </w:rPr>
  </w:style>
  <w:style w:type="paragraph" w:customStyle="1" w:styleId="AutoNumpara">
    <w:name w:val="AutoNumpara"/>
    <w:basedOn w:val="BodyTextIndent"/>
    <w:rsid w:val="002C3973"/>
    <w:pPr>
      <w:tabs>
        <w:tab w:val="num" w:pos="720"/>
      </w:tabs>
      <w:spacing w:before="120"/>
      <w:ind w:left="720" w:hanging="720"/>
      <w:jc w:val="both"/>
    </w:pPr>
    <w:rPr>
      <w:rFonts w:eastAsia="Times New Roman"/>
      <w:noProof/>
      <w:spacing w:val="-2"/>
      <w:szCs w:val="20"/>
      <w:lang w:val="es-ES_tradnl"/>
    </w:rPr>
  </w:style>
  <w:style w:type="paragraph" w:styleId="ListParagraph">
    <w:name w:val="List Paragraph"/>
    <w:basedOn w:val="Normal"/>
    <w:uiPriority w:val="34"/>
    <w:qFormat/>
    <w:rsid w:val="002C3973"/>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8721897"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dbdocs.iadb.org/wsdocs/getDocument.aspx?DOCNUM=38721894"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872188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J:\IDB20140318\PROJECTS\BRASIL\ESPIRITO%20SANTO\ES%20IMPACT%20EVALUATION%20PLAN\FINAL\MSAM%20TEMPLATE.xlsx"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mit.edu/~jhainm/synthpage.html" TargetMode="External"/><Relationship Id="rId1" Type="http://schemas.openxmlformats.org/officeDocument/2006/relationships/hyperlink" Target="http://portal.mte.gov.br/ra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F12BD0003DAEC4AB2E04F14821B4F64" ma:contentTypeVersion="0" ma:contentTypeDescription="A content type to manage public (operations) IDB documents" ma:contentTypeScope="" ma:versionID="7b66b07bcabf0fe8142d500a10d55b51">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38689367</IDBDocs_x0020_Number>
    <Document_x0020_Author xmlns="9c571b2f-e523-4ab2-ba2e-09e151a03ef4">Moreda Mora, Adela</Document_x0020_Author>
    <Publication_x0020_Type xmlns="9c571b2f-e523-4ab2-ba2e-09e151a03ef4" xsi:nil="true"/>
    <Operation_x0020_Type xmlns="9c571b2f-e523-4ab2-ba2e-09e151a03ef4" xsi:nil="true"/>
    <TaxCatchAll xmlns="9c571b2f-e523-4ab2-ba2e-09e151a03ef4">
      <Value>1</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BR-L1219</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Proposal&lt;/USER_STAGE&gt;&lt;PD_OBJ_TYPE&gt;0&lt;/PD_OBJ_TYPE&gt;&lt;MAKERECORD&gt;Y&lt;/MAKERECORD&gt;&lt;PD_FILEPT_NO&gt;PO-BR-L1219-Plan&lt;/PD_FILEPT_NO&gt;&lt;/Data&gt;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Pa-eco</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4F4CCB9B-0376-4808-8841-5C62D066EFC2}"/>
</file>

<file path=customXml/itemProps2.xml><?xml version="1.0" encoding="utf-8"?>
<ds:datastoreItem xmlns:ds="http://schemas.openxmlformats.org/officeDocument/2006/customXml" ds:itemID="{179AA189-1380-4438-9C88-4B451C91C00D}"/>
</file>

<file path=customXml/itemProps3.xml><?xml version="1.0" encoding="utf-8"?>
<ds:datastoreItem xmlns:ds="http://schemas.openxmlformats.org/officeDocument/2006/customXml" ds:itemID="{4FB70AEA-0EAF-4E9D-955D-55082E2EC76B}"/>
</file>

<file path=customXml/itemProps4.xml><?xml version="1.0" encoding="utf-8"?>
<ds:datastoreItem xmlns:ds="http://schemas.openxmlformats.org/officeDocument/2006/customXml" ds:itemID="{1446F114-C95F-43B8-AE6D-D4FE351B5EBC}"/>
</file>

<file path=customXml/itemProps5.xml><?xml version="1.0" encoding="utf-8"?>
<ds:datastoreItem xmlns:ds="http://schemas.openxmlformats.org/officeDocument/2006/customXml" ds:itemID="{2DAF5FFF-5CDB-42A0-ABA7-C816422F2CED}"/>
</file>

<file path=customXml/itemProps6.xml><?xml version="1.0" encoding="utf-8"?>
<ds:datastoreItem xmlns:ds="http://schemas.openxmlformats.org/officeDocument/2006/customXml" ds:itemID="{BB0A8677-AA17-4CAA-A05A-82C44A9080C3}"/>
</file>

<file path=docProps/app.xml><?xml version="1.0" encoding="utf-8"?>
<Properties xmlns="http://schemas.openxmlformats.org/officeDocument/2006/extended-properties" xmlns:vt="http://schemas.openxmlformats.org/officeDocument/2006/docPropsVTypes">
  <Template>Normal.dotm</Template>
  <TotalTime>0</TotalTime>
  <Pages>38</Pages>
  <Words>10764</Words>
  <Characters>61356</Characters>
  <Application>Microsoft Office Word</Application>
  <DocSecurity>4</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 BR-L1219</dc:title>
  <dc:creator>Onil Banerjee</dc:creator>
  <cp:lastModifiedBy>Inter-American Development Bank</cp:lastModifiedBy>
  <cp:revision>2</cp:revision>
  <dcterms:created xsi:type="dcterms:W3CDTF">2014-05-28T21:12:00Z</dcterms:created>
  <dcterms:modified xsi:type="dcterms:W3CDTF">2014-05-28T21:12:00Z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0x01010046CF21643EE8D14686A648AA6DAD089200FF12BD0003DAEC4AB2E04F14821B4F64</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1;#Monitoring and Reporting|df3c2aa1-d63e-41aa-b1f5-bb15dee691ca</vt:lpwstr>
  </property>
</Properties>
</file>