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32918" w14:textId="77777777" w:rsidR="00AE2BDA" w:rsidRPr="00D3356D" w:rsidRDefault="00AE2BDA" w:rsidP="00253D5A">
      <w:pPr>
        <w:pStyle w:val="Heading1"/>
        <w:rPr>
          <w:b/>
          <w:bCs/>
          <w:sz w:val="22"/>
          <w:szCs w:val="22"/>
          <w:u w:val="none"/>
          <w:lang w:val="es-ES_tradnl"/>
        </w:rPr>
      </w:pPr>
      <w:r w:rsidRPr="00D3356D">
        <w:rPr>
          <w:b/>
          <w:bCs/>
          <w:sz w:val="22"/>
          <w:szCs w:val="22"/>
          <w:u w:val="none"/>
          <w:lang w:val="es-ES_tradnl"/>
        </w:rPr>
        <w:t>ANEX</w:t>
      </w:r>
      <w:r w:rsidR="00930FFF" w:rsidRPr="00D3356D">
        <w:rPr>
          <w:b/>
          <w:bCs/>
          <w:sz w:val="22"/>
          <w:szCs w:val="22"/>
          <w:u w:val="none"/>
          <w:lang w:val="es-ES_tradnl"/>
        </w:rPr>
        <w:t>O</w:t>
      </w:r>
      <w:r w:rsidRPr="00D3356D">
        <w:rPr>
          <w:b/>
          <w:bCs/>
          <w:sz w:val="22"/>
          <w:szCs w:val="22"/>
          <w:u w:val="none"/>
          <w:lang w:val="es-ES_tradnl"/>
        </w:rPr>
        <w:t xml:space="preserve"> A</w:t>
      </w:r>
    </w:p>
    <w:p w14:paraId="4CF32919" w14:textId="77777777" w:rsidR="00AE2BDA" w:rsidRPr="00D3356D" w:rsidRDefault="00AE2BDA" w:rsidP="00253D5A">
      <w:pPr>
        <w:rPr>
          <w:sz w:val="22"/>
          <w:szCs w:val="22"/>
          <w:u w:val="single"/>
          <w:lang w:val="es-ES_tradnl"/>
        </w:rPr>
      </w:pPr>
    </w:p>
    <w:p w14:paraId="4CF3291A" w14:textId="2C0A2D92" w:rsidR="00AE2BDA" w:rsidRPr="00D3356D" w:rsidRDefault="00145517" w:rsidP="00253D5A">
      <w:pPr>
        <w:rPr>
          <w:b/>
          <w:bCs/>
          <w:sz w:val="22"/>
          <w:szCs w:val="22"/>
          <w:lang w:val="es-ES_tradnl"/>
        </w:rPr>
      </w:pPr>
      <w:r w:rsidRPr="00D3356D">
        <w:rPr>
          <w:b/>
          <w:bCs/>
          <w:sz w:val="22"/>
          <w:szCs w:val="22"/>
          <w:lang w:val="es-ES_tradnl"/>
        </w:rPr>
        <w:t>Ecuador</w:t>
      </w:r>
    </w:p>
    <w:p w14:paraId="281E5DF8" w14:textId="77777777" w:rsidR="00202CC0" w:rsidRPr="00D3356D" w:rsidRDefault="00202CC0" w:rsidP="00253D5A">
      <w:pPr>
        <w:rPr>
          <w:b/>
          <w:bCs/>
          <w:sz w:val="22"/>
          <w:szCs w:val="22"/>
          <w:lang w:val="es-ES_tradnl"/>
        </w:rPr>
      </w:pPr>
    </w:p>
    <w:p w14:paraId="3007B555" w14:textId="329DECFB" w:rsidR="00202CC0" w:rsidRPr="00D3356D" w:rsidRDefault="009B57DE" w:rsidP="00253D5A">
      <w:pPr>
        <w:rPr>
          <w:b/>
          <w:bCs/>
          <w:sz w:val="22"/>
          <w:szCs w:val="22"/>
          <w:lang w:val="es-ES_tradnl"/>
        </w:rPr>
      </w:pPr>
      <w:r w:rsidRPr="00D3356D">
        <w:rPr>
          <w:b/>
          <w:bCs/>
          <w:sz w:val="22"/>
          <w:szCs w:val="22"/>
          <w:lang w:val="es-ES_tradnl"/>
        </w:rPr>
        <w:t>WSA/CEC</w:t>
      </w:r>
    </w:p>
    <w:p w14:paraId="32C4473C" w14:textId="77777777" w:rsidR="00202CC0" w:rsidRPr="00D3356D" w:rsidRDefault="00202CC0" w:rsidP="00253D5A">
      <w:pPr>
        <w:rPr>
          <w:b/>
          <w:bCs/>
          <w:sz w:val="22"/>
          <w:szCs w:val="22"/>
          <w:lang w:val="es-ES_tradnl"/>
        </w:rPr>
      </w:pPr>
    </w:p>
    <w:p w14:paraId="365A9DCE" w14:textId="44437DC0" w:rsidR="00EB5F2B" w:rsidRPr="00D3356D" w:rsidRDefault="00EB1C35" w:rsidP="00253D5A">
      <w:pPr>
        <w:rPr>
          <w:iCs/>
          <w:sz w:val="22"/>
          <w:szCs w:val="22"/>
          <w:lang w:val="es-ES"/>
        </w:rPr>
      </w:pPr>
      <w:r w:rsidRPr="00D3356D">
        <w:rPr>
          <w:iCs/>
          <w:sz w:val="22"/>
          <w:szCs w:val="22"/>
          <w:lang w:val="es-ES"/>
        </w:rPr>
        <w:t xml:space="preserve">Acompañamiento y apoyo a la Subsecretaría de Agua Potable y Saneamiento de la SENAGUA para </w:t>
      </w:r>
      <w:r w:rsidR="000E7C4E" w:rsidRPr="00D3356D">
        <w:rPr>
          <w:iCs/>
          <w:sz w:val="22"/>
          <w:szCs w:val="22"/>
          <w:lang w:val="es-ES"/>
        </w:rPr>
        <w:t xml:space="preserve">el arranque de </w:t>
      </w:r>
      <w:r w:rsidRPr="00D3356D">
        <w:rPr>
          <w:iCs/>
          <w:sz w:val="22"/>
          <w:szCs w:val="22"/>
          <w:lang w:val="es-ES"/>
        </w:rPr>
        <w:t>la Estrategia Nacional de Agua Potable y Saneamiento ENAS.</w:t>
      </w:r>
    </w:p>
    <w:p w14:paraId="6A4EF10B" w14:textId="77777777" w:rsidR="00202CC0" w:rsidRPr="00D3356D" w:rsidRDefault="00202CC0" w:rsidP="00253D5A">
      <w:pPr>
        <w:rPr>
          <w:i/>
          <w:iCs/>
          <w:sz w:val="22"/>
          <w:szCs w:val="22"/>
          <w:lang w:val="es-ES"/>
        </w:rPr>
      </w:pPr>
    </w:p>
    <w:p w14:paraId="4CF3291E" w14:textId="77777777" w:rsidR="00AE2BDA" w:rsidRPr="00D3356D" w:rsidRDefault="00AE2BDA" w:rsidP="00202CC0">
      <w:pPr>
        <w:rPr>
          <w:b/>
          <w:bCs/>
          <w:sz w:val="22"/>
          <w:szCs w:val="22"/>
          <w:lang w:val="es-ES"/>
        </w:rPr>
      </w:pPr>
      <w:r w:rsidRPr="00D3356D">
        <w:rPr>
          <w:b/>
          <w:bCs/>
          <w:sz w:val="22"/>
          <w:szCs w:val="22"/>
          <w:lang w:val="es-ES"/>
        </w:rPr>
        <w:t>TERM</w:t>
      </w:r>
      <w:r w:rsidR="00D956AD" w:rsidRPr="00D3356D">
        <w:rPr>
          <w:b/>
          <w:bCs/>
          <w:sz w:val="22"/>
          <w:szCs w:val="22"/>
          <w:lang w:val="es-ES"/>
        </w:rPr>
        <w:t>INO</w:t>
      </w:r>
      <w:r w:rsidRPr="00D3356D">
        <w:rPr>
          <w:b/>
          <w:bCs/>
          <w:sz w:val="22"/>
          <w:szCs w:val="22"/>
          <w:lang w:val="es-ES"/>
        </w:rPr>
        <w:t xml:space="preserve">S </w:t>
      </w:r>
      <w:r w:rsidR="00D956AD" w:rsidRPr="00D3356D">
        <w:rPr>
          <w:b/>
          <w:bCs/>
          <w:sz w:val="22"/>
          <w:szCs w:val="22"/>
          <w:lang w:val="es-ES"/>
        </w:rPr>
        <w:t>DE</w:t>
      </w:r>
      <w:r w:rsidRPr="00D3356D">
        <w:rPr>
          <w:b/>
          <w:bCs/>
          <w:sz w:val="22"/>
          <w:szCs w:val="22"/>
          <w:lang w:val="es-ES"/>
        </w:rPr>
        <w:t xml:space="preserve"> REFERENC</w:t>
      </w:r>
      <w:r w:rsidR="00D956AD" w:rsidRPr="00D3356D">
        <w:rPr>
          <w:b/>
          <w:bCs/>
          <w:sz w:val="22"/>
          <w:szCs w:val="22"/>
          <w:lang w:val="es-ES"/>
        </w:rPr>
        <w:t>IA</w:t>
      </w:r>
    </w:p>
    <w:p w14:paraId="4CF3291F" w14:textId="77777777" w:rsidR="00AE2BDA" w:rsidRPr="00D3356D" w:rsidRDefault="00AE2BDA" w:rsidP="00253D5A">
      <w:pPr>
        <w:jc w:val="both"/>
        <w:rPr>
          <w:b/>
          <w:bCs/>
          <w:sz w:val="22"/>
          <w:szCs w:val="22"/>
          <w:lang w:val="es-ES"/>
        </w:rPr>
      </w:pPr>
    </w:p>
    <w:p w14:paraId="4CF32920" w14:textId="07613076" w:rsidR="004F2393" w:rsidRPr="00D3356D" w:rsidRDefault="00202CC0" w:rsidP="00253D5A">
      <w:pPr>
        <w:jc w:val="both"/>
        <w:rPr>
          <w:b/>
          <w:bCs/>
          <w:sz w:val="22"/>
          <w:szCs w:val="22"/>
          <w:lang w:val="es-ES"/>
        </w:rPr>
      </w:pPr>
      <w:r w:rsidRPr="00D3356D">
        <w:rPr>
          <w:b/>
          <w:bCs/>
          <w:sz w:val="22"/>
          <w:szCs w:val="22"/>
          <w:lang w:val="es-ES"/>
        </w:rPr>
        <w:t>Antecedentes</w:t>
      </w:r>
    </w:p>
    <w:p w14:paraId="368CDD95" w14:textId="77777777" w:rsidR="00202CC0" w:rsidRPr="00D3356D" w:rsidRDefault="00202CC0" w:rsidP="00253D5A">
      <w:pPr>
        <w:jc w:val="both"/>
        <w:rPr>
          <w:b/>
          <w:bCs/>
          <w:sz w:val="22"/>
          <w:szCs w:val="22"/>
          <w:lang w:val="es-ES"/>
        </w:rPr>
      </w:pPr>
    </w:p>
    <w:p w14:paraId="2EF34257" w14:textId="77777777" w:rsidR="00145517" w:rsidRPr="00D3356D" w:rsidRDefault="00145517" w:rsidP="00145517">
      <w:pPr>
        <w:autoSpaceDE w:val="0"/>
        <w:autoSpaceDN w:val="0"/>
        <w:adjustRightInd w:val="0"/>
        <w:jc w:val="both"/>
        <w:rPr>
          <w:rFonts w:eastAsia="SimSun"/>
          <w:bCs/>
          <w:sz w:val="22"/>
          <w:szCs w:val="22"/>
          <w:lang w:val="es-ES" w:bidi="km-KH"/>
        </w:rPr>
      </w:pPr>
      <w:r w:rsidRPr="00D3356D">
        <w:rPr>
          <w:rFonts w:eastAsia="SimSun"/>
          <w:bCs/>
          <w:sz w:val="22"/>
          <w:szCs w:val="22"/>
          <w:lang w:val="es-ES" w:bidi="km-KH"/>
        </w:rPr>
        <w:t>El 30 de junio de 2016 la Secretaría del Agua SENAGUA realizó el lanzamiento oficial de la Estrategia Nacional de Agua Potable y Saneamiento ENAS; documento que se centra en analizar el papel que deben jugar las instituciones del Estado Central, las asociaciones de prestadores de servicio y municipios y otras organizaciones de ámbito supra-municipal para dirigir, incentivar, facilitar y acompañar un mayor esfuerzo municipal para la consecución del acceso universal a los servicios de agua potable y saneamiento de la población ecuatoriana, en condiciones de calidad y sostenibilidad. La ENAS aterriza en una propuesta de programas y acciones concretas con la intención de centrar el diálogo con cada una de las diferentes partes involucradas en la implementación de la Estrategia.</w:t>
      </w:r>
    </w:p>
    <w:p w14:paraId="4544D3EE" w14:textId="77777777" w:rsidR="00145517" w:rsidRPr="00D3356D" w:rsidRDefault="00145517" w:rsidP="00145517">
      <w:pPr>
        <w:autoSpaceDE w:val="0"/>
        <w:autoSpaceDN w:val="0"/>
        <w:adjustRightInd w:val="0"/>
        <w:jc w:val="both"/>
        <w:rPr>
          <w:rFonts w:eastAsia="SimSun"/>
          <w:bCs/>
          <w:sz w:val="22"/>
          <w:szCs w:val="22"/>
          <w:lang w:val="es-ES" w:bidi="km-KH"/>
        </w:rPr>
      </w:pPr>
    </w:p>
    <w:p w14:paraId="7C832082" w14:textId="77777777" w:rsidR="00145517" w:rsidRPr="00D3356D" w:rsidRDefault="00145517" w:rsidP="00145517">
      <w:pPr>
        <w:autoSpaceDE w:val="0"/>
        <w:autoSpaceDN w:val="0"/>
        <w:adjustRightInd w:val="0"/>
        <w:jc w:val="both"/>
        <w:rPr>
          <w:rFonts w:eastAsia="SimSun"/>
          <w:bCs/>
          <w:sz w:val="22"/>
          <w:szCs w:val="22"/>
          <w:lang w:val="es-ES" w:bidi="km-KH"/>
        </w:rPr>
      </w:pPr>
      <w:r w:rsidRPr="00D3356D">
        <w:rPr>
          <w:rFonts w:eastAsia="SimSun"/>
          <w:bCs/>
          <w:sz w:val="22"/>
          <w:szCs w:val="22"/>
          <w:lang w:val="es-ES" w:bidi="km-KH"/>
        </w:rPr>
        <w:t>Estas acciones o lineamientos estratégicos abarcan los ámbitos: económico, financiero, normativo, institucional y legal, y compromete a instituciones como el Ministerio de Finanzas, Banco de Desarrollo del Ecuador B.P., Secretaría de Planificación y Desarrollo SENPLADES, Ministerio del Ambiente MAE, Ministerio de Salud Pública MSP y el Consejo Nacional de Competencias CNC, con el liderazgo del Rector, la Subsecretaría de Agua Potable y Saneamiento de la SENAGUA.</w:t>
      </w:r>
    </w:p>
    <w:p w14:paraId="4D830D44" w14:textId="77777777" w:rsidR="00145517" w:rsidRPr="00D3356D" w:rsidRDefault="00145517" w:rsidP="00145517">
      <w:pPr>
        <w:autoSpaceDE w:val="0"/>
        <w:autoSpaceDN w:val="0"/>
        <w:adjustRightInd w:val="0"/>
        <w:jc w:val="both"/>
        <w:rPr>
          <w:rFonts w:eastAsia="SimSun"/>
          <w:bCs/>
          <w:sz w:val="22"/>
          <w:szCs w:val="22"/>
          <w:lang w:val="es-ES" w:bidi="km-KH"/>
        </w:rPr>
      </w:pPr>
    </w:p>
    <w:p w14:paraId="37A0D53A" w14:textId="5675B6C7" w:rsidR="00145517" w:rsidRPr="00D3356D" w:rsidRDefault="00145517" w:rsidP="00145517">
      <w:pPr>
        <w:autoSpaceDE w:val="0"/>
        <w:autoSpaceDN w:val="0"/>
        <w:adjustRightInd w:val="0"/>
        <w:jc w:val="both"/>
        <w:rPr>
          <w:rFonts w:eastAsiaTheme="minorEastAsia"/>
          <w:b/>
          <w:bCs/>
          <w:color w:val="FFFFFF"/>
          <w:sz w:val="22"/>
          <w:szCs w:val="22"/>
          <w:lang w:val="es-EC"/>
        </w:rPr>
      </w:pPr>
      <w:r w:rsidRPr="00D3356D">
        <w:rPr>
          <w:rFonts w:eastAsia="SimSun"/>
          <w:bCs/>
          <w:sz w:val="22"/>
          <w:szCs w:val="22"/>
          <w:lang w:val="es-ES" w:bidi="km-KH"/>
        </w:rPr>
        <w:t>En este contexto, en la implementación de la ENAS, se requiere</w:t>
      </w:r>
      <w:r w:rsidR="000E7C4E" w:rsidRPr="00D3356D">
        <w:rPr>
          <w:rFonts w:eastAsia="SimSun"/>
          <w:bCs/>
          <w:sz w:val="22"/>
          <w:szCs w:val="22"/>
          <w:lang w:val="es-ES" w:bidi="km-KH"/>
        </w:rPr>
        <w:t xml:space="preserve"> apoyar y </w:t>
      </w:r>
      <w:r w:rsidRPr="00D3356D">
        <w:rPr>
          <w:rFonts w:eastAsia="SimSun"/>
          <w:bCs/>
          <w:sz w:val="22"/>
          <w:szCs w:val="22"/>
          <w:lang w:val="es-ES" w:bidi="km-KH"/>
        </w:rPr>
        <w:t>fortalecer la capacidad de diálogo y negociación de la Subsecretaría de Agua Potable y Saneamiento, en ámbitos que van más allá de sus competencias sectoriales, que permitan llegar a acuerdos en la línea de implementar la ENAS.</w:t>
      </w:r>
    </w:p>
    <w:p w14:paraId="3020DEA6" w14:textId="77777777" w:rsidR="00145517" w:rsidRPr="00D3356D" w:rsidRDefault="00145517" w:rsidP="00145517">
      <w:pPr>
        <w:autoSpaceDE w:val="0"/>
        <w:autoSpaceDN w:val="0"/>
        <w:adjustRightInd w:val="0"/>
        <w:rPr>
          <w:rFonts w:eastAsiaTheme="minorHAnsi"/>
          <w:sz w:val="22"/>
          <w:szCs w:val="22"/>
          <w:lang w:val="es-AR"/>
        </w:rPr>
      </w:pPr>
      <w:r w:rsidRPr="00D3356D">
        <w:rPr>
          <w:rFonts w:eastAsiaTheme="minorEastAsia"/>
          <w:b/>
          <w:bCs/>
          <w:color w:val="FFFFFF"/>
          <w:sz w:val="22"/>
          <w:szCs w:val="22"/>
          <w:lang w:val="es-EC"/>
        </w:rPr>
        <w:t xml:space="preserve"> </w:t>
      </w:r>
    </w:p>
    <w:p w14:paraId="780A5234" w14:textId="13B361DF" w:rsidR="00145517" w:rsidRPr="00D3356D" w:rsidRDefault="00145517" w:rsidP="00145517">
      <w:pPr>
        <w:autoSpaceDE w:val="0"/>
        <w:autoSpaceDN w:val="0"/>
        <w:adjustRightInd w:val="0"/>
        <w:jc w:val="both"/>
        <w:rPr>
          <w:rFonts w:eastAsia="SimSun"/>
          <w:bCs/>
          <w:color w:val="FF0000"/>
          <w:sz w:val="22"/>
          <w:szCs w:val="22"/>
          <w:lang w:val="es-AR" w:bidi="km-KH"/>
        </w:rPr>
      </w:pPr>
      <w:r w:rsidRPr="00D3356D">
        <w:rPr>
          <w:rFonts w:eastAsiaTheme="minorHAnsi"/>
          <w:sz w:val="22"/>
          <w:szCs w:val="22"/>
          <w:lang w:val="es-AR"/>
        </w:rPr>
        <w:t>Ante esta situación, la Subsecretaría de Agua Potable y Saneamiento, solicita al</w:t>
      </w:r>
      <w:r w:rsidRPr="00D3356D">
        <w:rPr>
          <w:sz w:val="22"/>
          <w:szCs w:val="22"/>
          <w:lang w:val="es-EC" w:eastAsia="es-EC"/>
        </w:rPr>
        <w:t xml:space="preserve"> Banco Interamericano de Desarrollo BID una asistencia técnica, a través de una Cooperación Técnica no reembolsable, para cubrir los costos de una consultoría, para </w:t>
      </w:r>
      <w:r w:rsidRPr="00D3356D">
        <w:rPr>
          <w:rFonts w:eastAsia="SimSun"/>
          <w:bCs/>
          <w:sz w:val="22"/>
          <w:szCs w:val="22"/>
          <w:lang w:val="es-ES" w:bidi="km-KH"/>
        </w:rPr>
        <w:t>el</w:t>
      </w:r>
      <w:r w:rsidR="00EB1C35" w:rsidRPr="00D3356D">
        <w:rPr>
          <w:rFonts w:eastAsia="SimSun"/>
          <w:bCs/>
          <w:sz w:val="22"/>
          <w:szCs w:val="22"/>
          <w:lang w:val="es-ES" w:bidi="km-KH"/>
        </w:rPr>
        <w:t xml:space="preserve"> acompañamiento</w:t>
      </w:r>
      <w:r w:rsidR="00DD41AA" w:rsidRPr="00D3356D">
        <w:rPr>
          <w:rFonts w:eastAsia="SimSun"/>
          <w:bCs/>
          <w:sz w:val="22"/>
          <w:szCs w:val="22"/>
          <w:lang w:val="es-ES" w:bidi="km-KH"/>
        </w:rPr>
        <w:t xml:space="preserve">, asesoramiento y apoyo </w:t>
      </w:r>
      <w:r w:rsidRPr="00D3356D">
        <w:rPr>
          <w:sz w:val="22"/>
          <w:szCs w:val="22"/>
          <w:lang w:val="es-EC" w:eastAsia="es-EC"/>
        </w:rPr>
        <w:t>para liderar la implementación de la ENAS.</w:t>
      </w:r>
    </w:p>
    <w:p w14:paraId="3F00952B" w14:textId="77777777" w:rsidR="00145517" w:rsidRPr="00D3356D" w:rsidRDefault="00145517" w:rsidP="00145517">
      <w:pPr>
        <w:autoSpaceDE w:val="0"/>
        <w:autoSpaceDN w:val="0"/>
        <w:adjustRightInd w:val="0"/>
        <w:jc w:val="both"/>
        <w:rPr>
          <w:rFonts w:eastAsia="SimSun"/>
          <w:bCs/>
          <w:color w:val="FF0000"/>
          <w:sz w:val="22"/>
          <w:szCs w:val="22"/>
          <w:lang w:val="es-ES" w:bidi="km-KH"/>
        </w:rPr>
      </w:pPr>
    </w:p>
    <w:p w14:paraId="14676B44" w14:textId="78546437" w:rsidR="00145517" w:rsidRPr="00D3356D" w:rsidRDefault="00145517" w:rsidP="00145517">
      <w:pPr>
        <w:autoSpaceDE w:val="0"/>
        <w:autoSpaceDN w:val="0"/>
        <w:adjustRightInd w:val="0"/>
        <w:jc w:val="both"/>
        <w:rPr>
          <w:rFonts w:eastAsia="SimSun"/>
          <w:bCs/>
          <w:sz w:val="22"/>
          <w:szCs w:val="22"/>
          <w:lang w:val="es-ES" w:bidi="km-KH"/>
        </w:rPr>
      </w:pPr>
      <w:r w:rsidRPr="00D3356D">
        <w:rPr>
          <w:rFonts w:eastAsia="SimSun"/>
          <w:bCs/>
          <w:sz w:val="22"/>
          <w:szCs w:val="22"/>
          <w:lang w:val="es-ES" w:bidi="km-KH"/>
        </w:rPr>
        <w:t xml:space="preserve">Así, en el marco de los acuerdos entre la Subsecretaría de Agua Potable y Saneamiento y el BID, se contratará </w:t>
      </w:r>
      <w:r w:rsidR="00DD41AA" w:rsidRPr="00D3356D">
        <w:rPr>
          <w:rFonts w:eastAsia="SimSun"/>
          <w:bCs/>
          <w:sz w:val="22"/>
          <w:szCs w:val="22"/>
          <w:lang w:val="es-ES" w:bidi="km-KH"/>
        </w:rPr>
        <w:t>un</w:t>
      </w:r>
      <w:r w:rsidRPr="00D3356D">
        <w:rPr>
          <w:rFonts w:eastAsia="SimSun"/>
          <w:bCs/>
          <w:sz w:val="22"/>
          <w:szCs w:val="22"/>
          <w:lang w:val="es-ES" w:bidi="km-KH"/>
        </w:rPr>
        <w:t xml:space="preserve"> </w:t>
      </w:r>
      <w:r w:rsidR="00DD41AA" w:rsidRPr="00D3356D">
        <w:rPr>
          <w:rFonts w:eastAsia="SimSun"/>
          <w:bCs/>
          <w:sz w:val="22"/>
          <w:szCs w:val="22"/>
          <w:lang w:val="es-ES" w:bidi="km-KH"/>
        </w:rPr>
        <w:t>consultor</w:t>
      </w:r>
      <w:r w:rsidRPr="00D3356D">
        <w:rPr>
          <w:rFonts w:eastAsia="SimSun"/>
          <w:bCs/>
          <w:sz w:val="22"/>
          <w:szCs w:val="22"/>
          <w:lang w:val="es-ES" w:bidi="km-KH"/>
        </w:rPr>
        <w:t xml:space="preserve"> con </w:t>
      </w:r>
      <w:r w:rsidR="00DD41AA" w:rsidRPr="00D3356D">
        <w:rPr>
          <w:rFonts w:eastAsia="SimSun"/>
          <w:bCs/>
          <w:sz w:val="22"/>
          <w:szCs w:val="22"/>
          <w:lang w:val="es-ES" w:bidi="km-KH"/>
        </w:rPr>
        <w:t>el</w:t>
      </w:r>
      <w:r w:rsidRPr="00D3356D">
        <w:rPr>
          <w:rFonts w:eastAsia="SimSun"/>
          <w:bCs/>
          <w:sz w:val="22"/>
          <w:szCs w:val="22"/>
          <w:lang w:val="es-ES" w:bidi="km-KH"/>
        </w:rPr>
        <w:t xml:space="preserve"> siguiente perfil:</w:t>
      </w:r>
    </w:p>
    <w:p w14:paraId="5E8ABE9B" w14:textId="77777777" w:rsidR="00145517" w:rsidRPr="00D3356D" w:rsidRDefault="00145517" w:rsidP="00145517">
      <w:pPr>
        <w:autoSpaceDE w:val="0"/>
        <w:autoSpaceDN w:val="0"/>
        <w:adjustRightInd w:val="0"/>
        <w:jc w:val="both"/>
        <w:rPr>
          <w:rFonts w:eastAsia="SimSun"/>
          <w:bCs/>
          <w:sz w:val="22"/>
          <w:szCs w:val="22"/>
          <w:lang w:val="es-ES" w:bidi="km-KH"/>
        </w:rPr>
      </w:pPr>
      <w:r w:rsidRPr="00D3356D">
        <w:rPr>
          <w:rFonts w:eastAsia="SimSun"/>
          <w:bCs/>
          <w:sz w:val="22"/>
          <w:szCs w:val="22"/>
          <w:lang w:val="es-ES" w:bidi="km-KH"/>
        </w:rPr>
        <w:t xml:space="preserve"> </w:t>
      </w:r>
    </w:p>
    <w:p w14:paraId="416B86A9" w14:textId="77777777" w:rsidR="00145517" w:rsidRPr="00D3356D" w:rsidRDefault="00145517" w:rsidP="00145517">
      <w:pPr>
        <w:pStyle w:val="ListParagraph"/>
        <w:numPr>
          <w:ilvl w:val="0"/>
          <w:numId w:val="10"/>
        </w:numPr>
        <w:autoSpaceDE w:val="0"/>
        <w:autoSpaceDN w:val="0"/>
        <w:adjustRightInd w:val="0"/>
        <w:contextualSpacing/>
        <w:jc w:val="both"/>
        <w:rPr>
          <w:rFonts w:eastAsia="SimSun"/>
          <w:bCs/>
          <w:sz w:val="22"/>
          <w:szCs w:val="22"/>
          <w:lang w:val="es-ES" w:bidi="km-KH"/>
        </w:rPr>
      </w:pPr>
      <w:bookmarkStart w:id="0" w:name="OLE_LINK1"/>
      <w:r w:rsidRPr="00D3356D">
        <w:rPr>
          <w:rFonts w:eastAsia="SimSun"/>
          <w:bCs/>
          <w:sz w:val="22"/>
          <w:szCs w:val="22"/>
          <w:lang w:val="es-ES" w:bidi="km-KH"/>
        </w:rPr>
        <w:t>Especialista en negociaciones. Consultor nacional.</w:t>
      </w:r>
    </w:p>
    <w:bookmarkEnd w:id="0"/>
    <w:p w14:paraId="74285059" w14:textId="77777777" w:rsidR="0080549B" w:rsidRPr="00D3356D" w:rsidRDefault="0080549B" w:rsidP="00253D5A">
      <w:pPr>
        <w:jc w:val="both"/>
        <w:rPr>
          <w:bCs/>
          <w:i/>
          <w:sz w:val="22"/>
          <w:szCs w:val="22"/>
          <w:lang w:val="es-ES"/>
        </w:rPr>
      </w:pPr>
    </w:p>
    <w:p w14:paraId="4CF32923" w14:textId="669AB791" w:rsidR="00B10C07" w:rsidRPr="00D3356D" w:rsidRDefault="00D956AD" w:rsidP="00253D5A">
      <w:pPr>
        <w:jc w:val="both"/>
        <w:rPr>
          <w:b/>
          <w:bCs/>
          <w:sz w:val="22"/>
          <w:szCs w:val="22"/>
          <w:lang w:val="es-ES"/>
        </w:rPr>
      </w:pPr>
      <w:r w:rsidRPr="00D3356D">
        <w:rPr>
          <w:b/>
          <w:bCs/>
          <w:sz w:val="22"/>
          <w:szCs w:val="22"/>
          <w:lang w:val="es-ES"/>
        </w:rPr>
        <w:t>O</w:t>
      </w:r>
      <w:r w:rsidR="00202CC0" w:rsidRPr="00D3356D">
        <w:rPr>
          <w:b/>
          <w:bCs/>
          <w:sz w:val="22"/>
          <w:szCs w:val="22"/>
          <w:lang w:val="es-ES"/>
        </w:rPr>
        <w:t>bjetivo(s) de la Consultoría</w:t>
      </w:r>
    </w:p>
    <w:p w14:paraId="588115BC" w14:textId="77777777" w:rsidR="00202CC0" w:rsidRPr="00D3356D" w:rsidRDefault="00202CC0" w:rsidP="00253D5A">
      <w:pPr>
        <w:jc w:val="both"/>
        <w:rPr>
          <w:b/>
          <w:bCs/>
          <w:sz w:val="22"/>
          <w:szCs w:val="22"/>
          <w:lang w:val="es-ES"/>
        </w:rPr>
      </w:pPr>
    </w:p>
    <w:p w14:paraId="620E7D4C" w14:textId="4FAC8EC0" w:rsidR="00145517" w:rsidRPr="00D3356D" w:rsidRDefault="00DD41AA" w:rsidP="00145517">
      <w:pPr>
        <w:autoSpaceDE w:val="0"/>
        <w:autoSpaceDN w:val="0"/>
        <w:adjustRightInd w:val="0"/>
        <w:jc w:val="both"/>
        <w:rPr>
          <w:rFonts w:eastAsia="SimSun"/>
          <w:bCs/>
          <w:sz w:val="22"/>
          <w:szCs w:val="22"/>
          <w:lang w:val="es-ES" w:bidi="km-KH"/>
        </w:rPr>
      </w:pPr>
      <w:r w:rsidRPr="00D3356D">
        <w:rPr>
          <w:rFonts w:eastAsia="SimSun"/>
          <w:bCs/>
          <w:sz w:val="22"/>
          <w:szCs w:val="22"/>
          <w:lang w:val="es-ES" w:bidi="km-KH"/>
        </w:rPr>
        <w:t>A</w:t>
      </w:r>
      <w:r w:rsidR="00145517" w:rsidRPr="00D3356D">
        <w:rPr>
          <w:rFonts w:eastAsia="SimSun"/>
          <w:bCs/>
          <w:sz w:val="22"/>
          <w:szCs w:val="22"/>
          <w:lang w:val="es-ES" w:bidi="km-KH"/>
        </w:rPr>
        <w:t>compañar</w:t>
      </w:r>
      <w:r w:rsidRPr="00D3356D">
        <w:rPr>
          <w:rFonts w:eastAsia="SimSun"/>
          <w:bCs/>
          <w:sz w:val="22"/>
          <w:szCs w:val="22"/>
          <w:lang w:val="es-ES" w:bidi="km-KH"/>
        </w:rPr>
        <w:t>, asesorar y apoyar</w:t>
      </w:r>
      <w:r w:rsidR="00145517" w:rsidRPr="00D3356D">
        <w:rPr>
          <w:rFonts w:eastAsia="SimSun"/>
          <w:bCs/>
          <w:sz w:val="22"/>
          <w:szCs w:val="22"/>
          <w:lang w:val="es-ES" w:bidi="km-KH"/>
        </w:rPr>
        <w:t xml:space="preserve"> a la Subsecretaría de Agua Potable y Saneamiento, en </w:t>
      </w:r>
      <w:r w:rsidRPr="00D3356D">
        <w:rPr>
          <w:rFonts w:eastAsia="SimSun"/>
          <w:bCs/>
          <w:sz w:val="22"/>
          <w:szCs w:val="22"/>
          <w:lang w:val="es-ES" w:bidi="km-KH"/>
        </w:rPr>
        <w:t xml:space="preserve">el arranque de </w:t>
      </w:r>
      <w:r w:rsidR="00145517" w:rsidRPr="00D3356D">
        <w:rPr>
          <w:rFonts w:eastAsia="SimSun"/>
          <w:bCs/>
          <w:sz w:val="22"/>
          <w:szCs w:val="22"/>
          <w:lang w:val="es-ES" w:bidi="km-KH"/>
        </w:rPr>
        <w:t>la implementación de la Estrategia Nacional de Agua Potable y Saneamiento ENAS.</w:t>
      </w:r>
    </w:p>
    <w:p w14:paraId="1DD09B9B" w14:textId="77777777" w:rsidR="0080549B" w:rsidRPr="00D3356D" w:rsidRDefault="0080549B" w:rsidP="00253D5A">
      <w:pPr>
        <w:jc w:val="both"/>
        <w:rPr>
          <w:bCs/>
          <w:sz w:val="22"/>
          <w:szCs w:val="22"/>
          <w:lang w:val="es-ES"/>
        </w:rPr>
      </w:pPr>
    </w:p>
    <w:p w14:paraId="4CF32926" w14:textId="0795E918" w:rsidR="003C6E41" w:rsidRPr="00D3356D" w:rsidRDefault="00381358" w:rsidP="00253D5A">
      <w:pPr>
        <w:jc w:val="both"/>
        <w:rPr>
          <w:b/>
          <w:bCs/>
          <w:sz w:val="22"/>
          <w:szCs w:val="22"/>
          <w:lang w:val="es-ES"/>
        </w:rPr>
      </w:pPr>
      <w:r w:rsidRPr="00D3356D">
        <w:rPr>
          <w:b/>
          <w:bCs/>
          <w:sz w:val="22"/>
          <w:szCs w:val="22"/>
          <w:lang w:val="es-ES"/>
        </w:rPr>
        <w:t>A</w:t>
      </w:r>
      <w:r w:rsidR="00202CC0" w:rsidRPr="00D3356D">
        <w:rPr>
          <w:b/>
          <w:bCs/>
          <w:sz w:val="22"/>
          <w:szCs w:val="22"/>
          <w:lang w:val="es-ES"/>
        </w:rPr>
        <w:t>ctividades Principales</w:t>
      </w:r>
    </w:p>
    <w:p w14:paraId="1D1BF372" w14:textId="77777777" w:rsidR="00202CC0" w:rsidRPr="00D3356D" w:rsidRDefault="00202CC0" w:rsidP="00253D5A">
      <w:pPr>
        <w:jc w:val="both"/>
        <w:rPr>
          <w:b/>
          <w:bCs/>
          <w:sz w:val="22"/>
          <w:szCs w:val="22"/>
          <w:lang w:val="es-ES"/>
        </w:rPr>
      </w:pPr>
    </w:p>
    <w:p w14:paraId="69EFB4F2" w14:textId="6ADE340F" w:rsidR="0080549B" w:rsidRPr="00D3356D" w:rsidRDefault="0080549B" w:rsidP="00253D5A">
      <w:pPr>
        <w:jc w:val="both"/>
        <w:rPr>
          <w:b/>
          <w:bCs/>
          <w:sz w:val="22"/>
          <w:szCs w:val="22"/>
          <w:lang w:val="es-ES"/>
        </w:rPr>
      </w:pPr>
      <w:r w:rsidRPr="00D3356D">
        <w:rPr>
          <w:bCs/>
          <w:sz w:val="22"/>
          <w:szCs w:val="22"/>
          <w:lang w:val="es-ES"/>
        </w:rPr>
        <w:t>El candidato seleccionado deberá:</w:t>
      </w:r>
    </w:p>
    <w:p w14:paraId="412C7EA3" w14:textId="77777777" w:rsidR="00202CC0" w:rsidRPr="00D3356D" w:rsidRDefault="00202CC0" w:rsidP="00253D5A">
      <w:pPr>
        <w:jc w:val="both"/>
        <w:rPr>
          <w:bCs/>
          <w:i/>
          <w:sz w:val="22"/>
          <w:szCs w:val="22"/>
          <w:lang w:val="es-ES"/>
        </w:rPr>
      </w:pPr>
    </w:p>
    <w:p w14:paraId="63030C87" w14:textId="52BC3D3F" w:rsidR="00202CC0" w:rsidRPr="00D3356D" w:rsidRDefault="00202CC0" w:rsidP="00253D5A">
      <w:pPr>
        <w:jc w:val="both"/>
        <w:rPr>
          <w:bCs/>
          <w:i/>
          <w:color w:val="FF0000"/>
          <w:sz w:val="22"/>
          <w:szCs w:val="22"/>
          <w:lang w:val="es-ES"/>
        </w:rPr>
      </w:pPr>
    </w:p>
    <w:p w14:paraId="104C175F" w14:textId="77777777" w:rsidR="00CC3773" w:rsidRPr="00D3356D" w:rsidRDefault="00CC3773" w:rsidP="00CC3773">
      <w:pPr>
        <w:jc w:val="both"/>
        <w:rPr>
          <w:sz w:val="22"/>
          <w:szCs w:val="22"/>
          <w:lang w:val="es-ES"/>
        </w:rPr>
      </w:pPr>
      <w:r w:rsidRPr="00D3356D">
        <w:rPr>
          <w:sz w:val="22"/>
          <w:szCs w:val="22"/>
          <w:lang w:val="es-ES"/>
        </w:rPr>
        <w:t>Las actividades se desarrollarán en dos fases, que se describen a continuación:</w:t>
      </w:r>
    </w:p>
    <w:p w14:paraId="5229437E" w14:textId="77777777" w:rsidR="00CC3773" w:rsidRPr="00D3356D" w:rsidRDefault="00CC3773" w:rsidP="00CC3773">
      <w:pPr>
        <w:jc w:val="both"/>
        <w:rPr>
          <w:sz w:val="22"/>
          <w:szCs w:val="22"/>
          <w:lang w:val="es-ES"/>
        </w:rPr>
      </w:pPr>
    </w:p>
    <w:p w14:paraId="140F2A85" w14:textId="77777777" w:rsidR="00CC3773" w:rsidRPr="00D3356D" w:rsidRDefault="00CC3773" w:rsidP="00CC3773">
      <w:pPr>
        <w:pStyle w:val="ListParagraph"/>
        <w:numPr>
          <w:ilvl w:val="0"/>
          <w:numId w:val="11"/>
        </w:numPr>
        <w:contextualSpacing/>
        <w:jc w:val="both"/>
        <w:rPr>
          <w:sz w:val="22"/>
          <w:szCs w:val="22"/>
          <w:lang w:val="es-ES"/>
        </w:rPr>
      </w:pPr>
      <w:r w:rsidRPr="00D3356D">
        <w:rPr>
          <w:sz w:val="22"/>
          <w:szCs w:val="22"/>
          <w:lang w:val="es-ES"/>
        </w:rPr>
        <w:t>Fase 1: Familiarización con el contexto, planificación de los trabajos y definición de la propuesta metodológica. Conocimiento del entorno institucional, la cartera de productos y servicios que brinda la Subsecretaría de Agua Potable y Saneamiento, y del documento de la ENAS.</w:t>
      </w:r>
    </w:p>
    <w:p w14:paraId="24DED974" w14:textId="63BE5F3B" w:rsidR="00CC3773" w:rsidRPr="00D3356D" w:rsidRDefault="00CC3773" w:rsidP="00CC3773">
      <w:pPr>
        <w:pStyle w:val="ListParagraph"/>
        <w:numPr>
          <w:ilvl w:val="0"/>
          <w:numId w:val="11"/>
        </w:numPr>
        <w:contextualSpacing/>
        <w:jc w:val="both"/>
        <w:rPr>
          <w:sz w:val="22"/>
          <w:szCs w:val="22"/>
          <w:lang w:val="es-ES"/>
        </w:rPr>
      </w:pPr>
      <w:r w:rsidRPr="00D3356D">
        <w:rPr>
          <w:sz w:val="22"/>
          <w:szCs w:val="22"/>
          <w:lang w:val="es-ES"/>
        </w:rPr>
        <w:t xml:space="preserve">Fase 2: Desarrollo del plan de trabajo que debe incluir </w:t>
      </w:r>
      <w:r w:rsidR="00DD41AA" w:rsidRPr="00D3356D">
        <w:rPr>
          <w:sz w:val="22"/>
          <w:szCs w:val="22"/>
          <w:lang w:val="es-ES"/>
        </w:rPr>
        <w:t xml:space="preserve">el arranque de </w:t>
      </w:r>
      <w:r w:rsidRPr="00D3356D">
        <w:rPr>
          <w:sz w:val="22"/>
          <w:szCs w:val="22"/>
          <w:lang w:val="es-ES"/>
        </w:rPr>
        <w:t>la implementación de la Estrategia ENAS (las líneas estratégicas determinadas en las reuniones con las autoridades de la Subsecretaría de Agua Potable y Saneamiento).</w:t>
      </w:r>
    </w:p>
    <w:p w14:paraId="1958559E" w14:textId="77777777" w:rsidR="00DD41AA" w:rsidRPr="00D3356D" w:rsidRDefault="00DD41AA" w:rsidP="00CC3773">
      <w:pPr>
        <w:jc w:val="both"/>
        <w:rPr>
          <w:sz w:val="22"/>
          <w:szCs w:val="22"/>
          <w:lang w:val="es-ES"/>
        </w:rPr>
      </w:pPr>
    </w:p>
    <w:p w14:paraId="280A6FB1" w14:textId="77777777" w:rsidR="00CC3773" w:rsidRPr="00D3356D" w:rsidRDefault="00CC3773" w:rsidP="00CC3773">
      <w:pPr>
        <w:shd w:val="clear" w:color="auto" w:fill="F2F2F2" w:themeFill="background1" w:themeFillShade="F2"/>
        <w:jc w:val="both"/>
        <w:outlineLvl w:val="0"/>
        <w:rPr>
          <w:b/>
          <w:color w:val="262626" w:themeColor="text1" w:themeTint="D9"/>
          <w:sz w:val="22"/>
          <w:szCs w:val="22"/>
          <w:u w:val="single"/>
          <w:lang w:val="es-ES"/>
        </w:rPr>
      </w:pPr>
      <w:r w:rsidRPr="00D3356D">
        <w:rPr>
          <w:b/>
          <w:color w:val="262626" w:themeColor="text1" w:themeTint="D9"/>
          <w:sz w:val="22"/>
          <w:szCs w:val="22"/>
          <w:u w:val="single"/>
          <w:lang w:val="es-ES"/>
        </w:rPr>
        <w:t>Fase 1: Familiarización con el contexto y planificación de los trabajos.</w:t>
      </w:r>
    </w:p>
    <w:p w14:paraId="336B9ADD" w14:textId="77777777" w:rsidR="00CC3773" w:rsidRPr="00D3356D" w:rsidRDefault="00CC3773" w:rsidP="00CC3773">
      <w:pPr>
        <w:jc w:val="both"/>
        <w:outlineLvl w:val="0"/>
        <w:rPr>
          <w:i/>
          <w:color w:val="262626" w:themeColor="text1" w:themeTint="D9"/>
          <w:sz w:val="22"/>
          <w:szCs w:val="22"/>
          <w:u w:val="single"/>
          <w:lang w:val="es-ES"/>
        </w:rPr>
      </w:pPr>
    </w:p>
    <w:p w14:paraId="4220E7A7" w14:textId="20CA0B82" w:rsidR="00CC3773" w:rsidRPr="00D3356D" w:rsidRDefault="00CC3773" w:rsidP="00CC3773">
      <w:pPr>
        <w:jc w:val="both"/>
        <w:rPr>
          <w:sz w:val="22"/>
          <w:szCs w:val="22"/>
          <w:lang w:val="es-ES"/>
        </w:rPr>
      </w:pPr>
      <w:r w:rsidRPr="00D3356D">
        <w:rPr>
          <w:sz w:val="22"/>
          <w:szCs w:val="22"/>
          <w:lang w:val="es-ES"/>
        </w:rPr>
        <w:t>Durante esta fase el consultor deberá familiarizar</w:t>
      </w:r>
      <w:r w:rsidR="00DD41AA" w:rsidRPr="00D3356D">
        <w:rPr>
          <w:sz w:val="22"/>
          <w:szCs w:val="22"/>
          <w:lang w:val="es-ES"/>
        </w:rPr>
        <w:t>se</w:t>
      </w:r>
      <w:r w:rsidRPr="00D3356D">
        <w:rPr>
          <w:sz w:val="22"/>
          <w:szCs w:val="22"/>
          <w:lang w:val="es-ES"/>
        </w:rPr>
        <w:t xml:space="preserve"> con el contexto legal e institucional relacionado a los servicios públicos de agua potable y saneamiento, los objetivos y los principios políticos rectores que deberán regir la puesta en marcha de la Estrategia Nacional de Agua Potable ENAS. Para ello se espera que el consultor realice las siguientes actividades:</w:t>
      </w:r>
    </w:p>
    <w:p w14:paraId="0363C392" w14:textId="77777777" w:rsidR="00CC3773" w:rsidRPr="00D3356D" w:rsidRDefault="00CC3773" w:rsidP="00CC3773">
      <w:pPr>
        <w:jc w:val="both"/>
        <w:outlineLvl w:val="0"/>
        <w:rPr>
          <w:i/>
          <w:color w:val="262626" w:themeColor="text1" w:themeTint="D9"/>
          <w:sz w:val="22"/>
          <w:szCs w:val="22"/>
          <w:u w:val="single"/>
          <w:lang w:val="es-ES"/>
        </w:rPr>
      </w:pPr>
    </w:p>
    <w:p w14:paraId="2552599C" w14:textId="77777777" w:rsidR="00CC3773" w:rsidRPr="00D3356D" w:rsidRDefault="00CC3773" w:rsidP="000E7C4E">
      <w:pPr>
        <w:ind w:left="720"/>
        <w:jc w:val="both"/>
        <w:rPr>
          <w:color w:val="FF0000"/>
          <w:sz w:val="22"/>
          <w:szCs w:val="22"/>
          <w:lang w:val="es-ES"/>
        </w:rPr>
      </w:pPr>
      <w:r w:rsidRPr="00D3356D">
        <w:rPr>
          <w:sz w:val="22"/>
          <w:szCs w:val="22"/>
          <w:lang w:val="es-ES"/>
        </w:rPr>
        <w:t>Recopilar y analizar la documentación relevante relativa del marco político, institucional, legal, normativo y regulatorio. Se espera que el equipo consultor analice documentos como los que se citan al final de estos Términos de Referencia, sin que sean los únicos, centrándose en la Estrategia Nacional de Agua Potable y Saneamiento.</w:t>
      </w:r>
    </w:p>
    <w:p w14:paraId="63447788" w14:textId="77777777" w:rsidR="00CC3773" w:rsidRPr="00D3356D" w:rsidRDefault="00CC3773" w:rsidP="000E7C4E">
      <w:pPr>
        <w:ind w:left="720"/>
        <w:jc w:val="both"/>
        <w:outlineLvl w:val="0"/>
        <w:rPr>
          <w:i/>
          <w:color w:val="262626" w:themeColor="text1" w:themeTint="D9"/>
          <w:sz w:val="22"/>
          <w:szCs w:val="22"/>
          <w:u w:val="single"/>
          <w:lang w:val="es-ES"/>
        </w:rPr>
      </w:pPr>
    </w:p>
    <w:p w14:paraId="54AA8FA5" w14:textId="77777777" w:rsidR="00CC3773" w:rsidRPr="00D3356D" w:rsidRDefault="00CC3773" w:rsidP="000E7C4E">
      <w:pPr>
        <w:ind w:left="720"/>
        <w:jc w:val="both"/>
        <w:rPr>
          <w:sz w:val="22"/>
          <w:szCs w:val="22"/>
          <w:lang w:val="es-ES"/>
        </w:rPr>
      </w:pPr>
      <w:r w:rsidRPr="00D3356D">
        <w:rPr>
          <w:sz w:val="22"/>
          <w:szCs w:val="22"/>
          <w:lang w:val="es-ES"/>
        </w:rPr>
        <w:t>Desarrollar reuniones con las autoridades de la Institución para saber sus planteamientos y requerimientos, así como reuniones y talleres con el recurso humano del nivel central.</w:t>
      </w:r>
    </w:p>
    <w:p w14:paraId="2E5594B8" w14:textId="77777777" w:rsidR="00CC3773" w:rsidRPr="00D3356D" w:rsidRDefault="00CC3773" w:rsidP="000E7C4E">
      <w:pPr>
        <w:ind w:left="720"/>
        <w:jc w:val="both"/>
        <w:rPr>
          <w:sz w:val="22"/>
          <w:szCs w:val="22"/>
          <w:lang w:val="es-ES"/>
        </w:rPr>
      </w:pPr>
      <w:r w:rsidRPr="00D3356D">
        <w:rPr>
          <w:sz w:val="22"/>
          <w:szCs w:val="22"/>
          <w:lang w:val="es-ES"/>
        </w:rPr>
        <w:t xml:space="preserve"> </w:t>
      </w:r>
    </w:p>
    <w:p w14:paraId="24372047" w14:textId="77777777" w:rsidR="00CC3773" w:rsidRPr="00D3356D" w:rsidRDefault="00CC3773" w:rsidP="000E7C4E">
      <w:pPr>
        <w:ind w:left="720"/>
        <w:jc w:val="both"/>
        <w:rPr>
          <w:sz w:val="22"/>
          <w:szCs w:val="22"/>
          <w:lang w:val="es-ES"/>
        </w:rPr>
      </w:pPr>
      <w:r w:rsidRPr="00D3356D">
        <w:rPr>
          <w:sz w:val="22"/>
          <w:szCs w:val="22"/>
          <w:lang w:val="es-ES"/>
        </w:rPr>
        <w:t>Planificar los trabajos, metodología a emplear y cronograma de entrega de productos.</w:t>
      </w:r>
    </w:p>
    <w:p w14:paraId="71DDF791" w14:textId="77777777" w:rsidR="00CC3773" w:rsidRPr="00D3356D" w:rsidRDefault="00CC3773" w:rsidP="000E7C4E">
      <w:pPr>
        <w:ind w:left="720"/>
        <w:jc w:val="both"/>
        <w:rPr>
          <w:sz w:val="22"/>
          <w:szCs w:val="22"/>
          <w:lang w:val="es-ES"/>
        </w:rPr>
      </w:pPr>
    </w:p>
    <w:p w14:paraId="6B6F6338" w14:textId="622C544C" w:rsidR="00CC3773" w:rsidRPr="00D3356D" w:rsidRDefault="00CC3773" w:rsidP="000E7C4E">
      <w:pPr>
        <w:ind w:left="720"/>
        <w:jc w:val="both"/>
        <w:rPr>
          <w:sz w:val="22"/>
          <w:szCs w:val="22"/>
          <w:lang w:val="es-ES"/>
        </w:rPr>
      </w:pPr>
      <w:r w:rsidRPr="00D3356D">
        <w:rPr>
          <w:sz w:val="22"/>
          <w:szCs w:val="22"/>
          <w:lang w:val="es-ES"/>
        </w:rPr>
        <w:t xml:space="preserve">A partir del plan de trabajo y de la propuesta metodológica, </w:t>
      </w:r>
      <w:r w:rsidR="000E7C4E" w:rsidRPr="00D3356D">
        <w:rPr>
          <w:sz w:val="22"/>
          <w:szCs w:val="22"/>
          <w:lang w:val="es-ES"/>
        </w:rPr>
        <w:t xml:space="preserve">el consultor </w:t>
      </w:r>
      <w:r w:rsidRPr="00D3356D">
        <w:rPr>
          <w:sz w:val="22"/>
          <w:szCs w:val="22"/>
          <w:lang w:val="es-ES"/>
        </w:rPr>
        <w:t>preparar</w:t>
      </w:r>
      <w:r w:rsidR="000E7C4E" w:rsidRPr="00D3356D">
        <w:rPr>
          <w:sz w:val="22"/>
          <w:szCs w:val="22"/>
          <w:lang w:val="es-ES"/>
        </w:rPr>
        <w:t>á</w:t>
      </w:r>
      <w:r w:rsidRPr="00D3356D">
        <w:rPr>
          <w:sz w:val="22"/>
          <w:szCs w:val="22"/>
          <w:lang w:val="es-ES"/>
        </w:rPr>
        <w:t xml:space="preserve"> una propuesta de estructura (índice de contenido) de un informe final, con especificación del alcance del contenido de los diferentes componentes, capítulos, secciones y otros propuestos. </w:t>
      </w:r>
    </w:p>
    <w:p w14:paraId="2B3E4AC4" w14:textId="77777777" w:rsidR="00CC3773" w:rsidRPr="00D3356D" w:rsidRDefault="00CC3773" w:rsidP="00CC3773">
      <w:pPr>
        <w:jc w:val="both"/>
        <w:rPr>
          <w:sz w:val="22"/>
          <w:szCs w:val="22"/>
          <w:highlight w:val="yellow"/>
          <w:lang w:val="es-ES"/>
        </w:rPr>
      </w:pPr>
    </w:p>
    <w:p w14:paraId="0FC6F894" w14:textId="77777777" w:rsidR="00CC3773" w:rsidRPr="00D3356D" w:rsidRDefault="00CC3773" w:rsidP="00CC3773">
      <w:pPr>
        <w:jc w:val="both"/>
        <w:rPr>
          <w:i/>
          <w:color w:val="262626" w:themeColor="text1" w:themeTint="D9"/>
          <w:sz w:val="22"/>
          <w:szCs w:val="22"/>
          <w:u w:val="single"/>
          <w:lang w:val="es-ES"/>
        </w:rPr>
      </w:pPr>
    </w:p>
    <w:p w14:paraId="5F3B0228" w14:textId="77777777" w:rsidR="00CC3773" w:rsidRPr="00D3356D" w:rsidRDefault="00CC3773" w:rsidP="00CC3773">
      <w:pPr>
        <w:shd w:val="clear" w:color="auto" w:fill="F2F2F2" w:themeFill="background1" w:themeFillShade="F2"/>
        <w:jc w:val="both"/>
        <w:outlineLvl w:val="0"/>
        <w:rPr>
          <w:b/>
          <w:color w:val="262626" w:themeColor="text1" w:themeTint="D9"/>
          <w:sz w:val="22"/>
          <w:szCs w:val="22"/>
          <w:u w:val="single"/>
          <w:lang w:val="es-ES"/>
        </w:rPr>
      </w:pPr>
      <w:r w:rsidRPr="00D3356D">
        <w:rPr>
          <w:b/>
          <w:color w:val="262626" w:themeColor="text1" w:themeTint="D9"/>
          <w:sz w:val="22"/>
          <w:szCs w:val="22"/>
          <w:u w:val="single"/>
          <w:lang w:val="es-ES"/>
        </w:rPr>
        <w:t>Productos  a entregar en la Fase 1:</w:t>
      </w:r>
    </w:p>
    <w:p w14:paraId="75CEA1CD" w14:textId="77777777" w:rsidR="00CC3773" w:rsidRPr="00D3356D" w:rsidRDefault="00CC3773" w:rsidP="00CC3773">
      <w:pPr>
        <w:jc w:val="both"/>
        <w:rPr>
          <w:sz w:val="22"/>
          <w:szCs w:val="22"/>
          <w:lang w:val="es-ES"/>
        </w:rPr>
      </w:pPr>
    </w:p>
    <w:p w14:paraId="13223D8C" w14:textId="77777777" w:rsidR="00CC3773" w:rsidRPr="00D3356D" w:rsidRDefault="00CC3773" w:rsidP="00CC3773">
      <w:pPr>
        <w:pStyle w:val="ListParagraph"/>
        <w:numPr>
          <w:ilvl w:val="0"/>
          <w:numId w:val="12"/>
        </w:numPr>
        <w:contextualSpacing/>
        <w:jc w:val="both"/>
        <w:rPr>
          <w:sz w:val="22"/>
          <w:szCs w:val="22"/>
          <w:lang w:val="es-ES"/>
        </w:rPr>
      </w:pPr>
      <w:r w:rsidRPr="00D3356D">
        <w:rPr>
          <w:sz w:val="22"/>
          <w:szCs w:val="22"/>
          <w:lang w:val="es-ES"/>
        </w:rPr>
        <w:t>Informe de revisión de la documentación relevante, propuesta metodológica, plan de trabajo y propuesta de contenidos del informe final.</w:t>
      </w:r>
    </w:p>
    <w:p w14:paraId="4545D93A" w14:textId="77777777" w:rsidR="00CC3773" w:rsidRPr="00D3356D" w:rsidRDefault="00CC3773" w:rsidP="00CC3773">
      <w:pPr>
        <w:jc w:val="both"/>
        <w:rPr>
          <w:sz w:val="22"/>
          <w:szCs w:val="22"/>
          <w:lang w:val="es-ES"/>
        </w:rPr>
      </w:pPr>
    </w:p>
    <w:p w14:paraId="23AB5546" w14:textId="77777777" w:rsidR="00CC3773" w:rsidRPr="00D3356D" w:rsidRDefault="00CC3773" w:rsidP="00CC3773">
      <w:pPr>
        <w:jc w:val="both"/>
        <w:rPr>
          <w:b/>
          <w:color w:val="262626" w:themeColor="text1" w:themeTint="D9"/>
          <w:sz w:val="22"/>
          <w:szCs w:val="22"/>
          <w:u w:val="single"/>
          <w:lang w:val="es-ES"/>
        </w:rPr>
      </w:pPr>
      <w:r w:rsidRPr="00D3356D">
        <w:rPr>
          <w:b/>
          <w:color w:val="262626" w:themeColor="text1" w:themeTint="D9"/>
          <w:sz w:val="22"/>
          <w:szCs w:val="22"/>
          <w:lang w:val="es-ES"/>
        </w:rPr>
        <w:t xml:space="preserve">Fase 2: </w:t>
      </w:r>
      <w:r w:rsidRPr="00D3356D">
        <w:rPr>
          <w:b/>
          <w:color w:val="262626" w:themeColor="text1" w:themeTint="D9"/>
          <w:sz w:val="22"/>
          <w:szCs w:val="22"/>
          <w:u w:val="single"/>
          <w:lang w:val="es-ES"/>
        </w:rPr>
        <w:t>Desarrollo del plan de trabajo que incluye la implementación de la ENAS</w:t>
      </w:r>
    </w:p>
    <w:p w14:paraId="7EF311AD" w14:textId="77777777" w:rsidR="00CC3773" w:rsidRPr="00D3356D" w:rsidRDefault="00CC3773" w:rsidP="00CC3773">
      <w:pPr>
        <w:ind w:left="720"/>
        <w:jc w:val="both"/>
        <w:rPr>
          <w:sz w:val="22"/>
          <w:szCs w:val="22"/>
          <w:lang w:val="es-ES"/>
        </w:rPr>
      </w:pPr>
    </w:p>
    <w:p w14:paraId="4DFA2357" w14:textId="5BE92588" w:rsidR="00CC3773" w:rsidRPr="00D3356D" w:rsidRDefault="00CC3773" w:rsidP="00CC3773">
      <w:pPr>
        <w:jc w:val="both"/>
        <w:rPr>
          <w:sz w:val="22"/>
          <w:szCs w:val="22"/>
          <w:lang w:val="es-ES"/>
        </w:rPr>
      </w:pPr>
      <w:r w:rsidRPr="00D3356D">
        <w:rPr>
          <w:sz w:val="22"/>
          <w:szCs w:val="22"/>
          <w:lang w:val="es-ES"/>
        </w:rPr>
        <w:t xml:space="preserve">Con el conocimiento que </w:t>
      </w:r>
      <w:r w:rsidR="009669F4" w:rsidRPr="00D3356D">
        <w:rPr>
          <w:sz w:val="22"/>
          <w:szCs w:val="22"/>
          <w:lang w:val="es-ES"/>
        </w:rPr>
        <w:t>el</w:t>
      </w:r>
      <w:r w:rsidRPr="00D3356D">
        <w:rPr>
          <w:sz w:val="22"/>
          <w:szCs w:val="22"/>
          <w:lang w:val="es-ES"/>
        </w:rPr>
        <w:t xml:space="preserve"> consultor adquiera de la Estrategia Nacional de Agua Potable y Saneamiento, en coordinación con las autoridades de la Subsecretaría de Agua Potable y Saneamiento, realizarán la socialización de los principales puntos de este documento, dirigida al personal de la Subsecretaría de Agua Potable y de las Demarcaciones Hidrográficas; de esta actividad recogerá sus principales impresiones, reacciones y requerimientos.</w:t>
      </w:r>
    </w:p>
    <w:p w14:paraId="102AA670" w14:textId="77777777" w:rsidR="00CC3773" w:rsidRPr="00D3356D" w:rsidRDefault="00CC3773" w:rsidP="00CC3773">
      <w:pPr>
        <w:ind w:left="720"/>
        <w:jc w:val="both"/>
        <w:rPr>
          <w:sz w:val="22"/>
          <w:szCs w:val="22"/>
          <w:lang w:val="es-ES"/>
        </w:rPr>
      </w:pPr>
    </w:p>
    <w:p w14:paraId="4F3FC465" w14:textId="2FD0C404" w:rsidR="00CC3773" w:rsidRPr="00D3356D" w:rsidRDefault="00CC3773" w:rsidP="00CC3773">
      <w:pPr>
        <w:jc w:val="both"/>
        <w:rPr>
          <w:sz w:val="22"/>
          <w:szCs w:val="22"/>
          <w:lang w:val="es-ES"/>
        </w:rPr>
      </w:pPr>
      <w:r w:rsidRPr="00D3356D">
        <w:rPr>
          <w:sz w:val="22"/>
          <w:szCs w:val="22"/>
          <w:lang w:val="es-ES"/>
        </w:rPr>
        <w:t>E</w:t>
      </w:r>
      <w:r w:rsidR="009669F4" w:rsidRPr="00D3356D">
        <w:rPr>
          <w:sz w:val="22"/>
          <w:szCs w:val="22"/>
          <w:lang w:val="es-ES"/>
        </w:rPr>
        <w:t xml:space="preserve">l </w:t>
      </w:r>
      <w:r w:rsidRPr="00D3356D">
        <w:rPr>
          <w:sz w:val="22"/>
          <w:szCs w:val="22"/>
          <w:lang w:val="es-ES"/>
        </w:rPr>
        <w:t xml:space="preserve">consultor, con base en la propuesta metodológica, aplicará entrevistas, encuestas, talleres, y otras herramientas, en las que participarán tanto autoridades como servidores de la Subsecretaría de Agua Potable y Saneamiento, de las Demarcaciones Hidrográficas, de los Centros de Atención al Ciudadano, así como de otras dependencias de la Secretaría del Agua que a juicio del </w:t>
      </w:r>
      <w:r w:rsidR="009669F4" w:rsidRPr="00D3356D">
        <w:rPr>
          <w:sz w:val="22"/>
          <w:szCs w:val="22"/>
          <w:lang w:val="es-ES"/>
        </w:rPr>
        <w:t>consultor</w:t>
      </w:r>
      <w:r w:rsidRPr="00D3356D">
        <w:rPr>
          <w:sz w:val="22"/>
          <w:szCs w:val="22"/>
          <w:lang w:val="es-ES"/>
        </w:rPr>
        <w:t>, se requieran.</w:t>
      </w:r>
    </w:p>
    <w:p w14:paraId="23537045" w14:textId="56AE0D56" w:rsidR="00CC3773" w:rsidRPr="00D3356D" w:rsidRDefault="009669F4" w:rsidP="00CC3773">
      <w:pPr>
        <w:jc w:val="both"/>
        <w:rPr>
          <w:sz w:val="22"/>
          <w:szCs w:val="22"/>
          <w:lang w:val="es-ES"/>
        </w:rPr>
      </w:pPr>
      <w:r w:rsidRPr="00D3356D">
        <w:rPr>
          <w:sz w:val="22"/>
          <w:szCs w:val="22"/>
          <w:lang w:val="es-ES"/>
        </w:rPr>
        <w:t>El</w:t>
      </w:r>
      <w:r w:rsidR="00CC3773" w:rsidRPr="00D3356D">
        <w:rPr>
          <w:sz w:val="22"/>
          <w:szCs w:val="22"/>
          <w:lang w:val="es-ES"/>
        </w:rPr>
        <w:t xml:space="preserve"> consultor organizará reuniones o talleres con autoridades de las instituciones involucradas en las líneas estratégicas escogidas de la Estrategia Nacional de Agua Potable y Saneamiento; en estos espacios </w:t>
      </w:r>
      <w:r w:rsidRPr="00D3356D">
        <w:rPr>
          <w:sz w:val="22"/>
          <w:szCs w:val="22"/>
          <w:lang w:val="es-ES"/>
        </w:rPr>
        <w:t>el</w:t>
      </w:r>
      <w:r w:rsidR="00CC3773" w:rsidRPr="00D3356D">
        <w:rPr>
          <w:sz w:val="22"/>
          <w:szCs w:val="22"/>
          <w:lang w:val="es-ES"/>
        </w:rPr>
        <w:t xml:space="preserve"> </w:t>
      </w:r>
      <w:r w:rsidR="00CC3773" w:rsidRPr="00D3356D">
        <w:rPr>
          <w:sz w:val="22"/>
          <w:szCs w:val="22"/>
          <w:lang w:val="es-ES"/>
        </w:rPr>
        <w:lastRenderedPageBreak/>
        <w:t xml:space="preserve">consultor propiciará el diálogo y acuerdos de relevancia, orientados a implementar las acciones y líneas estratégicas </w:t>
      </w:r>
      <w:r w:rsidRPr="00D3356D">
        <w:rPr>
          <w:sz w:val="22"/>
          <w:szCs w:val="22"/>
          <w:lang w:val="es-ES"/>
        </w:rPr>
        <w:t xml:space="preserve">escogidas </w:t>
      </w:r>
      <w:r w:rsidR="00CC3773" w:rsidRPr="00D3356D">
        <w:rPr>
          <w:sz w:val="22"/>
          <w:szCs w:val="22"/>
          <w:lang w:val="es-ES"/>
        </w:rPr>
        <w:t>de la ENAS.</w:t>
      </w:r>
    </w:p>
    <w:p w14:paraId="5306DECE" w14:textId="77777777" w:rsidR="00CC3773" w:rsidRPr="00D3356D" w:rsidRDefault="00CC3773" w:rsidP="00CC3773">
      <w:pPr>
        <w:ind w:left="360"/>
        <w:jc w:val="both"/>
        <w:rPr>
          <w:sz w:val="22"/>
          <w:szCs w:val="22"/>
          <w:lang w:val="es-ES"/>
        </w:rPr>
      </w:pPr>
    </w:p>
    <w:p w14:paraId="499E7993" w14:textId="77777777" w:rsidR="00CC3773" w:rsidRPr="00D3356D" w:rsidRDefault="00CC3773" w:rsidP="00CC3773">
      <w:pPr>
        <w:ind w:left="720"/>
        <w:jc w:val="both"/>
        <w:rPr>
          <w:sz w:val="22"/>
          <w:szCs w:val="22"/>
          <w:lang w:val="es-ES"/>
        </w:rPr>
      </w:pPr>
    </w:p>
    <w:p w14:paraId="5FAAD617" w14:textId="77777777" w:rsidR="00CC3773" w:rsidRPr="00D3356D" w:rsidRDefault="00CC3773" w:rsidP="00CC3773">
      <w:pPr>
        <w:shd w:val="clear" w:color="auto" w:fill="F2F2F2" w:themeFill="background1" w:themeFillShade="F2"/>
        <w:jc w:val="both"/>
        <w:outlineLvl w:val="0"/>
        <w:rPr>
          <w:b/>
          <w:bCs/>
          <w:sz w:val="22"/>
          <w:szCs w:val="22"/>
          <w:lang w:val="es-ES"/>
        </w:rPr>
      </w:pPr>
      <w:r w:rsidRPr="00D3356D">
        <w:rPr>
          <w:b/>
          <w:bCs/>
          <w:sz w:val="22"/>
          <w:szCs w:val="22"/>
          <w:lang w:val="es-ES"/>
        </w:rPr>
        <w:t xml:space="preserve">Productos a entregar en la Fase 2: </w:t>
      </w:r>
    </w:p>
    <w:p w14:paraId="37E41A74" w14:textId="77777777" w:rsidR="00CC3773" w:rsidRPr="00D3356D" w:rsidRDefault="00CC3773" w:rsidP="00CC3773">
      <w:pPr>
        <w:ind w:left="720"/>
        <w:jc w:val="both"/>
        <w:rPr>
          <w:b/>
          <w:bCs/>
          <w:sz w:val="22"/>
          <w:szCs w:val="22"/>
          <w:lang w:val="es-ES"/>
        </w:rPr>
      </w:pPr>
    </w:p>
    <w:p w14:paraId="44D7B5C6" w14:textId="77777777" w:rsidR="00CC3773" w:rsidRPr="00D3356D" w:rsidRDefault="00CC3773" w:rsidP="00CC3773">
      <w:pPr>
        <w:pStyle w:val="ListParagraph"/>
        <w:numPr>
          <w:ilvl w:val="0"/>
          <w:numId w:val="12"/>
        </w:numPr>
        <w:contextualSpacing/>
        <w:jc w:val="both"/>
        <w:rPr>
          <w:sz w:val="22"/>
          <w:szCs w:val="22"/>
          <w:lang w:val="es-ES"/>
        </w:rPr>
      </w:pPr>
      <w:r w:rsidRPr="00D3356D">
        <w:rPr>
          <w:sz w:val="22"/>
          <w:szCs w:val="22"/>
          <w:lang w:val="es-ES"/>
        </w:rPr>
        <w:t xml:space="preserve">Informe en donde se sistematicen las actividades del plan de trabajo desarrollado, sus conclusiones y recomendaciones. </w:t>
      </w:r>
    </w:p>
    <w:p w14:paraId="22653A68" w14:textId="77777777" w:rsidR="00CC3773" w:rsidRPr="00D3356D" w:rsidRDefault="00CC3773" w:rsidP="00CC3773">
      <w:pPr>
        <w:pStyle w:val="ListParagraph"/>
        <w:numPr>
          <w:ilvl w:val="0"/>
          <w:numId w:val="12"/>
        </w:numPr>
        <w:contextualSpacing/>
        <w:jc w:val="both"/>
        <w:rPr>
          <w:sz w:val="22"/>
          <w:szCs w:val="22"/>
          <w:lang w:val="es-ES"/>
        </w:rPr>
      </w:pPr>
      <w:r w:rsidRPr="00D3356D">
        <w:rPr>
          <w:sz w:val="22"/>
          <w:szCs w:val="22"/>
          <w:lang w:val="es-ES"/>
        </w:rPr>
        <w:t>Anexos al informe: encuestas, entrevistas, actas de reuniones, actas de acuerdos y compromisos, lista de participantes a talleres, etc.; en general toda la documentación generada a lo largo de la consultoría.</w:t>
      </w:r>
    </w:p>
    <w:p w14:paraId="0CC55E0E" w14:textId="77777777" w:rsidR="00CC3773" w:rsidRPr="00D3356D" w:rsidRDefault="00CC3773" w:rsidP="00253D5A">
      <w:pPr>
        <w:jc w:val="both"/>
        <w:rPr>
          <w:b/>
          <w:bCs/>
          <w:sz w:val="22"/>
          <w:szCs w:val="22"/>
          <w:lang w:val="es-ES"/>
        </w:rPr>
      </w:pPr>
    </w:p>
    <w:p w14:paraId="4CF32929" w14:textId="4393FC3C" w:rsidR="00AE2BDA" w:rsidRPr="00D3356D" w:rsidRDefault="00086701" w:rsidP="00253D5A">
      <w:pPr>
        <w:jc w:val="both"/>
        <w:rPr>
          <w:b/>
          <w:bCs/>
          <w:sz w:val="22"/>
          <w:szCs w:val="22"/>
          <w:lang w:val="es-ES"/>
        </w:rPr>
      </w:pPr>
      <w:r w:rsidRPr="00D3356D">
        <w:rPr>
          <w:b/>
          <w:bCs/>
          <w:sz w:val="22"/>
          <w:szCs w:val="22"/>
          <w:lang w:val="es-ES"/>
        </w:rPr>
        <w:t>I</w:t>
      </w:r>
      <w:r w:rsidR="00381358" w:rsidRPr="00D3356D">
        <w:rPr>
          <w:b/>
          <w:bCs/>
          <w:sz w:val="22"/>
          <w:szCs w:val="22"/>
          <w:lang w:val="es-ES"/>
        </w:rPr>
        <w:t>nformes</w:t>
      </w:r>
      <w:r w:rsidR="00202CC0" w:rsidRPr="00D3356D">
        <w:rPr>
          <w:b/>
          <w:bCs/>
          <w:sz w:val="22"/>
          <w:szCs w:val="22"/>
          <w:lang w:val="es-ES"/>
        </w:rPr>
        <w:t xml:space="preserve"> / Entregables</w:t>
      </w:r>
      <w:r w:rsidR="00A710B4" w:rsidRPr="00D3356D">
        <w:rPr>
          <w:b/>
          <w:bCs/>
          <w:sz w:val="22"/>
          <w:szCs w:val="22"/>
          <w:lang w:val="es-ES"/>
        </w:rPr>
        <w:t>:</w:t>
      </w:r>
    </w:p>
    <w:p w14:paraId="4CF3292A" w14:textId="343D6ACB" w:rsidR="00086701" w:rsidRPr="00D3356D" w:rsidRDefault="00086701" w:rsidP="00253D5A">
      <w:pPr>
        <w:pStyle w:val="BodyText"/>
        <w:jc w:val="both"/>
        <w:rPr>
          <w:i/>
          <w:color w:val="FF0000"/>
          <w:sz w:val="22"/>
          <w:szCs w:val="22"/>
          <w:lang w:val="es-ES"/>
        </w:rPr>
      </w:pPr>
    </w:p>
    <w:tbl>
      <w:tblPr>
        <w:tblStyle w:val="TableGrid"/>
        <w:tblW w:w="7896" w:type="dxa"/>
        <w:tblInd w:w="534" w:type="dxa"/>
        <w:tblLook w:val="04A0" w:firstRow="1" w:lastRow="0" w:firstColumn="1" w:lastColumn="0" w:noHBand="0" w:noVBand="1"/>
      </w:tblPr>
      <w:tblGrid>
        <w:gridCol w:w="932"/>
        <w:gridCol w:w="5119"/>
        <w:gridCol w:w="1845"/>
      </w:tblGrid>
      <w:tr w:rsidR="00CC3773" w:rsidRPr="004606C4" w14:paraId="0F1730FB" w14:textId="77777777" w:rsidTr="000E7C4E">
        <w:trPr>
          <w:trHeight w:val="655"/>
        </w:trPr>
        <w:tc>
          <w:tcPr>
            <w:tcW w:w="932" w:type="dxa"/>
          </w:tcPr>
          <w:p w14:paraId="425C8BDA" w14:textId="77777777" w:rsidR="00CC3773" w:rsidRPr="00D3356D" w:rsidRDefault="00CC3773" w:rsidP="00A426FE">
            <w:pPr>
              <w:autoSpaceDE w:val="0"/>
              <w:autoSpaceDN w:val="0"/>
              <w:adjustRightInd w:val="0"/>
              <w:jc w:val="both"/>
              <w:rPr>
                <w:rFonts w:ascii="Times New Roman" w:hAnsi="Times New Roman" w:cs="Times New Roman"/>
                <w:b/>
                <w:bCs/>
                <w:color w:val="262626" w:themeColor="text1" w:themeTint="D9"/>
                <w:szCs w:val="22"/>
                <w:lang w:val="es-ES"/>
              </w:rPr>
            </w:pPr>
          </w:p>
          <w:p w14:paraId="736DFBF0" w14:textId="77777777" w:rsidR="00CC3773" w:rsidRPr="00D3356D" w:rsidRDefault="00CC3773" w:rsidP="00A426FE">
            <w:pPr>
              <w:autoSpaceDE w:val="0"/>
              <w:autoSpaceDN w:val="0"/>
              <w:adjustRightInd w:val="0"/>
              <w:jc w:val="both"/>
              <w:rPr>
                <w:rFonts w:ascii="Times New Roman" w:hAnsi="Times New Roman" w:cs="Times New Roman"/>
                <w:b/>
                <w:bCs/>
                <w:color w:val="262626" w:themeColor="text1" w:themeTint="D9"/>
                <w:szCs w:val="22"/>
                <w:lang w:val="es-ES"/>
              </w:rPr>
            </w:pPr>
            <w:r w:rsidRPr="00D3356D">
              <w:rPr>
                <w:rFonts w:ascii="Times New Roman" w:hAnsi="Times New Roman" w:cs="Times New Roman"/>
                <w:b/>
                <w:bCs/>
                <w:color w:val="262626" w:themeColor="text1" w:themeTint="D9"/>
                <w:szCs w:val="22"/>
                <w:lang w:val="es-ES"/>
              </w:rPr>
              <w:t>FASES</w:t>
            </w:r>
          </w:p>
        </w:tc>
        <w:tc>
          <w:tcPr>
            <w:tcW w:w="5119" w:type="dxa"/>
          </w:tcPr>
          <w:p w14:paraId="5D672CE8" w14:textId="77777777" w:rsidR="00CC3773" w:rsidRPr="00D3356D" w:rsidRDefault="00CC3773" w:rsidP="00A426FE">
            <w:pPr>
              <w:keepNext/>
              <w:keepLines/>
              <w:autoSpaceDE w:val="0"/>
              <w:autoSpaceDN w:val="0"/>
              <w:adjustRightInd w:val="0"/>
              <w:jc w:val="center"/>
              <w:outlineLvl w:val="2"/>
              <w:rPr>
                <w:rFonts w:ascii="Times New Roman" w:hAnsi="Times New Roman" w:cs="Times New Roman"/>
                <w:b/>
                <w:bCs/>
                <w:color w:val="262626" w:themeColor="text1" w:themeTint="D9"/>
                <w:szCs w:val="22"/>
                <w:lang w:val="es-ES"/>
              </w:rPr>
            </w:pPr>
          </w:p>
          <w:p w14:paraId="5A32B0E6" w14:textId="77777777" w:rsidR="00CC3773" w:rsidRPr="00D3356D" w:rsidRDefault="00CC3773" w:rsidP="00A426FE">
            <w:pPr>
              <w:autoSpaceDE w:val="0"/>
              <w:autoSpaceDN w:val="0"/>
              <w:adjustRightInd w:val="0"/>
              <w:jc w:val="center"/>
              <w:rPr>
                <w:rFonts w:ascii="Times New Roman" w:hAnsi="Times New Roman" w:cs="Times New Roman"/>
                <w:b/>
                <w:bCs/>
                <w:color w:val="262626" w:themeColor="text1" w:themeTint="D9"/>
                <w:szCs w:val="22"/>
                <w:lang w:val="es-ES"/>
              </w:rPr>
            </w:pPr>
            <w:r w:rsidRPr="00D3356D">
              <w:rPr>
                <w:rFonts w:ascii="Times New Roman" w:hAnsi="Times New Roman" w:cs="Times New Roman"/>
                <w:b/>
                <w:bCs/>
                <w:color w:val="262626" w:themeColor="text1" w:themeTint="D9"/>
                <w:szCs w:val="22"/>
                <w:lang w:val="es-ES"/>
              </w:rPr>
              <w:t>ENTREGABLES</w:t>
            </w:r>
          </w:p>
        </w:tc>
        <w:tc>
          <w:tcPr>
            <w:tcW w:w="1845" w:type="dxa"/>
          </w:tcPr>
          <w:p w14:paraId="65B9419E" w14:textId="77777777" w:rsidR="00CC3773" w:rsidRPr="00D3356D" w:rsidRDefault="00CC3773" w:rsidP="00A426FE">
            <w:pPr>
              <w:autoSpaceDE w:val="0"/>
              <w:autoSpaceDN w:val="0"/>
              <w:adjustRightInd w:val="0"/>
              <w:jc w:val="both"/>
              <w:rPr>
                <w:rFonts w:ascii="Times New Roman" w:hAnsi="Times New Roman" w:cs="Times New Roman"/>
                <w:b/>
                <w:bCs/>
                <w:color w:val="262626" w:themeColor="text1" w:themeTint="D9"/>
                <w:szCs w:val="22"/>
                <w:lang w:val="es-ES"/>
              </w:rPr>
            </w:pPr>
            <w:r w:rsidRPr="00D3356D">
              <w:rPr>
                <w:rFonts w:ascii="Times New Roman" w:hAnsi="Times New Roman" w:cs="Times New Roman"/>
                <w:b/>
                <w:bCs/>
                <w:color w:val="262626" w:themeColor="text1" w:themeTint="D9"/>
                <w:szCs w:val="22"/>
                <w:lang w:val="es-ES"/>
              </w:rPr>
              <w:t>PLAZO MÁXIMO (en semanas, desde la firma del contrato)</w:t>
            </w:r>
          </w:p>
        </w:tc>
      </w:tr>
      <w:tr w:rsidR="00CC3773" w:rsidRPr="00D3356D" w14:paraId="1DFFBC76" w14:textId="77777777" w:rsidTr="000E7C4E">
        <w:trPr>
          <w:trHeight w:val="163"/>
        </w:trPr>
        <w:tc>
          <w:tcPr>
            <w:tcW w:w="932" w:type="dxa"/>
            <w:vMerge w:val="restart"/>
          </w:tcPr>
          <w:p w14:paraId="07BEB3DA"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p>
          <w:p w14:paraId="3A065B2F"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r w:rsidRPr="00D3356D">
              <w:rPr>
                <w:rFonts w:ascii="Times New Roman" w:hAnsi="Times New Roman" w:cs="Times New Roman"/>
                <w:bCs/>
                <w:color w:val="262626" w:themeColor="text1" w:themeTint="D9"/>
                <w:szCs w:val="22"/>
                <w:lang w:val="es-ES"/>
              </w:rPr>
              <w:t>Fase 1</w:t>
            </w:r>
          </w:p>
        </w:tc>
        <w:tc>
          <w:tcPr>
            <w:tcW w:w="5119" w:type="dxa"/>
          </w:tcPr>
          <w:p w14:paraId="20E4DB44"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r w:rsidRPr="00D3356D">
              <w:rPr>
                <w:rFonts w:ascii="Times New Roman" w:hAnsi="Times New Roman" w:cs="Times New Roman"/>
                <w:bCs/>
                <w:color w:val="262626" w:themeColor="text1" w:themeTint="D9"/>
                <w:szCs w:val="22"/>
                <w:lang w:val="es-ES"/>
              </w:rPr>
              <w:t>Informe de revisión de la documentación relevante.</w:t>
            </w:r>
          </w:p>
        </w:tc>
        <w:tc>
          <w:tcPr>
            <w:tcW w:w="1845" w:type="dxa"/>
            <w:vMerge w:val="restart"/>
          </w:tcPr>
          <w:p w14:paraId="06BC743B" w14:textId="77777777" w:rsidR="00CC3773" w:rsidRPr="00D3356D" w:rsidRDefault="00CC3773" w:rsidP="00A426FE">
            <w:pPr>
              <w:autoSpaceDE w:val="0"/>
              <w:autoSpaceDN w:val="0"/>
              <w:adjustRightInd w:val="0"/>
              <w:jc w:val="center"/>
              <w:rPr>
                <w:rFonts w:ascii="Times New Roman" w:hAnsi="Times New Roman" w:cs="Times New Roman"/>
                <w:bCs/>
                <w:color w:val="262626" w:themeColor="text1" w:themeTint="D9"/>
                <w:szCs w:val="22"/>
                <w:lang w:val="es-ES"/>
              </w:rPr>
            </w:pPr>
          </w:p>
          <w:p w14:paraId="06C3BB93" w14:textId="77777777" w:rsidR="00CC3773" w:rsidRPr="00D3356D" w:rsidRDefault="00CC3773" w:rsidP="00A426FE">
            <w:pPr>
              <w:autoSpaceDE w:val="0"/>
              <w:autoSpaceDN w:val="0"/>
              <w:adjustRightInd w:val="0"/>
              <w:jc w:val="center"/>
              <w:rPr>
                <w:rFonts w:ascii="Times New Roman" w:hAnsi="Times New Roman" w:cs="Times New Roman"/>
                <w:bCs/>
                <w:color w:val="262626" w:themeColor="text1" w:themeTint="D9"/>
                <w:szCs w:val="22"/>
                <w:lang w:val="es-ES"/>
              </w:rPr>
            </w:pPr>
            <w:r w:rsidRPr="00D3356D">
              <w:rPr>
                <w:rFonts w:ascii="Times New Roman" w:hAnsi="Times New Roman" w:cs="Times New Roman"/>
                <w:bCs/>
                <w:color w:val="262626" w:themeColor="text1" w:themeTint="D9"/>
                <w:szCs w:val="22"/>
                <w:lang w:val="es-ES"/>
              </w:rPr>
              <w:t>4</w:t>
            </w:r>
          </w:p>
        </w:tc>
      </w:tr>
      <w:tr w:rsidR="00CC3773" w:rsidRPr="00D3356D" w14:paraId="2BDB09C6" w14:textId="77777777" w:rsidTr="000E7C4E">
        <w:trPr>
          <w:trHeight w:val="102"/>
        </w:trPr>
        <w:tc>
          <w:tcPr>
            <w:tcW w:w="932" w:type="dxa"/>
            <w:vMerge/>
          </w:tcPr>
          <w:p w14:paraId="76EDCE56"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p>
        </w:tc>
        <w:tc>
          <w:tcPr>
            <w:tcW w:w="5119" w:type="dxa"/>
          </w:tcPr>
          <w:p w14:paraId="1C11A06C"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r w:rsidRPr="00D3356D">
              <w:rPr>
                <w:rFonts w:ascii="Times New Roman" w:hAnsi="Times New Roman" w:cs="Times New Roman"/>
                <w:bCs/>
                <w:color w:val="262626" w:themeColor="text1" w:themeTint="D9"/>
                <w:szCs w:val="22"/>
                <w:lang w:val="es-ES"/>
              </w:rPr>
              <w:t>Propuesta metodológica.</w:t>
            </w:r>
          </w:p>
        </w:tc>
        <w:tc>
          <w:tcPr>
            <w:tcW w:w="1845" w:type="dxa"/>
            <w:vMerge/>
          </w:tcPr>
          <w:p w14:paraId="6B44075A"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p>
        </w:tc>
      </w:tr>
      <w:tr w:rsidR="00CC3773" w:rsidRPr="004606C4" w14:paraId="33C853B2" w14:textId="77777777" w:rsidTr="000E7C4E">
        <w:trPr>
          <w:trHeight w:val="102"/>
        </w:trPr>
        <w:tc>
          <w:tcPr>
            <w:tcW w:w="932" w:type="dxa"/>
            <w:vMerge/>
          </w:tcPr>
          <w:p w14:paraId="0D12B0FF"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p>
        </w:tc>
        <w:tc>
          <w:tcPr>
            <w:tcW w:w="5119" w:type="dxa"/>
          </w:tcPr>
          <w:p w14:paraId="211CE5BB"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r w:rsidRPr="00D3356D">
              <w:rPr>
                <w:rFonts w:ascii="Times New Roman" w:hAnsi="Times New Roman" w:cs="Times New Roman"/>
                <w:bCs/>
                <w:color w:val="262626" w:themeColor="text1" w:themeTint="D9"/>
                <w:szCs w:val="22"/>
                <w:lang w:val="es-ES"/>
              </w:rPr>
              <w:t>Plan de trabajo y propuesta de contenidos del informe final.</w:t>
            </w:r>
          </w:p>
        </w:tc>
        <w:tc>
          <w:tcPr>
            <w:tcW w:w="1845" w:type="dxa"/>
            <w:vMerge/>
          </w:tcPr>
          <w:p w14:paraId="6CA5E829"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p>
        </w:tc>
      </w:tr>
      <w:tr w:rsidR="00CC3773" w:rsidRPr="00D3356D" w14:paraId="308C8B54" w14:textId="77777777" w:rsidTr="000E7C4E">
        <w:trPr>
          <w:trHeight w:val="319"/>
        </w:trPr>
        <w:tc>
          <w:tcPr>
            <w:tcW w:w="932" w:type="dxa"/>
            <w:vMerge w:val="restart"/>
          </w:tcPr>
          <w:p w14:paraId="273FB599"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p>
          <w:p w14:paraId="52267191"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r w:rsidRPr="00D3356D">
              <w:rPr>
                <w:rFonts w:ascii="Times New Roman" w:hAnsi="Times New Roman" w:cs="Times New Roman"/>
                <w:bCs/>
                <w:color w:val="262626" w:themeColor="text1" w:themeTint="D9"/>
                <w:szCs w:val="22"/>
                <w:lang w:val="es-ES"/>
              </w:rPr>
              <w:t>Fase 2</w:t>
            </w:r>
          </w:p>
        </w:tc>
        <w:tc>
          <w:tcPr>
            <w:tcW w:w="5119" w:type="dxa"/>
          </w:tcPr>
          <w:p w14:paraId="27DFB05A"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r w:rsidRPr="00D3356D">
              <w:rPr>
                <w:rFonts w:ascii="Times New Roman" w:hAnsi="Times New Roman" w:cs="Times New Roman"/>
                <w:bCs/>
                <w:color w:val="262626" w:themeColor="text1" w:themeTint="D9"/>
                <w:szCs w:val="22"/>
                <w:lang w:val="es-ES"/>
              </w:rPr>
              <w:t>Informe del desarrollo de las actividades del plan de trabajo, con sus respectivas conclusiones y recomendaciones.</w:t>
            </w:r>
          </w:p>
        </w:tc>
        <w:tc>
          <w:tcPr>
            <w:tcW w:w="1845" w:type="dxa"/>
            <w:vMerge w:val="restart"/>
          </w:tcPr>
          <w:p w14:paraId="4B7D3D05" w14:textId="77777777" w:rsidR="00CC3773" w:rsidRPr="00D3356D" w:rsidRDefault="00CC3773" w:rsidP="00A426FE">
            <w:pPr>
              <w:autoSpaceDE w:val="0"/>
              <w:autoSpaceDN w:val="0"/>
              <w:adjustRightInd w:val="0"/>
              <w:jc w:val="center"/>
              <w:rPr>
                <w:rFonts w:ascii="Times New Roman" w:hAnsi="Times New Roman" w:cs="Times New Roman"/>
                <w:bCs/>
                <w:color w:val="262626" w:themeColor="text1" w:themeTint="D9"/>
                <w:szCs w:val="22"/>
                <w:lang w:val="es-ES"/>
              </w:rPr>
            </w:pPr>
          </w:p>
          <w:p w14:paraId="1E9AB7DE" w14:textId="77777777" w:rsidR="00CC3773" w:rsidRPr="00D3356D" w:rsidRDefault="00CC3773" w:rsidP="00A426FE">
            <w:pPr>
              <w:autoSpaceDE w:val="0"/>
              <w:autoSpaceDN w:val="0"/>
              <w:adjustRightInd w:val="0"/>
              <w:jc w:val="center"/>
              <w:rPr>
                <w:rFonts w:ascii="Times New Roman" w:hAnsi="Times New Roman" w:cs="Times New Roman"/>
                <w:bCs/>
                <w:color w:val="262626" w:themeColor="text1" w:themeTint="D9"/>
                <w:szCs w:val="22"/>
                <w:lang w:val="es-ES"/>
              </w:rPr>
            </w:pPr>
            <w:r w:rsidRPr="00D3356D">
              <w:rPr>
                <w:rFonts w:ascii="Times New Roman" w:hAnsi="Times New Roman" w:cs="Times New Roman"/>
                <w:bCs/>
                <w:color w:val="262626" w:themeColor="text1" w:themeTint="D9"/>
                <w:szCs w:val="22"/>
                <w:lang w:val="es-ES"/>
              </w:rPr>
              <w:t>16</w:t>
            </w:r>
          </w:p>
        </w:tc>
      </w:tr>
      <w:tr w:rsidR="00CC3773" w:rsidRPr="004606C4" w14:paraId="163FE803" w14:textId="77777777" w:rsidTr="000E7C4E">
        <w:trPr>
          <w:trHeight w:val="102"/>
        </w:trPr>
        <w:tc>
          <w:tcPr>
            <w:tcW w:w="932" w:type="dxa"/>
            <w:vMerge/>
          </w:tcPr>
          <w:p w14:paraId="1AC9DA87"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p>
        </w:tc>
        <w:tc>
          <w:tcPr>
            <w:tcW w:w="5119" w:type="dxa"/>
          </w:tcPr>
          <w:p w14:paraId="4CD12BAF" w14:textId="77777777" w:rsidR="00CC3773" w:rsidRPr="00D3356D" w:rsidRDefault="00CC3773" w:rsidP="00A426FE">
            <w:pPr>
              <w:autoSpaceDE w:val="0"/>
              <w:autoSpaceDN w:val="0"/>
              <w:adjustRightInd w:val="0"/>
              <w:jc w:val="both"/>
              <w:rPr>
                <w:rFonts w:ascii="Times New Roman" w:hAnsi="Times New Roman" w:cs="Times New Roman"/>
                <w:bCs/>
                <w:color w:val="262626" w:themeColor="text1" w:themeTint="D9"/>
                <w:szCs w:val="22"/>
                <w:lang w:val="es-ES"/>
              </w:rPr>
            </w:pPr>
            <w:r w:rsidRPr="00D3356D">
              <w:rPr>
                <w:rFonts w:ascii="Times New Roman" w:hAnsi="Times New Roman" w:cs="Times New Roman"/>
                <w:bCs/>
                <w:color w:val="262626" w:themeColor="text1" w:themeTint="D9"/>
                <w:szCs w:val="22"/>
                <w:lang w:val="es-ES"/>
              </w:rPr>
              <w:t>Anexos: encuestas, entrevistas, actas de reuniones, actas de compromisos y acuerdos, lista de participantes a talleres, etc.</w:t>
            </w:r>
          </w:p>
        </w:tc>
        <w:tc>
          <w:tcPr>
            <w:tcW w:w="1845" w:type="dxa"/>
            <w:vMerge/>
          </w:tcPr>
          <w:p w14:paraId="0F85ACB9" w14:textId="77777777" w:rsidR="00CC3773" w:rsidRPr="00D3356D" w:rsidRDefault="00CC3773" w:rsidP="00A426FE">
            <w:pPr>
              <w:autoSpaceDE w:val="0"/>
              <w:autoSpaceDN w:val="0"/>
              <w:adjustRightInd w:val="0"/>
              <w:jc w:val="center"/>
              <w:rPr>
                <w:rFonts w:ascii="Times New Roman" w:hAnsi="Times New Roman" w:cs="Times New Roman"/>
                <w:bCs/>
                <w:color w:val="262626" w:themeColor="text1" w:themeTint="D9"/>
                <w:szCs w:val="22"/>
                <w:lang w:val="es-ES"/>
              </w:rPr>
            </w:pPr>
          </w:p>
        </w:tc>
      </w:tr>
      <w:tr w:rsidR="00CC3773" w:rsidRPr="00D3356D" w14:paraId="11C3AD32" w14:textId="77777777" w:rsidTr="000E7C4E">
        <w:trPr>
          <w:trHeight w:val="188"/>
        </w:trPr>
        <w:tc>
          <w:tcPr>
            <w:tcW w:w="6051" w:type="dxa"/>
            <w:gridSpan w:val="2"/>
          </w:tcPr>
          <w:p w14:paraId="2CB47469" w14:textId="77777777" w:rsidR="00CC3773" w:rsidRPr="00D3356D" w:rsidRDefault="00CC3773" w:rsidP="00A426FE">
            <w:pPr>
              <w:autoSpaceDE w:val="0"/>
              <w:autoSpaceDN w:val="0"/>
              <w:adjustRightInd w:val="0"/>
              <w:jc w:val="both"/>
              <w:rPr>
                <w:rFonts w:ascii="Times New Roman" w:hAnsi="Times New Roman" w:cs="Times New Roman"/>
                <w:b/>
                <w:bCs/>
                <w:color w:val="262626" w:themeColor="text1" w:themeTint="D9"/>
                <w:szCs w:val="22"/>
                <w:lang w:val="es-ES"/>
              </w:rPr>
            </w:pPr>
            <w:r w:rsidRPr="00D3356D">
              <w:rPr>
                <w:rFonts w:ascii="Times New Roman" w:hAnsi="Times New Roman" w:cs="Times New Roman"/>
                <w:b/>
                <w:bCs/>
                <w:color w:val="262626" w:themeColor="text1" w:themeTint="D9"/>
                <w:szCs w:val="22"/>
                <w:lang w:val="es-ES"/>
              </w:rPr>
              <w:t>TOTAL</w:t>
            </w:r>
          </w:p>
        </w:tc>
        <w:tc>
          <w:tcPr>
            <w:tcW w:w="1845" w:type="dxa"/>
          </w:tcPr>
          <w:p w14:paraId="21E2B843" w14:textId="77777777" w:rsidR="00CC3773" w:rsidRPr="00D3356D" w:rsidRDefault="00CC3773" w:rsidP="00A426FE">
            <w:pPr>
              <w:autoSpaceDE w:val="0"/>
              <w:autoSpaceDN w:val="0"/>
              <w:adjustRightInd w:val="0"/>
              <w:jc w:val="center"/>
              <w:rPr>
                <w:rFonts w:ascii="Times New Roman" w:hAnsi="Times New Roman" w:cs="Times New Roman"/>
                <w:b/>
                <w:bCs/>
                <w:color w:val="262626" w:themeColor="text1" w:themeTint="D9"/>
                <w:szCs w:val="22"/>
                <w:lang w:val="es-ES"/>
              </w:rPr>
            </w:pPr>
            <w:r w:rsidRPr="00D3356D">
              <w:rPr>
                <w:rFonts w:ascii="Times New Roman" w:hAnsi="Times New Roman" w:cs="Times New Roman"/>
                <w:b/>
                <w:bCs/>
                <w:color w:val="262626" w:themeColor="text1" w:themeTint="D9"/>
                <w:szCs w:val="22"/>
                <w:lang w:val="es-ES"/>
              </w:rPr>
              <w:t>20</w:t>
            </w:r>
          </w:p>
        </w:tc>
      </w:tr>
    </w:tbl>
    <w:p w14:paraId="207E7A94" w14:textId="77777777" w:rsidR="00CC3773" w:rsidRPr="00D3356D" w:rsidRDefault="00CC3773" w:rsidP="00253D5A">
      <w:pPr>
        <w:pStyle w:val="BodyText"/>
        <w:jc w:val="both"/>
        <w:rPr>
          <w:color w:val="FF0000"/>
          <w:sz w:val="22"/>
          <w:szCs w:val="22"/>
          <w:lang w:val="es-ES"/>
        </w:rPr>
      </w:pPr>
    </w:p>
    <w:p w14:paraId="4CF3292C" w14:textId="620C6CBB" w:rsidR="00752A29" w:rsidRPr="00D3356D" w:rsidRDefault="00086701" w:rsidP="00253D5A">
      <w:pPr>
        <w:jc w:val="both"/>
        <w:rPr>
          <w:b/>
          <w:bCs/>
          <w:sz w:val="22"/>
          <w:szCs w:val="22"/>
          <w:lang w:val="es-ES"/>
        </w:rPr>
      </w:pPr>
      <w:r w:rsidRPr="00D3356D">
        <w:rPr>
          <w:b/>
          <w:bCs/>
          <w:sz w:val="22"/>
          <w:szCs w:val="22"/>
          <w:lang w:val="es-ES"/>
        </w:rPr>
        <w:t>C</w:t>
      </w:r>
      <w:r w:rsidR="00202CC0" w:rsidRPr="00D3356D">
        <w:rPr>
          <w:b/>
          <w:bCs/>
          <w:sz w:val="22"/>
          <w:szCs w:val="22"/>
          <w:lang w:val="es-ES"/>
        </w:rPr>
        <w:t>ronograma de Pagos</w:t>
      </w:r>
    </w:p>
    <w:p w14:paraId="11B42478" w14:textId="77777777" w:rsidR="00202CC0" w:rsidRPr="00D3356D" w:rsidRDefault="00202CC0" w:rsidP="00253D5A">
      <w:pPr>
        <w:jc w:val="both"/>
        <w:rPr>
          <w:b/>
          <w:bCs/>
          <w:sz w:val="22"/>
          <w:szCs w:val="22"/>
          <w:lang w:val="es-ES"/>
        </w:rPr>
      </w:pPr>
    </w:p>
    <w:p w14:paraId="1322AE4E" w14:textId="4BB3BD46" w:rsidR="00CC3773" w:rsidRPr="00D3356D" w:rsidRDefault="00CC3773" w:rsidP="00CC3773">
      <w:pPr>
        <w:jc w:val="both"/>
        <w:rPr>
          <w:sz w:val="22"/>
          <w:szCs w:val="22"/>
          <w:lang w:val="es-ES"/>
        </w:rPr>
      </w:pPr>
      <w:r w:rsidRPr="00D3356D">
        <w:rPr>
          <w:sz w:val="22"/>
          <w:szCs w:val="22"/>
          <w:lang w:val="es-ES"/>
        </w:rPr>
        <w:t>La duración del contrato será de c</w:t>
      </w:r>
      <w:r w:rsidR="00C31286" w:rsidRPr="00D3356D">
        <w:rPr>
          <w:sz w:val="22"/>
          <w:szCs w:val="22"/>
          <w:lang w:val="es-ES"/>
        </w:rPr>
        <w:t>uatro</w:t>
      </w:r>
      <w:r w:rsidRPr="00D3356D">
        <w:rPr>
          <w:sz w:val="22"/>
          <w:szCs w:val="22"/>
          <w:lang w:val="es-ES"/>
        </w:rPr>
        <w:t xml:space="preserve"> (</w:t>
      </w:r>
      <w:r w:rsidR="00C31286" w:rsidRPr="00D3356D">
        <w:rPr>
          <w:sz w:val="22"/>
          <w:szCs w:val="22"/>
          <w:lang w:val="es-ES"/>
        </w:rPr>
        <w:t>4</w:t>
      </w:r>
      <w:r w:rsidRPr="00D3356D">
        <w:rPr>
          <w:sz w:val="22"/>
          <w:szCs w:val="22"/>
          <w:lang w:val="es-ES"/>
        </w:rPr>
        <w:t xml:space="preserve">) meses, desde </w:t>
      </w:r>
      <w:r w:rsidRPr="004606C4">
        <w:rPr>
          <w:sz w:val="22"/>
          <w:szCs w:val="22"/>
          <w:lang w:val="es-ES"/>
        </w:rPr>
        <w:t xml:space="preserve">el XX de </w:t>
      </w:r>
      <w:r w:rsidR="004606C4">
        <w:rPr>
          <w:sz w:val="22"/>
          <w:szCs w:val="22"/>
          <w:lang w:val="es-ES"/>
        </w:rPr>
        <w:t>XXX</w:t>
      </w:r>
      <w:r w:rsidRPr="004606C4">
        <w:rPr>
          <w:sz w:val="22"/>
          <w:szCs w:val="22"/>
          <w:lang w:val="es-ES"/>
        </w:rPr>
        <w:t xml:space="preserve"> a XX de </w:t>
      </w:r>
      <w:r w:rsidR="004606C4">
        <w:rPr>
          <w:sz w:val="22"/>
          <w:szCs w:val="22"/>
          <w:lang w:val="es-ES"/>
        </w:rPr>
        <w:t>XXX</w:t>
      </w:r>
      <w:bookmarkStart w:id="1" w:name="_GoBack"/>
      <w:bookmarkEnd w:id="1"/>
      <w:r w:rsidRPr="004606C4">
        <w:rPr>
          <w:sz w:val="22"/>
          <w:szCs w:val="22"/>
          <w:lang w:val="es-ES"/>
        </w:rPr>
        <w:t xml:space="preserve"> </w:t>
      </w:r>
      <w:r w:rsidRPr="00D3356D">
        <w:rPr>
          <w:sz w:val="22"/>
          <w:szCs w:val="22"/>
          <w:lang w:val="es-ES"/>
        </w:rPr>
        <w:t>de 2017.</w:t>
      </w:r>
    </w:p>
    <w:p w14:paraId="6E428EF4" w14:textId="77777777" w:rsidR="009669F4" w:rsidRPr="00D3356D" w:rsidRDefault="009669F4" w:rsidP="00CC3773">
      <w:pPr>
        <w:jc w:val="both"/>
        <w:rPr>
          <w:sz w:val="22"/>
          <w:szCs w:val="22"/>
          <w:lang w:val="es-ES"/>
        </w:rPr>
      </w:pPr>
    </w:p>
    <w:p w14:paraId="6207CF59" w14:textId="77777777" w:rsidR="00CC3773" w:rsidRPr="00D3356D" w:rsidRDefault="00CC3773" w:rsidP="000E7C4E">
      <w:pPr>
        <w:jc w:val="both"/>
        <w:rPr>
          <w:b/>
          <w:bCs/>
          <w:sz w:val="22"/>
          <w:szCs w:val="22"/>
          <w:lang w:val="es-ES"/>
        </w:rPr>
      </w:pPr>
      <w:r w:rsidRPr="00D3356D">
        <w:rPr>
          <w:b/>
          <w:bCs/>
          <w:sz w:val="22"/>
          <w:szCs w:val="22"/>
          <w:lang w:val="es-ES"/>
        </w:rPr>
        <w:t>Calendario de pagos:</w:t>
      </w:r>
    </w:p>
    <w:p w14:paraId="60AA6977" w14:textId="77777777" w:rsidR="00CC3773" w:rsidRPr="00D3356D" w:rsidRDefault="00CC3773" w:rsidP="00CC3773">
      <w:pPr>
        <w:jc w:val="both"/>
        <w:rPr>
          <w:sz w:val="22"/>
          <w:szCs w:val="22"/>
          <w:lang w:val="es-ES"/>
        </w:rPr>
      </w:pPr>
    </w:p>
    <w:tbl>
      <w:tblPr>
        <w:tblStyle w:val="TableGrid"/>
        <w:tblW w:w="7742" w:type="dxa"/>
        <w:jc w:val="center"/>
        <w:tblLook w:val="04A0" w:firstRow="1" w:lastRow="0" w:firstColumn="1" w:lastColumn="0" w:noHBand="0" w:noVBand="1"/>
      </w:tblPr>
      <w:tblGrid>
        <w:gridCol w:w="5702"/>
        <w:gridCol w:w="2040"/>
      </w:tblGrid>
      <w:tr w:rsidR="00CC3773" w:rsidRPr="00D3356D" w14:paraId="3949DC7E" w14:textId="77777777" w:rsidTr="00A426FE">
        <w:trPr>
          <w:jc w:val="center"/>
        </w:trPr>
        <w:tc>
          <w:tcPr>
            <w:tcW w:w="5702" w:type="dxa"/>
          </w:tcPr>
          <w:p w14:paraId="049CD5CC" w14:textId="77777777" w:rsidR="00CC3773" w:rsidRPr="00D3356D" w:rsidRDefault="00CC3773" w:rsidP="00A426FE">
            <w:pPr>
              <w:jc w:val="both"/>
              <w:rPr>
                <w:rFonts w:ascii="Times New Roman" w:hAnsi="Times New Roman" w:cs="Times New Roman"/>
                <w:szCs w:val="22"/>
                <w:lang w:val="es-ES"/>
              </w:rPr>
            </w:pPr>
            <w:r w:rsidRPr="00D3356D">
              <w:rPr>
                <w:rFonts w:ascii="Times New Roman" w:hAnsi="Times New Roman" w:cs="Times New Roman"/>
                <w:b/>
                <w:bCs/>
                <w:color w:val="000000"/>
                <w:szCs w:val="22"/>
                <w:lang w:val="es-EC"/>
              </w:rPr>
              <w:t>Hito para el pago</w:t>
            </w:r>
          </w:p>
        </w:tc>
        <w:tc>
          <w:tcPr>
            <w:tcW w:w="2040" w:type="dxa"/>
          </w:tcPr>
          <w:p w14:paraId="0FC2A53D" w14:textId="77777777" w:rsidR="00CC3773" w:rsidRPr="00D3356D" w:rsidRDefault="00CC3773" w:rsidP="00A426FE">
            <w:pPr>
              <w:jc w:val="center"/>
              <w:rPr>
                <w:rFonts w:ascii="Times New Roman" w:hAnsi="Times New Roman" w:cs="Times New Roman"/>
                <w:b/>
                <w:szCs w:val="22"/>
                <w:lang w:val="es-ES"/>
              </w:rPr>
            </w:pPr>
            <w:r w:rsidRPr="00D3356D">
              <w:rPr>
                <w:rFonts w:ascii="Times New Roman" w:hAnsi="Times New Roman" w:cs="Times New Roman"/>
                <w:b/>
                <w:szCs w:val="22"/>
                <w:lang w:val="es-ES"/>
              </w:rPr>
              <w:t>Porcentajes de Pago</w:t>
            </w:r>
          </w:p>
        </w:tc>
      </w:tr>
      <w:tr w:rsidR="00CC3773" w:rsidRPr="00D3356D" w14:paraId="05B58485" w14:textId="77777777" w:rsidTr="00A426FE">
        <w:trPr>
          <w:jc w:val="center"/>
        </w:trPr>
        <w:tc>
          <w:tcPr>
            <w:tcW w:w="5702" w:type="dxa"/>
          </w:tcPr>
          <w:p w14:paraId="619CA49D" w14:textId="77777777" w:rsidR="00CC3773" w:rsidRPr="00D3356D" w:rsidRDefault="00CC3773" w:rsidP="00A426FE">
            <w:pPr>
              <w:jc w:val="both"/>
              <w:rPr>
                <w:rFonts w:ascii="Times New Roman" w:hAnsi="Times New Roman" w:cs="Times New Roman"/>
                <w:szCs w:val="22"/>
                <w:lang w:val="es-ES"/>
              </w:rPr>
            </w:pPr>
            <w:r w:rsidRPr="00D3356D">
              <w:rPr>
                <w:rFonts w:ascii="Times New Roman" w:hAnsi="Times New Roman" w:cs="Times New Roman"/>
                <w:szCs w:val="22"/>
                <w:lang w:val="es-ES"/>
              </w:rPr>
              <w:t>Anticipo</w:t>
            </w:r>
          </w:p>
        </w:tc>
        <w:tc>
          <w:tcPr>
            <w:tcW w:w="2040" w:type="dxa"/>
          </w:tcPr>
          <w:p w14:paraId="516408E1" w14:textId="77777777" w:rsidR="00CC3773" w:rsidRPr="00D3356D" w:rsidRDefault="00CC3773" w:rsidP="00A426FE">
            <w:pPr>
              <w:jc w:val="right"/>
              <w:rPr>
                <w:rFonts w:ascii="Times New Roman" w:hAnsi="Times New Roman" w:cs="Times New Roman"/>
                <w:szCs w:val="22"/>
                <w:lang w:val="es-ES"/>
              </w:rPr>
            </w:pPr>
            <w:r w:rsidRPr="00D3356D">
              <w:rPr>
                <w:rFonts w:ascii="Times New Roman" w:hAnsi="Times New Roman" w:cs="Times New Roman"/>
                <w:szCs w:val="22"/>
                <w:lang w:val="es-ES"/>
              </w:rPr>
              <w:t>15%</w:t>
            </w:r>
          </w:p>
        </w:tc>
      </w:tr>
      <w:tr w:rsidR="00CC3773" w:rsidRPr="00D3356D" w14:paraId="4035F918" w14:textId="77777777" w:rsidTr="00A426FE">
        <w:trPr>
          <w:jc w:val="center"/>
        </w:trPr>
        <w:tc>
          <w:tcPr>
            <w:tcW w:w="5702" w:type="dxa"/>
          </w:tcPr>
          <w:p w14:paraId="1FA9A18F" w14:textId="77777777" w:rsidR="00CC3773" w:rsidRPr="00D3356D" w:rsidRDefault="00CC3773" w:rsidP="00A426FE">
            <w:pPr>
              <w:jc w:val="both"/>
              <w:rPr>
                <w:rFonts w:ascii="Times New Roman" w:hAnsi="Times New Roman" w:cs="Times New Roman"/>
                <w:szCs w:val="22"/>
                <w:lang w:val="es-ES"/>
              </w:rPr>
            </w:pPr>
            <w:r w:rsidRPr="00D3356D">
              <w:rPr>
                <w:rFonts w:ascii="Times New Roman" w:hAnsi="Times New Roman" w:cs="Times New Roman"/>
                <w:szCs w:val="22"/>
                <w:lang w:val="es-ES"/>
              </w:rPr>
              <w:t>A la entrega y aprobación de los productos de la Fase 1</w:t>
            </w:r>
          </w:p>
        </w:tc>
        <w:tc>
          <w:tcPr>
            <w:tcW w:w="2040" w:type="dxa"/>
          </w:tcPr>
          <w:p w14:paraId="49A7AA1D" w14:textId="77777777" w:rsidR="00CC3773" w:rsidRPr="00D3356D" w:rsidRDefault="00CC3773" w:rsidP="00A426FE">
            <w:pPr>
              <w:jc w:val="right"/>
              <w:rPr>
                <w:rFonts w:ascii="Times New Roman" w:hAnsi="Times New Roman" w:cs="Times New Roman"/>
                <w:szCs w:val="22"/>
                <w:lang w:val="es-ES"/>
              </w:rPr>
            </w:pPr>
            <w:r w:rsidRPr="00D3356D">
              <w:rPr>
                <w:rFonts w:ascii="Times New Roman" w:hAnsi="Times New Roman" w:cs="Times New Roman"/>
                <w:szCs w:val="22"/>
                <w:lang w:val="es-ES"/>
              </w:rPr>
              <w:t>25%</w:t>
            </w:r>
          </w:p>
        </w:tc>
      </w:tr>
      <w:tr w:rsidR="00CC3773" w:rsidRPr="00D3356D" w14:paraId="790DBE3F" w14:textId="77777777" w:rsidTr="00A426FE">
        <w:trPr>
          <w:jc w:val="center"/>
        </w:trPr>
        <w:tc>
          <w:tcPr>
            <w:tcW w:w="5702" w:type="dxa"/>
          </w:tcPr>
          <w:p w14:paraId="71A1F066" w14:textId="77777777" w:rsidR="00CC3773" w:rsidRPr="00D3356D" w:rsidRDefault="00CC3773" w:rsidP="00A426FE">
            <w:pPr>
              <w:jc w:val="both"/>
              <w:rPr>
                <w:rFonts w:ascii="Times New Roman" w:hAnsi="Times New Roman" w:cs="Times New Roman"/>
                <w:szCs w:val="22"/>
                <w:lang w:val="es-ES"/>
              </w:rPr>
            </w:pPr>
            <w:r w:rsidRPr="00D3356D">
              <w:rPr>
                <w:rFonts w:ascii="Times New Roman" w:hAnsi="Times New Roman" w:cs="Times New Roman"/>
                <w:szCs w:val="22"/>
                <w:lang w:val="es-ES"/>
              </w:rPr>
              <w:t>A la entrega y aprobación de los productos de la Fase 2</w:t>
            </w:r>
          </w:p>
        </w:tc>
        <w:tc>
          <w:tcPr>
            <w:tcW w:w="2040" w:type="dxa"/>
          </w:tcPr>
          <w:p w14:paraId="6C905B5C" w14:textId="77777777" w:rsidR="00CC3773" w:rsidRPr="00D3356D" w:rsidRDefault="00CC3773" w:rsidP="00A426FE">
            <w:pPr>
              <w:jc w:val="right"/>
              <w:rPr>
                <w:rFonts w:ascii="Times New Roman" w:hAnsi="Times New Roman" w:cs="Times New Roman"/>
                <w:szCs w:val="22"/>
                <w:lang w:val="es-ES"/>
              </w:rPr>
            </w:pPr>
            <w:r w:rsidRPr="00D3356D">
              <w:rPr>
                <w:rFonts w:ascii="Times New Roman" w:hAnsi="Times New Roman" w:cs="Times New Roman"/>
                <w:szCs w:val="22"/>
                <w:lang w:val="es-ES"/>
              </w:rPr>
              <w:t>60%</w:t>
            </w:r>
          </w:p>
        </w:tc>
      </w:tr>
      <w:tr w:rsidR="00CC3773" w:rsidRPr="00D3356D" w14:paraId="75EA791C" w14:textId="77777777" w:rsidTr="00A426FE">
        <w:trPr>
          <w:jc w:val="center"/>
        </w:trPr>
        <w:tc>
          <w:tcPr>
            <w:tcW w:w="5702" w:type="dxa"/>
          </w:tcPr>
          <w:p w14:paraId="1F487166" w14:textId="77777777" w:rsidR="00CC3773" w:rsidRPr="00D3356D" w:rsidRDefault="00CC3773" w:rsidP="00A426FE">
            <w:pPr>
              <w:jc w:val="both"/>
              <w:rPr>
                <w:rFonts w:ascii="Times New Roman" w:hAnsi="Times New Roman" w:cs="Times New Roman"/>
                <w:b/>
                <w:szCs w:val="22"/>
                <w:lang w:val="es-ES"/>
              </w:rPr>
            </w:pPr>
            <w:r w:rsidRPr="00D3356D">
              <w:rPr>
                <w:rFonts w:ascii="Times New Roman" w:hAnsi="Times New Roman" w:cs="Times New Roman"/>
                <w:b/>
                <w:szCs w:val="22"/>
                <w:lang w:val="es-ES"/>
              </w:rPr>
              <w:t>TOTAL</w:t>
            </w:r>
          </w:p>
        </w:tc>
        <w:tc>
          <w:tcPr>
            <w:tcW w:w="2040" w:type="dxa"/>
          </w:tcPr>
          <w:p w14:paraId="393308EF" w14:textId="77777777" w:rsidR="00CC3773" w:rsidRPr="00D3356D" w:rsidRDefault="00CC3773" w:rsidP="00A426FE">
            <w:pPr>
              <w:jc w:val="right"/>
              <w:rPr>
                <w:rFonts w:ascii="Times New Roman" w:hAnsi="Times New Roman" w:cs="Times New Roman"/>
                <w:b/>
                <w:szCs w:val="22"/>
                <w:lang w:val="es-ES"/>
              </w:rPr>
            </w:pPr>
            <w:r w:rsidRPr="00D3356D">
              <w:rPr>
                <w:rFonts w:ascii="Times New Roman" w:hAnsi="Times New Roman" w:cs="Times New Roman"/>
                <w:b/>
                <w:szCs w:val="22"/>
                <w:lang w:val="es-ES"/>
              </w:rPr>
              <w:t>100%</w:t>
            </w:r>
          </w:p>
        </w:tc>
      </w:tr>
    </w:tbl>
    <w:p w14:paraId="1AD81C40" w14:textId="77777777" w:rsidR="00CC3773" w:rsidRPr="00D3356D" w:rsidRDefault="00CC3773" w:rsidP="00253D5A">
      <w:pPr>
        <w:jc w:val="both"/>
        <w:rPr>
          <w:bCs/>
          <w:sz w:val="22"/>
          <w:szCs w:val="22"/>
          <w:lang w:val="es-ES"/>
        </w:rPr>
      </w:pPr>
    </w:p>
    <w:p w14:paraId="4CF32938" w14:textId="7F50387C" w:rsidR="00253D5A" w:rsidRPr="00D3356D" w:rsidRDefault="0080549B" w:rsidP="00253D5A">
      <w:pPr>
        <w:jc w:val="both"/>
        <w:rPr>
          <w:b/>
          <w:bCs/>
          <w:sz w:val="22"/>
          <w:szCs w:val="22"/>
          <w:lang w:val="es-ES"/>
        </w:rPr>
      </w:pPr>
      <w:r w:rsidRPr="00D3356D">
        <w:rPr>
          <w:b/>
          <w:bCs/>
          <w:sz w:val="22"/>
          <w:szCs w:val="22"/>
          <w:lang w:val="es-ES"/>
        </w:rPr>
        <w:t>Calificaciones</w:t>
      </w:r>
      <w:r w:rsidR="00A710B4" w:rsidRPr="00D3356D">
        <w:rPr>
          <w:b/>
          <w:bCs/>
          <w:sz w:val="22"/>
          <w:szCs w:val="22"/>
          <w:lang w:val="es-ES"/>
        </w:rPr>
        <w:t>:</w:t>
      </w:r>
    </w:p>
    <w:p w14:paraId="63260540" w14:textId="77777777" w:rsidR="00CC3773" w:rsidRPr="00D3356D" w:rsidRDefault="00CC3773" w:rsidP="00253D5A">
      <w:pPr>
        <w:jc w:val="both"/>
        <w:rPr>
          <w:sz w:val="22"/>
          <w:szCs w:val="22"/>
          <w:lang w:val="es-ES"/>
        </w:rPr>
      </w:pPr>
    </w:p>
    <w:p w14:paraId="5181C3B8" w14:textId="52E63515" w:rsidR="00770BF8" w:rsidRPr="00D3356D" w:rsidRDefault="000A13F8" w:rsidP="00770BF8">
      <w:pPr>
        <w:widowControl w:val="0"/>
        <w:adjustRightInd w:val="0"/>
        <w:ind w:left="360"/>
        <w:jc w:val="both"/>
        <w:textAlignment w:val="baseline"/>
        <w:rPr>
          <w:rFonts w:eastAsia="SimSun"/>
          <w:bCs/>
          <w:sz w:val="22"/>
          <w:szCs w:val="22"/>
          <w:lang w:val="es-AR" w:bidi="km-KH"/>
        </w:rPr>
      </w:pPr>
      <w:r w:rsidRPr="00D3356D">
        <w:rPr>
          <w:rFonts w:eastAsia="SimSun"/>
          <w:bCs/>
          <w:sz w:val="22"/>
          <w:szCs w:val="22"/>
          <w:lang w:val="es-AR" w:bidi="km-KH"/>
        </w:rPr>
        <w:t>Título</w:t>
      </w:r>
      <w:r w:rsidR="0080549B" w:rsidRPr="00D3356D">
        <w:rPr>
          <w:rFonts w:eastAsia="SimSun"/>
          <w:bCs/>
          <w:sz w:val="22"/>
          <w:szCs w:val="22"/>
          <w:lang w:val="es-AR" w:bidi="km-KH"/>
        </w:rPr>
        <w:t>/Nivel</w:t>
      </w:r>
      <w:r w:rsidR="00F35F75" w:rsidRPr="00D3356D">
        <w:rPr>
          <w:rFonts w:eastAsia="SimSun"/>
          <w:bCs/>
          <w:sz w:val="22"/>
          <w:szCs w:val="22"/>
          <w:lang w:val="es-AR" w:bidi="km-KH"/>
        </w:rPr>
        <w:t xml:space="preserve"> </w:t>
      </w:r>
      <w:r w:rsidRPr="00D3356D">
        <w:rPr>
          <w:rFonts w:eastAsia="SimSun"/>
          <w:bCs/>
          <w:sz w:val="22"/>
          <w:szCs w:val="22"/>
          <w:lang w:val="es-AR" w:bidi="km-KH"/>
        </w:rPr>
        <w:t>Académico</w:t>
      </w:r>
      <w:r w:rsidR="00EB5F2B" w:rsidRPr="00D3356D">
        <w:rPr>
          <w:rFonts w:eastAsia="SimSun"/>
          <w:bCs/>
          <w:sz w:val="22"/>
          <w:szCs w:val="22"/>
          <w:lang w:val="es-AR" w:bidi="km-KH"/>
        </w:rPr>
        <w:t xml:space="preserve"> &amp; </w:t>
      </w:r>
      <w:r w:rsidR="00253D5A" w:rsidRPr="00D3356D">
        <w:rPr>
          <w:rFonts w:eastAsia="SimSun"/>
          <w:bCs/>
          <w:sz w:val="22"/>
          <w:szCs w:val="22"/>
          <w:lang w:val="es-AR" w:bidi="km-KH"/>
        </w:rPr>
        <w:t xml:space="preserve">Años de </w:t>
      </w:r>
      <w:r w:rsidR="00EB5F2B" w:rsidRPr="00D3356D">
        <w:rPr>
          <w:rFonts w:eastAsia="SimSun"/>
          <w:bCs/>
          <w:sz w:val="22"/>
          <w:szCs w:val="22"/>
          <w:lang w:val="es-AR" w:bidi="km-KH"/>
        </w:rPr>
        <w:t>E</w:t>
      </w:r>
      <w:r w:rsidR="00253D5A" w:rsidRPr="00D3356D">
        <w:rPr>
          <w:rFonts w:eastAsia="SimSun"/>
          <w:bCs/>
          <w:sz w:val="22"/>
          <w:szCs w:val="22"/>
          <w:lang w:val="es-AR" w:bidi="km-KH"/>
        </w:rPr>
        <w:t xml:space="preserve">xperiencia </w:t>
      </w:r>
      <w:r w:rsidR="00EB5F2B" w:rsidRPr="00D3356D">
        <w:rPr>
          <w:rFonts w:eastAsia="SimSun"/>
          <w:bCs/>
          <w:sz w:val="22"/>
          <w:szCs w:val="22"/>
          <w:lang w:val="es-AR" w:bidi="km-KH"/>
        </w:rPr>
        <w:t>P</w:t>
      </w:r>
      <w:r w:rsidR="00253D5A" w:rsidRPr="00D3356D">
        <w:rPr>
          <w:rFonts w:eastAsia="SimSun"/>
          <w:bCs/>
          <w:sz w:val="22"/>
          <w:szCs w:val="22"/>
          <w:lang w:val="es-AR" w:bidi="km-KH"/>
        </w:rPr>
        <w:t>rofesional:</w:t>
      </w:r>
      <w:r w:rsidR="00770BF8" w:rsidRPr="00D3356D">
        <w:rPr>
          <w:rFonts w:eastAsia="SimSun"/>
          <w:bCs/>
          <w:sz w:val="22"/>
          <w:szCs w:val="22"/>
          <w:lang w:val="es-AR" w:bidi="km-KH"/>
        </w:rPr>
        <w:t xml:space="preserve"> </w:t>
      </w:r>
      <w:r w:rsidR="00474DD4" w:rsidRPr="00D3356D">
        <w:rPr>
          <w:rFonts w:eastAsia="SimSun"/>
          <w:bCs/>
          <w:sz w:val="22"/>
          <w:szCs w:val="22"/>
          <w:lang w:val="es-AR" w:bidi="km-KH"/>
        </w:rPr>
        <w:t>p</w:t>
      </w:r>
      <w:r w:rsidR="00770BF8" w:rsidRPr="00D3356D">
        <w:rPr>
          <w:rFonts w:eastAsia="SimSun"/>
          <w:bCs/>
          <w:sz w:val="22"/>
          <w:szCs w:val="22"/>
          <w:lang w:val="es-AR" w:bidi="km-KH"/>
        </w:rPr>
        <w:t xml:space="preserve">rofesional con título universitario de tercer nivel en: Administración y Dirección de Empresas; Administración y Gestión Pública; Relaciones Laborales; Sociología; o ramas afines. Mínimo 10 años en experiencia laboral general. </w:t>
      </w:r>
    </w:p>
    <w:p w14:paraId="07A0EDA9" w14:textId="0CDD6104" w:rsidR="00770BF8" w:rsidRPr="00D3356D" w:rsidRDefault="00253D5A" w:rsidP="00770BF8">
      <w:pPr>
        <w:autoSpaceDE w:val="0"/>
        <w:autoSpaceDN w:val="0"/>
        <w:adjustRightInd w:val="0"/>
        <w:ind w:left="360"/>
        <w:jc w:val="both"/>
        <w:rPr>
          <w:rFonts w:eastAsia="SimSun"/>
          <w:bCs/>
          <w:sz w:val="22"/>
          <w:szCs w:val="22"/>
          <w:lang w:val="es-AR" w:bidi="km-KH"/>
        </w:rPr>
      </w:pPr>
      <w:r w:rsidRPr="00D3356D">
        <w:rPr>
          <w:rFonts w:eastAsia="SimSun"/>
          <w:bCs/>
          <w:sz w:val="22"/>
          <w:szCs w:val="22"/>
          <w:lang w:val="es-AR" w:bidi="km-KH"/>
        </w:rPr>
        <w:t>Idiomas:</w:t>
      </w:r>
      <w:r w:rsidR="00770BF8" w:rsidRPr="00D3356D">
        <w:rPr>
          <w:rFonts w:eastAsia="SimSun"/>
          <w:bCs/>
          <w:sz w:val="22"/>
          <w:szCs w:val="22"/>
          <w:lang w:val="es-AR" w:bidi="km-KH"/>
        </w:rPr>
        <w:t xml:space="preserve"> español</w:t>
      </w:r>
    </w:p>
    <w:p w14:paraId="7E9D6D77" w14:textId="5E36990F" w:rsidR="00770BF8" w:rsidRPr="00D3356D" w:rsidRDefault="00EB5F2B" w:rsidP="00770BF8">
      <w:pPr>
        <w:widowControl w:val="0"/>
        <w:adjustRightInd w:val="0"/>
        <w:ind w:left="360"/>
        <w:jc w:val="both"/>
        <w:textAlignment w:val="baseline"/>
        <w:rPr>
          <w:rFonts w:eastAsia="SimSun"/>
          <w:bCs/>
          <w:sz w:val="22"/>
          <w:szCs w:val="22"/>
          <w:lang w:val="es-AR" w:bidi="km-KH"/>
        </w:rPr>
      </w:pPr>
      <w:r w:rsidRPr="00D3356D">
        <w:rPr>
          <w:rFonts w:eastAsia="SimSun"/>
          <w:bCs/>
          <w:sz w:val="22"/>
          <w:szCs w:val="22"/>
          <w:lang w:val="es-AR" w:bidi="km-KH"/>
        </w:rPr>
        <w:t>Áreas de Especialización:</w:t>
      </w:r>
      <w:r w:rsidR="00770BF8" w:rsidRPr="00D3356D">
        <w:rPr>
          <w:rFonts w:eastAsia="SimSun"/>
          <w:bCs/>
          <w:sz w:val="22"/>
          <w:szCs w:val="22"/>
          <w:lang w:val="es-AR" w:bidi="km-KH"/>
        </w:rPr>
        <w:t xml:space="preserve"> </w:t>
      </w:r>
      <w:r w:rsidR="00474DD4" w:rsidRPr="00D3356D">
        <w:rPr>
          <w:rFonts w:eastAsia="SimSun"/>
          <w:bCs/>
          <w:sz w:val="22"/>
          <w:szCs w:val="22"/>
          <w:lang w:val="es-AR" w:bidi="km-KH"/>
        </w:rPr>
        <w:t>a</w:t>
      </w:r>
      <w:r w:rsidR="00770BF8" w:rsidRPr="00D3356D">
        <w:rPr>
          <w:rFonts w:eastAsia="SimSun"/>
          <w:bCs/>
          <w:sz w:val="22"/>
          <w:szCs w:val="22"/>
          <w:lang w:val="es-AR" w:bidi="km-KH"/>
        </w:rPr>
        <w:t>creditar estudios de post grado o maestría referidos a negociaci</w:t>
      </w:r>
      <w:r w:rsidR="00474DD4" w:rsidRPr="00D3356D">
        <w:rPr>
          <w:rFonts w:eastAsia="SimSun"/>
          <w:bCs/>
          <w:sz w:val="22"/>
          <w:szCs w:val="22"/>
          <w:lang w:val="es-AR" w:bidi="km-KH"/>
        </w:rPr>
        <w:t>ón</w:t>
      </w:r>
      <w:r w:rsidR="00770BF8" w:rsidRPr="00D3356D">
        <w:rPr>
          <w:rFonts w:eastAsia="SimSun"/>
          <w:bCs/>
          <w:sz w:val="22"/>
          <w:szCs w:val="22"/>
          <w:lang w:val="es-AR" w:bidi="km-KH"/>
        </w:rPr>
        <w:t>.</w:t>
      </w:r>
    </w:p>
    <w:p w14:paraId="4CF3293B" w14:textId="6CD88431" w:rsidR="00253D5A" w:rsidRPr="00D3356D" w:rsidRDefault="00253D5A" w:rsidP="00CC3773">
      <w:pPr>
        <w:ind w:left="360"/>
        <w:jc w:val="both"/>
        <w:rPr>
          <w:rFonts w:eastAsia="SimSun"/>
          <w:bCs/>
          <w:sz w:val="22"/>
          <w:szCs w:val="22"/>
          <w:lang w:val="es-AR" w:bidi="km-KH"/>
        </w:rPr>
      </w:pPr>
      <w:r w:rsidRPr="00D3356D">
        <w:rPr>
          <w:rFonts w:eastAsia="SimSun"/>
          <w:bCs/>
          <w:sz w:val="22"/>
          <w:szCs w:val="22"/>
          <w:lang w:val="es-AR" w:bidi="km-KH"/>
        </w:rPr>
        <w:lastRenderedPageBreak/>
        <w:t xml:space="preserve">Habilidades: </w:t>
      </w:r>
      <w:r w:rsidR="00815494" w:rsidRPr="00D3356D">
        <w:rPr>
          <w:rFonts w:eastAsia="SimSun"/>
          <w:bCs/>
          <w:sz w:val="22"/>
          <w:szCs w:val="22"/>
          <w:lang w:val="es-AR" w:bidi="km-KH"/>
        </w:rPr>
        <w:t xml:space="preserve">estrategias y tácticas de negociación y consecución de acuerdos. </w:t>
      </w:r>
    </w:p>
    <w:p w14:paraId="3775C17D" w14:textId="77777777" w:rsidR="00EB1C35" w:rsidRPr="00D3356D" w:rsidRDefault="00EB1C35" w:rsidP="00CC3773">
      <w:pPr>
        <w:widowControl w:val="0"/>
        <w:adjustRightInd w:val="0"/>
        <w:ind w:left="360"/>
        <w:jc w:val="both"/>
        <w:textAlignment w:val="baseline"/>
        <w:rPr>
          <w:sz w:val="22"/>
          <w:szCs w:val="22"/>
          <w:lang w:val="es-EC"/>
        </w:rPr>
      </w:pPr>
    </w:p>
    <w:p w14:paraId="56676F4D" w14:textId="61AC64DE" w:rsidR="00A44B2E" w:rsidRPr="00D3356D" w:rsidRDefault="009669F4" w:rsidP="00440F69">
      <w:pPr>
        <w:jc w:val="both"/>
        <w:rPr>
          <w:sz w:val="22"/>
          <w:szCs w:val="22"/>
          <w:lang w:val="es-EC"/>
        </w:rPr>
      </w:pPr>
      <w:r w:rsidRPr="00D3356D">
        <w:rPr>
          <w:rFonts w:eastAsia="SimSun"/>
          <w:bCs/>
          <w:i/>
          <w:sz w:val="22"/>
          <w:szCs w:val="22"/>
          <w:lang w:val="es-AR" w:bidi="km-KH"/>
        </w:rPr>
        <w:t>Nota: Los años de experiencia</w:t>
      </w:r>
      <w:r w:rsidR="00EB1C35" w:rsidRPr="00D3356D">
        <w:rPr>
          <w:rFonts w:eastAsia="SimSun"/>
          <w:bCs/>
          <w:i/>
          <w:sz w:val="22"/>
          <w:szCs w:val="22"/>
          <w:lang w:val="es-AR" w:bidi="km-KH"/>
        </w:rPr>
        <w:t xml:space="preserve">, se contarán a partir de la fecha de graduación </w:t>
      </w:r>
      <w:r w:rsidR="00815494" w:rsidRPr="00D3356D">
        <w:rPr>
          <w:rFonts w:eastAsia="SimSun"/>
          <w:bCs/>
          <w:i/>
          <w:sz w:val="22"/>
          <w:szCs w:val="22"/>
          <w:lang w:val="es-AR" w:bidi="km-KH"/>
        </w:rPr>
        <w:t>del</w:t>
      </w:r>
      <w:r w:rsidR="00EB1C35" w:rsidRPr="00D3356D">
        <w:rPr>
          <w:rFonts w:eastAsia="SimSun"/>
          <w:bCs/>
          <w:i/>
          <w:sz w:val="22"/>
          <w:szCs w:val="22"/>
          <w:lang w:val="es-AR" w:bidi="km-KH"/>
        </w:rPr>
        <w:t xml:space="preserve"> primer título profesional</w:t>
      </w:r>
      <w:r w:rsidR="000E7C4E" w:rsidRPr="00D3356D">
        <w:rPr>
          <w:rFonts w:eastAsia="SimSun"/>
          <w:bCs/>
          <w:i/>
          <w:sz w:val="22"/>
          <w:szCs w:val="22"/>
          <w:lang w:val="es-AR" w:bidi="km-KH"/>
        </w:rPr>
        <w:t>.</w:t>
      </w:r>
    </w:p>
    <w:p w14:paraId="745429B5" w14:textId="77777777" w:rsidR="00CC3773" w:rsidRPr="00D3356D" w:rsidRDefault="00CC3773" w:rsidP="00440F69">
      <w:pPr>
        <w:jc w:val="both"/>
        <w:rPr>
          <w:sz w:val="22"/>
          <w:szCs w:val="22"/>
          <w:lang w:val="es-EC"/>
        </w:rPr>
      </w:pPr>
    </w:p>
    <w:p w14:paraId="5BD0F3A5" w14:textId="77777777" w:rsidR="00CC3773" w:rsidRPr="00D3356D" w:rsidRDefault="00CC3773" w:rsidP="00440F69">
      <w:pPr>
        <w:jc w:val="both"/>
        <w:rPr>
          <w:sz w:val="22"/>
          <w:szCs w:val="22"/>
          <w:lang w:val="es-ES"/>
        </w:rPr>
      </w:pPr>
    </w:p>
    <w:p w14:paraId="6C5741E7" w14:textId="77777777" w:rsidR="00EB7525" w:rsidRPr="00D3356D" w:rsidRDefault="00EB7525" w:rsidP="00EB7525">
      <w:pPr>
        <w:jc w:val="both"/>
        <w:rPr>
          <w:b/>
          <w:bCs/>
          <w:sz w:val="22"/>
          <w:szCs w:val="22"/>
          <w:lang w:val="es-ES"/>
        </w:rPr>
      </w:pPr>
      <w:r w:rsidRPr="00D3356D">
        <w:rPr>
          <w:b/>
          <w:bCs/>
          <w:sz w:val="22"/>
          <w:szCs w:val="22"/>
          <w:lang w:val="es-ES"/>
        </w:rPr>
        <w:t>Características de la Consultoría</w:t>
      </w:r>
    </w:p>
    <w:p w14:paraId="6A882610" w14:textId="77777777" w:rsidR="00EB7525" w:rsidRPr="00D3356D" w:rsidRDefault="00EB7525" w:rsidP="00EB7525">
      <w:pPr>
        <w:jc w:val="both"/>
        <w:rPr>
          <w:b/>
          <w:bCs/>
          <w:sz w:val="22"/>
          <w:szCs w:val="22"/>
          <w:lang w:val="es-ES"/>
        </w:rPr>
      </w:pPr>
    </w:p>
    <w:p w14:paraId="04292A47" w14:textId="0CAA416B" w:rsidR="00EB7525" w:rsidRPr="00D3356D" w:rsidRDefault="00EB7525" w:rsidP="00EB7525">
      <w:pPr>
        <w:pStyle w:val="ListParagraph"/>
        <w:numPr>
          <w:ilvl w:val="0"/>
          <w:numId w:val="9"/>
        </w:numPr>
        <w:jc w:val="both"/>
        <w:rPr>
          <w:sz w:val="22"/>
          <w:szCs w:val="22"/>
          <w:lang w:val="es-ES"/>
        </w:rPr>
      </w:pPr>
      <w:r w:rsidRPr="00D3356D">
        <w:rPr>
          <w:sz w:val="22"/>
          <w:szCs w:val="22"/>
          <w:lang w:val="es-ES"/>
        </w:rPr>
        <w:t xml:space="preserve">Categoría y Modalidad de la Consultoría: </w:t>
      </w:r>
      <w:r w:rsidR="00577CC0" w:rsidRPr="00D3356D">
        <w:rPr>
          <w:sz w:val="22"/>
          <w:szCs w:val="22"/>
          <w:lang w:val="es-ES"/>
        </w:rPr>
        <w:t>Contractual de</w:t>
      </w:r>
      <w:r w:rsidR="007B4F37" w:rsidRPr="00D3356D">
        <w:rPr>
          <w:sz w:val="22"/>
          <w:szCs w:val="22"/>
          <w:lang w:val="es-ES"/>
        </w:rPr>
        <w:t xml:space="preserve"> Productos y Servicios Externos, </w:t>
      </w:r>
      <w:r w:rsidR="0080549B" w:rsidRPr="00D3356D">
        <w:rPr>
          <w:sz w:val="22"/>
          <w:szCs w:val="22"/>
          <w:lang w:val="es-ES"/>
        </w:rPr>
        <w:t>Suma Alzada</w:t>
      </w:r>
    </w:p>
    <w:p w14:paraId="3A479FF0" w14:textId="74E60BEE" w:rsidR="00EB7525" w:rsidRPr="00D3356D" w:rsidRDefault="003A4515" w:rsidP="00EB7525">
      <w:pPr>
        <w:pStyle w:val="ListParagraph"/>
        <w:numPr>
          <w:ilvl w:val="0"/>
          <w:numId w:val="9"/>
        </w:numPr>
        <w:jc w:val="both"/>
        <w:rPr>
          <w:sz w:val="22"/>
          <w:szCs w:val="22"/>
          <w:lang w:val="es-ES"/>
        </w:rPr>
      </w:pPr>
      <w:r w:rsidRPr="00D3356D">
        <w:rPr>
          <w:sz w:val="22"/>
          <w:szCs w:val="22"/>
          <w:lang w:val="es-ES"/>
        </w:rPr>
        <w:t xml:space="preserve">Duración del Contrato: </w:t>
      </w:r>
      <w:r w:rsidR="006E5552" w:rsidRPr="00D3356D">
        <w:rPr>
          <w:sz w:val="22"/>
          <w:szCs w:val="22"/>
          <w:lang w:val="es-ES"/>
        </w:rPr>
        <w:t>Cuatro meses</w:t>
      </w:r>
    </w:p>
    <w:p w14:paraId="68CF923A" w14:textId="0D172330" w:rsidR="00EB7525" w:rsidRPr="00D3356D" w:rsidRDefault="00EB7525" w:rsidP="00EB7525">
      <w:pPr>
        <w:pStyle w:val="ListParagraph"/>
        <w:numPr>
          <w:ilvl w:val="0"/>
          <w:numId w:val="9"/>
        </w:numPr>
        <w:jc w:val="both"/>
        <w:rPr>
          <w:sz w:val="22"/>
          <w:szCs w:val="22"/>
          <w:lang w:val="es-ES"/>
        </w:rPr>
      </w:pPr>
      <w:r w:rsidRPr="00D3356D">
        <w:rPr>
          <w:sz w:val="22"/>
          <w:szCs w:val="22"/>
          <w:lang w:val="es-ES"/>
        </w:rPr>
        <w:t xml:space="preserve">Lugar(es) de trabajo: </w:t>
      </w:r>
      <w:r w:rsidR="008C1329" w:rsidRPr="00D3356D">
        <w:rPr>
          <w:sz w:val="22"/>
          <w:szCs w:val="22"/>
          <w:lang w:val="es-ES"/>
        </w:rPr>
        <w:t xml:space="preserve">Por su especialidad, esta consultoría se la realizará en las propias oficinas de la Subsecretaría de Agua Potable y Saneamiento, para lo cual esta Institución </w:t>
      </w:r>
      <w:r w:rsidR="00FA72F8" w:rsidRPr="00D3356D">
        <w:rPr>
          <w:sz w:val="22"/>
          <w:szCs w:val="22"/>
          <w:lang w:val="es-ES"/>
        </w:rPr>
        <w:t>dará las facilidades mínimas necesarias.</w:t>
      </w:r>
    </w:p>
    <w:p w14:paraId="7DCF19A1" w14:textId="77777777" w:rsidR="00FA72F8" w:rsidRPr="00D3356D" w:rsidRDefault="00FA72F8" w:rsidP="00FA72F8">
      <w:pPr>
        <w:ind w:left="360"/>
        <w:jc w:val="both"/>
        <w:rPr>
          <w:sz w:val="22"/>
          <w:szCs w:val="22"/>
          <w:lang w:val="es-ES"/>
        </w:rPr>
      </w:pPr>
    </w:p>
    <w:p w14:paraId="7E29A551" w14:textId="1E78039A" w:rsidR="00EB7525" w:rsidRPr="00D3356D" w:rsidRDefault="0080549B" w:rsidP="00EB7525">
      <w:pPr>
        <w:pStyle w:val="ListParagraph"/>
        <w:numPr>
          <w:ilvl w:val="0"/>
          <w:numId w:val="9"/>
        </w:numPr>
        <w:jc w:val="both"/>
        <w:rPr>
          <w:bCs/>
          <w:sz w:val="22"/>
          <w:szCs w:val="22"/>
          <w:lang w:val="es-ES"/>
        </w:rPr>
      </w:pPr>
      <w:r w:rsidRPr="00D3356D">
        <w:rPr>
          <w:sz w:val="22"/>
          <w:szCs w:val="22"/>
          <w:lang w:val="es-ES"/>
        </w:rPr>
        <w:t>Líder de División o Coordina</w:t>
      </w:r>
      <w:r w:rsidR="00226385" w:rsidRPr="00D3356D">
        <w:rPr>
          <w:sz w:val="22"/>
          <w:szCs w:val="22"/>
          <w:lang w:val="es-ES"/>
        </w:rPr>
        <w:t>d</w:t>
      </w:r>
      <w:r w:rsidRPr="00D3356D">
        <w:rPr>
          <w:sz w:val="22"/>
          <w:szCs w:val="22"/>
          <w:lang w:val="es-ES"/>
        </w:rPr>
        <w:t>or</w:t>
      </w:r>
      <w:r w:rsidR="00EB7525" w:rsidRPr="00D3356D">
        <w:rPr>
          <w:sz w:val="22"/>
          <w:szCs w:val="22"/>
          <w:lang w:val="es-ES"/>
        </w:rPr>
        <w:t xml:space="preserve">: </w:t>
      </w:r>
      <w:r w:rsidR="009B57DE" w:rsidRPr="00D3356D">
        <w:rPr>
          <w:bCs/>
          <w:sz w:val="22"/>
          <w:szCs w:val="22"/>
          <w:lang w:val="es-ES"/>
        </w:rPr>
        <w:t>Marcello Basani, Especialista Senior en Agua y Saneamiento INE/WSA</w:t>
      </w:r>
    </w:p>
    <w:p w14:paraId="60B14CEE" w14:textId="77777777" w:rsidR="00440F69" w:rsidRPr="00D3356D" w:rsidRDefault="00440F69" w:rsidP="00253D5A">
      <w:pPr>
        <w:jc w:val="both"/>
        <w:rPr>
          <w:b/>
          <w:bCs/>
          <w:sz w:val="22"/>
          <w:szCs w:val="22"/>
          <w:lang w:val="es-ES"/>
        </w:rPr>
      </w:pPr>
    </w:p>
    <w:p w14:paraId="1EB803FF" w14:textId="77777777" w:rsidR="00EB7525" w:rsidRPr="00D3356D" w:rsidRDefault="00EB7525" w:rsidP="00253D5A">
      <w:pPr>
        <w:jc w:val="both"/>
        <w:rPr>
          <w:b/>
          <w:bCs/>
          <w:sz w:val="22"/>
          <w:szCs w:val="22"/>
          <w:lang w:val="es-ES"/>
        </w:rPr>
      </w:pPr>
    </w:p>
    <w:p w14:paraId="4CF3293D" w14:textId="6BF83E13" w:rsidR="00387C6A" w:rsidRPr="00D3356D" w:rsidRDefault="00DF4CD8" w:rsidP="0097784A">
      <w:pPr>
        <w:jc w:val="both"/>
        <w:rPr>
          <w:bCs/>
          <w:sz w:val="22"/>
          <w:szCs w:val="22"/>
          <w:lang w:val="es-ES"/>
        </w:rPr>
      </w:pPr>
      <w:r w:rsidRPr="00D3356D">
        <w:rPr>
          <w:b/>
          <w:bCs/>
          <w:sz w:val="22"/>
          <w:szCs w:val="22"/>
          <w:lang w:val="es-ES"/>
        </w:rPr>
        <w:t>Pa</w:t>
      </w:r>
      <w:r w:rsidR="00387C6A" w:rsidRPr="00D3356D">
        <w:rPr>
          <w:b/>
          <w:bCs/>
          <w:sz w:val="22"/>
          <w:szCs w:val="22"/>
          <w:lang w:val="es-ES"/>
        </w:rPr>
        <w:t>gos y Condiciones de Empleo</w:t>
      </w:r>
      <w:r w:rsidRPr="00D3356D">
        <w:rPr>
          <w:bCs/>
          <w:sz w:val="22"/>
          <w:szCs w:val="22"/>
          <w:lang w:val="es-ES"/>
        </w:rPr>
        <w:t>:</w:t>
      </w:r>
      <w:r w:rsidR="00993F1D" w:rsidRPr="00D3356D">
        <w:rPr>
          <w:bCs/>
          <w:sz w:val="22"/>
          <w:szCs w:val="22"/>
          <w:lang w:val="es-ES"/>
        </w:rPr>
        <w:t xml:space="preserve"> </w:t>
      </w:r>
      <w:r w:rsidR="009E049C" w:rsidRPr="00D3356D">
        <w:rPr>
          <w:bCs/>
          <w:sz w:val="22"/>
          <w:szCs w:val="22"/>
          <w:lang w:val="es-ES"/>
        </w:rPr>
        <w:t>La</w:t>
      </w:r>
      <w:r w:rsidR="00993F1D" w:rsidRPr="00D3356D">
        <w:rPr>
          <w:bCs/>
          <w:sz w:val="22"/>
          <w:szCs w:val="22"/>
          <w:lang w:val="es-ES"/>
        </w:rPr>
        <w:t xml:space="preserve"> remuneración</w:t>
      </w:r>
      <w:r w:rsidR="00387C6A" w:rsidRPr="00D3356D">
        <w:rPr>
          <w:bCs/>
          <w:sz w:val="22"/>
          <w:szCs w:val="22"/>
          <w:lang w:val="es-ES"/>
        </w:rPr>
        <w:t xml:space="preserve"> </w:t>
      </w:r>
      <w:r w:rsidR="00993F1D" w:rsidRPr="00D3356D">
        <w:rPr>
          <w:bCs/>
          <w:sz w:val="22"/>
          <w:szCs w:val="22"/>
          <w:lang w:val="es-ES"/>
        </w:rPr>
        <w:t>será</w:t>
      </w:r>
      <w:r w:rsidR="00387C6A" w:rsidRPr="00D3356D">
        <w:rPr>
          <w:bCs/>
          <w:sz w:val="22"/>
          <w:szCs w:val="22"/>
          <w:lang w:val="es-ES"/>
        </w:rPr>
        <w:t xml:space="preserve"> determinada de acuerdo a los reglamentos y criterios del Banco.</w:t>
      </w:r>
      <w:r w:rsidR="00993F1D" w:rsidRPr="00D3356D">
        <w:rPr>
          <w:bCs/>
          <w:sz w:val="22"/>
          <w:szCs w:val="22"/>
          <w:lang w:val="es-ES"/>
        </w:rPr>
        <w:t xml:space="preserve"> </w:t>
      </w:r>
    </w:p>
    <w:p w14:paraId="4CF3293E" w14:textId="77777777" w:rsidR="00387C6A" w:rsidRPr="00D3356D" w:rsidRDefault="00387C6A" w:rsidP="0097784A">
      <w:pPr>
        <w:jc w:val="both"/>
        <w:rPr>
          <w:bCs/>
          <w:sz w:val="22"/>
          <w:szCs w:val="22"/>
          <w:lang w:val="es-ES"/>
        </w:rPr>
      </w:pPr>
    </w:p>
    <w:p w14:paraId="4CF3293F" w14:textId="6FB573A6" w:rsidR="002B411D" w:rsidRPr="00D3356D" w:rsidRDefault="00993F1D" w:rsidP="0097784A">
      <w:pPr>
        <w:jc w:val="both"/>
        <w:rPr>
          <w:bCs/>
          <w:iCs/>
          <w:color w:val="000000"/>
          <w:sz w:val="22"/>
          <w:szCs w:val="22"/>
          <w:lang w:val="es-ES"/>
        </w:rPr>
      </w:pPr>
      <w:r w:rsidRPr="00D3356D">
        <w:rPr>
          <w:b/>
          <w:bCs/>
          <w:iCs/>
          <w:sz w:val="22"/>
          <w:szCs w:val="22"/>
          <w:lang w:val="es-ES"/>
        </w:rPr>
        <w:t>Consanguinidad</w:t>
      </w:r>
      <w:r w:rsidR="00DF4CD8" w:rsidRPr="00D3356D">
        <w:rPr>
          <w:bCs/>
          <w:iCs/>
          <w:sz w:val="22"/>
          <w:szCs w:val="22"/>
          <w:lang w:val="es-ES"/>
        </w:rPr>
        <w:t>: Individu</w:t>
      </w:r>
      <w:r w:rsidR="00C21F73" w:rsidRPr="00D3356D">
        <w:rPr>
          <w:bCs/>
          <w:iCs/>
          <w:sz w:val="22"/>
          <w:szCs w:val="22"/>
          <w:lang w:val="es-ES"/>
        </w:rPr>
        <w:t xml:space="preserve">os </w:t>
      </w:r>
      <w:r w:rsidR="00C21F73" w:rsidRPr="00D3356D">
        <w:rPr>
          <w:bCs/>
          <w:iCs/>
          <w:color w:val="000000"/>
          <w:sz w:val="22"/>
          <w:szCs w:val="22"/>
          <w:lang w:val="es-ES"/>
        </w:rPr>
        <w:t xml:space="preserve">con familiares trabajando para el BID </w:t>
      </w:r>
      <w:r w:rsidRPr="00D3356D">
        <w:rPr>
          <w:bCs/>
          <w:iCs/>
          <w:color w:val="000000"/>
          <w:sz w:val="22"/>
          <w:szCs w:val="22"/>
          <w:lang w:val="es-ES"/>
        </w:rPr>
        <w:t>que</w:t>
      </w:r>
      <w:r w:rsidR="00C21F73" w:rsidRPr="00D3356D">
        <w:rPr>
          <w:bCs/>
          <w:iCs/>
          <w:color w:val="000000"/>
          <w:sz w:val="22"/>
          <w:szCs w:val="22"/>
          <w:lang w:val="es-ES"/>
        </w:rPr>
        <w:t xml:space="preserve"> incluyen el cuarto grado de </w:t>
      </w:r>
      <w:r w:rsidRPr="00D3356D">
        <w:rPr>
          <w:bCs/>
          <w:iCs/>
          <w:color w:val="000000"/>
          <w:sz w:val="22"/>
          <w:szCs w:val="22"/>
          <w:lang w:val="es-ES"/>
        </w:rPr>
        <w:t>consanguinidad</w:t>
      </w:r>
      <w:r w:rsidR="00C21F73" w:rsidRPr="00D3356D">
        <w:rPr>
          <w:bCs/>
          <w:iCs/>
          <w:color w:val="000000"/>
          <w:sz w:val="22"/>
          <w:szCs w:val="22"/>
          <w:lang w:val="es-ES"/>
        </w:rPr>
        <w:t xml:space="preserve"> y el segundo grado de afinidad no son elegibles</w:t>
      </w:r>
      <w:r w:rsidRPr="00D3356D">
        <w:rPr>
          <w:bCs/>
          <w:iCs/>
          <w:color w:val="000000"/>
          <w:sz w:val="22"/>
          <w:szCs w:val="22"/>
          <w:lang w:val="es-ES"/>
        </w:rPr>
        <w:t xml:space="preserve">. Esto incluye empleados y </w:t>
      </w:r>
      <w:r w:rsidR="009E049C" w:rsidRPr="00D3356D">
        <w:rPr>
          <w:bCs/>
          <w:iCs/>
          <w:color w:val="000000"/>
          <w:sz w:val="22"/>
          <w:szCs w:val="22"/>
          <w:lang w:val="es-ES"/>
        </w:rPr>
        <w:t>contractuales.</w:t>
      </w:r>
      <w:r w:rsidR="00C21F73" w:rsidRPr="00D3356D">
        <w:rPr>
          <w:bCs/>
          <w:iCs/>
          <w:color w:val="000000"/>
          <w:sz w:val="22"/>
          <w:szCs w:val="22"/>
          <w:lang w:val="es-ES"/>
        </w:rPr>
        <w:t xml:space="preserve"> Los candidatos deben ser ciudadanos de un país miembro del Banco Interamericano de Desarrollo.</w:t>
      </w:r>
    </w:p>
    <w:p w14:paraId="7AB8E1C6" w14:textId="77777777" w:rsidR="00A44B2E" w:rsidRPr="00D3356D" w:rsidRDefault="00A44B2E" w:rsidP="0097784A">
      <w:pPr>
        <w:jc w:val="both"/>
        <w:rPr>
          <w:bCs/>
          <w:iCs/>
          <w:color w:val="000000"/>
          <w:sz w:val="22"/>
          <w:szCs w:val="22"/>
          <w:lang w:val="es-ES"/>
        </w:rPr>
      </w:pPr>
    </w:p>
    <w:p w14:paraId="21BA68B0" w14:textId="14DD4168" w:rsidR="00A44B2E" w:rsidRPr="00D3356D" w:rsidRDefault="00A44B2E" w:rsidP="0097784A">
      <w:pPr>
        <w:jc w:val="both"/>
        <w:rPr>
          <w:b/>
          <w:bCs/>
          <w:iCs/>
          <w:color w:val="000000"/>
          <w:sz w:val="22"/>
          <w:szCs w:val="22"/>
          <w:lang w:val="es-ES"/>
        </w:rPr>
      </w:pPr>
      <w:r w:rsidRPr="00D3356D">
        <w:rPr>
          <w:b/>
          <w:bCs/>
          <w:iCs/>
          <w:color w:val="000000"/>
          <w:sz w:val="22"/>
          <w:szCs w:val="22"/>
          <w:lang w:val="es-ES"/>
        </w:rPr>
        <w:t xml:space="preserve">Diversidad: </w:t>
      </w:r>
      <w:r w:rsidRPr="00D3356D">
        <w:rPr>
          <w:bCs/>
          <w:iCs/>
          <w:color w:val="000000"/>
          <w:sz w:val="22"/>
          <w:szCs w:val="22"/>
          <w:lang w:val="es-ES"/>
        </w:rPr>
        <w:t xml:space="preserve">El BID está comprometido con la diversidad e inclusión y a proporcionar igualdad de oportunidades en el empleo. Acogemos la diversidad </w:t>
      </w:r>
      <w:r w:rsidR="009E049C" w:rsidRPr="00D3356D">
        <w:rPr>
          <w:bCs/>
          <w:iCs/>
          <w:color w:val="000000"/>
          <w:sz w:val="22"/>
          <w:szCs w:val="22"/>
          <w:lang w:val="es-ES"/>
        </w:rPr>
        <w:t>con base en</w:t>
      </w:r>
      <w:r w:rsidRPr="00D3356D">
        <w:rPr>
          <w:bCs/>
          <w:iCs/>
          <w:color w:val="000000"/>
          <w:sz w:val="22"/>
          <w:szCs w:val="22"/>
          <w:lang w:val="es-ES"/>
        </w:rPr>
        <w:t xml:space="preserve"> género, edad, educación, origen nacional, raza, discapacidad, orientación sexual, religión y status de VIH/SIDA. Alentamos la postulación de mujeres, afro-descendientes y personas de origen indígena.</w:t>
      </w:r>
    </w:p>
    <w:sectPr w:rsidR="00A44B2E" w:rsidRPr="00D3356D" w:rsidSect="00770BF8">
      <w:headerReference w:type="default" r:id="rId14"/>
      <w:pgSz w:w="12240" w:h="15840"/>
      <w:pgMar w:top="1440" w:right="1041"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919A9" w14:textId="77777777" w:rsidR="00630E78" w:rsidRDefault="00630E78">
      <w:r>
        <w:separator/>
      </w:r>
    </w:p>
  </w:endnote>
  <w:endnote w:type="continuationSeparator" w:id="0">
    <w:p w14:paraId="04CF0AC4" w14:textId="77777777" w:rsidR="00630E78" w:rsidRDefault="00630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5156" w14:textId="77777777" w:rsidR="00630E78" w:rsidRDefault="00630E78">
      <w:r>
        <w:separator/>
      </w:r>
    </w:p>
  </w:footnote>
  <w:footnote w:type="continuationSeparator" w:id="0">
    <w:p w14:paraId="4E1CF6F9" w14:textId="77777777" w:rsidR="00630E78" w:rsidRDefault="00630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0AA72" w14:textId="595CE58E" w:rsidR="0080549B" w:rsidRPr="0080549B" w:rsidRDefault="0080549B" w:rsidP="0080549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867B38"/>
    <w:multiLevelType w:val="hybridMultilevel"/>
    <w:tmpl w:val="2ABE29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39A82527"/>
    <w:multiLevelType w:val="hybridMultilevel"/>
    <w:tmpl w:val="1452FF0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6BF3280C"/>
    <w:multiLevelType w:val="hybridMultilevel"/>
    <w:tmpl w:val="EFB69E14"/>
    <w:lvl w:ilvl="0" w:tplc="FADECEF4">
      <w:start w:val="1"/>
      <w:numFmt w:val="low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9"/>
  </w:num>
  <w:num w:numId="5">
    <w:abstractNumId w:val="6"/>
  </w:num>
  <w:num w:numId="6">
    <w:abstractNumId w:val="1"/>
  </w:num>
  <w:num w:numId="7">
    <w:abstractNumId w:val="0"/>
  </w:num>
  <w:num w:numId="8">
    <w:abstractNumId w:val="5"/>
  </w:num>
  <w:num w:numId="9">
    <w:abstractNumId w:val="11"/>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215DB"/>
    <w:rsid w:val="00086701"/>
    <w:rsid w:val="000A13F8"/>
    <w:rsid w:val="000E7C4E"/>
    <w:rsid w:val="00145517"/>
    <w:rsid w:val="00173297"/>
    <w:rsid w:val="001A0B27"/>
    <w:rsid w:val="001B5356"/>
    <w:rsid w:val="00202CC0"/>
    <w:rsid w:val="00226385"/>
    <w:rsid w:val="00253D5A"/>
    <w:rsid w:val="00263584"/>
    <w:rsid w:val="002B411D"/>
    <w:rsid w:val="002F1096"/>
    <w:rsid w:val="0036557D"/>
    <w:rsid w:val="00373A9A"/>
    <w:rsid w:val="00381358"/>
    <w:rsid w:val="00387C6A"/>
    <w:rsid w:val="003A4515"/>
    <w:rsid w:val="003C6E41"/>
    <w:rsid w:val="00414E38"/>
    <w:rsid w:val="00436B94"/>
    <w:rsid w:val="00440F69"/>
    <w:rsid w:val="00452A7C"/>
    <w:rsid w:val="004606C4"/>
    <w:rsid w:val="00474DD4"/>
    <w:rsid w:val="00481545"/>
    <w:rsid w:val="004F2393"/>
    <w:rsid w:val="00577CC0"/>
    <w:rsid w:val="005907C2"/>
    <w:rsid w:val="005962C2"/>
    <w:rsid w:val="005B7F25"/>
    <w:rsid w:val="00620D13"/>
    <w:rsid w:val="00621CA7"/>
    <w:rsid w:val="00630E78"/>
    <w:rsid w:val="00680130"/>
    <w:rsid w:val="006E5552"/>
    <w:rsid w:val="00702F04"/>
    <w:rsid w:val="00752A29"/>
    <w:rsid w:val="00770BF8"/>
    <w:rsid w:val="007B4F37"/>
    <w:rsid w:val="007C75A4"/>
    <w:rsid w:val="007D7B6B"/>
    <w:rsid w:val="0080549B"/>
    <w:rsid w:val="00815494"/>
    <w:rsid w:val="00846FF1"/>
    <w:rsid w:val="00861EA7"/>
    <w:rsid w:val="00864FA2"/>
    <w:rsid w:val="0087491E"/>
    <w:rsid w:val="008C1329"/>
    <w:rsid w:val="008F5BBF"/>
    <w:rsid w:val="00907A2F"/>
    <w:rsid w:val="00930FFF"/>
    <w:rsid w:val="009669F4"/>
    <w:rsid w:val="00974527"/>
    <w:rsid w:val="0097784A"/>
    <w:rsid w:val="00993F1D"/>
    <w:rsid w:val="009B57DE"/>
    <w:rsid w:val="009E049C"/>
    <w:rsid w:val="009E3A88"/>
    <w:rsid w:val="009F43F3"/>
    <w:rsid w:val="00A03A43"/>
    <w:rsid w:val="00A066FE"/>
    <w:rsid w:val="00A44B2E"/>
    <w:rsid w:val="00A710B4"/>
    <w:rsid w:val="00A94A9B"/>
    <w:rsid w:val="00AC6FD5"/>
    <w:rsid w:val="00AE2BDA"/>
    <w:rsid w:val="00B0449F"/>
    <w:rsid w:val="00B10C07"/>
    <w:rsid w:val="00BA5AEC"/>
    <w:rsid w:val="00C13E5D"/>
    <w:rsid w:val="00C16958"/>
    <w:rsid w:val="00C21F73"/>
    <w:rsid w:val="00C31286"/>
    <w:rsid w:val="00CA6BB8"/>
    <w:rsid w:val="00CC3773"/>
    <w:rsid w:val="00D002F6"/>
    <w:rsid w:val="00D3356D"/>
    <w:rsid w:val="00D4452D"/>
    <w:rsid w:val="00D956AD"/>
    <w:rsid w:val="00DB30DA"/>
    <w:rsid w:val="00DD41AA"/>
    <w:rsid w:val="00DE1B23"/>
    <w:rsid w:val="00DF4CD8"/>
    <w:rsid w:val="00E357B9"/>
    <w:rsid w:val="00E36B37"/>
    <w:rsid w:val="00EB1C35"/>
    <w:rsid w:val="00EB5F2B"/>
    <w:rsid w:val="00EB7525"/>
    <w:rsid w:val="00F25F3A"/>
    <w:rsid w:val="00F35F75"/>
    <w:rsid w:val="00FA7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15:docId w15:val="{58C0BBB9-A85D-45A8-88CF-6AB1E91BC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Liste 1,Bullets,References"/>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customStyle="1" w:styleId="ListParagraphChar">
    <w:name w:val="List Paragraph Char"/>
    <w:aliases w:val="Liste 1 Char,Bullets Char,References Char"/>
    <w:basedOn w:val="DefaultParagraphFont"/>
    <w:link w:val="ListParagraph"/>
    <w:uiPriority w:val="34"/>
    <w:locked/>
    <w:rsid w:val="00145517"/>
  </w:style>
  <w:style w:type="table" w:styleId="TableGrid">
    <w:name w:val="Table Grid"/>
    <w:basedOn w:val="TableNormal"/>
    <w:uiPriority w:val="59"/>
    <w:rsid w:val="00CC3773"/>
    <w:rPr>
      <w:rFonts w:asciiTheme="minorHAnsi" w:eastAsiaTheme="minorEastAsia" w:hAnsiTheme="minorHAnsi" w:cstheme="minorBidi"/>
      <w:sz w:val="22"/>
      <w:szCs w:val="36"/>
      <w:lang w:bidi="km-KH"/>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ATN/OC-16294-EC;</Approval_x0020_Number>
    <Phase xmlns="cdc7663a-08f0-4737-9e8c-148ce897a09c">ACTIVE</Phas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7</Value>
      <Value>47</Value>
      <Value>2</Value>
      <Value>43</Value>
      <Value>42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EC-T1379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R0000460253</Record_x0020_Number>
    <_dlc_DocId xmlns="cdc7663a-08f0-4737-9e8c-148ce897a09c">EZSHARE-1271084088-5</_dlc_DocId>
    <_dlc_DocIdUrl xmlns="cdc7663a-08f0-4737-9e8c-148ce897a09c">
      <Url>https://idbg.sharepoint.com/teams/EZ-EC-TCP/EC-T1379/_layouts/15/DocIdRedir.aspx?ID=EZSHARE-1271084088-5</Url>
      <Description>EZSHARE-1271084088-5</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317EFC2F681AB4DB5779C91E9DBF13F" ma:contentTypeVersion="29" ma:contentTypeDescription="A content type to manage public (operations) IDB documents" ma:contentTypeScope="" ma:versionID="54695839dea377f68c8b219b6f625e37">
  <xsd:schema xmlns:xsd="http://www.w3.org/2001/XMLSchema" xmlns:xs="http://www.w3.org/2001/XMLSchema" xmlns:p="http://schemas.microsoft.com/office/2006/metadata/properties" xmlns:ns2="cdc7663a-08f0-4737-9e8c-148ce897a09c" targetNamespace="http://schemas.microsoft.com/office/2006/metadata/properties" ma:root="true" ma:fieldsID="237ae386d2df790648b38509e7410ad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A276F-B470-4102-A6DD-F34CA3F4E4DA}">
  <ds:schemaRefs>
    <ds:schemaRef ds:uri="http://schemas.microsoft.com/office/2006/documentManagement/types"/>
    <ds:schemaRef ds:uri="http://purl.org/dc/dcmitype/"/>
    <ds:schemaRef ds:uri="cdc7663a-08f0-4737-9e8c-148ce897a09c"/>
    <ds:schemaRef ds:uri="http://www.w3.org/XML/1998/namespac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85D17353-0ED6-48DD-9A56-56283905424F}"/>
</file>

<file path=customXml/itemProps3.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4.xml><?xml version="1.0" encoding="utf-8"?>
<ds:datastoreItem xmlns:ds="http://schemas.openxmlformats.org/officeDocument/2006/customXml" ds:itemID="{D9EAC0E4-955A-41E5-988C-0F29653F1EA4}"/>
</file>

<file path=customXml/itemProps5.xml><?xml version="1.0" encoding="utf-8"?>
<ds:datastoreItem xmlns:ds="http://schemas.openxmlformats.org/officeDocument/2006/customXml" ds:itemID="{86115879-0B36-40ED-AE77-B7D14E44453B}"/>
</file>

<file path=customXml/itemProps6.xml><?xml version="1.0" encoding="utf-8"?>
<ds:datastoreItem xmlns:ds="http://schemas.openxmlformats.org/officeDocument/2006/customXml" ds:itemID="{1AC3FE05-E344-48F9-9670-2F738834C616}">
  <ds:schemaRefs>
    <ds:schemaRef ds:uri="http://schemas.microsoft.com/sharepoint/events"/>
  </ds:schemaRefs>
</ds:datastoreItem>
</file>

<file path=customXml/itemProps7.xml><?xml version="1.0" encoding="utf-8"?>
<ds:datastoreItem xmlns:ds="http://schemas.openxmlformats.org/officeDocument/2006/customXml" ds:itemID="{DF1B1535-DAAD-4AF1-B08D-C60D6D92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1350</Words>
  <Characters>7700</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ANNEX A</vt:lpstr>
      <vt:lpstr>ANNEX A</vt:lpstr>
    </vt:vector>
  </TitlesOfParts>
  <Company>Inter-American Development Bank</Company>
  <LinksUpToDate>false</LinksUpToDate>
  <CharactersWithSpaces>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Galaz, Yolanda</cp:lastModifiedBy>
  <cp:revision>19</cp:revision>
  <dcterms:created xsi:type="dcterms:W3CDTF">2017-03-10T13:50:00Z</dcterms:created>
  <dcterms:modified xsi:type="dcterms:W3CDTF">2017-08-17T20:34:00Z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Function Operations IDB">
    <vt:lpwstr>7;#Monitoring and Reporting|df3c2aa1-d63e-41aa-b1f5-bb15dee691ca</vt:lpwstr>
  </property>
  <property fmtid="{D5CDD505-2E9C-101B-9397-08002B2CF9AE}" pid="5" name="TaxKeywordTaxHTField">
    <vt:lpwstr/>
  </property>
  <property fmtid="{D5CDD505-2E9C-101B-9397-08002B2CF9AE}" pid="6" name="Sub-Sector">
    <vt:lpwstr>43;#WATER AND SANITATION|58dede58-0f72-4d2f-8205-0b2af4d108e7</vt:lpwstr>
  </property>
  <property fmtid="{D5CDD505-2E9C-101B-9397-08002B2CF9AE}" pid="7" name="Series Operations IDB">
    <vt:lpwstr/>
  </property>
  <property fmtid="{D5CDD505-2E9C-101B-9397-08002B2CF9AE}" pid="8" name="Country">
    <vt:lpwstr>2;#Ecuador|8f163189-00fa-4e7c-827d-28fb5798781c</vt:lpwstr>
  </property>
  <property fmtid="{D5CDD505-2E9C-101B-9397-08002B2CF9AE}" pid="9" name="Fund IDB">
    <vt:lpwstr>42;#TBD|d62f6e05-3e80-4abd-9bb4-5f10b4906ff6</vt:lpwstr>
  </property>
  <property fmtid="{D5CDD505-2E9C-101B-9397-08002B2CF9AE}" pid="10" name="_dlc_DocIdItemGuid">
    <vt:lpwstr>47f27660-1b48-4f34-bb6d-9539a40af450</vt:lpwstr>
  </property>
  <property fmtid="{D5CDD505-2E9C-101B-9397-08002B2CF9AE}" pid="11" name="Sector IDB">
    <vt:lpwstr>47;#WATER AND SANITATION|ba6b63cd-e402-47cb-9357-08149f7ce046</vt:lpwstr>
  </property>
  <property fmtid="{D5CDD505-2E9C-101B-9397-08002B2CF9AE}" pid="12" name="RecordPoint_ActiveItemMoved">
    <vt:lpwstr>/teams/EZ-EC-TCP/EC-T1379/15 LifeCycle Milestones/Draft Area/TDR Consultor Individual ACOMPAÑAM.docx</vt:lpwstr>
  </property>
  <property fmtid="{D5CDD505-2E9C-101B-9397-08002B2CF9AE}" pid="13" name="RecordStorageActiveId">
    <vt:lpwstr>b5315d96-bbb6-4de2-bcdc-4826a17b6e6c</vt:lpwstr>
  </property>
  <property fmtid="{D5CDD505-2E9C-101B-9397-08002B2CF9AE}" pid="14" name="Disclosure Activity">
    <vt:lpwstr>NON-APPLICABLE</vt:lpwstr>
  </property>
  <property fmtid="{D5CDD505-2E9C-101B-9397-08002B2CF9AE}" pid="21" name="Disclosed">
    <vt:bool>false</vt:bool>
  </property>
  <property fmtid="{D5CDD505-2E9C-101B-9397-08002B2CF9AE}" pid="22" name="ContentTypeId">
    <vt:lpwstr>0x0101001A458A224826124E8B45B1D613300CFC00F317EFC2F681AB4DB5779C91E9DBF13F</vt:lpwstr>
  </property>
</Properties>
</file>