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drawings/drawing1.xml" ContentType="application/vnd.openxmlformats-officedocument.drawingml.chartshapes+xml"/>
  <Override PartName="/word/footnotes.xml" ContentType="application/vnd.openxmlformats-officedocument.wordprocessingml.footnotes+xml"/>
  <Override PartName="/word/endnotes.xml" ContentType="application/vnd.openxmlformats-officedocument.wordprocessingml.endnotes+xml"/>
  <Override PartName="/word/charts/chart2.xml" ContentType="application/vnd.openxmlformats-officedocument.drawingml.chart+xml"/>
  <Override PartName="/word/charts/chart3.xml" ContentType="application/vnd.openxmlformats-officedocument.drawingml.chart+xml"/>
  <Override PartName="/word/charts/chart1.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3.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word/webSettings.xml" ContentType="application/vnd.openxmlformats-officedocument.wordprocessingml.webSettings+xml"/>
  <Override PartName="/customXml/itemProps5.xml" ContentType="application/vnd.openxmlformats-officedocument.customXmlProperties+xml"/>
  <Override PartName="/customXml/itemProps6.xml" ContentType="application/vnd.openxmlformats-officedocument.customXmlProperties+xml"/>
  <Override PartName="/customXml/itemProps8.xml" ContentType="application/vnd.openxmlformats-officedocument.customXmlProperties+xml"/>
  <Override PartName="/docProps/custom.xml" ContentType="application/vnd.openxmlformats-officedocument.custom-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5F4DF4" w14:textId="19469F78" w:rsidR="00AF7DA8" w:rsidRPr="004F2FCE" w:rsidRDefault="004210AD" w:rsidP="00EB6E12">
      <w:pPr>
        <w:pStyle w:val="Title"/>
        <w:jc w:val="both"/>
        <w:rPr>
          <w:sz w:val="56"/>
          <w:lang w:val="es-ES_tradnl"/>
        </w:rPr>
      </w:pPr>
      <w:bookmarkStart w:id="0" w:name="_GoBack"/>
      <w:bookmarkEnd w:id="0"/>
      <w:r w:rsidRPr="004F2FCE">
        <w:rPr>
          <w:sz w:val="56"/>
          <w:lang w:val="es-ES_tradnl"/>
        </w:rPr>
        <w:t>Paraguay</w:t>
      </w:r>
      <w:r w:rsidR="003C7A15" w:rsidRPr="004F2FCE">
        <w:rPr>
          <w:sz w:val="56"/>
          <w:lang w:val="es-ES_tradnl"/>
        </w:rPr>
        <w:t>: una</w:t>
      </w:r>
      <w:r w:rsidR="00EB6E12" w:rsidRPr="004F2FCE">
        <w:rPr>
          <w:sz w:val="56"/>
          <w:lang w:val="es-ES_tradnl"/>
        </w:rPr>
        <w:t xml:space="preserve"> </w:t>
      </w:r>
      <w:r w:rsidR="003C7A15" w:rsidRPr="004F2FCE">
        <w:rPr>
          <w:sz w:val="56"/>
          <w:lang w:val="es-ES_tradnl"/>
        </w:rPr>
        <w:t xml:space="preserve">mirada a la corrupción y transparencia </w:t>
      </w:r>
    </w:p>
    <w:p w14:paraId="103E480F" w14:textId="77777777" w:rsidR="000B0815" w:rsidRDefault="00EB6E12" w:rsidP="00EB6E12">
      <w:pPr>
        <w:pStyle w:val="Heading1"/>
        <w:numPr>
          <w:ilvl w:val="0"/>
          <w:numId w:val="3"/>
        </w:numPr>
        <w:rPr>
          <w:lang w:val="es-CR"/>
        </w:rPr>
      </w:pPr>
      <w:r>
        <w:rPr>
          <w:lang w:val="es-CR"/>
        </w:rPr>
        <w:t>¿</w:t>
      </w:r>
      <w:r w:rsidR="00CB3F9F" w:rsidRPr="00EB6E12">
        <w:rPr>
          <w:lang w:val="es-CR"/>
        </w:rPr>
        <w:t>Qué nos dice la evidencia</w:t>
      </w:r>
      <w:r w:rsidR="00167929" w:rsidRPr="00EB6E12">
        <w:rPr>
          <w:lang w:val="es-CR"/>
        </w:rPr>
        <w:t xml:space="preserve">? </w:t>
      </w:r>
      <w:r w:rsidR="000B0815" w:rsidRPr="00EB6E12">
        <w:rPr>
          <w:lang w:val="es-CR"/>
        </w:rPr>
        <w:t>Indicadores</w:t>
      </w:r>
      <w:r w:rsidR="00AB4E46" w:rsidRPr="00EB6E12">
        <w:rPr>
          <w:lang w:val="es-CR"/>
        </w:rPr>
        <w:t xml:space="preserve"> – series históricas</w:t>
      </w:r>
    </w:p>
    <w:p w14:paraId="05BB2D2B" w14:textId="77777777" w:rsidR="004F2FCE" w:rsidRPr="004F2FCE" w:rsidRDefault="004F2FCE" w:rsidP="004F2FCE">
      <w:pPr>
        <w:spacing w:after="0"/>
        <w:rPr>
          <w:lang w:val="es-CR"/>
        </w:rPr>
      </w:pPr>
    </w:p>
    <w:p w14:paraId="78C06D76" w14:textId="77777777" w:rsidR="004F2FCE" w:rsidRDefault="005808FD" w:rsidP="00EB6E12">
      <w:pPr>
        <w:ind w:left="0"/>
        <w:jc w:val="both"/>
        <w:rPr>
          <w:color w:val="auto"/>
          <w:sz w:val="22"/>
          <w:lang w:val="es-ES_tradnl"/>
        </w:rPr>
      </w:pPr>
      <w:r w:rsidRPr="004F2FCE">
        <w:rPr>
          <w:color w:val="auto"/>
          <w:sz w:val="22"/>
          <w:lang w:val="es-ES_tradnl"/>
        </w:rPr>
        <w:t>L</w:t>
      </w:r>
      <w:r w:rsidR="00BA707C" w:rsidRPr="004F2FCE">
        <w:rPr>
          <w:color w:val="auto"/>
          <w:sz w:val="22"/>
          <w:lang w:val="es-ES_tradnl"/>
        </w:rPr>
        <w:t>a corrupción es uno de los problemas más importantes de la región</w:t>
      </w:r>
      <w:r w:rsidRPr="004F2FCE">
        <w:rPr>
          <w:color w:val="auto"/>
          <w:sz w:val="22"/>
          <w:lang w:val="es-ES_tradnl"/>
        </w:rPr>
        <w:t>, tal como</w:t>
      </w:r>
      <w:r w:rsidR="00BA707C" w:rsidRPr="004F2FCE">
        <w:rPr>
          <w:color w:val="auto"/>
          <w:sz w:val="22"/>
          <w:lang w:val="es-ES_tradnl"/>
        </w:rPr>
        <w:t xml:space="preserve"> lo </w:t>
      </w:r>
      <w:r w:rsidRPr="004F2FCE">
        <w:rPr>
          <w:color w:val="auto"/>
          <w:sz w:val="22"/>
          <w:lang w:val="es-ES_tradnl"/>
        </w:rPr>
        <w:t>relevan</w:t>
      </w:r>
      <w:r w:rsidR="00BA707C" w:rsidRPr="004F2FCE">
        <w:rPr>
          <w:color w:val="auto"/>
          <w:sz w:val="22"/>
          <w:lang w:val="es-ES_tradnl"/>
        </w:rPr>
        <w:t xml:space="preserve"> los datos de Transparencia Internacional y del </w:t>
      </w:r>
      <w:proofErr w:type="spellStart"/>
      <w:r w:rsidR="00BA707C" w:rsidRPr="004F2FCE">
        <w:rPr>
          <w:color w:val="auto"/>
          <w:sz w:val="22"/>
          <w:lang w:val="es-ES_tradnl"/>
        </w:rPr>
        <w:t>Latinobarómetro</w:t>
      </w:r>
      <w:proofErr w:type="spellEnd"/>
      <w:r w:rsidRPr="004F2FCE">
        <w:rPr>
          <w:color w:val="auto"/>
          <w:sz w:val="22"/>
          <w:lang w:val="es-ES_tradnl"/>
        </w:rPr>
        <w:t xml:space="preserve"> para la región de ALC. </w:t>
      </w:r>
    </w:p>
    <w:p w14:paraId="405F26B0" w14:textId="49FA0E36" w:rsidR="004479DE" w:rsidRPr="004F2FCE" w:rsidRDefault="005808FD" w:rsidP="00EB6E12">
      <w:pPr>
        <w:ind w:left="0"/>
        <w:jc w:val="both"/>
        <w:rPr>
          <w:color w:val="auto"/>
          <w:sz w:val="22"/>
          <w:lang w:val="es-ES_tradnl"/>
        </w:rPr>
      </w:pPr>
      <w:r w:rsidRPr="004F2FCE">
        <w:rPr>
          <w:color w:val="auto"/>
          <w:sz w:val="22"/>
          <w:lang w:val="es-ES_tradnl"/>
        </w:rPr>
        <w:t xml:space="preserve">Según </w:t>
      </w:r>
      <w:r w:rsidR="001F61F3" w:rsidRPr="004F2FCE">
        <w:rPr>
          <w:color w:val="auto"/>
          <w:sz w:val="22"/>
          <w:lang w:val="es-ES_tradnl"/>
        </w:rPr>
        <w:t>el</w:t>
      </w:r>
      <w:r w:rsidRPr="004F2FCE">
        <w:rPr>
          <w:color w:val="auto"/>
          <w:sz w:val="22"/>
          <w:lang w:val="es-ES_tradnl"/>
        </w:rPr>
        <w:t xml:space="preserve"> </w:t>
      </w:r>
      <w:proofErr w:type="spellStart"/>
      <w:r w:rsidRPr="004F2FCE">
        <w:rPr>
          <w:color w:val="auto"/>
          <w:sz w:val="22"/>
          <w:lang w:val="es-ES_tradnl"/>
        </w:rPr>
        <w:t>Latinobarómetro</w:t>
      </w:r>
      <w:proofErr w:type="spellEnd"/>
      <w:r w:rsidRPr="004F2FCE">
        <w:rPr>
          <w:color w:val="auto"/>
          <w:sz w:val="22"/>
          <w:lang w:val="es-ES_tradnl"/>
        </w:rPr>
        <w:t xml:space="preserve"> 2015, la corrupción es reportada por </w:t>
      </w:r>
      <w:r w:rsidR="001F61F3" w:rsidRPr="004F2FCE">
        <w:rPr>
          <w:color w:val="auto"/>
          <w:sz w:val="22"/>
          <w:lang w:val="es-ES_tradnl"/>
        </w:rPr>
        <w:t>los ciudadanos de ALC como el terce</w:t>
      </w:r>
      <w:r w:rsidRPr="004F2FCE">
        <w:rPr>
          <w:color w:val="auto"/>
          <w:sz w:val="22"/>
          <w:lang w:val="es-ES_tradnl"/>
        </w:rPr>
        <w:t>r problema más importante y según el Barómetro Global de la Corrupción de 2013, 65.3% la considera un problema serio en el sector público</w:t>
      </w:r>
      <w:r w:rsidR="00BA707C" w:rsidRPr="004F2FCE">
        <w:rPr>
          <w:color w:val="auto"/>
          <w:sz w:val="22"/>
          <w:lang w:val="es-ES_tradnl"/>
        </w:rPr>
        <w:t>.</w:t>
      </w:r>
      <w:r w:rsidRPr="004F2FCE">
        <w:rPr>
          <w:color w:val="auto"/>
          <w:sz w:val="22"/>
          <w:lang w:val="es-ES_tradnl"/>
        </w:rPr>
        <w:t xml:space="preserve"> En el caso </w:t>
      </w:r>
      <w:r w:rsidR="005A0E35" w:rsidRPr="004F2FCE">
        <w:rPr>
          <w:color w:val="auto"/>
          <w:sz w:val="22"/>
          <w:lang w:val="es-ES_tradnl"/>
        </w:rPr>
        <w:t xml:space="preserve">específico </w:t>
      </w:r>
      <w:r w:rsidRPr="004F2FCE">
        <w:rPr>
          <w:color w:val="auto"/>
          <w:sz w:val="22"/>
          <w:lang w:val="es-ES_tradnl"/>
        </w:rPr>
        <w:t>de Paraguay estas cifras corresponden a</w:t>
      </w:r>
      <w:r w:rsidR="0079212F" w:rsidRPr="004F2FCE">
        <w:rPr>
          <w:color w:val="auto"/>
          <w:sz w:val="22"/>
          <w:lang w:val="es-ES_tradnl"/>
        </w:rPr>
        <w:t>l quinto</w:t>
      </w:r>
      <w:r w:rsidR="005A0E35" w:rsidRPr="004F2FCE">
        <w:rPr>
          <w:color w:val="auto"/>
          <w:sz w:val="22"/>
          <w:lang w:val="es-ES_tradnl"/>
        </w:rPr>
        <w:t xml:space="preserve"> problema más importante, mientras que el </w:t>
      </w:r>
      <w:r w:rsidR="0079212F" w:rsidRPr="004F2FCE">
        <w:rPr>
          <w:color w:val="auto"/>
          <w:sz w:val="22"/>
          <w:lang w:val="es-ES_tradnl"/>
        </w:rPr>
        <w:t>79</w:t>
      </w:r>
      <w:r w:rsidRPr="004F2FCE">
        <w:rPr>
          <w:color w:val="auto"/>
          <w:sz w:val="22"/>
          <w:lang w:val="es-ES_tradnl"/>
        </w:rPr>
        <w:t>% de los para</w:t>
      </w:r>
      <w:r w:rsidR="00A40DCD" w:rsidRPr="004F2FCE">
        <w:rPr>
          <w:color w:val="auto"/>
          <w:sz w:val="22"/>
          <w:lang w:val="es-ES_tradnl"/>
        </w:rPr>
        <w:t>guayos lo considera un probl</w:t>
      </w:r>
      <w:r w:rsidRPr="004F2FCE">
        <w:rPr>
          <w:color w:val="auto"/>
          <w:sz w:val="22"/>
          <w:lang w:val="es-ES_tradnl"/>
        </w:rPr>
        <w:t>ema serio</w:t>
      </w:r>
      <w:r w:rsidR="005A0E35" w:rsidRPr="004F2FCE">
        <w:rPr>
          <w:color w:val="auto"/>
          <w:sz w:val="22"/>
          <w:lang w:val="es-ES_tradnl"/>
        </w:rPr>
        <w:t xml:space="preserve"> en el sector público</w:t>
      </w:r>
      <w:r w:rsidRPr="004F2FCE">
        <w:rPr>
          <w:color w:val="auto"/>
          <w:sz w:val="22"/>
          <w:lang w:val="es-ES_tradnl"/>
        </w:rPr>
        <w:t>.</w:t>
      </w:r>
    </w:p>
    <w:p w14:paraId="1D5C1378" w14:textId="34DE9B27" w:rsidR="00EF4F92" w:rsidRPr="004F2FCE" w:rsidRDefault="00BA707C" w:rsidP="00EB6E12">
      <w:pPr>
        <w:ind w:left="0"/>
        <w:jc w:val="both"/>
        <w:rPr>
          <w:color w:val="auto"/>
          <w:sz w:val="22"/>
          <w:lang w:val="es-ES_tradnl"/>
        </w:rPr>
      </w:pPr>
      <w:r w:rsidRPr="004F2FCE">
        <w:rPr>
          <w:color w:val="auto"/>
          <w:sz w:val="22"/>
          <w:lang w:val="es-ES_tradnl"/>
        </w:rPr>
        <w:t>E</w:t>
      </w:r>
      <w:r w:rsidR="005808FD" w:rsidRPr="004F2FCE">
        <w:rPr>
          <w:color w:val="auto"/>
          <w:sz w:val="22"/>
          <w:lang w:val="es-ES_tradnl"/>
        </w:rPr>
        <w:t xml:space="preserve">sto es consistente con </w:t>
      </w:r>
      <w:r w:rsidR="005A0E35" w:rsidRPr="004F2FCE">
        <w:rPr>
          <w:color w:val="auto"/>
          <w:sz w:val="22"/>
          <w:lang w:val="es-ES_tradnl"/>
        </w:rPr>
        <w:t xml:space="preserve">i) </w:t>
      </w:r>
      <w:r w:rsidR="005808FD" w:rsidRPr="004F2FCE">
        <w:rPr>
          <w:color w:val="auto"/>
          <w:sz w:val="22"/>
          <w:lang w:val="es-ES_tradnl"/>
        </w:rPr>
        <w:t>el</w:t>
      </w:r>
      <w:r w:rsidRPr="004F2FCE">
        <w:rPr>
          <w:color w:val="auto"/>
          <w:sz w:val="22"/>
          <w:lang w:val="es-ES_tradnl"/>
        </w:rPr>
        <w:t xml:space="preserve"> </w:t>
      </w:r>
      <w:r w:rsidRPr="004F2FCE">
        <w:rPr>
          <w:b/>
          <w:color w:val="auto"/>
          <w:sz w:val="22"/>
          <w:lang w:val="es-ES_tradnl"/>
        </w:rPr>
        <w:t>significativo nivel de percepción</w:t>
      </w:r>
      <w:r w:rsidRPr="004F2FCE">
        <w:rPr>
          <w:color w:val="auto"/>
          <w:sz w:val="22"/>
          <w:lang w:val="es-ES_tradnl"/>
        </w:rPr>
        <w:t xml:space="preserve"> de mucha corrupción en el sector público, con </w:t>
      </w:r>
      <w:r w:rsidR="005808FD" w:rsidRPr="004F2FCE">
        <w:rPr>
          <w:color w:val="auto"/>
          <w:sz w:val="22"/>
          <w:lang w:val="es-ES_tradnl"/>
        </w:rPr>
        <w:t>27</w:t>
      </w:r>
      <w:r w:rsidRPr="004F2FCE">
        <w:rPr>
          <w:color w:val="auto"/>
          <w:sz w:val="22"/>
          <w:lang w:val="es-ES_tradnl"/>
        </w:rPr>
        <w:t xml:space="preserve"> puntos</w:t>
      </w:r>
      <w:r w:rsidR="005808FD" w:rsidRPr="004F2FCE">
        <w:rPr>
          <w:color w:val="auto"/>
          <w:sz w:val="22"/>
          <w:lang w:val="es-ES_tradnl"/>
        </w:rPr>
        <w:t xml:space="preserve"> en el IPC de 2015</w:t>
      </w:r>
      <w:r w:rsidR="00390929">
        <w:rPr>
          <w:color w:val="auto"/>
          <w:sz w:val="22"/>
          <w:lang w:val="es-ES_tradnl"/>
        </w:rPr>
        <w:t xml:space="preserve"> y 30 puntos en 2016</w:t>
      </w:r>
      <w:r w:rsidR="00A40DCD" w:rsidRPr="004F2FCE">
        <w:rPr>
          <w:color w:val="auto"/>
          <w:sz w:val="22"/>
          <w:lang w:val="es-ES_tradnl"/>
        </w:rPr>
        <w:t>;</w:t>
      </w:r>
      <w:r w:rsidR="005808FD" w:rsidRPr="004F2FCE">
        <w:rPr>
          <w:color w:val="auto"/>
          <w:sz w:val="22"/>
          <w:lang w:val="es-ES_tradnl"/>
        </w:rPr>
        <w:t xml:space="preserve"> que si bien representa una mejora de 3 puntos respecto a 201</w:t>
      </w:r>
      <w:r w:rsidR="00390929">
        <w:rPr>
          <w:color w:val="auto"/>
          <w:sz w:val="22"/>
          <w:lang w:val="es-ES_tradnl"/>
        </w:rPr>
        <w:t>5</w:t>
      </w:r>
      <w:r w:rsidR="005808FD" w:rsidRPr="004F2FCE">
        <w:rPr>
          <w:color w:val="auto"/>
          <w:sz w:val="22"/>
          <w:lang w:val="es-ES_tradnl"/>
        </w:rPr>
        <w:t>, continúa por debajo del promedio de ALC (3</w:t>
      </w:r>
      <w:r w:rsidR="00390929">
        <w:rPr>
          <w:color w:val="auto"/>
          <w:sz w:val="22"/>
          <w:lang w:val="es-ES_tradnl"/>
        </w:rPr>
        <w:t>9</w:t>
      </w:r>
      <w:r w:rsidR="005808FD" w:rsidRPr="004F2FCE">
        <w:rPr>
          <w:color w:val="auto"/>
          <w:sz w:val="22"/>
          <w:lang w:val="es-ES_tradnl"/>
        </w:rPr>
        <w:t xml:space="preserve"> puntos en 201</w:t>
      </w:r>
      <w:r w:rsidR="00390929">
        <w:rPr>
          <w:color w:val="auto"/>
          <w:sz w:val="22"/>
          <w:lang w:val="es-ES_tradnl"/>
        </w:rPr>
        <w:t>6</w:t>
      </w:r>
      <w:r w:rsidR="005808FD" w:rsidRPr="004F2FCE">
        <w:rPr>
          <w:color w:val="auto"/>
          <w:sz w:val="22"/>
          <w:lang w:val="es-ES_tradnl"/>
        </w:rPr>
        <w:t>)</w:t>
      </w:r>
      <w:r w:rsidR="00A40DCD" w:rsidRPr="004F2FCE">
        <w:rPr>
          <w:color w:val="auto"/>
          <w:sz w:val="22"/>
          <w:lang w:val="es-ES_tradnl"/>
        </w:rPr>
        <w:t xml:space="preserve">; </w:t>
      </w:r>
      <w:r w:rsidR="005808FD" w:rsidRPr="004F2FCE">
        <w:rPr>
          <w:color w:val="auto"/>
          <w:sz w:val="22"/>
          <w:lang w:val="es-ES_tradnl"/>
        </w:rPr>
        <w:t xml:space="preserve">y </w:t>
      </w:r>
      <w:proofErr w:type="spellStart"/>
      <w:r w:rsidR="005A0E35" w:rsidRPr="004F2FCE">
        <w:rPr>
          <w:color w:val="auto"/>
          <w:sz w:val="22"/>
          <w:lang w:val="es-ES_tradnl"/>
        </w:rPr>
        <w:t>ii</w:t>
      </w:r>
      <w:proofErr w:type="spellEnd"/>
      <w:r w:rsidR="005A0E35" w:rsidRPr="004F2FCE">
        <w:rPr>
          <w:color w:val="auto"/>
          <w:sz w:val="22"/>
          <w:lang w:val="es-ES_tradnl"/>
        </w:rPr>
        <w:t xml:space="preserve">) </w:t>
      </w:r>
      <w:r w:rsidR="005808FD" w:rsidRPr="004F2FCE">
        <w:rPr>
          <w:color w:val="auto"/>
          <w:sz w:val="22"/>
          <w:lang w:val="es-ES_tradnl"/>
        </w:rPr>
        <w:t xml:space="preserve">con el </w:t>
      </w:r>
      <w:r w:rsidR="00A40DCD" w:rsidRPr="004F2FCE">
        <w:rPr>
          <w:b/>
          <w:color w:val="auto"/>
          <w:sz w:val="22"/>
          <w:lang w:val="es-ES_tradnl"/>
        </w:rPr>
        <w:t xml:space="preserve">alto </w:t>
      </w:r>
      <w:r w:rsidR="005808FD" w:rsidRPr="004F2FCE">
        <w:rPr>
          <w:b/>
          <w:color w:val="auto"/>
          <w:sz w:val="22"/>
          <w:lang w:val="es-ES_tradnl"/>
        </w:rPr>
        <w:t>nivel de incidencia de la corrupción</w:t>
      </w:r>
      <w:r w:rsidR="005808FD" w:rsidRPr="004F2FCE">
        <w:rPr>
          <w:color w:val="auto"/>
          <w:sz w:val="22"/>
          <w:lang w:val="es-ES_tradnl"/>
        </w:rPr>
        <w:t xml:space="preserve"> en lo que refiere a la </w:t>
      </w:r>
      <w:r w:rsidR="005808FD" w:rsidRPr="004F2FCE">
        <w:rPr>
          <w:b/>
          <w:bCs/>
          <w:color w:val="auto"/>
          <w:sz w:val="22"/>
          <w:lang w:val="es-ES_tradnl"/>
        </w:rPr>
        <w:t>frecuencia de pagos irregulares y sobornos</w:t>
      </w:r>
      <w:r w:rsidR="004E1A4E" w:rsidRPr="004F2FCE">
        <w:rPr>
          <w:bCs/>
          <w:color w:val="auto"/>
          <w:sz w:val="22"/>
          <w:lang w:val="es-ES_tradnl"/>
        </w:rPr>
        <w:t xml:space="preserve">, </w:t>
      </w:r>
      <w:r w:rsidR="005A0E35" w:rsidRPr="004F2FCE">
        <w:rPr>
          <w:bCs/>
          <w:color w:val="auto"/>
          <w:sz w:val="22"/>
          <w:lang w:val="es-ES_tradnl"/>
        </w:rPr>
        <w:t xml:space="preserve">en el cual </w:t>
      </w:r>
      <w:r w:rsidR="004E1A4E" w:rsidRPr="004F2FCE">
        <w:rPr>
          <w:bCs/>
          <w:color w:val="auto"/>
          <w:sz w:val="22"/>
          <w:lang w:val="es-ES_tradnl"/>
        </w:rPr>
        <w:t>Paraguay</w:t>
      </w:r>
      <w:r w:rsidR="00A40DCD" w:rsidRPr="004F2FCE">
        <w:rPr>
          <w:bCs/>
          <w:color w:val="auto"/>
          <w:sz w:val="22"/>
          <w:lang w:val="es-ES_tradnl"/>
        </w:rPr>
        <w:t xml:space="preserve"> </w:t>
      </w:r>
      <w:r w:rsidR="004E1A4E" w:rsidRPr="004F2FCE">
        <w:rPr>
          <w:bCs/>
          <w:color w:val="auto"/>
          <w:sz w:val="22"/>
          <w:lang w:val="es-ES_tradnl"/>
        </w:rPr>
        <w:t xml:space="preserve">reporta </w:t>
      </w:r>
      <w:r w:rsidRPr="004F2FCE">
        <w:rPr>
          <w:color w:val="auto"/>
          <w:sz w:val="22"/>
          <w:lang w:val="es-ES_tradnl"/>
        </w:rPr>
        <w:t xml:space="preserve">2.7 </w:t>
      </w:r>
      <w:r w:rsidR="00A40DCD" w:rsidRPr="004F2FCE">
        <w:rPr>
          <w:bCs/>
          <w:color w:val="auto"/>
          <w:sz w:val="22"/>
          <w:lang w:val="es-ES_tradnl"/>
        </w:rPr>
        <w:t>en el Índice Global de Competitividad del Foro Económico Mundial de 2015-2016; muy por debajo d</w:t>
      </w:r>
      <w:r w:rsidRPr="004F2FCE">
        <w:rPr>
          <w:color w:val="auto"/>
          <w:sz w:val="22"/>
          <w:lang w:val="es-ES_tradnl"/>
        </w:rPr>
        <w:t xml:space="preserve">el promedio de ALC </w:t>
      </w:r>
      <w:r w:rsidR="00A40DCD" w:rsidRPr="004F2FCE">
        <w:rPr>
          <w:color w:val="auto"/>
          <w:sz w:val="22"/>
          <w:lang w:val="es-ES_tradnl"/>
        </w:rPr>
        <w:t>con 3</w:t>
      </w:r>
      <w:r w:rsidRPr="004F2FCE">
        <w:rPr>
          <w:color w:val="auto"/>
          <w:sz w:val="22"/>
          <w:lang w:val="es-ES_tradnl"/>
        </w:rPr>
        <w:t>.5 puntos</w:t>
      </w:r>
      <w:r w:rsidR="00EF4F92" w:rsidRPr="004F2FCE">
        <w:rPr>
          <w:color w:val="auto"/>
          <w:sz w:val="22"/>
          <w:lang w:val="es-ES_tradnl"/>
        </w:rPr>
        <w:t>.</w:t>
      </w:r>
    </w:p>
    <w:tbl>
      <w:tblPr>
        <w:tblStyle w:val="TableGrid"/>
        <w:tblW w:w="5694" w:type="pct"/>
        <w:tblInd w:w="-342" w:type="dxa"/>
        <w:shd w:val="clear" w:color="auto" w:fill="F2F2F2" w:themeFill="background1" w:themeFillShade="F2"/>
        <w:tblLayout w:type="fixed"/>
        <w:tblLook w:val="04A0" w:firstRow="1" w:lastRow="0" w:firstColumn="1" w:lastColumn="0" w:noHBand="0" w:noVBand="1"/>
      </w:tblPr>
      <w:tblGrid>
        <w:gridCol w:w="5398"/>
        <w:gridCol w:w="5042"/>
        <w:gridCol w:w="465"/>
      </w:tblGrid>
      <w:tr w:rsidR="00EB6E12" w14:paraId="540E56D0" w14:textId="77777777" w:rsidTr="00390929">
        <w:trPr>
          <w:gridAfter w:val="1"/>
          <w:wAfter w:w="213" w:type="pct"/>
        </w:trPr>
        <w:tc>
          <w:tcPr>
            <w:tcW w:w="4787" w:type="pct"/>
            <w:gridSpan w:val="2"/>
            <w:shd w:val="clear" w:color="auto" w:fill="F2F2F2" w:themeFill="background1" w:themeFillShade="F2"/>
          </w:tcPr>
          <w:p w14:paraId="70639ACA" w14:textId="77777777" w:rsidR="00EB6E12" w:rsidRPr="0079212F" w:rsidRDefault="00EB6E12" w:rsidP="00EB6E12">
            <w:pPr>
              <w:ind w:left="0"/>
              <w:jc w:val="both"/>
              <w:rPr>
                <w:lang w:val="es-CR"/>
              </w:rPr>
            </w:pPr>
          </w:p>
          <w:p w14:paraId="38361A10" w14:textId="149CA7F8" w:rsidR="00EB6E12" w:rsidRDefault="00EB6E12" w:rsidP="00EB6E12">
            <w:pPr>
              <w:ind w:left="90"/>
              <w:jc w:val="center"/>
              <w:rPr>
                <w:lang w:val="es-ES_tradnl"/>
              </w:rPr>
            </w:pPr>
            <w:r w:rsidRPr="00C27EFF">
              <w:rPr>
                <w:b/>
                <w:bCs/>
                <w:noProof/>
              </w:rPr>
              <mc:AlternateContent>
                <mc:Choice Requires="wps">
                  <w:drawing>
                    <wp:anchor distT="0" distB="0" distL="114300" distR="114300" simplePos="0" relativeHeight="251659264" behindDoc="0" locked="0" layoutInCell="1" allowOverlap="1" wp14:anchorId="273E23C7" wp14:editId="29706F94">
                      <wp:simplePos x="0" y="0"/>
                      <wp:positionH relativeFrom="column">
                        <wp:posOffset>4377902</wp:posOffset>
                      </wp:positionH>
                      <wp:positionV relativeFrom="paragraph">
                        <wp:posOffset>1088390</wp:posOffset>
                      </wp:positionV>
                      <wp:extent cx="1231900" cy="30734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1900" cy="307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4832C5" w14:textId="1D364C53" w:rsidR="0038666D" w:rsidRPr="00C27EFF" w:rsidRDefault="0038666D" w:rsidP="00EB6E12">
                                  <w:pPr>
                                    <w:pStyle w:val="NormalWeb"/>
                                    <w:spacing w:before="0" w:beforeAutospacing="0" w:after="0" w:afterAutospacing="0"/>
                                    <w:ind w:left="90"/>
                                    <w:textAlignment w:val="baseline"/>
                                    <w:rPr>
                                      <w:sz w:val="14"/>
                                    </w:rPr>
                                  </w:pPr>
                                  <w:r w:rsidRPr="00C27EFF">
                                    <w:rPr>
                                      <w:rFonts w:ascii="Calibri" w:eastAsia="MS PGothic" w:hAnsi="Calibri" w:cstheme="minorBidi"/>
                                      <w:b/>
                                      <w:bCs/>
                                      <w:color w:val="FF0000"/>
                                      <w:kern w:val="24"/>
                                      <w:sz w:val="16"/>
                                      <w:szCs w:val="28"/>
                                      <w:lang w:val="es-ES"/>
                                    </w:rPr>
                                    <w:t>Promedio ALC-201</w:t>
                                  </w:r>
                                  <w:r w:rsidR="00390929">
                                    <w:rPr>
                                      <w:rFonts w:ascii="Calibri" w:eastAsia="MS PGothic" w:hAnsi="Calibri" w:cstheme="minorBidi"/>
                                      <w:b/>
                                      <w:bCs/>
                                      <w:color w:val="FF0000"/>
                                      <w:kern w:val="24"/>
                                      <w:sz w:val="16"/>
                                      <w:szCs w:val="28"/>
                                      <w:lang w:val="es-ES"/>
                                    </w:rPr>
                                    <w:t>6: 39</w:t>
                                  </w:r>
                                </w:p>
                              </w:txbxContent>
                            </wps:txbx>
                            <wps:bodyPr wrap="square">
                              <a:spAutoFit/>
                            </wps:bodyPr>
                          </wps:wsp>
                        </a:graphicData>
                      </a:graphic>
                      <wp14:sizeRelH relativeFrom="margin">
                        <wp14:pctWidth>0</wp14:pctWidth>
                      </wp14:sizeRelH>
                    </wp:anchor>
                  </w:drawing>
                </mc:Choice>
                <mc:Fallback>
                  <w:pict>
                    <v:shapetype w14:anchorId="273E23C7" id="_x0000_t202" coordsize="21600,21600" o:spt="202" path="m,l,21600r21600,l21600,xe">
                      <v:stroke joinstyle="miter"/>
                      <v:path gradientshapeok="t" o:connecttype="rect"/>
                    </v:shapetype>
                    <v:shape id="TextBox 3" o:spid="_x0000_s1026" type="#_x0000_t202" style="position:absolute;left:0;text-align:left;margin-left:344.7pt;margin-top:85.7pt;width:97pt;height:24.2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e1efgIAAEsFAAAOAAAAZHJzL2Uyb0RvYy54bWysVMmOnDAQvUfKP1i+MyxNL6Cho5mmyWWy&#10;SDP5ADc2jRWwHdvTMIry7ymbXma5REk4WOAqv3pV7+HrD2PfoQPThktR4PgqwoiJWlIu9gX+9lAF&#10;K4yMJYKSTgpW4Cdm8If1+3fXg8pZIlvZUaYRgAiTD6rArbUqD0NTt6wn5koqJiDYSN0TC596H1JN&#10;BkDvuzCJokU4SE2VljUzBnbLKYjXHr9pWG2/NI1hFnUFBm7Wr9qvO7eG62uS7zVRLa+PNMhfsOgJ&#10;F1D0DFUSS9Cj5m+gel5raWRjr2rZh7JpeM18D9BNHL3q5r4livleYDhGncdk/h9s/fnwVSNOCzzD&#10;SJAeJHpgo72VI5q54QzK5JBzryDLjrANIvtGjbqT9XeDhNy0ROzZjdZyaBmhQC52J8NnRycc40B2&#10;wydJoQp5tNIDjY3u3eRgFgjQQaSnszDABNWuZDKLswhCNcRm0XKWeuVCkp9OK23sRyZ75F4KrEF4&#10;j04Od8Y6NiQ/pbhiQla867z4nXixAYnTDtSGoy7mWHgtf2ZRtl1tV2mQJottkEZlGdxUmzRYVPFy&#10;Xs7KzaaMf7m6cZq3nFImXJmTr+L0z3Q7OnxyxNlZRnacOjhHyej9btNpdCDg68o/fuYQuaSFL2n4&#10;IUAvr1qKkzS6TbKgWqyWQVql8yBbRqsgirPbbBGlWVpWL1u644L9e0toKHA2T+aTmS6kX/UW+edt&#10;byTvuYWbo+N9gVfnJJI7C24F9dJawrvp/dkoHP3LKEDuk9DesM6jk1vtuBsBxbl4J+kTWHeAa6LA&#10;5scj0e6vBKbqBlxccW+wS+LR+/DH+jrH28VdCc+/fdblDlz/BgAA//8DAFBLAwQUAAYACAAAACEA&#10;3BlhKd4AAAALAQAADwAAAGRycy9kb3ducmV2LnhtbEyPzU7DMBCE70i8g7VI3KiTAsUNcaqKH4lD&#10;L5Rw38YmjojXUew26duznOA2q/k0O1NuZt+Lkx1jF0hDvshAWGqC6ajVUH+83igQMSEZ7ANZDWcb&#10;YVNdXpRYmDDRuz3tUys4hGKBGlxKQyFlbJz1GBdhsMTeVxg9Jj7HVpoRJw73vVxm2Up67Ig/OBzs&#10;k7PN9/7oNaRktvm5fvHx7XPePU8ua+6x1vr6at4+gkh2Tn8w/Nbn6lBxp0M4komi17BS6ztG2XjI&#10;WTCh1C2Lg4ZlvlYgq1L+31D9AAAA//8DAFBLAQItABQABgAIAAAAIQC2gziS/gAAAOEBAAATAAAA&#10;AAAAAAAAAAAAAAAAAABbQ29udGVudF9UeXBlc10ueG1sUEsBAi0AFAAGAAgAAAAhADj9If/WAAAA&#10;lAEAAAsAAAAAAAAAAAAAAAAALwEAAF9yZWxzLy5yZWxzUEsBAi0AFAAGAAgAAAAhAGgp7V5+AgAA&#10;SwUAAA4AAAAAAAAAAAAAAAAALgIAAGRycy9lMm9Eb2MueG1sUEsBAi0AFAAGAAgAAAAhANwZYSne&#10;AAAACwEAAA8AAAAAAAAAAAAAAAAA2AQAAGRycy9kb3ducmV2LnhtbFBLBQYAAAAABAAEAPMAAADj&#10;BQAAAAA=&#10;" filled="f" stroked="f">
                      <v:textbox style="mso-fit-shape-to-text:t">
                        <w:txbxContent>
                          <w:p w14:paraId="224832C5" w14:textId="1D364C53" w:rsidR="0038666D" w:rsidRPr="00C27EFF" w:rsidRDefault="0038666D" w:rsidP="00EB6E12">
                            <w:pPr>
                              <w:pStyle w:val="NormalWeb"/>
                              <w:spacing w:before="0" w:beforeAutospacing="0" w:after="0" w:afterAutospacing="0"/>
                              <w:ind w:left="90"/>
                              <w:textAlignment w:val="baseline"/>
                              <w:rPr>
                                <w:sz w:val="14"/>
                              </w:rPr>
                            </w:pPr>
                            <w:r w:rsidRPr="00C27EFF">
                              <w:rPr>
                                <w:rFonts w:ascii="Calibri" w:eastAsia="MS PGothic" w:hAnsi="Calibri" w:cstheme="minorBidi"/>
                                <w:b/>
                                <w:bCs/>
                                <w:color w:val="FF0000"/>
                                <w:kern w:val="24"/>
                                <w:sz w:val="16"/>
                                <w:szCs w:val="28"/>
                                <w:lang w:val="es-ES"/>
                              </w:rPr>
                              <w:t>Promedio ALC-201</w:t>
                            </w:r>
                            <w:r w:rsidR="00390929">
                              <w:rPr>
                                <w:rFonts w:ascii="Calibri" w:eastAsia="MS PGothic" w:hAnsi="Calibri" w:cstheme="minorBidi"/>
                                <w:b/>
                                <w:bCs/>
                                <w:color w:val="FF0000"/>
                                <w:kern w:val="24"/>
                                <w:sz w:val="16"/>
                                <w:szCs w:val="28"/>
                                <w:lang w:val="es-ES"/>
                              </w:rPr>
                              <w:t>6: 39</w:t>
                            </w:r>
                          </w:p>
                        </w:txbxContent>
                      </v:textbox>
                    </v:shape>
                  </w:pict>
                </mc:Fallback>
              </mc:AlternateContent>
            </w:r>
            <w:r w:rsidR="00390929">
              <w:rPr>
                <w:noProof/>
              </w:rPr>
              <w:drawing>
                <wp:inline distT="0" distB="0" distL="0" distR="0" wp14:anchorId="58E48E90" wp14:editId="332EB1B8">
                  <wp:extent cx="5647266" cy="2777066"/>
                  <wp:effectExtent l="0" t="0" r="10795" b="2349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0120667" w14:textId="77777777" w:rsidR="004F2FCE" w:rsidRDefault="004F2FCE" w:rsidP="00EB6E12">
            <w:pPr>
              <w:ind w:left="90"/>
              <w:jc w:val="both"/>
              <w:rPr>
                <w:i/>
                <w:sz w:val="18"/>
                <w:lang w:val="es-ES_tradnl"/>
              </w:rPr>
            </w:pPr>
          </w:p>
          <w:p w14:paraId="2DFDD699" w14:textId="54FCE390" w:rsidR="00EB6E12" w:rsidRPr="0038666D" w:rsidRDefault="008A34B8" w:rsidP="00EB6E12">
            <w:pPr>
              <w:ind w:left="90"/>
              <w:jc w:val="both"/>
              <w:rPr>
                <w:i/>
                <w:sz w:val="18"/>
                <w:lang w:val="es-ES_tradnl"/>
              </w:rPr>
            </w:pPr>
            <w:r>
              <w:rPr>
                <w:i/>
                <w:sz w:val="18"/>
                <w:lang w:val="es-ES_tradnl"/>
              </w:rPr>
              <w:t>M</w:t>
            </w:r>
            <w:r w:rsidR="0038666D" w:rsidRPr="0038666D">
              <w:rPr>
                <w:i/>
                <w:sz w:val="18"/>
                <w:lang w:val="es-ES_tradnl"/>
              </w:rPr>
              <w:t>ide los niveles percibidos de corrupción en el sector p</w:t>
            </w:r>
            <w:r w:rsidR="004E3589">
              <w:rPr>
                <w:i/>
                <w:sz w:val="18"/>
                <w:lang w:val="es-ES_tradnl"/>
              </w:rPr>
              <w:t>ú</w:t>
            </w:r>
            <w:r w:rsidR="0038666D" w:rsidRPr="0038666D">
              <w:rPr>
                <w:i/>
                <w:sz w:val="18"/>
                <w:lang w:val="es-ES_tradnl"/>
              </w:rPr>
              <w:t>blico</w:t>
            </w:r>
            <w:r w:rsidR="00EB6E12" w:rsidRPr="0038666D">
              <w:rPr>
                <w:i/>
                <w:sz w:val="18"/>
                <w:lang w:val="es-ES_tradnl"/>
              </w:rPr>
              <w:t>.</w:t>
            </w:r>
            <w:r>
              <w:rPr>
                <w:i/>
                <w:sz w:val="18"/>
                <w:lang w:val="es-ES_tradnl"/>
              </w:rPr>
              <w:t xml:space="preserve"> Se basa en opiniones de expertos</w:t>
            </w:r>
            <w:r w:rsidR="005A0E35">
              <w:rPr>
                <w:i/>
                <w:sz w:val="18"/>
                <w:lang w:val="es-ES_tradnl"/>
              </w:rPr>
              <w:t>.</w:t>
            </w:r>
          </w:p>
          <w:p w14:paraId="79B29BC2" w14:textId="30D818E0" w:rsidR="00EB6E12" w:rsidRPr="008B4A7F" w:rsidRDefault="00EB6E12" w:rsidP="00390929">
            <w:pPr>
              <w:ind w:left="90"/>
              <w:jc w:val="both"/>
            </w:pPr>
            <w:r w:rsidRPr="008B4A7F">
              <w:rPr>
                <w:b/>
              </w:rPr>
              <w:t>Fuente:</w:t>
            </w:r>
            <w:r>
              <w:t xml:space="preserve"> </w:t>
            </w:r>
            <w:proofErr w:type="spellStart"/>
            <w:r>
              <w:t>Transparencia</w:t>
            </w:r>
            <w:proofErr w:type="spellEnd"/>
            <w:r>
              <w:t xml:space="preserve"> </w:t>
            </w:r>
            <w:proofErr w:type="spellStart"/>
            <w:r>
              <w:t>Internacional</w:t>
            </w:r>
            <w:proofErr w:type="spellEnd"/>
          </w:p>
        </w:tc>
      </w:tr>
      <w:tr w:rsidR="00EB6E12" w:rsidRPr="00405B54" w14:paraId="7233B443" w14:textId="77777777" w:rsidTr="003F30CE">
        <w:tc>
          <w:tcPr>
            <w:tcW w:w="2475" w:type="pct"/>
            <w:shd w:val="clear" w:color="auto" w:fill="F2F2F2" w:themeFill="background1" w:themeFillShade="F2"/>
            <w:vAlign w:val="center"/>
          </w:tcPr>
          <w:p w14:paraId="2E6F2FCC" w14:textId="77777777" w:rsidR="003F30CE" w:rsidRDefault="003F30CE" w:rsidP="003F30CE">
            <w:pPr>
              <w:ind w:left="162"/>
              <w:jc w:val="center"/>
              <w:rPr>
                <w:i/>
                <w:sz w:val="18"/>
                <w:lang w:val="es-ES_tradnl"/>
              </w:rPr>
            </w:pPr>
          </w:p>
          <w:p w14:paraId="05C37780" w14:textId="51F3AB7A" w:rsidR="00EB6E12" w:rsidRDefault="003F30CE" w:rsidP="003F30CE">
            <w:pPr>
              <w:ind w:left="162"/>
              <w:rPr>
                <w:i/>
                <w:sz w:val="18"/>
                <w:lang w:val="es-ES_tradnl"/>
              </w:rPr>
            </w:pPr>
            <w:r>
              <w:rPr>
                <w:noProof/>
              </w:rPr>
              <w:drawing>
                <wp:anchor distT="0" distB="0" distL="114300" distR="114300" simplePos="0" relativeHeight="251660288" behindDoc="0" locked="0" layoutInCell="1" allowOverlap="1" wp14:anchorId="5F33F552" wp14:editId="0290893A">
                  <wp:simplePos x="803910" y="1311910"/>
                  <wp:positionH relativeFrom="margin">
                    <wp:posOffset>25400</wp:posOffset>
                  </wp:positionH>
                  <wp:positionV relativeFrom="margin">
                    <wp:posOffset>54610</wp:posOffset>
                  </wp:positionV>
                  <wp:extent cx="3251200" cy="2810510"/>
                  <wp:effectExtent l="0" t="0" r="25400" b="27940"/>
                  <wp:wrapSquare wrapText="bothSides"/>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14:sizeRelH relativeFrom="margin">
                    <wp14:pctWidth>0</wp14:pctWidth>
                  </wp14:sizeRelH>
                  <wp14:sizeRelV relativeFrom="margin">
                    <wp14:pctHeight>0</wp14:pctHeight>
                  </wp14:sizeRelV>
                </wp:anchor>
              </w:drawing>
            </w:r>
            <w:r w:rsidR="008A34B8">
              <w:rPr>
                <w:i/>
                <w:sz w:val="18"/>
                <w:lang w:val="es-ES_tradnl"/>
              </w:rPr>
              <w:t>M</w:t>
            </w:r>
            <w:r w:rsidR="008A34B8" w:rsidRPr="008A34B8">
              <w:rPr>
                <w:i/>
                <w:sz w:val="18"/>
                <w:lang w:val="es-ES_tradnl"/>
              </w:rPr>
              <w:t>ide cuan informadas por el gobierno están las firmas/empresas sobre las políticas y regulaciones que afectan sus industrias respectivas</w:t>
            </w:r>
          </w:p>
          <w:p w14:paraId="2B9DB3A8" w14:textId="35E93D05" w:rsidR="003F30CE" w:rsidRPr="0038666D" w:rsidRDefault="003F30CE" w:rsidP="003F30CE">
            <w:pPr>
              <w:ind w:left="162"/>
              <w:jc w:val="center"/>
              <w:rPr>
                <w:i/>
                <w:lang w:val="es-ES_tradnl"/>
              </w:rPr>
            </w:pPr>
          </w:p>
        </w:tc>
        <w:tc>
          <w:tcPr>
            <w:tcW w:w="2525" w:type="pct"/>
            <w:gridSpan w:val="2"/>
            <w:shd w:val="clear" w:color="auto" w:fill="F2F2F2" w:themeFill="background1" w:themeFillShade="F2"/>
          </w:tcPr>
          <w:p w14:paraId="5C01F465" w14:textId="77777777" w:rsidR="00EB6E12" w:rsidRPr="0038666D" w:rsidRDefault="00EB6E12" w:rsidP="0038666D">
            <w:pPr>
              <w:jc w:val="both"/>
              <w:rPr>
                <w:lang w:val="es-ES_tradnl"/>
              </w:rPr>
            </w:pPr>
          </w:p>
          <w:p w14:paraId="5209A1A7" w14:textId="6245D48F" w:rsidR="00EB6E12" w:rsidRPr="003F30CE" w:rsidRDefault="00EB6E12" w:rsidP="0038666D">
            <w:pPr>
              <w:ind w:left="84"/>
              <w:jc w:val="both"/>
              <w:rPr>
                <w:noProof/>
                <w:lang w:val="es-ES_tradnl"/>
              </w:rPr>
            </w:pPr>
          </w:p>
          <w:p w14:paraId="2BF8639E" w14:textId="2DB2D125" w:rsidR="003F30CE" w:rsidRDefault="003F30CE" w:rsidP="0038666D">
            <w:pPr>
              <w:ind w:left="84"/>
              <w:jc w:val="both"/>
              <w:rPr>
                <w:lang w:val="es-ES_tradnl"/>
              </w:rPr>
            </w:pPr>
            <w:r>
              <w:rPr>
                <w:noProof/>
              </w:rPr>
              <w:drawing>
                <wp:inline distT="0" distB="0" distL="0" distR="0" wp14:anchorId="400E3582" wp14:editId="7DED1B62">
                  <wp:extent cx="3183466" cy="2836333"/>
                  <wp:effectExtent l="0" t="0" r="17145" b="2159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68B7123" w14:textId="77777777" w:rsidR="00EB6E12" w:rsidRDefault="00EB6E12" w:rsidP="0038666D">
            <w:pPr>
              <w:jc w:val="both"/>
              <w:rPr>
                <w:lang w:val="es-ES_tradnl"/>
              </w:rPr>
            </w:pPr>
          </w:p>
          <w:p w14:paraId="007EC885" w14:textId="77777777" w:rsidR="008A34B8" w:rsidRDefault="005A0E35" w:rsidP="003F30CE">
            <w:pPr>
              <w:ind w:left="0"/>
              <w:jc w:val="both"/>
              <w:rPr>
                <w:i/>
                <w:sz w:val="18"/>
                <w:lang w:val="es-CR"/>
              </w:rPr>
            </w:pPr>
            <w:r>
              <w:rPr>
                <w:i/>
                <w:sz w:val="18"/>
                <w:lang w:val="es-CR"/>
              </w:rPr>
              <w:t>Corresponde al p</w:t>
            </w:r>
            <w:r w:rsidR="008A34B8" w:rsidRPr="008A34B8">
              <w:rPr>
                <w:i/>
                <w:sz w:val="18"/>
                <w:lang w:val="es-CR"/>
              </w:rPr>
              <w:t>romedio de</w:t>
            </w:r>
            <w:r>
              <w:rPr>
                <w:i/>
                <w:sz w:val="18"/>
                <w:lang w:val="es-CR"/>
              </w:rPr>
              <w:t xml:space="preserve"> los </w:t>
            </w:r>
            <w:r w:rsidR="008A34B8" w:rsidRPr="008A34B8">
              <w:rPr>
                <w:i/>
                <w:sz w:val="18"/>
                <w:lang w:val="es-CR"/>
              </w:rPr>
              <w:t xml:space="preserve">cinco componentes de la pregunta de la Encuesta de Opinión Ejecutiva: </w:t>
            </w:r>
            <w:r>
              <w:rPr>
                <w:i/>
                <w:sz w:val="18"/>
                <w:lang w:val="es-CR"/>
              </w:rPr>
              <w:t>“</w:t>
            </w:r>
            <w:r w:rsidR="008A34B8" w:rsidRPr="008A34B8">
              <w:rPr>
                <w:i/>
                <w:sz w:val="18"/>
                <w:lang w:val="es-CR"/>
              </w:rPr>
              <w:t xml:space="preserve">En su país, </w:t>
            </w:r>
            <w:r>
              <w:rPr>
                <w:i/>
                <w:sz w:val="18"/>
                <w:lang w:val="es-CR"/>
              </w:rPr>
              <w:t>¿</w:t>
            </w:r>
            <w:r w:rsidR="008A34B8" w:rsidRPr="008A34B8">
              <w:rPr>
                <w:i/>
                <w:sz w:val="18"/>
                <w:lang w:val="es-CR"/>
              </w:rPr>
              <w:t>qué tan común es que las empresas faciliten los pagos irregulares o sobornos relacionados con (a) la importación y exportación; (b) los servicios públicos; (c) el pago de impuestos anuales; (d) la adjudicación de contratos públicos y licencias; (e) obtener decisiones judiciales favorables?</w:t>
            </w:r>
            <w:r>
              <w:rPr>
                <w:i/>
                <w:sz w:val="18"/>
                <w:lang w:val="es-CR"/>
              </w:rPr>
              <w:t>”</w:t>
            </w:r>
          </w:p>
          <w:p w14:paraId="5758514C" w14:textId="34D23D19" w:rsidR="003F30CE" w:rsidRPr="008A34B8" w:rsidRDefault="003F30CE" w:rsidP="003F30CE">
            <w:pPr>
              <w:ind w:left="0"/>
              <w:jc w:val="both"/>
              <w:rPr>
                <w:i/>
                <w:lang w:val="es-CR"/>
              </w:rPr>
            </w:pPr>
          </w:p>
        </w:tc>
      </w:tr>
      <w:tr w:rsidR="00EB6E12" w14:paraId="7D3FA69E" w14:textId="77777777" w:rsidTr="00390929">
        <w:tc>
          <w:tcPr>
            <w:tcW w:w="5000" w:type="pct"/>
            <w:gridSpan w:val="3"/>
            <w:shd w:val="clear" w:color="auto" w:fill="F2F2F2" w:themeFill="background1" w:themeFillShade="F2"/>
          </w:tcPr>
          <w:p w14:paraId="44975E82" w14:textId="77777777" w:rsidR="00EB6E12" w:rsidRPr="008A34B8" w:rsidRDefault="00EB6E12" w:rsidP="0038666D">
            <w:pPr>
              <w:ind w:left="164"/>
              <w:jc w:val="both"/>
              <w:rPr>
                <w:b/>
                <w:lang w:val="es-CR"/>
              </w:rPr>
            </w:pPr>
          </w:p>
          <w:p w14:paraId="7E1177EA" w14:textId="77777777" w:rsidR="00EB6E12" w:rsidRPr="008B4A7F" w:rsidRDefault="00EB6E12" w:rsidP="0038666D">
            <w:pPr>
              <w:ind w:left="164"/>
              <w:jc w:val="both"/>
              <w:rPr>
                <w:b/>
                <w:lang w:val="es-ES_tradnl"/>
              </w:rPr>
            </w:pPr>
            <w:r w:rsidRPr="008B4A7F">
              <w:rPr>
                <w:b/>
                <w:lang w:val="es-ES_tradnl"/>
              </w:rPr>
              <w:t>Fuente: Índice Global de Competitividad del Foro Económico Mundial</w:t>
            </w:r>
          </w:p>
          <w:p w14:paraId="7F325247" w14:textId="77777777" w:rsidR="00EB6E12" w:rsidRPr="008B4A7F" w:rsidRDefault="00EB6E12" w:rsidP="0038666D">
            <w:pPr>
              <w:ind w:left="164"/>
              <w:jc w:val="both"/>
              <w:rPr>
                <w:lang w:val="es-ES_tradnl"/>
              </w:rPr>
            </w:pPr>
            <w:r w:rsidRPr="008B4A7F">
              <w:rPr>
                <w:b/>
                <w:lang w:val="es-ES_tradnl"/>
              </w:rPr>
              <w:t>ALC:</w:t>
            </w:r>
            <w:r w:rsidRPr="008B4A7F">
              <w:rPr>
                <w:lang w:val="es-ES_tradnl"/>
              </w:rPr>
              <w:t xml:space="preserve"> promedio que estima WEF  (incluye más de los 26 países miembros del BID)</w:t>
            </w:r>
          </w:p>
          <w:p w14:paraId="488B5AD0" w14:textId="77777777" w:rsidR="00EB6E12" w:rsidRDefault="00EB6E12" w:rsidP="0038666D">
            <w:pPr>
              <w:ind w:left="164"/>
              <w:jc w:val="both"/>
              <w:rPr>
                <w:b/>
                <w:lang w:val="es-ES_tradnl"/>
              </w:rPr>
            </w:pPr>
          </w:p>
          <w:p w14:paraId="2527C27E" w14:textId="77777777" w:rsidR="00EB6E12" w:rsidRPr="008B4A7F" w:rsidRDefault="00EB6E12" w:rsidP="0038666D">
            <w:pPr>
              <w:ind w:left="164"/>
              <w:jc w:val="both"/>
              <w:rPr>
                <w:lang w:val="es-ES_tradnl"/>
              </w:rPr>
            </w:pPr>
            <w:r w:rsidRPr="008B4A7F">
              <w:rPr>
                <w:b/>
                <w:lang w:val="es-ES_tradnl"/>
              </w:rPr>
              <w:t>OECD:</w:t>
            </w:r>
            <w:r w:rsidRPr="008B4A7F">
              <w:rPr>
                <w:lang w:val="es-ES_tradnl"/>
              </w:rPr>
              <w:t xml:space="preserve"> promedio que estima WEF (</w:t>
            </w:r>
            <w:r w:rsidRPr="008B4A7F">
              <w:rPr>
                <w:i/>
                <w:lang w:val="es-ES_tradnl"/>
              </w:rPr>
              <w:t xml:space="preserve">High </w:t>
            </w:r>
            <w:proofErr w:type="spellStart"/>
            <w:r w:rsidRPr="008B4A7F">
              <w:rPr>
                <w:i/>
                <w:lang w:val="es-ES_tradnl"/>
              </w:rPr>
              <w:t>income</w:t>
            </w:r>
            <w:proofErr w:type="spellEnd"/>
            <w:r w:rsidRPr="008B4A7F">
              <w:rPr>
                <w:i/>
                <w:lang w:val="es-ES_tradnl"/>
              </w:rPr>
              <w:t xml:space="preserve"> </w:t>
            </w:r>
            <w:proofErr w:type="spellStart"/>
            <w:r w:rsidRPr="008B4A7F">
              <w:rPr>
                <w:i/>
                <w:lang w:val="es-ES_tradnl"/>
              </w:rPr>
              <w:t>countries</w:t>
            </w:r>
            <w:proofErr w:type="spellEnd"/>
            <w:r w:rsidRPr="008B4A7F">
              <w:rPr>
                <w:lang w:val="es-ES_tradnl"/>
              </w:rPr>
              <w:t xml:space="preserve"> no incluye México ni Turquía). </w:t>
            </w:r>
          </w:p>
          <w:p w14:paraId="015D28F4" w14:textId="77777777" w:rsidR="00EB6E12" w:rsidRPr="008B4A7F" w:rsidRDefault="00EB6E12" w:rsidP="0038666D">
            <w:pPr>
              <w:ind w:left="164"/>
              <w:jc w:val="both"/>
              <w:rPr>
                <w:lang w:val="es-ES_tradnl"/>
              </w:rPr>
            </w:pPr>
            <w:r w:rsidRPr="008B4A7F">
              <w:rPr>
                <w:b/>
                <w:lang w:val="es-ES_tradnl"/>
              </w:rPr>
              <w:t>Nota:</w:t>
            </w:r>
            <w:r w:rsidRPr="008B4A7F">
              <w:rPr>
                <w:lang w:val="es-ES_tradnl"/>
              </w:rPr>
              <w:t xml:space="preserve"> no hay cifras para Bahamas (ningún año), no hay cifras de Barbados para 2015-2016 y no hay cifras de Ecuador para 2014-2015. Las únicas cifras disponibles para Belice corresponden al periodo 2011-2012.</w:t>
            </w:r>
          </w:p>
          <w:p w14:paraId="6DF8CF90" w14:textId="77777777" w:rsidR="00EB6E12" w:rsidRDefault="00EB6E12" w:rsidP="0038666D">
            <w:pPr>
              <w:jc w:val="both"/>
              <w:rPr>
                <w:lang w:val="es-ES_tradnl"/>
              </w:rPr>
            </w:pPr>
          </w:p>
        </w:tc>
      </w:tr>
    </w:tbl>
    <w:p w14:paraId="0DE808F1" w14:textId="77777777" w:rsidR="00EB6E12" w:rsidRDefault="00EB6E12"/>
    <w:p w14:paraId="6C984B32" w14:textId="0CD22C6B" w:rsidR="00FA2006" w:rsidRDefault="00EB6E12" w:rsidP="004F2FCE">
      <w:pPr>
        <w:ind w:left="0"/>
        <w:jc w:val="both"/>
        <w:rPr>
          <w:color w:val="auto"/>
          <w:sz w:val="22"/>
          <w:lang w:val="es-ES_tradnl"/>
        </w:rPr>
      </w:pPr>
      <w:r w:rsidRPr="004F2FCE">
        <w:rPr>
          <w:color w:val="auto"/>
          <w:sz w:val="22"/>
          <w:lang w:val="es-ES_tradnl"/>
        </w:rPr>
        <w:br w:type="page"/>
      </w:r>
      <w:r w:rsidR="005A0E35" w:rsidRPr="004F2FCE">
        <w:rPr>
          <w:color w:val="auto"/>
          <w:sz w:val="22"/>
          <w:lang w:val="es-ES_tradnl"/>
        </w:rPr>
        <w:lastRenderedPageBreak/>
        <w:t>Adicionalmente</w:t>
      </w:r>
      <w:r w:rsidR="00EF4F92" w:rsidRPr="004F2FCE">
        <w:rPr>
          <w:color w:val="auto"/>
          <w:sz w:val="22"/>
          <w:lang w:val="es-ES_tradnl"/>
        </w:rPr>
        <w:t xml:space="preserve">, </w:t>
      </w:r>
      <w:r w:rsidR="00EF4F92" w:rsidRPr="004F2FCE">
        <w:rPr>
          <w:color w:val="auto"/>
          <w:sz w:val="22"/>
          <w:lang w:val="es-ES"/>
        </w:rPr>
        <w:t>según los Indicadores Mundiales de Gobernabilidad del Banco Mundial, e</w:t>
      </w:r>
      <w:r w:rsidR="00EF4F92" w:rsidRPr="004F2FCE">
        <w:rPr>
          <w:color w:val="auto"/>
          <w:sz w:val="22"/>
          <w:lang w:val="es-SV"/>
        </w:rPr>
        <w:t>l desempeño en el control de corrupción y la efectividad gubernamental es percibido persistentemente</w:t>
      </w:r>
      <w:r w:rsidR="00BA707C" w:rsidRPr="004F2FCE">
        <w:rPr>
          <w:color w:val="auto"/>
          <w:sz w:val="22"/>
          <w:lang w:val="es-ES_tradnl"/>
        </w:rPr>
        <w:t xml:space="preserve"> </w:t>
      </w:r>
      <w:r w:rsidR="00EF4F92" w:rsidRPr="004F2FCE">
        <w:rPr>
          <w:color w:val="auto"/>
          <w:sz w:val="22"/>
          <w:lang w:val="es-ES_tradnl"/>
        </w:rPr>
        <w:t>como débil en Paragua</w:t>
      </w:r>
      <w:r w:rsidR="005A0E35" w:rsidRPr="004F2FCE">
        <w:rPr>
          <w:color w:val="auto"/>
          <w:sz w:val="22"/>
          <w:lang w:val="es-ES_tradnl"/>
        </w:rPr>
        <w:t>y</w:t>
      </w:r>
      <w:r w:rsidR="00EF4F92" w:rsidRPr="004F2FCE">
        <w:rPr>
          <w:color w:val="auto"/>
          <w:sz w:val="22"/>
          <w:lang w:val="es-ES_tradnl"/>
        </w:rPr>
        <w:t>.</w:t>
      </w:r>
    </w:p>
    <w:p w14:paraId="21420BCE" w14:textId="77777777" w:rsidR="004F2FCE" w:rsidRPr="004F2FCE" w:rsidRDefault="004F2FCE" w:rsidP="004F2FCE">
      <w:pPr>
        <w:ind w:left="0"/>
        <w:jc w:val="both"/>
        <w:rPr>
          <w:color w:val="auto"/>
          <w:sz w:val="22"/>
          <w:lang w:val="es-ES_tradnl"/>
        </w:rPr>
      </w:pPr>
    </w:p>
    <w:tbl>
      <w:tblPr>
        <w:tblStyle w:val="TableGrid"/>
        <w:tblW w:w="5678" w:type="pct"/>
        <w:jc w:val="center"/>
        <w:shd w:val="clear" w:color="auto" w:fill="F2F2F2" w:themeFill="background1" w:themeFillShade="F2"/>
        <w:tblLook w:val="04A0" w:firstRow="1" w:lastRow="0" w:firstColumn="1" w:lastColumn="0" w:noHBand="0" w:noVBand="1"/>
      </w:tblPr>
      <w:tblGrid>
        <w:gridCol w:w="5515"/>
        <w:gridCol w:w="5448"/>
      </w:tblGrid>
      <w:tr w:rsidR="00EB6E12" w:rsidRPr="00405B54" w14:paraId="1A6F5FCE" w14:textId="77777777" w:rsidTr="003F30CE">
        <w:trPr>
          <w:jc w:val="center"/>
        </w:trPr>
        <w:tc>
          <w:tcPr>
            <w:tcW w:w="5515" w:type="dxa"/>
            <w:shd w:val="clear" w:color="auto" w:fill="F2F2F2" w:themeFill="background1" w:themeFillShade="F2"/>
          </w:tcPr>
          <w:p w14:paraId="2989A398" w14:textId="77777777" w:rsidR="00EB6E12" w:rsidRPr="00EB6E12" w:rsidRDefault="00EB6E12" w:rsidP="0038666D">
            <w:pPr>
              <w:jc w:val="both"/>
              <w:rPr>
                <w:lang w:val="es-ES_tradnl"/>
              </w:rPr>
            </w:pPr>
          </w:p>
          <w:p w14:paraId="2055BD63" w14:textId="77777777" w:rsidR="00EB6E12" w:rsidRPr="005808FD" w:rsidRDefault="00EB6E12" w:rsidP="0038666D">
            <w:pPr>
              <w:jc w:val="both"/>
              <w:rPr>
                <w:lang w:val="es-ES"/>
              </w:rPr>
            </w:pPr>
          </w:p>
          <w:p w14:paraId="144F372A" w14:textId="5F0EAFC3" w:rsidR="00EB6E12" w:rsidRPr="005A0E35" w:rsidRDefault="003F30CE" w:rsidP="0038666D">
            <w:pPr>
              <w:ind w:left="199"/>
              <w:jc w:val="both"/>
              <w:rPr>
                <w:lang w:val="es-CR"/>
              </w:rPr>
            </w:pPr>
            <w:r>
              <w:rPr>
                <w:noProof/>
              </w:rPr>
              <w:drawing>
                <wp:inline distT="0" distB="0" distL="0" distR="0" wp14:anchorId="5179A860" wp14:editId="0E475630">
                  <wp:extent cx="3225800" cy="2523067"/>
                  <wp:effectExtent l="0" t="0" r="12700" b="10795"/>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E040293" w14:textId="77777777" w:rsidR="00EB6E12" w:rsidRPr="005A0E35" w:rsidRDefault="00EB6E12" w:rsidP="0038666D">
            <w:pPr>
              <w:jc w:val="both"/>
              <w:rPr>
                <w:lang w:val="es-CR"/>
              </w:rPr>
            </w:pPr>
          </w:p>
          <w:p w14:paraId="0A46A4FD" w14:textId="1DA49897" w:rsidR="008A34B8" w:rsidRPr="004E3897" w:rsidRDefault="008A34B8" w:rsidP="0038666D">
            <w:pPr>
              <w:ind w:left="0"/>
              <w:jc w:val="both"/>
              <w:rPr>
                <w:i/>
                <w:sz w:val="18"/>
                <w:lang w:val="es-CR"/>
              </w:rPr>
            </w:pPr>
            <w:r w:rsidRPr="004E3897">
              <w:rPr>
                <w:i/>
                <w:sz w:val="18"/>
                <w:lang w:val="es-CR"/>
              </w:rPr>
              <w:t xml:space="preserve">Refleja la percepción de i) la calidad de los servicios públicos, </w:t>
            </w:r>
            <w:proofErr w:type="spellStart"/>
            <w:r w:rsidRPr="004E3897">
              <w:rPr>
                <w:i/>
                <w:sz w:val="18"/>
                <w:lang w:val="es-CR"/>
              </w:rPr>
              <w:t>ii</w:t>
            </w:r>
            <w:proofErr w:type="spellEnd"/>
            <w:r w:rsidRPr="004E3897">
              <w:rPr>
                <w:i/>
                <w:sz w:val="18"/>
                <w:lang w:val="es-CR"/>
              </w:rPr>
              <w:t xml:space="preserve">) la calidad de la administración pública y el grado de su independencia de las presiones políticas, </w:t>
            </w:r>
            <w:proofErr w:type="spellStart"/>
            <w:r w:rsidRPr="004E3897">
              <w:rPr>
                <w:i/>
                <w:sz w:val="18"/>
                <w:lang w:val="es-CR"/>
              </w:rPr>
              <w:t>iii</w:t>
            </w:r>
            <w:proofErr w:type="spellEnd"/>
            <w:r w:rsidRPr="004E3897">
              <w:rPr>
                <w:i/>
                <w:sz w:val="18"/>
                <w:lang w:val="es-CR"/>
              </w:rPr>
              <w:t xml:space="preserve">) la calidad de la formulación e implementación de políticas, y </w:t>
            </w:r>
            <w:proofErr w:type="spellStart"/>
            <w:r w:rsidRPr="004E3897">
              <w:rPr>
                <w:i/>
                <w:sz w:val="18"/>
                <w:lang w:val="es-CR"/>
              </w:rPr>
              <w:t>iv</w:t>
            </w:r>
            <w:proofErr w:type="spellEnd"/>
            <w:r w:rsidRPr="004E3897">
              <w:rPr>
                <w:i/>
                <w:sz w:val="18"/>
                <w:lang w:val="es-CR"/>
              </w:rPr>
              <w:t>) la credibilidad del compromiso del gobierno con esas políticas.</w:t>
            </w:r>
          </w:p>
          <w:p w14:paraId="533435E1" w14:textId="77777777" w:rsidR="008A34B8" w:rsidRDefault="008A34B8" w:rsidP="0038666D">
            <w:pPr>
              <w:ind w:left="0"/>
              <w:jc w:val="both"/>
              <w:rPr>
                <w:lang w:val="es-CR"/>
              </w:rPr>
            </w:pPr>
          </w:p>
          <w:p w14:paraId="4A0C3C95" w14:textId="2A9B0389" w:rsidR="008A34B8" w:rsidRPr="008A34B8" w:rsidRDefault="008A34B8" w:rsidP="0038666D">
            <w:pPr>
              <w:ind w:left="0"/>
              <w:jc w:val="both"/>
              <w:rPr>
                <w:lang w:val="es-CR"/>
              </w:rPr>
            </w:pPr>
          </w:p>
        </w:tc>
        <w:tc>
          <w:tcPr>
            <w:tcW w:w="5360" w:type="dxa"/>
            <w:shd w:val="clear" w:color="auto" w:fill="F2F2F2" w:themeFill="background1" w:themeFillShade="F2"/>
          </w:tcPr>
          <w:p w14:paraId="527CF433" w14:textId="77777777" w:rsidR="00EB6E12" w:rsidRPr="008A34B8" w:rsidRDefault="00EB6E12" w:rsidP="0038666D">
            <w:pPr>
              <w:jc w:val="both"/>
              <w:rPr>
                <w:lang w:val="es-CR"/>
              </w:rPr>
            </w:pPr>
          </w:p>
          <w:p w14:paraId="1EB11ABA" w14:textId="77777777" w:rsidR="00EB6E12" w:rsidRPr="008A34B8" w:rsidRDefault="00EB6E12" w:rsidP="0038666D">
            <w:pPr>
              <w:jc w:val="both"/>
              <w:rPr>
                <w:sz w:val="18"/>
                <w:lang w:val="es-CR"/>
              </w:rPr>
            </w:pPr>
          </w:p>
          <w:p w14:paraId="0B5B0F04" w14:textId="0C97F9AB" w:rsidR="00EB6E12" w:rsidRDefault="003F30CE" w:rsidP="0038666D">
            <w:pPr>
              <w:ind w:left="12"/>
              <w:jc w:val="both"/>
              <w:rPr>
                <w:sz w:val="18"/>
                <w:lang w:val="es-ES_tradnl"/>
              </w:rPr>
            </w:pPr>
            <w:r>
              <w:rPr>
                <w:noProof/>
              </w:rPr>
              <w:drawing>
                <wp:inline distT="0" distB="0" distL="0" distR="0" wp14:anchorId="3D51D6AF" wp14:editId="0C8C056B">
                  <wp:extent cx="3293534" cy="2540000"/>
                  <wp:effectExtent l="0" t="0" r="21590" b="1270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3F5BBDD5" w14:textId="77777777" w:rsidR="00EB6E12" w:rsidRDefault="00EB6E12" w:rsidP="0038666D">
            <w:pPr>
              <w:ind w:left="50"/>
              <w:jc w:val="both"/>
              <w:rPr>
                <w:sz w:val="18"/>
                <w:lang w:val="es-ES_tradnl"/>
              </w:rPr>
            </w:pPr>
          </w:p>
          <w:p w14:paraId="3D8E62C1" w14:textId="6859071D" w:rsidR="004E3589" w:rsidRPr="004E3589" w:rsidRDefault="004E3589" w:rsidP="004E3589">
            <w:pPr>
              <w:ind w:left="50"/>
              <w:jc w:val="both"/>
              <w:rPr>
                <w:i/>
                <w:sz w:val="18"/>
                <w:lang w:val="es-CR"/>
              </w:rPr>
            </w:pPr>
            <w:r w:rsidRPr="004E3589">
              <w:rPr>
                <w:i/>
                <w:sz w:val="18"/>
                <w:lang w:val="es-CR"/>
              </w:rPr>
              <w:t xml:space="preserve">Combina en un índice agregado varios indicadores disponibles de corrupción, convencionalmente definida como el ejercicio el abuso del poder público para el beneficio privado. Tal agregación de indicadores proviene de diferentes fuentes, y ha sido realizada a través de un modelo único de componentes. Los indicadores considerados en este índice incluyen algunos que están basados en encuestas y otros en opiniones de expertos. </w:t>
            </w:r>
          </w:p>
        </w:tc>
      </w:tr>
      <w:tr w:rsidR="00EB6E12" w:rsidRPr="00405B54" w14:paraId="5B8FFE93" w14:textId="77777777" w:rsidTr="003F30CE">
        <w:trPr>
          <w:jc w:val="center"/>
        </w:trPr>
        <w:tc>
          <w:tcPr>
            <w:tcW w:w="10875" w:type="dxa"/>
            <w:gridSpan w:val="2"/>
            <w:shd w:val="clear" w:color="auto" w:fill="F2F2F2" w:themeFill="background1" w:themeFillShade="F2"/>
          </w:tcPr>
          <w:p w14:paraId="3DBB2592" w14:textId="77777777" w:rsidR="00EB6E12" w:rsidRPr="004E3589" w:rsidRDefault="00EB6E12" w:rsidP="0038666D">
            <w:pPr>
              <w:jc w:val="both"/>
              <w:rPr>
                <w:sz w:val="18"/>
                <w:lang w:val="es-CR"/>
              </w:rPr>
            </w:pPr>
          </w:p>
          <w:p w14:paraId="4F9D33AC" w14:textId="77777777" w:rsidR="00EB6E12" w:rsidRPr="008B4A7F" w:rsidRDefault="00EB6E12" w:rsidP="0038666D">
            <w:pPr>
              <w:ind w:left="19"/>
              <w:jc w:val="both"/>
              <w:rPr>
                <w:b/>
                <w:lang w:val="es-ES_tradnl"/>
              </w:rPr>
            </w:pPr>
            <w:r w:rsidRPr="008B4A7F">
              <w:rPr>
                <w:b/>
                <w:lang w:val="es-ES_tradnl"/>
              </w:rPr>
              <w:t>Fuente: Indicadores Mundiales de Gobernabilidad del Banco Mundial</w:t>
            </w:r>
          </w:p>
          <w:p w14:paraId="5CD41AF5" w14:textId="77777777" w:rsidR="00EB6E12" w:rsidRPr="008B4A7F" w:rsidRDefault="00EB6E12" w:rsidP="0038666D">
            <w:pPr>
              <w:ind w:left="54"/>
              <w:jc w:val="both"/>
              <w:rPr>
                <w:lang w:val="es-ES_tradnl"/>
              </w:rPr>
            </w:pPr>
            <w:r w:rsidRPr="008B4A7F">
              <w:rPr>
                <w:b/>
                <w:lang w:val="es-ES_tradnl"/>
              </w:rPr>
              <w:t>ALC:</w:t>
            </w:r>
            <w:r w:rsidRPr="008B4A7F">
              <w:rPr>
                <w:lang w:val="es-ES_tradnl"/>
              </w:rPr>
              <w:t xml:space="preserve"> 26 países miembros del BID (Brasil, Chile, Uruguay, Argentina, Paraguay; - Costa Rica, El Salvador, Honduras, República Dominicana, México, Nicaragua, Panamá, Belice, Guatemala, Ecuador, Perú, Colombia, Bolivia, Venezuela; Bahamas, Guyana, Barbados, Surinam, Jamaica, Trinidad &amp; Tobago y Haití).</w:t>
            </w:r>
          </w:p>
          <w:p w14:paraId="501B222A" w14:textId="77777777" w:rsidR="00EB6E12" w:rsidRPr="008B4A7F" w:rsidRDefault="00EB6E12" w:rsidP="0038666D">
            <w:pPr>
              <w:ind w:left="54"/>
              <w:jc w:val="both"/>
              <w:rPr>
                <w:lang w:val="es-ES_tradnl"/>
              </w:rPr>
            </w:pPr>
          </w:p>
          <w:p w14:paraId="3BFA7415" w14:textId="77777777" w:rsidR="00EB6E12" w:rsidRPr="008B4A7F" w:rsidRDefault="00EB6E12" w:rsidP="0038666D">
            <w:pPr>
              <w:ind w:left="54"/>
              <w:jc w:val="both"/>
              <w:rPr>
                <w:lang w:val="es-ES_tradnl"/>
              </w:rPr>
            </w:pPr>
            <w:r w:rsidRPr="008B4A7F">
              <w:rPr>
                <w:b/>
                <w:lang w:val="es-ES_tradnl"/>
              </w:rPr>
              <w:t>OCDE:</w:t>
            </w:r>
            <w:r w:rsidRPr="008B4A7F">
              <w:rPr>
                <w:lang w:val="es-ES_tradnl"/>
              </w:rPr>
              <w:t xml:space="preserve"> 34 países miembros de la OCDE (Alemania, Australia, Austria, Bélgica, Canadá, Chile, Corea, Dinamarca, España, Estados Unidos, Eslovenia, Estonia, Finlandia, Francia, Grecia, Hungría, Irlanda, Islandia, Israel, Italia, Japón, Luxemburgo, México, Noruega, Nueva Zelanda, Países Bajos, Polonia, Portugal, Reino Unido, República Checa, Suecia, Suiza, Turquía)</w:t>
            </w:r>
          </w:p>
          <w:p w14:paraId="124426C5" w14:textId="77777777" w:rsidR="00EB6E12" w:rsidRPr="000B0815" w:rsidRDefault="00EB6E12" w:rsidP="0038666D">
            <w:pPr>
              <w:ind w:left="54"/>
              <w:jc w:val="both"/>
              <w:rPr>
                <w:lang w:val="es-ES_tradnl"/>
              </w:rPr>
            </w:pPr>
          </w:p>
        </w:tc>
      </w:tr>
    </w:tbl>
    <w:p w14:paraId="3E263148" w14:textId="77777777" w:rsidR="00EB6E12" w:rsidRPr="00EB6E12" w:rsidRDefault="00EB6E12" w:rsidP="00EB6E12">
      <w:pPr>
        <w:ind w:left="0"/>
        <w:jc w:val="both"/>
        <w:rPr>
          <w:lang w:val="es-CR"/>
        </w:rPr>
      </w:pPr>
    </w:p>
    <w:p w14:paraId="5A3D75DD" w14:textId="77777777" w:rsidR="00EB6E12" w:rsidRDefault="00EB6E12" w:rsidP="00EB6E12">
      <w:pPr>
        <w:ind w:left="0"/>
        <w:jc w:val="both"/>
        <w:rPr>
          <w:lang w:val="es-ES_tradnl"/>
        </w:rPr>
      </w:pPr>
    </w:p>
    <w:p w14:paraId="13182B4E" w14:textId="77777777" w:rsidR="004F2FCE" w:rsidRDefault="004F2FCE">
      <w:pPr>
        <w:rPr>
          <w:color w:val="auto"/>
          <w:sz w:val="22"/>
          <w:lang w:val="es-ES_tradnl"/>
        </w:rPr>
      </w:pPr>
      <w:r>
        <w:rPr>
          <w:color w:val="auto"/>
          <w:sz w:val="22"/>
          <w:lang w:val="es-ES_tradnl"/>
        </w:rPr>
        <w:br w:type="page"/>
      </w:r>
    </w:p>
    <w:p w14:paraId="02DF8FE8" w14:textId="28A547FC" w:rsidR="00FA2006" w:rsidRDefault="00FA2006" w:rsidP="00EB6E12">
      <w:pPr>
        <w:ind w:left="0"/>
        <w:jc w:val="both"/>
        <w:rPr>
          <w:color w:val="auto"/>
          <w:sz w:val="22"/>
          <w:lang w:val="es-ES_tradnl"/>
        </w:rPr>
      </w:pPr>
      <w:r w:rsidRPr="004F2FCE">
        <w:rPr>
          <w:color w:val="auto"/>
          <w:sz w:val="22"/>
          <w:lang w:val="es-ES_tradnl"/>
        </w:rPr>
        <w:lastRenderedPageBreak/>
        <w:t xml:space="preserve">Esta valoración de la corrupción tiene igualmente su correlato en el ámbito de los negocios. </w:t>
      </w:r>
      <w:r w:rsidRPr="004F2FCE">
        <w:rPr>
          <w:i/>
          <w:color w:val="auto"/>
          <w:lang w:val="es-ES"/>
        </w:rPr>
        <w:t xml:space="preserve"> </w:t>
      </w:r>
      <w:r w:rsidRPr="004F2FCE">
        <w:rPr>
          <w:bCs/>
          <w:color w:val="auto"/>
          <w:sz w:val="22"/>
          <w:lang w:val="es-ES"/>
        </w:rPr>
        <w:t xml:space="preserve">A pesar de que, según </w:t>
      </w:r>
      <w:r w:rsidRPr="004F2FCE">
        <w:rPr>
          <w:color w:val="auto"/>
          <w:sz w:val="22"/>
          <w:lang w:val="es-ES"/>
        </w:rPr>
        <w:t xml:space="preserve">los Indicadores </w:t>
      </w:r>
      <w:r w:rsidR="006623A8">
        <w:rPr>
          <w:color w:val="auto"/>
          <w:sz w:val="22"/>
          <w:lang w:val="es-ES"/>
        </w:rPr>
        <w:t>del Foro Económico Mundial</w:t>
      </w:r>
      <w:r w:rsidRPr="004F2FCE">
        <w:rPr>
          <w:bCs/>
          <w:color w:val="auto"/>
          <w:sz w:val="22"/>
          <w:lang w:val="es-ES"/>
        </w:rPr>
        <w:t xml:space="preserve">, es </w:t>
      </w:r>
      <w:r w:rsidR="00E77660" w:rsidRPr="004F2FCE">
        <w:rPr>
          <w:bCs/>
          <w:color w:val="auto"/>
          <w:sz w:val="22"/>
          <w:lang w:val="es-ES"/>
        </w:rPr>
        <w:t>relativamente</w:t>
      </w:r>
      <w:r w:rsidRPr="004F2FCE">
        <w:rPr>
          <w:bCs/>
          <w:color w:val="auto"/>
          <w:sz w:val="22"/>
          <w:lang w:val="es-ES"/>
        </w:rPr>
        <w:t xml:space="preserve"> fácil para las firmas el acceder a información sobre cambio en políticas </w:t>
      </w:r>
      <w:r w:rsidR="00E77660" w:rsidRPr="004F2FCE">
        <w:rPr>
          <w:bCs/>
          <w:color w:val="auto"/>
          <w:sz w:val="22"/>
          <w:lang w:val="es-ES"/>
        </w:rPr>
        <w:t>gubernamentales</w:t>
      </w:r>
      <w:r w:rsidRPr="004F2FCE">
        <w:rPr>
          <w:bCs/>
          <w:color w:val="auto"/>
          <w:sz w:val="22"/>
          <w:lang w:val="es-ES"/>
        </w:rPr>
        <w:t xml:space="preserve"> y regulaciones que </w:t>
      </w:r>
      <w:r w:rsidR="00E77660" w:rsidRPr="004F2FCE">
        <w:rPr>
          <w:bCs/>
          <w:color w:val="auto"/>
          <w:sz w:val="22"/>
          <w:lang w:val="es-ES"/>
        </w:rPr>
        <w:t>afectan</w:t>
      </w:r>
      <w:r w:rsidRPr="004F2FCE">
        <w:rPr>
          <w:bCs/>
          <w:color w:val="auto"/>
          <w:sz w:val="22"/>
          <w:lang w:val="es-ES"/>
        </w:rPr>
        <w:t xml:space="preserve"> sus actividades, </w:t>
      </w:r>
      <w:r w:rsidR="00E77660" w:rsidRPr="004F2FCE">
        <w:rPr>
          <w:bCs/>
          <w:color w:val="auto"/>
          <w:sz w:val="22"/>
          <w:lang w:val="es-ES"/>
        </w:rPr>
        <w:t>la corrupción es el principal factor que afecta hacer negocios en el país</w:t>
      </w:r>
      <w:r w:rsidR="00E77660" w:rsidRPr="004F2FCE">
        <w:rPr>
          <w:color w:val="auto"/>
          <w:sz w:val="22"/>
          <w:lang w:val="es-ES_tradnl"/>
        </w:rPr>
        <w:t>.</w:t>
      </w:r>
    </w:p>
    <w:p w14:paraId="67C74DA2" w14:textId="77777777" w:rsidR="00F2101D" w:rsidRPr="004F2FCE" w:rsidRDefault="00F2101D" w:rsidP="00EB6E12">
      <w:pPr>
        <w:ind w:left="0"/>
        <w:jc w:val="both"/>
        <w:rPr>
          <w:color w:val="auto"/>
          <w:sz w:val="22"/>
          <w:lang w:val="es-ES"/>
        </w:rPr>
      </w:pPr>
    </w:p>
    <w:tbl>
      <w:tblPr>
        <w:tblStyle w:val="TableGrid"/>
        <w:tblW w:w="5780" w:type="pct"/>
        <w:tblInd w:w="-612" w:type="dxa"/>
        <w:shd w:val="clear" w:color="auto" w:fill="F2F2F2" w:themeFill="background1" w:themeFillShade="F2"/>
        <w:tblLook w:val="04A0" w:firstRow="1" w:lastRow="0" w:firstColumn="1" w:lastColumn="0" w:noHBand="0" w:noVBand="1"/>
      </w:tblPr>
      <w:tblGrid>
        <w:gridCol w:w="11070"/>
      </w:tblGrid>
      <w:tr w:rsidR="009E16AA" w14:paraId="4ED3079F" w14:textId="77777777" w:rsidTr="003F30CE">
        <w:tc>
          <w:tcPr>
            <w:tcW w:w="11070" w:type="dxa"/>
            <w:shd w:val="clear" w:color="auto" w:fill="F2F2F2" w:themeFill="background1" w:themeFillShade="F2"/>
          </w:tcPr>
          <w:p w14:paraId="3B2AEDDF" w14:textId="77777777" w:rsidR="009E16AA" w:rsidRPr="005A0E35" w:rsidRDefault="009E16AA" w:rsidP="00EB6E12">
            <w:pPr>
              <w:ind w:left="0"/>
              <w:jc w:val="both"/>
              <w:rPr>
                <w:noProof/>
                <w:lang w:val="es-CR"/>
              </w:rPr>
            </w:pPr>
          </w:p>
          <w:p w14:paraId="2A4D290D" w14:textId="11AD25BB" w:rsidR="009E16AA" w:rsidRDefault="003F30CE" w:rsidP="003F30CE">
            <w:pPr>
              <w:ind w:left="164"/>
              <w:jc w:val="center"/>
              <w:rPr>
                <w:lang w:val="es-ES_tradnl"/>
              </w:rPr>
            </w:pPr>
            <w:r>
              <w:rPr>
                <w:noProof/>
              </w:rPr>
              <w:drawing>
                <wp:inline distT="0" distB="0" distL="0" distR="0" wp14:anchorId="3A8D2CCF" wp14:editId="037839E8">
                  <wp:extent cx="6561667" cy="3699934"/>
                  <wp:effectExtent l="0" t="0" r="10795" b="1524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78F44A4B" w14:textId="77777777" w:rsidR="0038666D" w:rsidRDefault="0038666D" w:rsidP="00EB6E12">
            <w:pPr>
              <w:ind w:left="164"/>
              <w:jc w:val="both"/>
              <w:rPr>
                <w:lang w:val="es-ES_tradnl"/>
              </w:rPr>
            </w:pPr>
          </w:p>
        </w:tc>
      </w:tr>
      <w:tr w:rsidR="009E16AA" w:rsidRPr="00C773DC" w14:paraId="4762DC02" w14:textId="77777777" w:rsidTr="003F30CE">
        <w:tc>
          <w:tcPr>
            <w:tcW w:w="11070" w:type="dxa"/>
            <w:shd w:val="clear" w:color="auto" w:fill="F2F2F2" w:themeFill="background1" w:themeFillShade="F2"/>
          </w:tcPr>
          <w:p w14:paraId="10D839A7" w14:textId="77777777" w:rsidR="009E16AA" w:rsidRDefault="009E16AA" w:rsidP="00EB6E12">
            <w:pPr>
              <w:ind w:left="164"/>
              <w:jc w:val="both"/>
              <w:rPr>
                <w:b/>
                <w:sz w:val="18"/>
                <w:lang w:val="es-ES_tradnl"/>
              </w:rPr>
            </w:pPr>
          </w:p>
          <w:p w14:paraId="52287BCE" w14:textId="77777777" w:rsidR="00C773DC" w:rsidRPr="008B4A7F" w:rsidRDefault="00C773DC" w:rsidP="00EB6E12">
            <w:pPr>
              <w:ind w:left="164"/>
              <w:jc w:val="both"/>
              <w:rPr>
                <w:b/>
                <w:lang w:val="es-ES_tradnl"/>
              </w:rPr>
            </w:pPr>
            <w:r w:rsidRPr="008B4A7F">
              <w:rPr>
                <w:b/>
                <w:lang w:val="es-ES_tradnl"/>
              </w:rPr>
              <w:t>Fuente: Índice Global de Competitividad del Foro Económico Mundial</w:t>
            </w:r>
          </w:p>
          <w:p w14:paraId="76227A41" w14:textId="77777777" w:rsidR="00C773DC" w:rsidRPr="008B4A7F" w:rsidRDefault="00C773DC" w:rsidP="00EB6E12">
            <w:pPr>
              <w:ind w:left="164"/>
              <w:jc w:val="both"/>
              <w:rPr>
                <w:b/>
                <w:lang w:val="es-ES_tradnl"/>
              </w:rPr>
            </w:pPr>
          </w:p>
          <w:p w14:paraId="23B90973" w14:textId="77777777" w:rsidR="00C773DC" w:rsidRPr="008B4A7F" w:rsidRDefault="00C773DC" w:rsidP="00EB6E12">
            <w:pPr>
              <w:ind w:left="164"/>
              <w:jc w:val="both"/>
              <w:rPr>
                <w:lang w:val="es-ES_tradnl"/>
              </w:rPr>
            </w:pPr>
            <w:r w:rsidRPr="008B4A7F">
              <w:rPr>
                <w:b/>
                <w:lang w:val="es-ES_tradnl"/>
              </w:rPr>
              <w:t>ALC:</w:t>
            </w:r>
            <w:r w:rsidRPr="008B4A7F">
              <w:rPr>
                <w:lang w:val="es-ES_tradnl"/>
              </w:rPr>
              <w:t xml:space="preserve"> 26 países miembros del BID</w:t>
            </w:r>
          </w:p>
          <w:p w14:paraId="0CAC41BE" w14:textId="77777777" w:rsidR="009E16AA" w:rsidRDefault="009E16AA" w:rsidP="00EB6E12">
            <w:pPr>
              <w:ind w:left="164"/>
              <w:jc w:val="both"/>
              <w:rPr>
                <w:lang w:val="es-ES_tradnl"/>
              </w:rPr>
            </w:pPr>
          </w:p>
        </w:tc>
      </w:tr>
    </w:tbl>
    <w:p w14:paraId="369F053B" w14:textId="77777777" w:rsidR="00AB4E46" w:rsidRDefault="00AB4E46" w:rsidP="00EB6E12">
      <w:pPr>
        <w:jc w:val="both"/>
        <w:rPr>
          <w:lang w:val="es-ES_tradnl"/>
        </w:rPr>
      </w:pPr>
    </w:p>
    <w:p w14:paraId="0D986D5F" w14:textId="77777777" w:rsidR="00AB4E46" w:rsidRDefault="00AB4E46" w:rsidP="00EB6E12">
      <w:pPr>
        <w:jc w:val="both"/>
        <w:rPr>
          <w:lang w:val="es-ES_tradnl"/>
        </w:rPr>
      </w:pPr>
      <w:r>
        <w:rPr>
          <w:lang w:val="es-ES_tradnl"/>
        </w:rPr>
        <w:br w:type="page"/>
      </w:r>
    </w:p>
    <w:p w14:paraId="2BA88D2F" w14:textId="77777777" w:rsidR="003C7A15" w:rsidRDefault="003C7A15" w:rsidP="00EB6E12">
      <w:pPr>
        <w:pStyle w:val="Heading1"/>
        <w:numPr>
          <w:ilvl w:val="0"/>
          <w:numId w:val="3"/>
        </w:numPr>
        <w:jc w:val="both"/>
        <w:rPr>
          <w:lang w:val="es-ES_tradnl"/>
        </w:rPr>
      </w:pPr>
      <w:r>
        <w:rPr>
          <w:lang w:val="es-ES_tradnl"/>
        </w:rPr>
        <w:lastRenderedPageBreak/>
        <w:t>Esfuerzos en marcha</w:t>
      </w:r>
    </w:p>
    <w:p w14:paraId="7C3D1C56" w14:textId="77777777" w:rsidR="003C7A15" w:rsidRDefault="003C7A15" w:rsidP="00EB6E12">
      <w:pPr>
        <w:ind w:left="0"/>
        <w:jc w:val="both"/>
        <w:rPr>
          <w:lang w:val="es-ES_tradnl"/>
        </w:rPr>
      </w:pPr>
    </w:p>
    <w:p w14:paraId="4F750E65" w14:textId="77777777" w:rsidR="000C070F" w:rsidRPr="004F2FCE" w:rsidRDefault="003C7A15" w:rsidP="00EB6E12">
      <w:pPr>
        <w:ind w:left="0"/>
        <w:jc w:val="both"/>
        <w:rPr>
          <w:color w:val="auto"/>
          <w:sz w:val="22"/>
          <w:lang w:val="es-ES_tradnl"/>
        </w:rPr>
      </w:pPr>
      <w:r w:rsidRPr="004F2FCE">
        <w:rPr>
          <w:color w:val="auto"/>
          <w:sz w:val="22"/>
          <w:lang w:val="es-ES_tradnl"/>
        </w:rPr>
        <w:t>Si bien Paraguay tiene vari</w:t>
      </w:r>
      <w:r w:rsidR="00EB6E12" w:rsidRPr="004F2FCE">
        <w:rPr>
          <w:color w:val="auto"/>
          <w:sz w:val="22"/>
          <w:lang w:val="es-ES_tradnl"/>
        </w:rPr>
        <w:t>o</w:t>
      </w:r>
      <w:r w:rsidRPr="004F2FCE">
        <w:rPr>
          <w:color w:val="auto"/>
          <w:sz w:val="22"/>
          <w:lang w:val="es-ES_tradnl"/>
        </w:rPr>
        <w:t xml:space="preserve">s desafíos en cuanto a lucha contra la corrupción y promoción de la transparencia, hay esfuerzos en marcha </w:t>
      </w:r>
      <w:r w:rsidR="000C070F" w:rsidRPr="004F2FCE">
        <w:rPr>
          <w:color w:val="auto"/>
          <w:sz w:val="22"/>
          <w:lang w:val="es-ES_tradnl"/>
        </w:rPr>
        <w:t>que sirven de punto de partida para remontar una agenda para ello.</w:t>
      </w:r>
    </w:p>
    <w:p w14:paraId="5D5BECC8" w14:textId="424D8B65" w:rsidR="003C7A15" w:rsidRPr="004F2FCE" w:rsidRDefault="000C070F" w:rsidP="0079212F">
      <w:pPr>
        <w:ind w:left="0"/>
        <w:jc w:val="both"/>
        <w:rPr>
          <w:color w:val="auto"/>
          <w:sz w:val="22"/>
          <w:lang w:val="es-ES_tradnl"/>
        </w:rPr>
      </w:pPr>
      <w:r w:rsidRPr="004F2FCE">
        <w:rPr>
          <w:color w:val="auto"/>
          <w:sz w:val="22"/>
          <w:lang w:val="es-ES_tradnl"/>
        </w:rPr>
        <w:t xml:space="preserve">Entre estos destacan: (i)  aprobación en 2014 de la Ley </w:t>
      </w:r>
      <w:proofErr w:type="spellStart"/>
      <w:r w:rsidR="0079212F" w:rsidRPr="004F2FCE">
        <w:rPr>
          <w:color w:val="auto"/>
          <w:sz w:val="22"/>
          <w:lang w:val="es-ES_tradnl"/>
        </w:rPr>
        <w:t>N°</w:t>
      </w:r>
      <w:proofErr w:type="spellEnd"/>
      <w:r w:rsidR="0079212F" w:rsidRPr="004F2FCE">
        <w:rPr>
          <w:color w:val="auto"/>
          <w:sz w:val="22"/>
          <w:lang w:val="es-ES_tradnl"/>
        </w:rPr>
        <w:t xml:space="preserve"> 5258, de </w:t>
      </w:r>
      <w:r w:rsidR="00FE67EA" w:rsidRPr="004F2FCE">
        <w:rPr>
          <w:color w:val="auto"/>
          <w:sz w:val="22"/>
          <w:lang w:val="es-ES_tradnl"/>
        </w:rPr>
        <w:t>Libre A</w:t>
      </w:r>
      <w:r w:rsidR="0079212F" w:rsidRPr="004F2FCE">
        <w:rPr>
          <w:color w:val="auto"/>
          <w:sz w:val="22"/>
          <w:lang w:val="es-ES_tradnl"/>
        </w:rPr>
        <w:t xml:space="preserve">cceso </w:t>
      </w:r>
      <w:r w:rsidR="00FE67EA" w:rsidRPr="004F2FCE">
        <w:rPr>
          <w:color w:val="auto"/>
          <w:sz w:val="22"/>
          <w:lang w:val="es-ES_tradnl"/>
        </w:rPr>
        <w:t>C</w:t>
      </w:r>
      <w:r w:rsidR="0079212F" w:rsidRPr="004F2FCE">
        <w:rPr>
          <w:color w:val="auto"/>
          <w:sz w:val="22"/>
          <w:lang w:val="es-ES_tradnl"/>
        </w:rPr>
        <w:t xml:space="preserve">iudadano a la </w:t>
      </w:r>
      <w:r w:rsidR="00FE67EA" w:rsidRPr="004F2FCE">
        <w:rPr>
          <w:color w:val="auto"/>
          <w:sz w:val="22"/>
          <w:lang w:val="es-ES_tradnl"/>
        </w:rPr>
        <w:t>Información Pública y T</w:t>
      </w:r>
      <w:r w:rsidR="0079212F" w:rsidRPr="004F2FCE">
        <w:rPr>
          <w:color w:val="auto"/>
          <w:sz w:val="22"/>
          <w:lang w:val="es-ES_tradnl"/>
        </w:rPr>
        <w:t xml:space="preserve">ransparencia </w:t>
      </w:r>
      <w:r w:rsidR="00FE67EA" w:rsidRPr="004F2FCE">
        <w:rPr>
          <w:color w:val="auto"/>
          <w:sz w:val="22"/>
          <w:lang w:val="es-ES_tradnl"/>
        </w:rPr>
        <w:t>G</w:t>
      </w:r>
      <w:r w:rsidR="0079212F" w:rsidRPr="004F2FCE">
        <w:rPr>
          <w:color w:val="auto"/>
          <w:sz w:val="22"/>
          <w:lang w:val="es-ES_tradnl"/>
        </w:rPr>
        <w:t>ubernamental</w:t>
      </w:r>
      <w:r w:rsidRPr="004F2FCE">
        <w:rPr>
          <w:color w:val="auto"/>
          <w:sz w:val="22"/>
          <w:lang w:val="es-ES_tradnl"/>
        </w:rPr>
        <w:t>; (</w:t>
      </w:r>
      <w:proofErr w:type="spellStart"/>
      <w:r w:rsidRPr="004F2FCE">
        <w:rPr>
          <w:color w:val="auto"/>
          <w:sz w:val="22"/>
          <w:lang w:val="es-ES_tradnl"/>
        </w:rPr>
        <w:t>ii</w:t>
      </w:r>
      <w:proofErr w:type="spellEnd"/>
      <w:r w:rsidRPr="004F2FCE">
        <w:rPr>
          <w:color w:val="auto"/>
          <w:sz w:val="22"/>
          <w:lang w:val="es-ES_tradnl"/>
        </w:rPr>
        <w:t xml:space="preserve">) el país es signatario de la </w:t>
      </w:r>
      <w:r w:rsidR="00FE67EA" w:rsidRPr="004F2FCE">
        <w:rPr>
          <w:color w:val="auto"/>
          <w:sz w:val="22"/>
          <w:lang w:val="es-ES_tradnl"/>
        </w:rPr>
        <w:t>Convención Interamericana Contra la Corrupción (CICC)</w:t>
      </w:r>
      <w:r w:rsidRPr="004F2FCE">
        <w:rPr>
          <w:color w:val="auto"/>
          <w:sz w:val="22"/>
          <w:lang w:val="es-ES_tradnl"/>
        </w:rPr>
        <w:t>; (</w:t>
      </w:r>
      <w:proofErr w:type="spellStart"/>
      <w:r w:rsidRPr="004F2FCE">
        <w:rPr>
          <w:color w:val="auto"/>
          <w:sz w:val="22"/>
          <w:lang w:val="es-ES_tradnl"/>
        </w:rPr>
        <w:t>iii</w:t>
      </w:r>
      <w:proofErr w:type="spellEnd"/>
      <w:r w:rsidRPr="004F2FCE">
        <w:rPr>
          <w:color w:val="auto"/>
          <w:sz w:val="22"/>
          <w:lang w:val="es-ES_tradnl"/>
        </w:rPr>
        <w:t>) el país es uno de los 16 países de ALC que, de forma voluntaria, se ha adherido a la Alianza para el gobierno Abierto (AGA); y (</w:t>
      </w:r>
      <w:proofErr w:type="spellStart"/>
      <w:r w:rsidRPr="004F2FCE">
        <w:rPr>
          <w:color w:val="auto"/>
          <w:sz w:val="22"/>
          <w:lang w:val="es-ES_tradnl"/>
        </w:rPr>
        <w:t>iv</w:t>
      </w:r>
      <w:proofErr w:type="spellEnd"/>
      <w:r w:rsidRPr="004F2FCE">
        <w:rPr>
          <w:color w:val="auto"/>
          <w:sz w:val="22"/>
          <w:lang w:val="es-ES_tradnl"/>
        </w:rPr>
        <w:t xml:space="preserve">) recientemente ha empezado a crear una nueva institucionalidad para impulsar esta agenda. </w:t>
      </w:r>
    </w:p>
    <w:p w14:paraId="2A979FE1" w14:textId="77777777" w:rsidR="002A5DA4" w:rsidRDefault="00D91707" w:rsidP="00EB6E12">
      <w:pPr>
        <w:pStyle w:val="Heading1"/>
        <w:numPr>
          <w:ilvl w:val="1"/>
          <w:numId w:val="3"/>
        </w:numPr>
        <w:ind w:left="426"/>
        <w:jc w:val="both"/>
        <w:rPr>
          <w:lang w:val="es-ES_tradnl"/>
        </w:rPr>
      </w:pPr>
      <w:r>
        <w:rPr>
          <w:lang w:val="es-ES_tradnl"/>
        </w:rPr>
        <w:t xml:space="preserve">RTI: </w:t>
      </w:r>
      <w:r w:rsidR="004A0FC0">
        <w:rPr>
          <w:lang w:val="es-ES_tradnl"/>
        </w:rPr>
        <w:t>Países CSC</w:t>
      </w:r>
    </w:p>
    <w:p w14:paraId="15DD51CF" w14:textId="0CB3A553" w:rsidR="00617B19" w:rsidRPr="004F2FCE" w:rsidRDefault="000C070F" w:rsidP="00EB6E12">
      <w:pPr>
        <w:ind w:left="0"/>
        <w:jc w:val="both"/>
        <w:rPr>
          <w:color w:val="auto"/>
          <w:sz w:val="22"/>
          <w:lang w:val="es-ES_tradnl"/>
        </w:rPr>
      </w:pPr>
      <w:r w:rsidRPr="004F2FCE">
        <w:rPr>
          <w:color w:val="auto"/>
          <w:sz w:val="22"/>
          <w:lang w:val="es-ES_tradnl"/>
        </w:rPr>
        <w:t xml:space="preserve">Paraguay aprobó su ley de </w:t>
      </w:r>
      <w:r w:rsidR="00FE67EA" w:rsidRPr="004F2FCE">
        <w:rPr>
          <w:color w:val="auto"/>
          <w:sz w:val="22"/>
          <w:lang w:val="es-ES_tradnl"/>
        </w:rPr>
        <w:t xml:space="preserve">Libre Acceso Ciudadano a la Información Pública y Transparencia Gubernamental </w:t>
      </w:r>
      <w:r w:rsidRPr="004F2FCE">
        <w:rPr>
          <w:color w:val="auto"/>
          <w:sz w:val="22"/>
          <w:lang w:val="es-ES_tradnl"/>
        </w:rPr>
        <w:t>en 2014. La misma plantea como objetivo</w:t>
      </w:r>
      <w:r w:rsidR="0079212F" w:rsidRPr="004F2FCE">
        <w:rPr>
          <w:color w:val="auto"/>
          <w:sz w:val="22"/>
          <w:lang w:val="es-ES_tradnl"/>
        </w:rPr>
        <w:t xml:space="preserve"> garantizar a todas las personas, el efectivo ejercicio del derecho al acceso a la información pública, a través de la implementación de las modalidades, plazos, excepciones y sanciones correspondientes, que promuevan la transparencia del Estado. </w:t>
      </w:r>
      <w:r w:rsidRPr="004F2FCE">
        <w:rPr>
          <w:color w:val="auto"/>
          <w:sz w:val="22"/>
          <w:lang w:val="es-ES_tradnl"/>
        </w:rPr>
        <w:t xml:space="preserve">A pesar de su alcance, y quizás por su reciente publicación, según el Índice de Derecho a la Información de </w:t>
      </w:r>
      <w:r w:rsidR="00BA707C" w:rsidRPr="004F2FCE">
        <w:rPr>
          <w:color w:val="auto"/>
          <w:sz w:val="22"/>
          <w:lang w:val="es-ES_tradnl"/>
        </w:rPr>
        <w:t>2015,</w:t>
      </w:r>
      <w:r w:rsidRPr="004F2FCE">
        <w:rPr>
          <w:color w:val="auto"/>
          <w:sz w:val="22"/>
          <w:lang w:val="es-ES_tradnl"/>
        </w:rPr>
        <w:t xml:space="preserve"> este tiene margen de mejora en su robustez; particularmente en lo que refiere al principio de derecho al acceso, proceso de solicitud, excepciones y rechazos,  apelaciones</w:t>
      </w:r>
      <w:r w:rsidR="00BA707C" w:rsidRPr="004F2FCE">
        <w:rPr>
          <w:color w:val="auto"/>
          <w:sz w:val="22"/>
          <w:lang w:val="es-ES_tradnl"/>
        </w:rPr>
        <w:t>, sanciones y protección, y medidas de promoción.</w:t>
      </w:r>
      <w:r w:rsidRPr="004F2FCE">
        <w:rPr>
          <w:color w:val="auto"/>
          <w:sz w:val="22"/>
          <w:lang w:val="es-ES_tradnl"/>
        </w:rPr>
        <w:t xml:space="preserve">  </w:t>
      </w:r>
    </w:p>
    <w:tbl>
      <w:tblPr>
        <w:tblW w:w="10365" w:type="dxa"/>
        <w:jc w:val="center"/>
        <w:tblCellMar>
          <w:left w:w="0" w:type="dxa"/>
          <w:right w:w="0" w:type="dxa"/>
        </w:tblCellMar>
        <w:tblLook w:val="0600" w:firstRow="0" w:lastRow="0" w:firstColumn="0" w:lastColumn="0" w:noHBand="1" w:noVBand="1"/>
      </w:tblPr>
      <w:tblGrid>
        <w:gridCol w:w="1095"/>
        <w:gridCol w:w="831"/>
        <w:gridCol w:w="1010"/>
        <w:gridCol w:w="1141"/>
        <w:gridCol w:w="1386"/>
        <w:gridCol w:w="1307"/>
        <w:gridCol w:w="1061"/>
        <w:gridCol w:w="1184"/>
        <w:gridCol w:w="1350"/>
      </w:tblGrid>
      <w:tr w:rsidR="004A0FC0" w:rsidRPr="00BA707C" w14:paraId="403C5A78" w14:textId="77777777" w:rsidTr="00EB6E12">
        <w:trPr>
          <w:trHeight w:val="20"/>
          <w:jc w:val="center"/>
        </w:trPr>
        <w:tc>
          <w:tcPr>
            <w:tcW w:w="1095" w:type="dxa"/>
            <w:tcBorders>
              <w:top w:val="single" w:sz="8" w:space="0" w:color="4F81BD"/>
              <w:left w:val="single" w:sz="8" w:space="0" w:color="4F81BD"/>
              <w:bottom w:val="single" w:sz="8" w:space="0" w:color="4F81BD"/>
              <w:right w:val="single" w:sz="8" w:space="0" w:color="4F81BD"/>
            </w:tcBorders>
            <w:shd w:val="clear" w:color="auto" w:fill="1F497D"/>
            <w:tcMar>
              <w:top w:w="15" w:type="dxa"/>
              <w:left w:w="15" w:type="dxa"/>
              <w:bottom w:w="0" w:type="dxa"/>
              <w:right w:w="15" w:type="dxa"/>
            </w:tcMar>
            <w:hideMark/>
          </w:tcPr>
          <w:p w14:paraId="66982838" w14:textId="77777777" w:rsidR="00762DE6" w:rsidRPr="00BA707C" w:rsidRDefault="004A0FC0" w:rsidP="00EB6E12">
            <w:pPr>
              <w:ind w:left="180"/>
              <w:jc w:val="center"/>
              <w:rPr>
                <w:color w:val="FFFFFF" w:themeColor="background1"/>
                <w:lang w:val="es-ES"/>
              </w:rPr>
            </w:pPr>
            <w:r w:rsidRPr="004A0FC0">
              <w:rPr>
                <w:b/>
                <w:bCs/>
                <w:color w:val="FFFFFF" w:themeColor="background1"/>
                <w:lang w:val="es-ES"/>
              </w:rPr>
              <w:t>País</w:t>
            </w:r>
          </w:p>
        </w:tc>
        <w:tc>
          <w:tcPr>
            <w:tcW w:w="831" w:type="dxa"/>
            <w:tcBorders>
              <w:top w:val="single" w:sz="8" w:space="0" w:color="4F81BD"/>
              <w:left w:val="single" w:sz="8" w:space="0" w:color="4F81BD"/>
              <w:bottom w:val="single" w:sz="8" w:space="0" w:color="4F81BD"/>
              <w:right w:val="single" w:sz="8" w:space="0" w:color="4F81BD"/>
            </w:tcBorders>
            <w:shd w:val="clear" w:color="auto" w:fill="1F497D"/>
            <w:tcMar>
              <w:top w:w="15" w:type="dxa"/>
              <w:left w:w="15" w:type="dxa"/>
              <w:bottom w:w="0" w:type="dxa"/>
              <w:right w:w="15" w:type="dxa"/>
            </w:tcMar>
            <w:hideMark/>
          </w:tcPr>
          <w:p w14:paraId="764BEB1F" w14:textId="77777777" w:rsidR="00762DE6" w:rsidRPr="00BA707C" w:rsidRDefault="004A0FC0" w:rsidP="00EB6E12">
            <w:pPr>
              <w:ind w:left="156"/>
              <w:jc w:val="center"/>
              <w:rPr>
                <w:color w:val="FFFFFF" w:themeColor="background1"/>
                <w:lang w:val="es-ES"/>
              </w:rPr>
            </w:pPr>
            <w:r w:rsidRPr="004A0FC0">
              <w:rPr>
                <w:b/>
                <w:bCs/>
                <w:color w:val="FFFFFF" w:themeColor="background1"/>
                <w:lang w:val="es-ES"/>
              </w:rPr>
              <w:t>RTI</w:t>
            </w:r>
          </w:p>
        </w:tc>
        <w:tc>
          <w:tcPr>
            <w:tcW w:w="1010" w:type="dxa"/>
            <w:tcBorders>
              <w:top w:val="single" w:sz="8" w:space="0" w:color="4F81BD"/>
              <w:left w:val="single" w:sz="8" w:space="0" w:color="4F81BD"/>
              <w:bottom w:val="single" w:sz="8" w:space="0" w:color="4F81BD"/>
              <w:right w:val="single" w:sz="8" w:space="0" w:color="4F81BD"/>
            </w:tcBorders>
            <w:shd w:val="clear" w:color="auto" w:fill="1F497D"/>
            <w:tcMar>
              <w:top w:w="15" w:type="dxa"/>
              <w:left w:w="15" w:type="dxa"/>
              <w:bottom w:w="0" w:type="dxa"/>
              <w:right w:w="15" w:type="dxa"/>
            </w:tcMar>
            <w:hideMark/>
          </w:tcPr>
          <w:p w14:paraId="5987EAFD" w14:textId="77777777" w:rsidR="00762DE6" w:rsidRPr="00BA707C" w:rsidRDefault="004A0FC0" w:rsidP="00EB6E12">
            <w:pPr>
              <w:ind w:left="115"/>
              <w:jc w:val="center"/>
              <w:rPr>
                <w:color w:val="FFFFFF" w:themeColor="background1"/>
                <w:lang w:val="es-ES"/>
              </w:rPr>
            </w:pPr>
            <w:r w:rsidRPr="004A0FC0">
              <w:rPr>
                <w:b/>
                <w:bCs/>
                <w:color w:val="FFFFFF" w:themeColor="background1"/>
                <w:lang w:val="es-ES"/>
              </w:rPr>
              <w:t>Do. Acceso</w:t>
            </w:r>
          </w:p>
        </w:tc>
        <w:tc>
          <w:tcPr>
            <w:tcW w:w="1141" w:type="dxa"/>
            <w:tcBorders>
              <w:top w:val="single" w:sz="8" w:space="0" w:color="4F81BD"/>
              <w:left w:val="single" w:sz="8" w:space="0" w:color="4F81BD"/>
              <w:bottom w:val="single" w:sz="8" w:space="0" w:color="4F81BD"/>
              <w:right w:val="single" w:sz="8" w:space="0" w:color="4F81BD"/>
            </w:tcBorders>
            <w:shd w:val="clear" w:color="auto" w:fill="1F497D"/>
            <w:tcMar>
              <w:top w:w="15" w:type="dxa"/>
              <w:left w:w="15" w:type="dxa"/>
              <w:bottom w:w="0" w:type="dxa"/>
              <w:right w:w="15" w:type="dxa"/>
            </w:tcMar>
            <w:hideMark/>
          </w:tcPr>
          <w:p w14:paraId="4E4EC6F3" w14:textId="77777777" w:rsidR="00762DE6" w:rsidRPr="00BA707C" w:rsidRDefault="004A0FC0" w:rsidP="00EB6E12">
            <w:pPr>
              <w:ind w:left="113"/>
              <w:jc w:val="center"/>
              <w:rPr>
                <w:color w:val="FFFFFF" w:themeColor="background1"/>
                <w:lang w:val="es-ES"/>
              </w:rPr>
            </w:pPr>
            <w:r w:rsidRPr="004A0FC0">
              <w:rPr>
                <w:b/>
                <w:bCs/>
                <w:color w:val="FFFFFF" w:themeColor="background1"/>
                <w:lang w:val="es-ES"/>
              </w:rPr>
              <w:t>Alcance</w:t>
            </w:r>
          </w:p>
        </w:tc>
        <w:tc>
          <w:tcPr>
            <w:tcW w:w="1386" w:type="dxa"/>
            <w:tcBorders>
              <w:top w:val="single" w:sz="8" w:space="0" w:color="4F81BD"/>
              <w:left w:val="single" w:sz="8" w:space="0" w:color="4F81BD"/>
              <w:bottom w:val="single" w:sz="8" w:space="0" w:color="4F81BD"/>
              <w:right w:val="single" w:sz="8" w:space="0" w:color="4F81BD"/>
            </w:tcBorders>
            <w:shd w:val="clear" w:color="auto" w:fill="1F497D"/>
            <w:tcMar>
              <w:top w:w="15" w:type="dxa"/>
              <w:left w:w="15" w:type="dxa"/>
              <w:bottom w:w="0" w:type="dxa"/>
              <w:right w:w="15" w:type="dxa"/>
            </w:tcMar>
            <w:hideMark/>
          </w:tcPr>
          <w:p w14:paraId="3F33265A" w14:textId="77777777" w:rsidR="00762DE6" w:rsidRPr="00BA707C" w:rsidRDefault="004A0FC0" w:rsidP="00EB6E12">
            <w:pPr>
              <w:ind w:left="135"/>
              <w:jc w:val="center"/>
              <w:rPr>
                <w:color w:val="FFFFFF" w:themeColor="background1"/>
                <w:lang w:val="es-ES"/>
              </w:rPr>
            </w:pPr>
            <w:r w:rsidRPr="004A0FC0">
              <w:rPr>
                <w:b/>
                <w:bCs/>
                <w:color w:val="FFFFFF" w:themeColor="background1"/>
                <w:lang w:val="es-ES"/>
              </w:rPr>
              <w:t>Proceso de solicitud</w:t>
            </w:r>
          </w:p>
        </w:tc>
        <w:tc>
          <w:tcPr>
            <w:tcW w:w="1307" w:type="dxa"/>
            <w:tcBorders>
              <w:top w:val="single" w:sz="8" w:space="0" w:color="4F81BD"/>
              <w:left w:val="single" w:sz="8" w:space="0" w:color="4F81BD"/>
              <w:bottom w:val="single" w:sz="8" w:space="0" w:color="4F81BD"/>
              <w:right w:val="single" w:sz="8" w:space="0" w:color="4F81BD"/>
            </w:tcBorders>
            <w:shd w:val="clear" w:color="auto" w:fill="1F497D"/>
            <w:tcMar>
              <w:top w:w="15" w:type="dxa"/>
              <w:left w:w="15" w:type="dxa"/>
              <w:bottom w:w="0" w:type="dxa"/>
              <w:right w:w="15" w:type="dxa"/>
            </w:tcMar>
            <w:hideMark/>
          </w:tcPr>
          <w:p w14:paraId="28532EE0" w14:textId="77777777" w:rsidR="00762DE6" w:rsidRPr="00BA707C" w:rsidRDefault="004A0FC0" w:rsidP="00EB6E12">
            <w:pPr>
              <w:ind w:left="167"/>
              <w:jc w:val="center"/>
              <w:rPr>
                <w:color w:val="FFFFFF" w:themeColor="background1"/>
                <w:lang w:val="es-ES"/>
              </w:rPr>
            </w:pPr>
            <w:proofErr w:type="spellStart"/>
            <w:r w:rsidRPr="004A0FC0">
              <w:rPr>
                <w:b/>
                <w:bCs/>
                <w:color w:val="FFFFFF" w:themeColor="background1"/>
                <w:lang w:val="es-ES"/>
              </w:rPr>
              <w:t>Excep</w:t>
            </w:r>
            <w:proofErr w:type="spellEnd"/>
            <w:r w:rsidRPr="004A0FC0">
              <w:rPr>
                <w:b/>
                <w:bCs/>
                <w:color w:val="FFFFFF" w:themeColor="background1"/>
                <w:lang w:val="es-ES"/>
              </w:rPr>
              <w:t>. y rechazos</w:t>
            </w:r>
          </w:p>
        </w:tc>
        <w:tc>
          <w:tcPr>
            <w:tcW w:w="1061" w:type="dxa"/>
            <w:tcBorders>
              <w:top w:val="single" w:sz="8" w:space="0" w:color="4F81BD"/>
              <w:left w:val="single" w:sz="8" w:space="0" w:color="4F81BD"/>
              <w:bottom w:val="single" w:sz="8" w:space="0" w:color="4F81BD"/>
              <w:right w:val="single" w:sz="8" w:space="0" w:color="4F81BD"/>
            </w:tcBorders>
            <w:shd w:val="clear" w:color="auto" w:fill="1F497D"/>
            <w:tcMar>
              <w:top w:w="15" w:type="dxa"/>
              <w:left w:w="15" w:type="dxa"/>
              <w:bottom w:w="0" w:type="dxa"/>
              <w:right w:w="15" w:type="dxa"/>
            </w:tcMar>
            <w:hideMark/>
          </w:tcPr>
          <w:p w14:paraId="1A3A1B99" w14:textId="77777777" w:rsidR="00762DE6" w:rsidRPr="00BA707C" w:rsidRDefault="004A0FC0" w:rsidP="00EB6E12">
            <w:pPr>
              <w:ind w:left="141"/>
              <w:jc w:val="center"/>
              <w:rPr>
                <w:color w:val="FFFFFF" w:themeColor="background1"/>
                <w:lang w:val="es-ES"/>
              </w:rPr>
            </w:pPr>
            <w:r w:rsidRPr="004A0FC0">
              <w:rPr>
                <w:b/>
                <w:bCs/>
                <w:color w:val="FFFFFF" w:themeColor="background1"/>
                <w:lang w:val="es-ES"/>
              </w:rPr>
              <w:t>Apela-</w:t>
            </w:r>
            <w:proofErr w:type="spellStart"/>
            <w:r w:rsidRPr="004A0FC0">
              <w:rPr>
                <w:b/>
                <w:bCs/>
                <w:color w:val="FFFFFF" w:themeColor="background1"/>
                <w:lang w:val="es-ES"/>
              </w:rPr>
              <w:t>ciones</w:t>
            </w:r>
            <w:proofErr w:type="spellEnd"/>
          </w:p>
        </w:tc>
        <w:tc>
          <w:tcPr>
            <w:tcW w:w="1184" w:type="dxa"/>
            <w:tcBorders>
              <w:top w:val="single" w:sz="8" w:space="0" w:color="4F81BD"/>
              <w:left w:val="single" w:sz="8" w:space="0" w:color="4F81BD"/>
              <w:bottom w:val="single" w:sz="8" w:space="0" w:color="4F81BD"/>
              <w:right w:val="single" w:sz="8" w:space="0" w:color="4F81BD"/>
            </w:tcBorders>
            <w:shd w:val="clear" w:color="auto" w:fill="1F497D"/>
            <w:tcMar>
              <w:top w:w="15" w:type="dxa"/>
              <w:left w:w="15" w:type="dxa"/>
              <w:bottom w:w="0" w:type="dxa"/>
              <w:right w:w="15" w:type="dxa"/>
            </w:tcMar>
            <w:hideMark/>
          </w:tcPr>
          <w:p w14:paraId="4241765A" w14:textId="77777777" w:rsidR="00762DE6" w:rsidRPr="00BA707C" w:rsidRDefault="004A0FC0" w:rsidP="00EB6E12">
            <w:pPr>
              <w:ind w:left="111"/>
              <w:jc w:val="center"/>
              <w:rPr>
                <w:color w:val="FFFFFF" w:themeColor="background1"/>
                <w:lang w:val="es-ES"/>
              </w:rPr>
            </w:pPr>
            <w:r w:rsidRPr="004A0FC0">
              <w:rPr>
                <w:b/>
                <w:bCs/>
                <w:color w:val="FFFFFF" w:themeColor="background1"/>
                <w:lang w:val="es-ES"/>
              </w:rPr>
              <w:t>Sanciones y protección</w:t>
            </w:r>
          </w:p>
        </w:tc>
        <w:tc>
          <w:tcPr>
            <w:tcW w:w="1350" w:type="dxa"/>
            <w:tcBorders>
              <w:top w:val="single" w:sz="8" w:space="0" w:color="4F81BD"/>
              <w:left w:val="single" w:sz="8" w:space="0" w:color="4F81BD"/>
              <w:bottom w:val="single" w:sz="8" w:space="0" w:color="4F81BD"/>
              <w:right w:val="single" w:sz="8" w:space="0" w:color="4F81BD"/>
            </w:tcBorders>
            <w:shd w:val="clear" w:color="auto" w:fill="1F497D"/>
            <w:tcMar>
              <w:top w:w="15" w:type="dxa"/>
              <w:left w:w="15" w:type="dxa"/>
              <w:bottom w:w="0" w:type="dxa"/>
              <w:right w:w="15" w:type="dxa"/>
            </w:tcMar>
            <w:hideMark/>
          </w:tcPr>
          <w:p w14:paraId="64663641" w14:textId="77777777" w:rsidR="00762DE6" w:rsidRPr="00BA707C" w:rsidRDefault="004A0FC0" w:rsidP="00EB6E12">
            <w:pPr>
              <w:ind w:left="165"/>
              <w:jc w:val="center"/>
              <w:rPr>
                <w:color w:val="FFFFFF" w:themeColor="background1"/>
                <w:lang w:val="es-ES"/>
              </w:rPr>
            </w:pPr>
            <w:r w:rsidRPr="004A0FC0">
              <w:rPr>
                <w:b/>
                <w:bCs/>
                <w:color w:val="FFFFFF" w:themeColor="background1"/>
                <w:lang w:val="es-ES"/>
              </w:rPr>
              <w:t>Medidas de Promoción</w:t>
            </w:r>
          </w:p>
        </w:tc>
      </w:tr>
      <w:tr w:rsidR="004A0FC0" w:rsidRPr="004A0FC0" w14:paraId="726E575A" w14:textId="77777777" w:rsidTr="00EB6E12">
        <w:trPr>
          <w:trHeight w:val="20"/>
          <w:jc w:val="center"/>
        </w:trPr>
        <w:tc>
          <w:tcPr>
            <w:tcW w:w="1095"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666774EC" w14:textId="77777777" w:rsidR="00762DE6" w:rsidRPr="004A0FC0" w:rsidRDefault="004A0FC0" w:rsidP="00EB6E12">
            <w:pPr>
              <w:ind w:left="180"/>
              <w:jc w:val="center"/>
              <w:rPr>
                <w:color w:val="auto"/>
              </w:rPr>
            </w:pPr>
            <w:r w:rsidRPr="00BA707C">
              <w:rPr>
                <w:b/>
                <w:bCs/>
                <w:color w:val="auto"/>
                <w:lang w:val="es-ES"/>
              </w:rPr>
              <w:t>R</w:t>
            </w:r>
            <w:r w:rsidRPr="004A0FC0">
              <w:rPr>
                <w:b/>
                <w:bCs/>
                <w:color w:val="auto"/>
              </w:rPr>
              <w:t>TI max</w:t>
            </w:r>
          </w:p>
        </w:tc>
        <w:tc>
          <w:tcPr>
            <w:tcW w:w="831"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29FD7EF1" w14:textId="77777777" w:rsidR="00762DE6" w:rsidRPr="004A0FC0" w:rsidRDefault="004A0FC0" w:rsidP="00EB6E12">
            <w:pPr>
              <w:ind w:left="156"/>
              <w:jc w:val="center"/>
              <w:rPr>
                <w:color w:val="auto"/>
              </w:rPr>
            </w:pPr>
            <w:r w:rsidRPr="004A0FC0">
              <w:rPr>
                <w:b/>
                <w:bCs/>
                <w:color w:val="auto"/>
              </w:rPr>
              <w:t>150</w:t>
            </w:r>
          </w:p>
        </w:tc>
        <w:tc>
          <w:tcPr>
            <w:tcW w:w="1010"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7CFBAB07" w14:textId="77777777" w:rsidR="00762DE6" w:rsidRPr="004A0FC0" w:rsidRDefault="004A0FC0" w:rsidP="00EB6E12">
            <w:pPr>
              <w:ind w:left="115"/>
              <w:jc w:val="center"/>
              <w:rPr>
                <w:color w:val="auto"/>
              </w:rPr>
            </w:pPr>
            <w:r w:rsidRPr="004A0FC0">
              <w:rPr>
                <w:b/>
                <w:bCs/>
                <w:color w:val="auto"/>
              </w:rPr>
              <w:t>6</w:t>
            </w:r>
          </w:p>
        </w:tc>
        <w:tc>
          <w:tcPr>
            <w:tcW w:w="1141"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5DDD36AF" w14:textId="77777777" w:rsidR="00762DE6" w:rsidRPr="004A0FC0" w:rsidRDefault="004A0FC0" w:rsidP="00EB6E12">
            <w:pPr>
              <w:ind w:left="113"/>
              <w:jc w:val="center"/>
              <w:rPr>
                <w:color w:val="auto"/>
              </w:rPr>
            </w:pPr>
            <w:r w:rsidRPr="004A0FC0">
              <w:rPr>
                <w:b/>
                <w:bCs/>
                <w:color w:val="auto"/>
              </w:rPr>
              <w:t>30</w:t>
            </w:r>
          </w:p>
        </w:tc>
        <w:tc>
          <w:tcPr>
            <w:tcW w:w="1386"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0A87BD41" w14:textId="77777777" w:rsidR="00762DE6" w:rsidRPr="004A0FC0" w:rsidRDefault="004A0FC0" w:rsidP="00EB6E12">
            <w:pPr>
              <w:ind w:left="135"/>
              <w:jc w:val="center"/>
              <w:rPr>
                <w:color w:val="auto"/>
              </w:rPr>
            </w:pPr>
            <w:r w:rsidRPr="004A0FC0">
              <w:rPr>
                <w:b/>
                <w:bCs/>
                <w:color w:val="auto"/>
              </w:rPr>
              <w:t>3</w:t>
            </w:r>
            <w:r>
              <w:rPr>
                <w:b/>
                <w:bCs/>
                <w:color w:val="auto"/>
              </w:rPr>
              <w:t>0</w:t>
            </w:r>
          </w:p>
        </w:tc>
        <w:tc>
          <w:tcPr>
            <w:tcW w:w="1307"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14742CC0" w14:textId="77777777" w:rsidR="00762DE6" w:rsidRPr="004A0FC0" w:rsidRDefault="004A0FC0" w:rsidP="00EB6E12">
            <w:pPr>
              <w:ind w:left="167"/>
              <w:jc w:val="center"/>
              <w:rPr>
                <w:color w:val="auto"/>
              </w:rPr>
            </w:pPr>
            <w:r w:rsidRPr="004A0FC0">
              <w:rPr>
                <w:b/>
                <w:bCs/>
                <w:color w:val="auto"/>
              </w:rPr>
              <w:t>30</w:t>
            </w:r>
          </w:p>
        </w:tc>
        <w:tc>
          <w:tcPr>
            <w:tcW w:w="1061"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47E575D3" w14:textId="77777777" w:rsidR="00762DE6" w:rsidRPr="004A0FC0" w:rsidRDefault="004A0FC0" w:rsidP="00EB6E12">
            <w:pPr>
              <w:ind w:left="141"/>
              <w:jc w:val="center"/>
              <w:rPr>
                <w:color w:val="auto"/>
              </w:rPr>
            </w:pPr>
            <w:r w:rsidRPr="004A0FC0">
              <w:rPr>
                <w:b/>
                <w:bCs/>
                <w:color w:val="auto"/>
              </w:rPr>
              <w:t>30</w:t>
            </w:r>
          </w:p>
        </w:tc>
        <w:tc>
          <w:tcPr>
            <w:tcW w:w="1184"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48E602B5" w14:textId="77777777" w:rsidR="00762DE6" w:rsidRPr="004A0FC0" w:rsidRDefault="004A0FC0" w:rsidP="00EB6E12">
            <w:pPr>
              <w:ind w:left="111"/>
              <w:jc w:val="center"/>
              <w:rPr>
                <w:color w:val="auto"/>
              </w:rPr>
            </w:pPr>
            <w:r w:rsidRPr="004A0FC0">
              <w:rPr>
                <w:b/>
                <w:bCs/>
                <w:color w:val="auto"/>
              </w:rPr>
              <w:t>8</w:t>
            </w:r>
          </w:p>
        </w:tc>
        <w:tc>
          <w:tcPr>
            <w:tcW w:w="1350"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3B02B88A" w14:textId="77777777" w:rsidR="00762DE6" w:rsidRPr="004A0FC0" w:rsidRDefault="004A0FC0" w:rsidP="00EB6E12">
            <w:pPr>
              <w:ind w:left="165"/>
              <w:jc w:val="center"/>
              <w:rPr>
                <w:color w:val="auto"/>
              </w:rPr>
            </w:pPr>
            <w:r w:rsidRPr="004A0FC0">
              <w:rPr>
                <w:b/>
                <w:bCs/>
                <w:color w:val="auto"/>
              </w:rPr>
              <w:t>16</w:t>
            </w:r>
          </w:p>
        </w:tc>
      </w:tr>
      <w:tr w:rsidR="004A0FC0" w:rsidRPr="004A0FC0" w14:paraId="0825ED10" w14:textId="77777777" w:rsidTr="00EB6E12">
        <w:trPr>
          <w:trHeight w:val="20"/>
          <w:jc w:val="center"/>
        </w:trPr>
        <w:tc>
          <w:tcPr>
            <w:tcW w:w="1095"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0E1A1401" w14:textId="77777777" w:rsidR="00762DE6" w:rsidRPr="004A0FC0" w:rsidRDefault="004A0FC0" w:rsidP="00EB6E12">
            <w:pPr>
              <w:ind w:left="90"/>
              <w:jc w:val="center"/>
              <w:rPr>
                <w:color w:val="auto"/>
              </w:rPr>
            </w:pPr>
            <w:r w:rsidRPr="004A0FC0">
              <w:rPr>
                <w:color w:val="auto"/>
              </w:rPr>
              <w:t>BR</w:t>
            </w:r>
            <w:r>
              <w:rPr>
                <w:color w:val="auto"/>
              </w:rPr>
              <w:t xml:space="preserve"> (2011)</w:t>
            </w:r>
          </w:p>
        </w:tc>
        <w:tc>
          <w:tcPr>
            <w:tcW w:w="831"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197E2B07" w14:textId="77777777" w:rsidR="00762DE6" w:rsidRPr="004A0FC0" w:rsidRDefault="004A0FC0" w:rsidP="00EB6E12">
            <w:pPr>
              <w:ind w:left="156"/>
              <w:jc w:val="center"/>
              <w:rPr>
                <w:color w:val="auto"/>
              </w:rPr>
            </w:pPr>
            <w:r w:rsidRPr="004A0FC0">
              <w:rPr>
                <w:color w:val="auto"/>
              </w:rPr>
              <w:t>108</w:t>
            </w:r>
          </w:p>
        </w:tc>
        <w:tc>
          <w:tcPr>
            <w:tcW w:w="1010"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18457C05" w14:textId="77777777" w:rsidR="00762DE6" w:rsidRPr="004A0FC0" w:rsidRDefault="004A0FC0" w:rsidP="00EB6E12">
            <w:pPr>
              <w:ind w:left="115"/>
              <w:jc w:val="center"/>
              <w:rPr>
                <w:color w:val="auto"/>
              </w:rPr>
            </w:pPr>
            <w:r w:rsidRPr="004A0FC0">
              <w:rPr>
                <w:color w:val="auto"/>
              </w:rPr>
              <w:t>6</w:t>
            </w:r>
          </w:p>
        </w:tc>
        <w:tc>
          <w:tcPr>
            <w:tcW w:w="1141"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3CB38271" w14:textId="77777777" w:rsidR="00762DE6" w:rsidRPr="004A0FC0" w:rsidRDefault="004A0FC0" w:rsidP="00EB6E12">
            <w:pPr>
              <w:ind w:left="113"/>
              <w:jc w:val="center"/>
              <w:rPr>
                <w:color w:val="auto"/>
              </w:rPr>
            </w:pPr>
            <w:r w:rsidRPr="004A0FC0">
              <w:rPr>
                <w:color w:val="auto"/>
              </w:rPr>
              <w:t>29</w:t>
            </w:r>
          </w:p>
        </w:tc>
        <w:tc>
          <w:tcPr>
            <w:tcW w:w="1386"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4D9FEC7C" w14:textId="77777777" w:rsidR="00762DE6" w:rsidRPr="004A0FC0" w:rsidRDefault="004A0FC0" w:rsidP="00EB6E12">
            <w:pPr>
              <w:ind w:left="135"/>
              <w:jc w:val="center"/>
              <w:rPr>
                <w:color w:val="auto"/>
              </w:rPr>
            </w:pPr>
            <w:r w:rsidRPr="004A0FC0">
              <w:rPr>
                <w:color w:val="auto"/>
              </w:rPr>
              <w:t>19</w:t>
            </w:r>
          </w:p>
        </w:tc>
        <w:tc>
          <w:tcPr>
            <w:tcW w:w="1307"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0B403D2C" w14:textId="77777777" w:rsidR="00762DE6" w:rsidRPr="004A0FC0" w:rsidRDefault="004A0FC0" w:rsidP="00EB6E12">
            <w:pPr>
              <w:ind w:left="167"/>
              <w:jc w:val="center"/>
              <w:rPr>
                <w:color w:val="auto"/>
              </w:rPr>
            </w:pPr>
            <w:r w:rsidRPr="004A0FC0">
              <w:rPr>
                <w:color w:val="auto"/>
              </w:rPr>
              <w:t>16</w:t>
            </w:r>
          </w:p>
        </w:tc>
        <w:tc>
          <w:tcPr>
            <w:tcW w:w="1061"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3A777895" w14:textId="77777777" w:rsidR="00762DE6" w:rsidRPr="004A0FC0" w:rsidRDefault="004A0FC0" w:rsidP="00EB6E12">
            <w:pPr>
              <w:ind w:left="141"/>
              <w:jc w:val="center"/>
              <w:rPr>
                <w:color w:val="auto"/>
              </w:rPr>
            </w:pPr>
            <w:r w:rsidRPr="004A0FC0">
              <w:rPr>
                <w:color w:val="auto"/>
              </w:rPr>
              <w:t>22</w:t>
            </w:r>
          </w:p>
        </w:tc>
        <w:tc>
          <w:tcPr>
            <w:tcW w:w="1184"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1459BD6E" w14:textId="77777777" w:rsidR="00762DE6" w:rsidRPr="004A0FC0" w:rsidRDefault="004A0FC0" w:rsidP="00EB6E12">
            <w:pPr>
              <w:ind w:left="111"/>
              <w:jc w:val="center"/>
              <w:rPr>
                <w:color w:val="auto"/>
              </w:rPr>
            </w:pPr>
            <w:r w:rsidRPr="004A0FC0">
              <w:rPr>
                <w:color w:val="auto"/>
              </w:rPr>
              <w:t>3</w:t>
            </w:r>
          </w:p>
        </w:tc>
        <w:tc>
          <w:tcPr>
            <w:tcW w:w="1350"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51C4DB82" w14:textId="77777777" w:rsidR="00762DE6" w:rsidRPr="004A0FC0" w:rsidRDefault="004A0FC0" w:rsidP="00EB6E12">
            <w:pPr>
              <w:ind w:left="165"/>
              <w:jc w:val="center"/>
              <w:rPr>
                <w:color w:val="auto"/>
              </w:rPr>
            </w:pPr>
            <w:r w:rsidRPr="004A0FC0">
              <w:rPr>
                <w:color w:val="auto"/>
              </w:rPr>
              <w:t>13</w:t>
            </w:r>
          </w:p>
        </w:tc>
      </w:tr>
      <w:tr w:rsidR="004A0FC0" w:rsidRPr="004A0FC0" w14:paraId="084FC95B" w14:textId="77777777" w:rsidTr="00EB6E12">
        <w:trPr>
          <w:trHeight w:val="20"/>
          <w:jc w:val="center"/>
        </w:trPr>
        <w:tc>
          <w:tcPr>
            <w:tcW w:w="1095"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32042254" w14:textId="77777777" w:rsidR="00762DE6" w:rsidRPr="004A0FC0" w:rsidRDefault="004A0FC0" w:rsidP="00EB6E12">
            <w:pPr>
              <w:ind w:left="90"/>
              <w:jc w:val="center"/>
              <w:rPr>
                <w:color w:val="auto"/>
              </w:rPr>
            </w:pPr>
            <w:r w:rsidRPr="004A0FC0">
              <w:rPr>
                <w:color w:val="auto"/>
              </w:rPr>
              <w:t>CH</w:t>
            </w:r>
            <w:r>
              <w:rPr>
                <w:color w:val="auto"/>
              </w:rPr>
              <w:t xml:space="preserve"> (2008)</w:t>
            </w:r>
          </w:p>
        </w:tc>
        <w:tc>
          <w:tcPr>
            <w:tcW w:w="831"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63A5CE19" w14:textId="77777777" w:rsidR="00762DE6" w:rsidRPr="004A0FC0" w:rsidRDefault="004A0FC0" w:rsidP="00EB6E12">
            <w:pPr>
              <w:ind w:left="156"/>
              <w:jc w:val="center"/>
              <w:rPr>
                <w:color w:val="auto"/>
              </w:rPr>
            </w:pPr>
            <w:r w:rsidRPr="004A0FC0">
              <w:rPr>
                <w:color w:val="auto"/>
              </w:rPr>
              <w:t>93</w:t>
            </w:r>
          </w:p>
        </w:tc>
        <w:tc>
          <w:tcPr>
            <w:tcW w:w="1010"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6AE09043" w14:textId="77777777" w:rsidR="00762DE6" w:rsidRPr="004A0FC0" w:rsidRDefault="004A0FC0" w:rsidP="00EB6E12">
            <w:pPr>
              <w:ind w:left="115"/>
              <w:jc w:val="center"/>
              <w:rPr>
                <w:color w:val="auto"/>
              </w:rPr>
            </w:pPr>
            <w:r w:rsidRPr="004A0FC0">
              <w:rPr>
                <w:color w:val="auto"/>
              </w:rPr>
              <w:t>5</w:t>
            </w:r>
          </w:p>
        </w:tc>
        <w:tc>
          <w:tcPr>
            <w:tcW w:w="1141"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440B4BDB" w14:textId="77777777" w:rsidR="00762DE6" w:rsidRPr="004A0FC0" w:rsidRDefault="004A0FC0" w:rsidP="00EB6E12">
            <w:pPr>
              <w:ind w:left="113"/>
              <w:jc w:val="center"/>
              <w:rPr>
                <w:color w:val="auto"/>
              </w:rPr>
            </w:pPr>
            <w:r w:rsidRPr="004A0FC0">
              <w:rPr>
                <w:color w:val="auto"/>
              </w:rPr>
              <w:t>16</w:t>
            </w:r>
          </w:p>
        </w:tc>
        <w:tc>
          <w:tcPr>
            <w:tcW w:w="1386"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0069F198" w14:textId="77777777" w:rsidR="00762DE6" w:rsidRPr="004A0FC0" w:rsidRDefault="004A0FC0" w:rsidP="00EB6E12">
            <w:pPr>
              <w:ind w:left="135"/>
              <w:jc w:val="center"/>
              <w:rPr>
                <w:color w:val="auto"/>
              </w:rPr>
            </w:pPr>
            <w:r w:rsidRPr="004A0FC0">
              <w:rPr>
                <w:color w:val="auto"/>
              </w:rPr>
              <w:t>21</w:t>
            </w:r>
          </w:p>
        </w:tc>
        <w:tc>
          <w:tcPr>
            <w:tcW w:w="1307"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7B66104F" w14:textId="77777777" w:rsidR="00762DE6" w:rsidRPr="004A0FC0" w:rsidRDefault="004A0FC0" w:rsidP="00EB6E12">
            <w:pPr>
              <w:ind w:left="167"/>
              <w:jc w:val="center"/>
              <w:rPr>
                <w:color w:val="auto"/>
              </w:rPr>
            </w:pPr>
            <w:r w:rsidRPr="004A0FC0">
              <w:rPr>
                <w:color w:val="auto"/>
              </w:rPr>
              <w:t>14</w:t>
            </w:r>
          </w:p>
        </w:tc>
        <w:tc>
          <w:tcPr>
            <w:tcW w:w="1061"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158C9A78" w14:textId="77777777" w:rsidR="00762DE6" w:rsidRPr="004A0FC0" w:rsidRDefault="004A0FC0" w:rsidP="00EB6E12">
            <w:pPr>
              <w:ind w:left="141"/>
              <w:jc w:val="center"/>
              <w:rPr>
                <w:color w:val="auto"/>
              </w:rPr>
            </w:pPr>
            <w:r w:rsidRPr="004A0FC0">
              <w:rPr>
                <w:color w:val="auto"/>
              </w:rPr>
              <w:t>23</w:t>
            </w:r>
          </w:p>
        </w:tc>
        <w:tc>
          <w:tcPr>
            <w:tcW w:w="1184"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4E0EA185" w14:textId="77777777" w:rsidR="00762DE6" w:rsidRPr="004A0FC0" w:rsidRDefault="004A0FC0" w:rsidP="00EB6E12">
            <w:pPr>
              <w:ind w:left="111"/>
              <w:jc w:val="center"/>
              <w:rPr>
                <w:color w:val="auto"/>
              </w:rPr>
            </w:pPr>
            <w:r w:rsidRPr="004A0FC0">
              <w:rPr>
                <w:color w:val="auto"/>
              </w:rPr>
              <w:t>4</w:t>
            </w:r>
          </w:p>
        </w:tc>
        <w:tc>
          <w:tcPr>
            <w:tcW w:w="1350"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22574070" w14:textId="77777777" w:rsidR="00762DE6" w:rsidRPr="004A0FC0" w:rsidRDefault="004A0FC0" w:rsidP="00EB6E12">
            <w:pPr>
              <w:ind w:left="165"/>
              <w:jc w:val="center"/>
              <w:rPr>
                <w:color w:val="auto"/>
              </w:rPr>
            </w:pPr>
            <w:r w:rsidRPr="004A0FC0">
              <w:rPr>
                <w:color w:val="auto"/>
              </w:rPr>
              <w:t>10</w:t>
            </w:r>
          </w:p>
        </w:tc>
      </w:tr>
      <w:tr w:rsidR="004A0FC0" w:rsidRPr="004A0FC0" w14:paraId="72403424" w14:textId="77777777" w:rsidTr="00EB6E12">
        <w:trPr>
          <w:trHeight w:val="20"/>
          <w:jc w:val="center"/>
        </w:trPr>
        <w:tc>
          <w:tcPr>
            <w:tcW w:w="1095"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77EC522A" w14:textId="77777777" w:rsidR="00762DE6" w:rsidRPr="004A0FC0" w:rsidRDefault="004A0FC0" w:rsidP="00EB6E12">
            <w:pPr>
              <w:ind w:left="90"/>
              <w:jc w:val="center"/>
              <w:rPr>
                <w:color w:val="auto"/>
              </w:rPr>
            </w:pPr>
            <w:r w:rsidRPr="004A0FC0">
              <w:rPr>
                <w:color w:val="auto"/>
              </w:rPr>
              <w:t>PR</w:t>
            </w:r>
            <w:r>
              <w:rPr>
                <w:color w:val="auto"/>
              </w:rPr>
              <w:t xml:space="preserve"> (2014)</w:t>
            </w:r>
          </w:p>
        </w:tc>
        <w:tc>
          <w:tcPr>
            <w:tcW w:w="831"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4019189C" w14:textId="77777777" w:rsidR="00762DE6" w:rsidRPr="004A0FC0" w:rsidRDefault="004A0FC0" w:rsidP="00EB6E12">
            <w:pPr>
              <w:ind w:left="156"/>
              <w:jc w:val="center"/>
              <w:rPr>
                <w:color w:val="auto"/>
              </w:rPr>
            </w:pPr>
            <w:r w:rsidRPr="004A0FC0">
              <w:rPr>
                <w:color w:val="auto"/>
              </w:rPr>
              <w:t>61</w:t>
            </w:r>
          </w:p>
        </w:tc>
        <w:tc>
          <w:tcPr>
            <w:tcW w:w="1010"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1DD1DC2F" w14:textId="77777777" w:rsidR="00762DE6" w:rsidRPr="004A0FC0" w:rsidRDefault="004A0FC0" w:rsidP="00EB6E12">
            <w:pPr>
              <w:ind w:left="115"/>
              <w:jc w:val="center"/>
              <w:rPr>
                <w:color w:val="auto"/>
              </w:rPr>
            </w:pPr>
            <w:r w:rsidRPr="00617B19">
              <w:rPr>
                <w:color w:val="FF0000"/>
              </w:rPr>
              <w:t>2</w:t>
            </w:r>
          </w:p>
        </w:tc>
        <w:tc>
          <w:tcPr>
            <w:tcW w:w="1141"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16F8C3CE" w14:textId="77777777" w:rsidR="00762DE6" w:rsidRPr="004A0FC0" w:rsidRDefault="004A0FC0" w:rsidP="00EB6E12">
            <w:pPr>
              <w:ind w:left="113"/>
              <w:jc w:val="center"/>
              <w:rPr>
                <w:color w:val="auto"/>
              </w:rPr>
            </w:pPr>
            <w:r w:rsidRPr="004A0FC0">
              <w:rPr>
                <w:color w:val="auto"/>
              </w:rPr>
              <w:t>24</w:t>
            </w:r>
          </w:p>
        </w:tc>
        <w:tc>
          <w:tcPr>
            <w:tcW w:w="1386"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607C694F" w14:textId="77777777" w:rsidR="00762DE6" w:rsidRPr="00617B19" w:rsidRDefault="004A0FC0" w:rsidP="00EB6E12">
            <w:pPr>
              <w:ind w:left="135"/>
              <w:jc w:val="center"/>
              <w:rPr>
                <w:color w:val="FF0000"/>
              </w:rPr>
            </w:pPr>
            <w:r w:rsidRPr="00617B19">
              <w:rPr>
                <w:color w:val="FF0000"/>
              </w:rPr>
              <w:t>18</w:t>
            </w:r>
          </w:p>
        </w:tc>
        <w:tc>
          <w:tcPr>
            <w:tcW w:w="1307"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1FE0F3BD" w14:textId="77777777" w:rsidR="00762DE6" w:rsidRPr="00617B19" w:rsidRDefault="004A0FC0" w:rsidP="00EB6E12">
            <w:pPr>
              <w:ind w:left="167"/>
              <w:jc w:val="center"/>
              <w:rPr>
                <w:color w:val="FF0000"/>
              </w:rPr>
            </w:pPr>
            <w:r w:rsidRPr="00617B19">
              <w:rPr>
                <w:color w:val="FF0000"/>
              </w:rPr>
              <w:t>2</w:t>
            </w:r>
          </w:p>
        </w:tc>
        <w:tc>
          <w:tcPr>
            <w:tcW w:w="1061"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13F34CB0" w14:textId="77777777" w:rsidR="00762DE6" w:rsidRPr="00617B19" w:rsidRDefault="004A0FC0" w:rsidP="00EB6E12">
            <w:pPr>
              <w:ind w:left="141"/>
              <w:jc w:val="center"/>
              <w:rPr>
                <w:color w:val="FF0000"/>
              </w:rPr>
            </w:pPr>
            <w:r w:rsidRPr="00617B19">
              <w:rPr>
                <w:color w:val="FF0000"/>
              </w:rPr>
              <w:t>7</w:t>
            </w:r>
          </w:p>
        </w:tc>
        <w:tc>
          <w:tcPr>
            <w:tcW w:w="1184"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77D1CA29" w14:textId="77777777" w:rsidR="00762DE6" w:rsidRPr="00617B19" w:rsidRDefault="004A0FC0" w:rsidP="00EB6E12">
            <w:pPr>
              <w:ind w:left="111"/>
              <w:jc w:val="center"/>
              <w:rPr>
                <w:color w:val="FF0000"/>
              </w:rPr>
            </w:pPr>
            <w:r w:rsidRPr="00617B19">
              <w:rPr>
                <w:color w:val="FF0000"/>
              </w:rPr>
              <w:t>2</w:t>
            </w:r>
          </w:p>
        </w:tc>
        <w:tc>
          <w:tcPr>
            <w:tcW w:w="1350"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46457903" w14:textId="77777777" w:rsidR="00762DE6" w:rsidRPr="00617B19" w:rsidRDefault="004A0FC0" w:rsidP="00EB6E12">
            <w:pPr>
              <w:ind w:left="165"/>
              <w:jc w:val="center"/>
              <w:rPr>
                <w:color w:val="FF0000"/>
              </w:rPr>
            </w:pPr>
            <w:r w:rsidRPr="00617B19">
              <w:rPr>
                <w:color w:val="FF0000"/>
              </w:rPr>
              <w:t>6</w:t>
            </w:r>
          </w:p>
        </w:tc>
      </w:tr>
      <w:tr w:rsidR="004A0FC0" w:rsidRPr="004A0FC0" w14:paraId="02B511EC" w14:textId="77777777" w:rsidTr="00EB6E12">
        <w:trPr>
          <w:trHeight w:val="20"/>
          <w:jc w:val="center"/>
        </w:trPr>
        <w:tc>
          <w:tcPr>
            <w:tcW w:w="1095"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241D30EE" w14:textId="77777777" w:rsidR="00762DE6" w:rsidRPr="004A0FC0" w:rsidRDefault="004A0FC0" w:rsidP="00EB6E12">
            <w:pPr>
              <w:ind w:left="90"/>
              <w:jc w:val="center"/>
              <w:rPr>
                <w:color w:val="auto"/>
              </w:rPr>
            </w:pPr>
            <w:r w:rsidRPr="004A0FC0">
              <w:rPr>
                <w:color w:val="auto"/>
              </w:rPr>
              <w:t>UR</w:t>
            </w:r>
            <w:r>
              <w:rPr>
                <w:color w:val="auto"/>
              </w:rPr>
              <w:t xml:space="preserve"> (2008)</w:t>
            </w:r>
          </w:p>
        </w:tc>
        <w:tc>
          <w:tcPr>
            <w:tcW w:w="831"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0EEAEB03" w14:textId="77777777" w:rsidR="00762DE6" w:rsidRPr="004A0FC0" w:rsidRDefault="004A0FC0" w:rsidP="00EB6E12">
            <w:pPr>
              <w:ind w:left="156"/>
              <w:jc w:val="center"/>
              <w:rPr>
                <w:color w:val="auto"/>
              </w:rPr>
            </w:pPr>
            <w:r w:rsidRPr="004A0FC0">
              <w:rPr>
                <w:color w:val="auto"/>
              </w:rPr>
              <w:t>91</w:t>
            </w:r>
          </w:p>
        </w:tc>
        <w:tc>
          <w:tcPr>
            <w:tcW w:w="1010"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65468FAE" w14:textId="77777777" w:rsidR="00762DE6" w:rsidRPr="004A0FC0" w:rsidRDefault="004A0FC0" w:rsidP="00EB6E12">
            <w:pPr>
              <w:ind w:left="115"/>
              <w:jc w:val="center"/>
              <w:rPr>
                <w:color w:val="auto"/>
              </w:rPr>
            </w:pPr>
            <w:r w:rsidRPr="004A0FC0">
              <w:rPr>
                <w:color w:val="auto"/>
              </w:rPr>
              <w:t>3</w:t>
            </w:r>
          </w:p>
        </w:tc>
        <w:tc>
          <w:tcPr>
            <w:tcW w:w="1141"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5F02EBE3" w14:textId="77777777" w:rsidR="00762DE6" w:rsidRPr="004A0FC0" w:rsidRDefault="004A0FC0" w:rsidP="00EB6E12">
            <w:pPr>
              <w:ind w:left="113"/>
              <w:jc w:val="center"/>
              <w:rPr>
                <w:color w:val="auto"/>
              </w:rPr>
            </w:pPr>
            <w:r w:rsidRPr="004A0FC0">
              <w:rPr>
                <w:color w:val="auto"/>
              </w:rPr>
              <w:t>28</w:t>
            </w:r>
          </w:p>
        </w:tc>
        <w:tc>
          <w:tcPr>
            <w:tcW w:w="1386"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0E204FF7" w14:textId="77777777" w:rsidR="00762DE6" w:rsidRPr="004A0FC0" w:rsidRDefault="004A0FC0" w:rsidP="00EB6E12">
            <w:pPr>
              <w:ind w:left="135"/>
              <w:jc w:val="center"/>
              <w:rPr>
                <w:color w:val="auto"/>
              </w:rPr>
            </w:pPr>
            <w:r w:rsidRPr="004A0FC0">
              <w:rPr>
                <w:color w:val="auto"/>
              </w:rPr>
              <w:t>15</w:t>
            </w:r>
          </w:p>
        </w:tc>
        <w:tc>
          <w:tcPr>
            <w:tcW w:w="1307"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08A86ACF" w14:textId="77777777" w:rsidR="00762DE6" w:rsidRPr="004A0FC0" w:rsidRDefault="004A0FC0" w:rsidP="00EB6E12">
            <w:pPr>
              <w:ind w:left="167"/>
              <w:jc w:val="center"/>
              <w:rPr>
                <w:color w:val="auto"/>
              </w:rPr>
            </w:pPr>
            <w:r w:rsidRPr="004A0FC0">
              <w:rPr>
                <w:color w:val="auto"/>
              </w:rPr>
              <w:t>20</w:t>
            </w:r>
          </w:p>
        </w:tc>
        <w:tc>
          <w:tcPr>
            <w:tcW w:w="1061"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401643E4" w14:textId="77777777" w:rsidR="00762DE6" w:rsidRPr="004A0FC0" w:rsidRDefault="004A0FC0" w:rsidP="00EB6E12">
            <w:pPr>
              <w:ind w:left="141"/>
              <w:jc w:val="center"/>
              <w:rPr>
                <w:color w:val="auto"/>
              </w:rPr>
            </w:pPr>
            <w:r w:rsidRPr="004A0FC0">
              <w:rPr>
                <w:color w:val="auto"/>
              </w:rPr>
              <w:t>11</w:t>
            </w:r>
          </w:p>
        </w:tc>
        <w:tc>
          <w:tcPr>
            <w:tcW w:w="1184"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3137609D" w14:textId="77777777" w:rsidR="00762DE6" w:rsidRPr="004A0FC0" w:rsidRDefault="004A0FC0" w:rsidP="00EB6E12">
            <w:pPr>
              <w:ind w:left="111"/>
              <w:jc w:val="center"/>
              <w:rPr>
                <w:color w:val="auto"/>
              </w:rPr>
            </w:pPr>
            <w:r w:rsidRPr="004A0FC0">
              <w:rPr>
                <w:color w:val="auto"/>
              </w:rPr>
              <w:t>2</w:t>
            </w:r>
          </w:p>
        </w:tc>
        <w:tc>
          <w:tcPr>
            <w:tcW w:w="1350" w:type="dxa"/>
            <w:tcBorders>
              <w:top w:val="single" w:sz="8" w:space="0" w:color="4F81BD"/>
              <w:left w:val="single" w:sz="8" w:space="0" w:color="4F81BD"/>
              <w:bottom w:val="single" w:sz="8" w:space="0" w:color="4F81BD"/>
              <w:right w:val="single" w:sz="8" w:space="0" w:color="4F81BD"/>
            </w:tcBorders>
            <w:shd w:val="clear" w:color="auto" w:fill="E9EDF4"/>
            <w:tcMar>
              <w:top w:w="15" w:type="dxa"/>
              <w:left w:w="15" w:type="dxa"/>
              <w:bottom w:w="0" w:type="dxa"/>
              <w:right w:w="15" w:type="dxa"/>
            </w:tcMar>
            <w:hideMark/>
          </w:tcPr>
          <w:p w14:paraId="34823842" w14:textId="77777777" w:rsidR="00762DE6" w:rsidRPr="004A0FC0" w:rsidRDefault="004A0FC0" w:rsidP="00EB6E12">
            <w:pPr>
              <w:ind w:left="165"/>
              <w:jc w:val="center"/>
              <w:rPr>
                <w:color w:val="auto"/>
              </w:rPr>
            </w:pPr>
            <w:r w:rsidRPr="004A0FC0">
              <w:rPr>
                <w:color w:val="auto"/>
              </w:rPr>
              <w:t>12</w:t>
            </w:r>
          </w:p>
        </w:tc>
      </w:tr>
    </w:tbl>
    <w:p w14:paraId="08EDF512" w14:textId="77777777" w:rsidR="004F2FCE" w:rsidRDefault="004F2FCE" w:rsidP="004F2FCE">
      <w:pPr>
        <w:spacing w:after="0"/>
        <w:ind w:left="0"/>
        <w:jc w:val="both"/>
        <w:rPr>
          <w:i/>
          <w:color w:val="auto"/>
          <w:sz w:val="18"/>
          <w:lang w:val="es-CR"/>
        </w:rPr>
      </w:pPr>
    </w:p>
    <w:p w14:paraId="042593A6" w14:textId="21EEA35D" w:rsidR="004E3897" w:rsidRPr="004E3897" w:rsidRDefault="004E3897" w:rsidP="00EB6E12">
      <w:pPr>
        <w:ind w:left="0"/>
        <w:jc w:val="both"/>
        <w:rPr>
          <w:i/>
          <w:color w:val="auto"/>
          <w:sz w:val="18"/>
          <w:lang w:val="es-CR"/>
        </w:rPr>
      </w:pPr>
      <w:r w:rsidRPr="004E3897">
        <w:rPr>
          <w:i/>
          <w:color w:val="auto"/>
          <w:sz w:val="18"/>
          <w:lang w:val="es-CR"/>
        </w:rPr>
        <w:t xml:space="preserve">El </w:t>
      </w:r>
      <w:r w:rsidRPr="004E3897">
        <w:rPr>
          <w:i/>
          <w:color w:val="auto"/>
          <w:sz w:val="18"/>
          <w:lang w:val="es-ES"/>
        </w:rPr>
        <w:t xml:space="preserve">Índice de Derecho Global a la Información </w:t>
      </w:r>
      <w:r w:rsidRPr="004E3897">
        <w:rPr>
          <w:i/>
          <w:color w:val="auto"/>
          <w:sz w:val="18"/>
          <w:lang w:val="es-CR"/>
        </w:rPr>
        <w:t xml:space="preserve">es un programa que evalúa comparativamente la </w:t>
      </w:r>
      <w:r w:rsidR="001F61F3">
        <w:rPr>
          <w:i/>
          <w:color w:val="auto"/>
          <w:sz w:val="18"/>
          <w:lang w:val="es-CR"/>
        </w:rPr>
        <w:t xml:space="preserve">solidez </w:t>
      </w:r>
      <w:r w:rsidRPr="004E3897">
        <w:rPr>
          <w:i/>
          <w:color w:val="auto"/>
          <w:sz w:val="18"/>
          <w:lang w:val="es-CR"/>
        </w:rPr>
        <w:t>de los marcos legales p</w:t>
      </w:r>
      <w:r w:rsidR="001F61F3">
        <w:rPr>
          <w:i/>
          <w:color w:val="auto"/>
          <w:sz w:val="18"/>
          <w:lang w:val="es-CR"/>
        </w:rPr>
        <w:t>ara el derecho a la información</w:t>
      </w:r>
      <w:r w:rsidRPr="004E3897">
        <w:rPr>
          <w:i/>
          <w:color w:val="auto"/>
          <w:sz w:val="18"/>
          <w:lang w:val="es-CR"/>
        </w:rPr>
        <w:t xml:space="preserve">. </w:t>
      </w:r>
      <w:r w:rsidR="001F61F3">
        <w:rPr>
          <w:i/>
          <w:color w:val="auto"/>
          <w:sz w:val="18"/>
          <w:lang w:val="es-CR"/>
        </w:rPr>
        <w:t>L</w:t>
      </w:r>
      <w:r w:rsidRPr="004E3897">
        <w:rPr>
          <w:i/>
          <w:color w:val="auto"/>
          <w:sz w:val="18"/>
          <w:lang w:val="es-CR"/>
        </w:rPr>
        <w:t xml:space="preserve">a metodología </w:t>
      </w:r>
      <w:r w:rsidR="001F61F3">
        <w:rPr>
          <w:i/>
          <w:color w:val="auto"/>
          <w:sz w:val="18"/>
          <w:lang w:val="es-CR"/>
        </w:rPr>
        <w:t xml:space="preserve">incluye </w:t>
      </w:r>
      <w:r w:rsidRPr="004E3897">
        <w:rPr>
          <w:i/>
          <w:color w:val="auto"/>
          <w:sz w:val="18"/>
          <w:lang w:val="es-CR"/>
        </w:rPr>
        <w:t xml:space="preserve">61 indicadores. Para cada indicador, los países ganan puntos dentro de un rango conjunto de puntuaciones (en la mayoría de los casos 0-2), </w:t>
      </w:r>
      <w:r w:rsidR="001F61F3">
        <w:rPr>
          <w:i/>
          <w:color w:val="auto"/>
          <w:sz w:val="18"/>
          <w:lang w:val="es-CR"/>
        </w:rPr>
        <w:t xml:space="preserve">la puntuación máxima es de </w:t>
      </w:r>
      <w:r w:rsidRPr="004E3897">
        <w:rPr>
          <w:i/>
          <w:color w:val="auto"/>
          <w:sz w:val="18"/>
          <w:lang w:val="es-CR"/>
        </w:rPr>
        <w:t xml:space="preserve">150 puntos. Los indicadores se dividen en siete categorías: Derecho de Acceso, Alcance, </w:t>
      </w:r>
      <w:r w:rsidR="001F61F3">
        <w:rPr>
          <w:i/>
          <w:color w:val="auto"/>
          <w:sz w:val="18"/>
          <w:lang w:val="es-CR"/>
        </w:rPr>
        <w:t>Proceso de Solicitud</w:t>
      </w:r>
      <w:r w:rsidRPr="004E3897">
        <w:rPr>
          <w:i/>
          <w:color w:val="auto"/>
          <w:sz w:val="18"/>
          <w:lang w:val="es-CR"/>
        </w:rPr>
        <w:t xml:space="preserve">, </w:t>
      </w:r>
      <w:r w:rsidR="001F61F3">
        <w:rPr>
          <w:i/>
          <w:color w:val="auto"/>
          <w:sz w:val="18"/>
          <w:lang w:val="es-CR"/>
        </w:rPr>
        <w:t>E</w:t>
      </w:r>
      <w:r w:rsidRPr="004E3897">
        <w:rPr>
          <w:i/>
          <w:color w:val="auto"/>
          <w:sz w:val="18"/>
          <w:lang w:val="es-CR"/>
        </w:rPr>
        <w:t xml:space="preserve">xcepciones y rechazos, </w:t>
      </w:r>
      <w:r w:rsidR="001F61F3">
        <w:rPr>
          <w:i/>
          <w:color w:val="auto"/>
          <w:sz w:val="18"/>
          <w:lang w:val="es-CR"/>
        </w:rPr>
        <w:t>A</w:t>
      </w:r>
      <w:r w:rsidRPr="004E3897">
        <w:rPr>
          <w:i/>
          <w:color w:val="auto"/>
          <w:sz w:val="18"/>
          <w:lang w:val="es-CR"/>
        </w:rPr>
        <w:t>pelaciones, Sanciones y protecciones, y</w:t>
      </w:r>
      <w:r w:rsidR="001F61F3">
        <w:rPr>
          <w:i/>
          <w:color w:val="auto"/>
          <w:sz w:val="18"/>
          <w:lang w:val="es-CR"/>
        </w:rPr>
        <w:t xml:space="preserve"> Medidas</w:t>
      </w:r>
      <w:r w:rsidRPr="004E3897">
        <w:rPr>
          <w:i/>
          <w:color w:val="auto"/>
          <w:sz w:val="18"/>
          <w:lang w:val="es-CR"/>
        </w:rPr>
        <w:t xml:space="preserve"> de promoción.</w:t>
      </w:r>
    </w:p>
    <w:p w14:paraId="7884BD23" w14:textId="77777777" w:rsidR="000B0815" w:rsidRPr="004A0FC0" w:rsidRDefault="004A0FC0" w:rsidP="00EB6E12">
      <w:pPr>
        <w:ind w:left="0"/>
        <w:jc w:val="both"/>
        <w:rPr>
          <w:color w:val="auto"/>
          <w:lang w:val="es-ES_tradnl"/>
        </w:rPr>
      </w:pPr>
      <w:r w:rsidRPr="008B4A7F">
        <w:rPr>
          <w:b/>
          <w:color w:val="auto"/>
          <w:lang w:val="es-ES_tradnl"/>
        </w:rPr>
        <w:t>Fuente:</w:t>
      </w:r>
      <w:r w:rsidRPr="004A0FC0">
        <w:rPr>
          <w:color w:val="auto"/>
          <w:lang w:val="es-ES_tradnl"/>
        </w:rPr>
        <w:t xml:space="preserve"> Índice de Derecho Global a la Información del Centre for </w:t>
      </w:r>
      <w:proofErr w:type="spellStart"/>
      <w:r w:rsidRPr="004A0FC0">
        <w:rPr>
          <w:color w:val="auto"/>
          <w:lang w:val="es-ES_tradnl"/>
        </w:rPr>
        <w:t>Law</w:t>
      </w:r>
      <w:proofErr w:type="spellEnd"/>
      <w:r w:rsidRPr="004A0FC0">
        <w:rPr>
          <w:color w:val="auto"/>
          <w:lang w:val="es-ES_tradnl"/>
        </w:rPr>
        <w:t xml:space="preserve"> and </w:t>
      </w:r>
      <w:proofErr w:type="spellStart"/>
      <w:r w:rsidRPr="004A0FC0">
        <w:rPr>
          <w:color w:val="auto"/>
          <w:lang w:val="es-ES_tradnl"/>
        </w:rPr>
        <w:t>Democracy</w:t>
      </w:r>
      <w:proofErr w:type="spellEnd"/>
      <w:r w:rsidRPr="004A0FC0">
        <w:rPr>
          <w:color w:val="auto"/>
          <w:lang w:val="es-ES_tradnl"/>
        </w:rPr>
        <w:t xml:space="preserve"> y Access </w:t>
      </w:r>
      <w:proofErr w:type="spellStart"/>
      <w:r w:rsidRPr="004A0FC0">
        <w:rPr>
          <w:color w:val="auto"/>
          <w:lang w:val="es-ES_tradnl"/>
        </w:rPr>
        <w:t>Info</w:t>
      </w:r>
      <w:proofErr w:type="spellEnd"/>
      <w:r w:rsidRPr="004A0FC0">
        <w:rPr>
          <w:color w:val="auto"/>
          <w:lang w:val="es-ES_tradnl"/>
        </w:rPr>
        <w:t xml:space="preserve"> </w:t>
      </w:r>
      <w:proofErr w:type="spellStart"/>
      <w:r w:rsidRPr="004A0FC0">
        <w:rPr>
          <w:color w:val="auto"/>
          <w:lang w:val="es-ES_tradnl"/>
        </w:rPr>
        <w:t>Europe</w:t>
      </w:r>
      <w:proofErr w:type="spellEnd"/>
      <w:r w:rsidRPr="004A0FC0">
        <w:rPr>
          <w:color w:val="auto"/>
          <w:lang w:val="es-ES_tradnl"/>
        </w:rPr>
        <w:t xml:space="preserve"> (2015)</w:t>
      </w:r>
    </w:p>
    <w:p w14:paraId="49C008F1" w14:textId="77777777" w:rsidR="00146A23" w:rsidRDefault="00146A23" w:rsidP="00EB6E12">
      <w:pPr>
        <w:pStyle w:val="Heading1"/>
        <w:numPr>
          <w:ilvl w:val="1"/>
          <w:numId w:val="3"/>
        </w:numPr>
        <w:ind w:left="426"/>
        <w:jc w:val="both"/>
        <w:rPr>
          <w:lang w:val="es-ES_tradnl"/>
        </w:rPr>
      </w:pPr>
      <w:r>
        <w:rPr>
          <w:lang w:val="es-ES_tradnl"/>
        </w:rPr>
        <w:lastRenderedPageBreak/>
        <w:t xml:space="preserve">MESISIC - </w:t>
      </w:r>
      <w:r w:rsidR="00CC7363" w:rsidRPr="00146A23">
        <w:rPr>
          <w:lang w:val="es-ES_tradnl"/>
        </w:rPr>
        <w:t xml:space="preserve">Informe 5ta ronda MESICIC </w:t>
      </w:r>
      <w:r>
        <w:rPr>
          <w:lang w:val="es-ES_tradnl"/>
        </w:rPr>
        <w:t>(MARZO 2016)</w:t>
      </w:r>
    </w:p>
    <w:p w14:paraId="6723DF9D" w14:textId="77777777" w:rsidR="00146A23" w:rsidRDefault="00146A23" w:rsidP="00EB6E12">
      <w:pPr>
        <w:pStyle w:val="Heading1"/>
        <w:ind w:left="0"/>
        <w:jc w:val="both"/>
        <w:rPr>
          <w:lang w:val="es-ES_tradnl"/>
        </w:rPr>
      </w:pPr>
    </w:p>
    <w:p w14:paraId="6646709C" w14:textId="77777777" w:rsidR="00BA707C" w:rsidRPr="004F2FCE" w:rsidRDefault="00BA707C" w:rsidP="00EB6E12">
      <w:pPr>
        <w:ind w:left="0"/>
        <w:jc w:val="both"/>
        <w:rPr>
          <w:color w:val="auto"/>
          <w:sz w:val="22"/>
          <w:lang w:val="es-ES_tradnl"/>
        </w:rPr>
      </w:pPr>
      <w:r w:rsidRPr="004F2FCE">
        <w:rPr>
          <w:color w:val="auto"/>
          <w:sz w:val="22"/>
          <w:lang w:val="es-ES_tradnl"/>
        </w:rPr>
        <w:t>Paraguay suscribió la CICC e</w:t>
      </w:r>
      <w:r w:rsidR="009911A9" w:rsidRPr="004F2FCE">
        <w:rPr>
          <w:color w:val="auto"/>
          <w:sz w:val="22"/>
          <w:lang w:val="es-ES_tradnl"/>
        </w:rPr>
        <w:t>l 4 de junio de 2001</w:t>
      </w:r>
      <w:r w:rsidRPr="004F2FCE">
        <w:rPr>
          <w:color w:val="auto"/>
          <w:sz w:val="22"/>
          <w:lang w:val="es-ES_tradnl"/>
        </w:rPr>
        <w:t xml:space="preserve">. El informe de la </w:t>
      </w:r>
      <w:r w:rsidR="00EB6E12" w:rsidRPr="004F2FCE">
        <w:rPr>
          <w:color w:val="auto"/>
          <w:sz w:val="22"/>
          <w:lang w:val="es-ES_tradnl"/>
        </w:rPr>
        <w:t>Quinta</w:t>
      </w:r>
      <w:r w:rsidRPr="004F2FCE">
        <w:rPr>
          <w:color w:val="auto"/>
          <w:sz w:val="22"/>
          <w:lang w:val="es-ES_tradnl"/>
        </w:rPr>
        <w:t xml:space="preserve"> Ronda del Mecanismo de Seguimiento de esta convención, MESICIC, destaca los siguientes logros y recomendaciones pendientes.</w:t>
      </w:r>
    </w:p>
    <w:p w14:paraId="375B0410" w14:textId="77777777" w:rsidR="00BA707C" w:rsidRPr="004F2FCE" w:rsidRDefault="00BA707C" w:rsidP="00EB6E12">
      <w:pPr>
        <w:ind w:left="0"/>
        <w:jc w:val="both"/>
        <w:rPr>
          <w:color w:val="auto"/>
          <w:sz w:val="22"/>
          <w:lang w:val="es-ES_tradnl"/>
        </w:rPr>
      </w:pPr>
    </w:p>
    <w:p w14:paraId="39B7A92A" w14:textId="77777777" w:rsidR="00CC7363" w:rsidRPr="004F2FCE" w:rsidRDefault="00CC7363" w:rsidP="00EB6E12">
      <w:pPr>
        <w:ind w:left="0"/>
        <w:jc w:val="both"/>
        <w:rPr>
          <w:color w:val="auto"/>
          <w:sz w:val="22"/>
          <w:u w:val="single"/>
          <w:lang w:val="es-ES_tradnl"/>
        </w:rPr>
      </w:pPr>
      <w:r w:rsidRPr="004F2FCE">
        <w:rPr>
          <w:color w:val="auto"/>
          <w:sz w:val="22"/>
          <w:u w:val="single"/>
          <w:lang w:val="es-ES_tradnl"/>
        </w:rPr>
        <w:t xml:space="preserve">Medidas cumplidas </w:t>
      </w:r>
    </w:p>
    <w:p w14:paraId="55E17172" w14:textId="77777777" w:rsidR="00CC7363" w:rsidRPr="004F2FCE" w:rsidRDefault="00146A23" w:rsidP="00EB6E12">
      <w:pPr>
        <w:pStyle w:val="ListParagraph"/>
        <w:numPr>
          <w:ilvl w:val="0"/>
          <w:numId w:val="6"/>
        </w:numPr>
        <w:jc w:val="both"/>
        <w:rPr>
          <w:color w:val="auto"/>
          <w:sz w:val="22"/>
          <w:lang w:val="es-ES_tradnl"/>
        </w:rPr>
      </w:pPr>
      <w:r w:rsidRPr="004F2FCE">
        <w:rPr>
          <w:color w:val="auto"/>
          <w:sz w:val="22"/>
          <w:lang w:val="es-ES_tradnl"/>
        </w:rPr>
        <w:t>I</w:t>
      </w:r>
      <w:r w:rsidR="00CC7363" w:rsidRPr="004F2FCE">
        <w:rPr>
          <w:color w:val="auto"/>
          <w:sz w:val="22"/>
          <w:lang w:val="es-ES_tradnl"/>
        </w:rPr>
        <w:t xml:space="preserve">mplementación del Portal Único del Empleo Público “Paraguay Concursa” </w:t>
      </w:r>
    </w:p>
    <w:p w14:paraId="44C9FD4D" w14:textId="77777777" w:rsidR="00CC7363" w:rsidRPr="004F2FCE" w:rsidRDefault="00146A23" w:rsidP="00EB6E12">
      <w:pPr>
        <w:pStyle w:val="ListParagraph"/>
        <w:numPr>
          <w:ilvl w:val="0"/>
          <w:numId w:val="6"/>
        </w:numPr>
        <w:jc w:val="both"/>
        <w:rPr>
          <w:color w:val="auto"/>
          <w:sz w:val="22"/>
          <w:lang w:val="es-ES_tradnl"/>
        </w:rPr>
      </w:pPr>
      <w:r w:rsidRPr="004F2FCE">
        <w:rPr>
          <w:color w:val="auto"/>
          <w:sz w:val="22"/>
          <w:lang w:val="es-ES_tradnl"/>
        </w:rPr>
        <w:t>P</w:t>
      </w:r>
      <w:r w:rsidR="00CC7363" w:rsidRPr="004F2FCE">
        <w:rPr>
          <w:color w:val="auto"/>
          <w:sz w:val="22"/>
          <w:lang w:val="es-ES_tradnl"/>
        </w:rPr>
        <w:t xml:space="preserve">uesta en funcionamiento del Sistema Integrado Centralizado de la Carrera Administrativa </w:t>
      </w:r>
      <w:r w:rsidR="009911A9" w:rsidRPr="004F2FCE">
        <w:rPr>
          <w:color w:val="auto"/>
          <w:sz w:val="22"/>
          <w:lang w:val="es-ES_tradnl"/>
        </w:rPr>
        <w:t>(</w:t>
      </w:r>
      <w:r w:rsidR="00CC7363" w:rsidRPr="004F2FCE">
        <w:rPr>
          <w:color w:val="auto"/>
          <w:sz w:val="22"/>
          <w:lang w:val="es-ES_tradnl"/>
        </w:rPr>
        <w:t>SICCA</w:t>
      </w:r>
      <w:r w:rsidR="009911A9" w:rsidRPr="004F2FCE">
        <w:rPr>
          <w:color w:val="auto"/>
          <w:sz w:val="22"/>
          <w:lang w:val="es-ES_tradnl"/>
        </w:rPr>
        <w:t>).</w:t>
      </w:r>
    </w:p>
    <w:p w14:paraId="1407597A" w14:textId="77777777" w:rsidR="00CC7363" w:rsidRPr="004F2FCE" w:rsidRDefault="00146A23" w:rsidP="00EB6E12">
      <w:pPr>
        <w:pStyle w:val="ListParagraph"/>
        <w:numPr>
          <w:ilvl w:val="0"/>
          <w:numId w:val="6"/>
        </w:numPr>
        <w:jc w:val="both"/>
        <w:rPr>
          <w:color w:val="auto"/>
          <w:sz w:val="22"/>
          <w:lang w:val="es-ES_tradnl"/>
        </w:rPr>
      </w:pPr>
      <w:r w:rsidRPr="004F2FCE">
        <w:rPr>
          <w:color w:val="auto"/>
          <w:sz w:val="22"/>
          <w:lang w:val="es-ES_tradnl"/>
        </w:rPr>
        <w:t>A</w:t>
      </w:r>
      <w:r w:rsidR="00CC7363" w:rsidRPr="004F2FCE">
        <w:rPr>
          <w:color w:val="auto"/>
          <w:sz w:val="22"/>
          <w:lang w:val="es-ES_tradnl"/>
        </w:rPr>
        <w:t xml:space="preserve">dopción del Reglamento General de Selección para el ingreso en la función pública, en cargos permanentes y temporales, mediante la realización de concursos públicos </w:t>
      </w:r>
    </w:p>
    <w:p w14:paraId="79006360" w14:textId="77777777" w:rsidR="00CC7363" w:rsidRPr="004F2FCE" w:rsidRDefault="00CC7363" w:rsidP="00EB6E12">
      <w:pPr>
        <w:pStyle w:val="ListParagraph"/>
        <w:numPr>
          <w:ilvl w:val="0"/>
          <w:numId w:val="6"/>
        </w:numPr>
        <w:jc w:val="both"/>
        <w:rPr>
          <w:color w:val="auto"/>
          <w:sz w:val="22"/>
          <w:lang w:val="es-ES_tradnl"/>
        </w:rPr>
      </w:pPr>
      <w:r w:rsidRPr="004F2FCE">
        <w:rPr>
          <w:color w:val="auto"/>
          <w:sz w:val="22"/>
          <w:lang w:val="es-ES_tradnl"/>
        </w:rPr>
        <w:t>Creación del Programa de Acompañamiento y Protección a Testigos y Víctimas en Procesos Penales</w:t>
      </w:r>
    </w:p>
    <w:p w14:paraId="1EF153B6" w14:textId="77777777" w:rsidR="00CC7363" w:rsidRPr="004F2FCE" w:rsidRDefault="00CC7363" w:rsidP="00EB6E12">
      <w:pPr>
        <w:ind w:left="0"/>
        <w:jc w:val="both"/>
        <w:rPr>
          <w:color w:val="auto"/>
          <w:sz w:val="22"/>
          <w:u w:val="single"/>
          <w:lang w:val="es-ES_tradnl"/>
        </w:rPr>
      </w:pPr>
      <w:r w:rsidRPr="004F2FCE">
        <w:rPr>
          <w:color w:val="auto"/>
          <w:sz w:val="22"/>
          <w:u w:val="single"/>
          <w:lang w:val="es-ES_tradnl"/>
        </w:rPr>
        <w:t>Medidas en marcha</w:t>
      </w:r>
    </w:p>
    <w:p w14:paraId="2B252E15" w14:textId="77777777" w:rsidR="00CC7363" w:rsidRPr="004F2FCE" w:rsidRDefault="00146A23" w:rsidP="00EB6E12">
      <w:pPr>
        <w:pStyle w:val="ListParagraph"/>
        <w:numPr>
          <w:ilvl w:val="0"/>
          <w:numId w:val="8"/>
        </w:numPr>
        <w:jc w:val="both"/>
        <w:rPr>
          <w:color w:val="auto"/>
          <w:sz w:val="22"/>
          <w:lang w:val="es-ES_tradnl"/>
        </w:rPr>
      </w:pPr>
      <w:r w:rsidRPr="004F2FCE">
        <w:rPr>
          <w:color w:val="auto"/>
          <w:sz w:val="22"/>
          <w:lang w:val="es-ES_tradnl"/>
        </w:rPr>
        <w:t>P</w:t>
      </w:r>
      <w:r w:rsidR="00CC7363" w:rsidRPr="004F2FCE">
        <w:rPr>
          <w:color w:val="auto"/>
          <w:sz w:val="22"/>
          <w:lang w:val="es-ES_tradnl"/>
        </w:rPr>
        <w:t xml:space="preserve">rocedimiento de subasta a la baja electrónica con el soporte de un sistema informático con base en Internet y administrado por la </w:t>
      </w:r>
      <w:r w:rsidRPr="004F2FCE">
        <w:rPr>
          <w:color w:val="auto"/>
          <w:sz w:val="22"/>
          <w:lang w:val="es-ES_tradnl"/>
        </w:rPr>
        <w:t>Dirección Nacional de Contrataciones Públicas (</w:t>
      </w:r>
      <w:r w:rsidR="00CC7363" w:rsidRPr="004F2FCE">
        <w:rPr>
          <w:color w:val="auto"/>
          <w:sz w:val="22"/>
          <w:lang w:val="es-ES_tradnl"/>
        </w:rPr>
        <w:t>DNCP</w:t>
      </w:r>
      <w:r w:rsidRPr="004F2FCE">
        <w:rPr>
          <w:color w:val="auto"/>
          <w:sz w:val="22"/>
          <w:lang w:val="es-ES_tradnl"/>
        </w:rPr>
        <w:t>)</w:t>
      </w:r>
      <w:r w:rsidR="00CC7363" w:rsidRPr="004F2FCE">
        <w:rPr>
          <w:color w:val="auto"/>
          <w:sz w:val="22"/>
          <w:lang w:val="es-ES_tradnl"/>
        </w:rPr>
        <w:t>.</w:t>
      </w:r>
    </w:p>
    <w:p w14:paraId="4C65A19D" w14:textId="77777777" w:rsidR="00CC7363" w:rsidRPr="004F2FCE" w:rsidRDefault="00CC7363" w:rsidP="00EB6E12">
      <w:pPr>
        <w:pStyle w:val="ListParagraph"/>
        <w:numPr>
          <w:ilvl w:val="0"/>
          <w:numId w:val="8"/>
        </w:numPr>
        <w:jc w:val="both"/>
        <w:rPr>
          <w:color w:val="auto"/>
          <w:sz w:val="22"/>
          <w:lang w:val="es-ES_tradnl"/>
        </w:rPr>
      </w:pPr>
      <w:r w:rsidRPr="004F2FCE">
        <w:rPr>
          <w:color w:val="auto"/>
          <w:sz w:val="22"/>
          <w:lang w:val="es-ES_tradnl"/>
        </w:rPr>
        <w:t>Con respecto al sistema de protección de funcionarios públicos y denunciantes de actos de corrupción Paraguay proceso de reforma para adecuarlo a los estándares internacionales</w:t>
      </w:r>
    </w:p>
    <w:p w14:paraId="71F5D089" w14:textId="77777777" w:rsidR="00CC7363" w:rsidRPr="004F2FCE" w:rsidRDefault="00CC7363" w:rsidP="00EB6E12">
      <w:pPr>
        <w:ind w:left="0"/>
        <w:jc w:val="both"/>
        <w:rPr>
          <w:color w:val="auto"/>
          <w:sz w:val="22"/>
          <w:u w:val="single"/>
          <w:lang w:val="es-ES_tradnl"/>
        </w:rPr>
      </w:pPr>
      <w:r w:rsidRPr="004F2FCE">
        <w:rPr>
          <w:color w:val="auto"/>
          <w:sz w:val="22"/>
          <w:u w:val="single"/>
          <w:lang w:val="es-ES_tradnl"/>
        </w:rPr>
        <w:t>Medidas no cumplidas</w:t>
      </w:r>
    </w:p>
    <w:p w14:paraId="7E4E0310" w14:textId="77777777" w:rsidR="00CC7363" w:rsidRPr="004F2FCE" w:rsidRDefault="00146A23" w:rsidP="00EB6E12">
      <w:pPr>
        <w:pStyle w:val="ListParagraph"/>
        <w:numPr>
          <w:ilvl w:val="0"/>
          <w:numId w:val="10"/>
        </w:numPr>
        <w:jc w:val="both"/>
        <w:rPr>
          <w:color w:val="auto"/>
          <w:sz w:val="22"/>
          <w:lang w:val="es-ES_tradnl"/>
        </w:rPr>
      </w:pPr>
      <w:r w:rsidRPr="004F2FCE">
        <w:rPr>
          <w:color w:val="auto"/>
          <w:sz w:val="22"/>
          <w:lang w:val="es-ES_tradnl"/>
        </w:rPr>
        <w:t>I</w:t>
      </w:r>
      <w:r w:rsidR="00CC7363" w:rsidRPr="004F2FCE">
        <w:rPr>
          <w:color w:val="auto"/>
          <w:sz w:val="22"/>
          <w:lang w:val="es-ES_tradnl"/>
        </w:rPr>
        <w:t>mplementación de disposiciones para asegurar que todos los órganos y entidades del Estado cuenten con mecanismos de control</w:t>
      </w:r>
    </w:p>
    <w:p w14:paraId="11D88137" w14:textId="77777777" w:rsidR="00CC7363" w:rsidRPr="004F2FCE" w:rsidRDefault="00146A23" w:rsidP="00EB6E12">
      <w:pPr>
        <w:pStyle w:val="ListParagraph"/>
        <w:numPr>
          <w:ilvl w:val="0"/>
          <w:numId w:val="10"/>
        </w:numPr>
        <w:jc w:val="both"/>
        <w:rPr>
          <w:color w:val="auto"/>
          <w:sz w:val="22"/>
          <w:lang w:val="es-ES_tradnl"/>
        </w:rPr>
      </w:pPr>
      <w:r w:rsidRPr="004F2FCE">
        <w:rPr>
          <w:color w:val="auto"/>
          <w:sz w:val="22"/>
          <w:lang w:val="es-ES_tradnl"/>
        </w:rPr>
        <w:t>F</w:t>
      </w:r>
      <w:r w:rsidR="00CC7363" w:rsidRPr="004F2FCE">
        <w:rPr>
          <w:color w:val="auto"/>
          <w:sz w:val="22"/>
          <w:lang w:val="es-ES_tradnl"/>
        </w:rPr>
        <w:t xml:space="preserve">ortalecimiento de los órganos rectores del sistema de contrataciones del sector público; </w:t>
      </w:r>
    </w:p>
    <w:p w14:paraId="39E1CCF5" w14:textId="77777777" w:rsidR="00CC7363" w:rsidRPr="004F2FCE" w:rsidRDefault="00146A23" w:rsidP="00EB6E12">
      <w:pPr>
        <w:pStyle w:val="ListParagraph"/>
        <w:numPr>
          <w:ilvl w:val="0"/>
          <w:numId w:val="10"/>
        </w:numPr>
        <w:jc w:val="both"/>
        <w:rPr>
          <w:color w:val="auto"/>
          <w:sz w:val="22"/>
          <w:lang w:val="es-ES_tradnl"/>
        </w:rPr>
      </w:pPr>
      <w:r w:rsidRPr="004F2FCE">
        <w:rPr>
          <w:color w:val="auto"/>
          <w:sz w:val="22"/>
          <w:lang w:val="es-ES_tradnl"/>
        </w:rPr>
        <w:t>D</w:t>
      </w:r>
      <w:r w:rsidR="00CC7363" w:rsidRPr="004F2FCE">
        <w:rPr>
          <w:color w:val="auto"/>
          <w:sz w:val="22"/>
          <w:lang w:val="es-ES_tradnl"/>
        </w:rPr>
        <w:t xml:space="preserve">esarrollo e implementación de un régimen sancionatorio para aquellos funcionarios y empleados públicos que incumplan los principios y disposiciones de la Ley de Contrataciones Públicas; </w:t>
      </w:r>
    </w:p>
    <w:p w14:paraId="2680B2C4" w14:textId="77777777" w:rsidR="00CC7363" w:rsidRPr="004F2FCE" w:rsidRDefault="00146A23" w:rsidP="00EB6E12">
      <w:pPr>
        <w:pStyle w:val="ListParagraph"/>
        <w:numPr>
          <w:ilvl w:val="0"/>
          <w:numId w:val="10"/>
        </w:numPr>
        <w:jc w:val="both"/>
        <w:rPr>
          <w:color w:val="auto"/>
          <w:sz w:val="22"/>
          <w:lang w:val="es-ES_tradnl"/>
        </w:rPr>
      </w:pPr>
      <w:r w:rsidRPr="004F2FCE">
        <w:rPr>
          <w:color w:val="auto"/>
          <w:sz w:val="22"/>
          <w:lang w:val="es-ES_tradnl"/>
        </w:rPr>
        <w:t>I</w:t>
      </w:r>
      <w:r w:rsidR="00CC7363" w:rsidRPr="004F2FCE">
        <w:rPr>
          <w:color w:val="auto"/>
          <w:sz w:val="22"/>
          <w:lang w:val="es-ES_tradnl"/>
        </w:rPr>
        <w:t xml:space="preserve">mplementación de mecanismos o sistemas de rendición periódica de cuentas tanto para proveedores y contratistas, como para las personas o entidades encargadas de la supervisión, control y vigilancia de la ejecución de los contratos; </w:t>
      </w:r>
    </w:p>
    <w:p w14:paraId="3256C1ED" w14:textId="77777777" w:rsidR="00146A23" w:rsidRPr="004F2FCE" w:rsidRDefault="00146A23" w:rsidP="00EB6E12">
      <w:pPr>
        <w:pStyle w:val="ListParagraph"/>
        <w:numPr>
          <w:ilvl w:val="0"/>
          <w:numId w:val="10"/>
        </w:numPr>
        <w:jc w:val="both"/>
        <w:rPr>
          <w:color w:val="auto"/>
          <w:sz w:val="22"/>
          <w:lang w:val="es-ES_tradnl"/>
        </w:rPr>
      </w:pPr>
      <w:r w:rsidRPr="004F2FCE">
        <w:rPr>
          <w:color w:val="auto"/>
          <w:sz w:val="22"/>
          <w:lang w:val="es-ES_tradnl"/>
        </w:rPr>
        <w:t>A</w:t>
      </w:r>
      <w:r w:rsidR="00CC7363" w:rsidRPr="004F2FCE">
        <w:rPr>
          <w:color w:val="auto"/>
          <w:sz w:val="22"/>
          <w:lang w:val="es-ES_tradnl"/>
        </w:rPr>
        <w:t xml:space="preserve">dopción de una regulación integral sobre protección de los funcionarios públicos y ciudadanos particulares que denuncien de buena fe actos de corrupción; </w:t>
      </w:r>
    </w:p>
    <w:p w14:paraId="455A67D4" w14:textId="36340BF3" w:rsidR="00CC7363" w:rsidRPr="004F2FCE" w:rsidRDefault="00146A23" w:rsidP="00EB6E12">
      <w:pPr>
        <w:pStyle w:val="ListParagraph"/>
        <w:numPr>
          <w:ilvl w:val="0"/>
          <w:numId w:val="10"/>
        </w:numPr>
        <w:tabs>
          <w:tab w:val="left" w:pos="2855"/>
        </w:tabs>
        <w:jc w:val="both"/>
        <w:rPr>
          <w:color w:val="auto"/>
          <w:sz w:val="22"/>
          <w:lang w:val="es-ES_tradnl"/>
        </w:rPr>
      </w:pPr>
      <w:r w:rsidRPr="004F2FCE">
        <w:rPr>
          <w:color w:val="auto"/>
          <w:sz w:val="22"/>
          <w:lang w:val="es-ES_tradnl"/>
        </w:rPr>
        <w:t>D</w:t>
      </w:r>
      <w:r w:rsidR="00CC7363" w:rsidRPr="004F2FCE">
        <w:rPr>
          <w:color w:val="auto"/>
          <w:sz w:val="22"/>
          <w:lang w:val="es-ES_tradnl"/>
        </w:rPr>
        <w:t>esarrollo, por el Poder Judicial y el Ministerio Público, de procedimientos e indicadores, para analizar los resultados de los sistemas, normas, medidas y mecanismos con respecto a sus funciones de investigación, persecución y sanción de actos de corrupción</w:t>
      </w:r>
      <w:r w:rsidR="004F2FCE" w:rsidRPr="004F2FCE">
        <w:rPr>
          <w:color w:val="auto"/>
          <w:sz w:val="22"/>
          <w:lang w:val="es-ES_tradnl"/>
        </w:rPr>
        <w:t>.</w:t>
      </w:r>
    </w:p>
    <w:p w14:paraId="384E1BD7" w14:textId="77777777" w:rsidR="00617B19" w:rsidRDefault="00BA707C" w:rsidP="00EB6E12">
      <w:pPr>
        <w:ind w:left="0"/>
        <w:jc w:val="both"/>
        <w:rPr>
          <w:rFonts w:asciiTheme="majorHAnsi" w:eastAsiaTheme="majorEastAsia" w:hAnsiTheme="majorHAnsi" w:cstheme="majorBidi"/>
          <w:color w:val="0F243E" w:themeColor="text2" w:themeShade="7F"/>
          <w:spacing w:val="20"/>
          <w:sz w:val="32"/>
          <w:szCs w:val="32"/>
          <w:lang w:val="es-ES_tradnl"/>
        </w:rPr>
      </w:pPr>
      <w:r w:rsidRPr="004F2FCE">
        <w:rPr>
          <w:color w:val="auto"/>
          <w:sz w:val="22"/>
          <w:lang w:val="es-ES_tradnl"/>
        </w:rPr>
        <w:t>Para mayor información, ver:</w:t>
      </w:r>
      <w:r w:rsidRPr="00BA707C">
        <w:rPr>
          <w:color w:val="auto"/>
          <w:sz w:val="22"/>
          <w:lang w:val="es-ES_tradnl"/>
        </w:rPr>
        <w:t xml:space="preserve"> </w:t>
      </w:r>
      <w:hyperlink r:id="rId20" w:history="1">
        <w:r w:rsidRPr="00BA707C">
          <w:rPr>
            <w:rStyle w:val="Hyperlink"/>
            <w:sz w:val="22"/>
            <w:lang w:val="es-ES_tradnl"/>
          </w:rPr>
          <w:t>http://www.oas.org/juridico/PDFs/mesicic5_pry_final_sp.pdf</w:t>
        </w:r>
      </w:hyperlink>
      <w:r w:rsidRPr="00BA707C">
        <w:rPr>
          <w:sz w:val="22"/>
          <w:lang w:val="es-ES_tradnl"/>
        </w:rPr>
        <w:t xml:space="preserve"> </w:t>
      </w:r>
    </w:p>
    <w:p w14:paraId="278EC932" w14:textId="77777777" w:rsidR="009E16AA" w:rsidRPr="000C070F" w:rsidRDefault="00CC7363" w:rsidP="00EB6E12">
      <w:pPr>
        <w:pStyle w:val="Heading1"/>
        <w:numPr>
          <w:ilvl w:val="1"/>
          <w:numId w:val="3"/>
        </w:numPr>
        <w:ind w:left="426"/>
        <w:jc w:val="both"/>
        <w:rPr>
          <w:lang w:val="es-ES_tradnl"/>
        </w:rPr>
      </w:pPr>
      <w:r w:rsidRPr="000C070F">
        <w:rPr>
          <w:lang w:val="es-ES_tradnl"/>
        </w:rPr>
        <w:lastRenderedPageBreak/>
        <w:t xml:space="preserve">Informe Alianza para el Gobierno Abierto.  </w:t>
      </w:r>
    </w:p>
    <w:p w14:paraId="2BC93E95" w14:textId="77777777" w:rsidR="000C070F" w:rsidRPr="004F2FCE" w:rsidRDefault="000C070F" w:rsidP="00EB6E12">
      <w:pPr>
        <w:ind w:left="0"/>
        <w:jc w:val="both"/>
        <w:rPr>
          <w:color w:val="auto"/>
          <w:sz w:val="22"/>
          <w:szCs w:val="22"/>
          <w:lang w:val="es-ES_tradnl"/>
        </w:rPr>
      </w:pPr>
    </w:p>
    <w:p w14:paraId="6272B58A" w14:textId="779E372A" w:rsidR="009E16AA" w:rsidRPr="004F2FCE" w:rsidRDefault="001F61F3" w:rsidP="00EB6E12">
      <w:pPr>
        <w:ind w:left="0"/>
        <w:jc w:val="both"/>
        <w:rPr>
          <w:rStyle w:val="Hyperlink"/>
          <w:color w:val="auto"/>
          <w:sz w:val="22"/>
          <w:szCs w:val="22"/>
          <w:lang w:val="es-ES_tradnl"/>
        </w:rPr>
      </w:pPr>
      <w:r w:rsidRPr="004F2FCE">
        <w:rPr>
          <w:color w:val="auto"/>
          <w:sz w:val="22"/>
          <w:szCs w:val="22"/>
          <w:lang w:val="es-ES_tradnl"/>
        </w:rPr>
        <w:t xml:space="preserve">El 7 de noviembre de 2011 </w:t>
      </w:r>
      <w:r w:rsidR="000C070F" w:rsidRPr="004F2FCE">
        <w:rPr>
          <w:color w:val="auto"/>
          <w:sz w:val="22"/>
          <w:szCs w:val="22"/>
          <w:lang w:val="es-ES_tradnl"/>
        </w:rPr>
        <w:t xml:space="preserve">Paraguay </w:t>
      </w:r>
      <w:r w:rsidRPr="004F2FCE">
        <w:rPr>
          <w:color w:val="auto"/>
          <w:sz w:val="22"/>
          <w:szCs w:val="22"/>
          <w:lang w:val="es-ES_tradnl"/>
        </w:rPr>
        <w:t xml:space="preserve">solicita formalmente ser parte de la </w:t>
      </w:r>
      <w:r w:rsidR="000C070F" w:rsidRPr="004F2FCE">
        <w:rPr>
          <w:color w:val="auto"/>
          <w:sz w:val="22"/>
          <w:szCs w:val="22"/>
          <w:lang w:val="es-ES_tradnl"/>
        </w:rPr>
        <w:t>AGA. A con</w:t>
      </w:r>
      <w:r w:rsidR="00EB6E12" w:rsidRPr="004F2FCE">
        <w:rPr>
          <w:color w:val="auto"/>
          <w:sz w:val="22"/>
          <w:szCs w:val="22"/>
          <w:lang w:val="es-ES_tradnl"/>
        </w:rPr>
        <w:t xml:space="preserve">tinuación </w:t>
      </w:r>
      <w:r w:rsidRPr="004F2FCE">
        <w:rPr>
          <w:color w:val="auto"/>
          <w:sz w:val="22"/>
          <w:szCs w:val="22"/>
          <w:lang w:val="es-ES_tradnl"/>
        </w:rPr>
        <w:t xml:space="preserve">se detalla </w:t>
      </w:r>
      <w:r w:rsidR="00EB6E12" w:rsidRPr="004F2FCE">
        <w:rPr>
          <w:color w:val="auto"/>
          <w:sz w:val="22"/>
          <w:szCs w:val="22"/>
          <w:lang w:val="es-ES_tradnl"/>
        </w:rPr>
        <w:t>una breve reseña de l</w:t>
      </w:r>
      <w:r w:rsidR="000C070F" w:rsidRPr="004F2FCE">
        <w:rPr>
          <w:color w:val="auto"/>
          <w:sz w:val="22"/>
          <w:szCs w:val="22"/>
          <w:lang w:val="es-ES_tradnl"/>
        </w:rPr>
        <w:t>o</w:t>
      </w:r>
      <w:r w:rsidR="00EB6E12" w:rsidRPr="004F2FCE">
        <w:rPr>
          <w:color w:val="auto"/>
          <w:sz w:val="22"/>
          <w:szCs w:val="22"/>
          <w:lang w:val="es-ES_tradnl"/>
        </w:rPr>
        <w:t>s</w:t>
      </w:r>
      <w:r w:rsidR="000C070F" w:rsidRPr="004F2FCE">
        <w:rPr>
          <w:color w:val="auto"/>
          <w:sz w:val="22"/>
          <w:szCs w:val="22"/>
          <w:lang w:val="es-ES_tradnl"/>
        </w:rPr>
        <w:t xml:space="preserve"> compromisos</w:t>
      </w:r>
      <w:r w:rsidRPr="004F2FCE">
        <w:rPr>
          <w:color w:val="auto"/>
          <w:sz w:val="22"/>
          <w:szCs w:val="22"/>
          <w:lang w:val="es-ES_tradnl"/>
        </w:rPr>
        <w:t xml:space="preserve"> cumplidos y pendientes</w:t>
      </w:r>
      <w:r w:rsidR="000C070F" w:rsidRPr="004F2FCE">
        <w:rPr>
          <w:color w:val="auto"/>
          <w:sz w:val="22"/>
          <w:szCs w:val="22"/>
          <w:lang w:val="es-ES_tradnl"/>
        </w:rPr>
        <w:t xml:space="preserve"> asumidos en los Planes de Acción de la AGA</w:t>
      </w:r>
      <w:r w:rsidRPr="004F2FCE">
        <w:rPr>
          <w:color w:val="auto"/>
          <w:sz w:val="22"/>
          <w:szCs w:val="22"/>
          <w:lang w:val="es-ES_tradnl"/>
        </w:rPr>
        <w:t xml:space="preserve"> </w:t>
      </w:r>
    </w:p>
    <w:p w14:paraId="65AB600C" w14:textId="77777777" w:rsidR="000C070F" w:rsidRPr="004F2FCE" w:rsidRDefault="000C070F" w:rsidP="00EB6E12">
      <w:pPr>
        <w:ind w:left="0"/>
        <w:jc w:val="both"/>
        <w:rPr>
          <w:color w:val="auto"/>
          <w:sz w:val="22"/>
          <w:szCs w:val="22"/>
          <w:lang w:val="es-ES_tradnl"/>
        </w:rPr>
      </w:pPr>
    </w:p>
    <w:p w14:paraId="7A90A24B" w14:textId="77777777" w:rsidR="00A120F7" w:rsidRPr="004F2FCE" w:rsidRDefault="00A120F7" w:rsidP="00EB6E12">
      <w:pPr>
        <w:pStyle w:val="ListParagraph"/>
        <w:numPr>
          <w:ilvl w:val="0"/>
          <w:numId w:val="14"/>
        </w:numPr>
        <w:jc w:val="both"/>
        <w:rPr>
          <w:color w:val="auto"/>
          <w:sz w:val="22"/>
          <w:szCs w:val="22"/>
          <w:lang w:val="es-ES_tradnl"/>
        </w:rPr>
      </w:pPr>
      <w:r w:rsidRPr="004F2FCE">
        <w:rPr>
          <w:color w:val="auto"/>
          <w:sz w:val="22"/>
          <w:szCs w:val="22"/>
          <w:lang w:val="es-ES_tradnl"/>
        </w:rPr>
        <w:t xml:space="preserve">De los 15 compromisos adoptados por el gobierno Paraguayo en su Primer Plan de Acción 2012 “Gobierno Abierto – </w:t>
      </w:r>
      <w:proofErr w:type="spellStart"/>
      <w:r w:rsidRPr="004F2FCE">
        <w:rPr>
          <w:color w:val="auto"/>
          <w:sz w:val="22"/>
          <w:szCs w:val="22"/>
          <w:lang w:val="es-ES_tradnl"/>
        </w:rPr>
        <w:t>Jaguata</w:t>
      </w:r>
      <w:proofErr w:type="spellEnd"/>
      <w:r w:rsidRPr="004F2FCE">
        <w:rPr>
          <w:color w:val="auto"/>
          <w:sz w:val="22"/>
          <w:szCs w:val="22"/>
          <w:lang w:val="es-ES_tradnl"/>
        </w:rPr>
        <w:t xml:space="preserve"> </w:t>
      </w:r>
      <w:proofErr w:type="spellStart"/>
      <w:r w:rsidRPr="004F2FCE">
        <w:rPr>
          <w:color w:val="auto"/>
          <w:sz w:val="22"/>
          <w:szCs w:val="22"/>
          <w:lang w:val="es-ES_tradnl"/>
        </w:rPr>
        <w:t>Oñondivepa</w:t>
      </w:r>
      <w:proofErr w:type="spellEnd"/>
      <w:r w:rsidRPr="004F2FCE">
        <w:rPr>
          <w:color w:val="auto"/>
          <w:sz w:val="22"/>
          <w:szCs w:val="22"/>
          <w:lang w:val="es-ES_tradnl"/>
        </w:rPr>
        <w:t>” únicamente se han cumplido con tres:</w:t>
      </w:r>
    </w:p>
    <w:p w14:paraId="19AF13B4" w14:textId="77777777" w:rsidR="00A120F7" w:rsidRPr="004F2FCE" w:rsidRDefault="00A120F7" w:rsidP="00EB6E12">
      <w:pPr>
        <w:pStyle w:val="ListParagraph"/>
        <w:numPr>
          <w:ilvl w:val="1"/>
          <w:numId w:val="14"/>
        </w:numPr>
        <w:jc w:val="both"/>
        <w:rPr>
          <w:color w:val="auto"/>
          <w:sz w:val="22"/>
          <w:szCs w:val="22"/>
          <w:lang w:val="es-ES_tradnl"/>
        </w:rPr>
      </w:pPr>
      <w:r w:rsidRPr="004F2FCE">
        <w:rPr>
          <w:color w:val="auto"/>
          <w:sz w:val="22"/>
          <w:szCs w:val="22"/>
          <w:lang w:val="es-ES_tradnl"/>
        </w:rPr>
        <w:t>Sistema de intercambio de información entre instituciones de Gobierno (SII): con el desarrollo de una aplicación informática que permite el intercambio de información entre instituciones del gobierno</w:t>
      </w:r>
    </w:p>
    <w:p w14:paraId="6C93AEFD" w14:textId="77777777" w:rsidR="00A120F7" w:rsidRPr="004F2FCE" w:rsidRDefault="00A120F7" w:rsidP="00EB6E12">
      <w:pPr>
        <w:pStyle w:val="ListParagraph"/>
        <w:numPr>
          <w:ilvl w:val="1"/>
          <w:numId w:val="14"/>
        </w:numPr>
        <w:jc w:val="both"/>
        <w:rPr>
          <w:color w:val="auto"/>
          <w:sz w:val="22"/>
          <w:szCs w:val="22"/>
          <w:lang w:val="es-ES_tradnl"/>
        </w:rPr>
      </w:pPr>
      <w:r w:rsidRPr="004F2FCE">
        <w:rPr>
          <w:color w:val="auto"/>
          <w:sz w:val="22"/>
          <w:szCs w:val="22"/>
          <w:lang w:val="es-ES_tradnl"/>
        </w:rPr>
        <w:t>Sistema de compras por catálogo electrónico: fortalecimiento del sistema nacional de contrataciones públicas, apuntando sobre todo a la simplificación y mayor transparencia de los procesos de compras y contrataciones</w:t>
      </w:r>
    </w:p>
    <w:p w14:paraId="78AD0E80" w14:textId="77777777" w:rsidR="00A120F7" w:rsidRPr="004F2FCE" w:rsidRDefault="00A120F7" w:rsidP="00EB6E12">
      <w:pPr>
        <w:pStyle w:val="ListParagraph"/>
        <w:numPr>
          <w:ilvl w:val="1"/>
          <w:numId w:val="14"/>
        </w:numPr>
        <w:jc w:val="both"/>
        <w:rPr>
          <w:color w:val="auto"/>
          <w:sz w:val="22"/>
          <w:szCs w:val="22"/>
          <w:lang w:val="es-ES_tradnl"/>
        </w:rPr>
      </w:pPr>
      <w:r w:rsidRPr="004F2FCE">
        <w:rPr>
          <w:color w:val="auto"/>
          <w:sz w:val="22"/>
          <w:szCs w:val="22"/>
          <w:lang w:val="es-ES_tradnl"/>
        </w:rPr>
        <w:t>Sistema integrado de control de la carrera administrativa (SICCA): implementación de un sistema de gestión de personas y el Portal Único de Empleo Público “Paraguay Concursa”.</w:t>
      </w:r>
    </w:p>
    <w:p w14:paraId="2212489A" w14:textId="77777777" w:rsidR="00A120F7" w:rsidRPr="004F2FCE" w:rsidRDefault="00A120F7" w:rsidP="00EB6E12">
      <w:pPr>
        <w:pStyle w:val="ListParagraph"/>
        <w:ind w:left="1440"/>
        <w:jc w:val="both"/>
        <w:rPr>
          <w:color w:val="auto"/>
          <w:sz w:val="22"/>
          <w:szCs w:val="22"/>
          <w:lang w:val="es-ES_tradnl"/>
        </w:rPr>
      </w:pPr>
    </w:p>
    <w:p w14:paraId="3277F86A" w14:textId="77777777" w:rsidR="00A120F7" w:rsidRPr="004F2FCE" w:rsidRDefault="00CC7363" w:rsidP="00EB6E12">
      <w:pPr>
        <w:pStyle w:val="ListParagraph"/>
        <w:numPr>
          <w:ilvl w:val="0"/>
          <w:numId w:val="14"/>
        </w:numPr>
        <w:jc w:val="both"/>
        <w:rPr>
          <w:color w:val="auto"/>
          <w:sz w:val="22"/>
          <w:szCs w:val="22"/>
          <w:lang w:val="es-ES_tradnl"/>
        </w:rPr>
      </w:pPr>
      <w:r w:rsidRPr="004F2FCE">
        <w:rPr>
          <w:color w:val="auto"/>
          <w:sz w:val="22"/>
          <w:szCs w:val="22"/>
          <w:lang w:val="es-ES_tradnl"/>
        </w:rPr>
        <w:t>El plan 2014-2016 incluye nuev</w:t>
      </w:r>
      <w:r w:rsidR="00A120F7" w:rsidRPr="004F2FCE">
        <w:rPr>
          <w:color w:val="auto"/>
          <w:sz w:val="22"/>
          <w:szCs w:val="22"/>
          <w:lang w:val="es-ES_tradnl"/>
        </w:rPr>
        <w:t>e medidas en tres áreas transparencia, participación ciudadana y rendición de cuentas:</w:t>
      </w:r>
    </w:p>
    <w:p w14:paraId="3F81C463" w14:textId="489F4A42" w:rsidR="00A120F7" w:rsidRPr="004F2FCE" w:rsidRDefault="00A120F7" w:rsidP="00EB6E12">
      <w:pPr>
        <w:pStyle w:val="ListParagraph"/>
        <w:numPr>
          <w:ilvl w:val="1"/>
          <w:numId w:val="14"/>
        </w:numPr>
        <w:jc w:val="both"/>
        <w:rPr>
          <w:color w:val="auto"/>
          <w:sz w:val="22"/>
          <w:szCs w:val="22"/>
          <w:lang w:val="es-ES_tradnl"/>
        </w:rPr>
      </w:pPr>
      <w:r w:rsidRPr="004F2FCE">
        <w:rPr>
          <w:color w:val="auto"/>
          <w:sz w:val="22"/>
          <w:szCs w:val="22"/>
          <w:lang w:val="es-ES_tradnl"/>
        </w:rPr>
        <w:t xml:space="preserve">Compromiso 1: Promulgación e implementación de la Ley de libre acceso ciudadano a la información </w:t>
      </w:r>
      <w:r w:rsidR="005A0E35" w:rsidRPr="004F2FCE">
        <w:rPr>
          <w:color w:val="auto"/>
          <w:sz w:val="22"/>
          <w:szCs w:val="22"/>
          <w:lang w:val="es-ES_tradnl"/>
        </w:rPr>
        <w:t>pública</w:t>
      </w:r>
      <w:r w:rsidRPr="004F2FCE">
        <w:rPr>
          <w:color w:val="auto"/>
          <w:sz w:val="22"/>
          <w:szCs w:val="22"/>
          <w:lang w:val="es-ES_tradnl"/>
        </w:rPr>
        <w:t xml:space="preserve"> y transparencia gubernamental</w:t>
      </w:r>
    </w:p>
    <w:p w14:paraId="7057E78C" w14:textId="77777777" w:rsidR="00A120F7" w:rsidRPr="004F2FCE" w:rsidRDefault="00A120F7" w:rsidP="00EB6E12">
      <w:pPr>
        <w:pStyle w:val="ListParagraph"/>
        <w:numPr>
          <w:ilvl w:val="1"/>
          <w:numId w:val="14"/>
        </w:numPr>
        <w:jc w:val="both"/>
        <w:rPr>
          <w:color w:val="auto"/>
          <w:sz w:val="22"/>
          <w:szCs w:val="22"/>
          <w:lang w:val="es-ES_tradnl"/>
        </w:rPr>
      </w:pPr>
      <w:r w:rsidRPr="004F2FCE">
        <w:rPr>
          <w:color w:val="auto"/>
          <w:sz w:val="22"/>
          <w:szCs w:val="22"/>
          <w:lang w:val="es-ES_tradnl"/>
        </w:rPr>
        <w:t>Compromiso 2: Diseño e implementación de una política de datos abiertos y promoción de la generación de capacidades en la Sociedad Civil para su utilización</w:t>
      </w:r>
    </w:p>
    <w:p w14:paraId="775AE10A" w14:textId="77777777" w:rsidR="00A120F7" w:rsidRPr="004F2FCE" w:rsidRDefault="00A120F7" w:rsidP="00EB6E12">
      <w:pPr>
        <w:pStyle w:val="ListParagraph"/>
        <w:numPr>
          <w:ilvl w:val="1"/>
          <w:numId w:val="14"/>
        </w:numPr>
        <w:jc w:val="both"/>
        <w:rPr>
          <w:color w:val="auto"/>
          <w:sz w:val="22"/>
          <w:szCs w:val="22"/>
          <w:lang w:val="es-ES_tradnl"/>
        </w:rPr>
      </w:pPr>
      <w:r w:rsidRPr="004F2FCE">
        <w:rPr>
          <w:color w:val="auto"/>
          <w:sz w:val="22"/>
          <w:szCs w:val="22"/>
          <w:lang w:val="es-ES_tradnl"/>
        </w:rPr>
        <w:t>Compromiso 3: Generación de capacidades en la ciudadanía sobre la gestión presupuestaria del sector público</w:t>
      </w:r>
    </w:p>
    <w:p w14:paraId="74782E25" w14:textId="77777777" w:rsidR="00A120F7" w:rsidRPr="004F2FCE" w:rsidRDefault="00A120F7" w:rsidP="00EB6E12">
      <w:pPr>
        <w:pStyle w:val="ListParagraph"/>
        <w:numPr>
          <w:ilvl w:val="1"/>
          <w:numId w:val="14"/>
        </w:numPr>
        <w:jc w:val="both"/>
        <w:rPr>
          <w:color w:val="auto"/>
          <w:sz w:val="22"/>
          <w:szCs w:val="22"/>
          <w:lang w:val="es-ES_tradnl"/>
        </w:rPr>
      </w:pPr>
      <w:r w:rsidRPr="004F2FCE">
        <w:rPr>
          <w:color w:val="auto"/>
          <w:sz w:val="22"/>
          <w:szCs w:val="22"/>
          <w:lang w:val="es-ES_tradnl"/>
        </w:rPr>
        <w:t>Compromiso 4: Transparencia y Acceso a la Información de proyectos públicos emblemáticos</w:t>
      </w:r>
    </w:p>
    <w:p w14:paraId="418F48D6" w14:textId="77777777" w:rsidR="00A120F7" w:rsidRPr="004F2FCE" w:rsidRDefault="00A120F7" w:rsidP="00EB6E12">
      <w:pPr>
        <w:pStyle w:val="ListParagraph"/>
        <w:numPr>
          <w:ilvl w:val="1"/>
          <w:numId w:val="14"/>
        </w:numPr>
        <w:jc w:val="both"/>
        <w:rPr>
          <w:color w:val="auto"/>
          <w:sz w:val="22"/>
          <w:szCs w:val="22"/>
          <w:lang w:val="es-ES_tradnl"/>
        </w:rPr>
      </w:pPr>
      <w:r w:rsidRPr="004F2FCE">
        <w:rPr>
          <w:color w:val="auto"/>
          <w:sz w:val="22"/>
          <w:szCs w:val="22"/>
          <w:lang w:val="es-ES_tradnl"/>
        </w:rPr>
        <w:t>Compromiso 5: Seguimiento del Plan de Acción de Gobierno Abierto 2014-2016</w:t>
      </w:r>
    </w:p>
    <w:p w14:paraId="30EA1C46" w14:textId="77777777" w:rsidR="00A120F7" w:rsidRPr="004F2FCE" w:rsidRDefault="00A120F7" w:rsidP="00EB6E12">
      <w:pPr>
        <w:pStyle w:val="ListParagraph"/>
        <w:numPr>
          <w:ilvl w:val="1"/>
          <w:numId w:val="14"/>
        </w:numPr>
        <w:jc w:val="both"/>
        <w:rPr>
          <w:color w:val="auto"/>
          <w:sz w:val="22"/>
          <w:szCs w:val="22"/>
          <w:lang w:val="es-ES_tradnl"/>
        </w:rPr>
      </w:pPr>
      <w:r w:rsidRPr="004F2FCE">
        <w:rPr>
          <w:color w:val="auto"/>
          <w:sz w:val="22"/>
          <w:szCs w:val="22"/>
          <w:lang w:val="es-ES_tradnl"/>
        </w:rPr>
        <w:t>Compromiso 6: Implementación de canales de diálogo social y participación ciudadana para la consulta y el monitoreo de políticas publicas</w:t>
      </w:r>
    </w:p>
    <w:p w14:paraId="204B7DCD" w14:textId="77777777" w:rsidR="00A120F7" w:rsidRPr="004F2FCE" w:rsidRDefault="00A120F7" w:rsidP="00EB6E12">
      <w:pPr>
        <w:pStyle w:val="ListParagraph"/>
        <w:numPr>
          <w:ilvl w:val="1"/>
          <w:numId w:val="14"/>
        </w:numPr>
        <w:jc w:val="both"/>
        <w:rPr>
          <w:color w:val="auto"/>
          <w:sz w:val="22"/>
          <w:szCs w:val="22"/>
          <w:lang w:val="es-ES_tradnl"/>
        </w:rPr>
      </w:pPr>
      <w:r w:rsidRPr="004F2FCE">
        <w:rPr>
          <w:color w:val="auto"/>
          <w:sz w:val="22"/>
          <w:szCs w:val="22"/>
          <w:lang w:val="es-ES_tradnl"/>
        </w:rPr>
        <w:t>Compromiso 7: Creación y/o fortalecimiento de 50 Consejos de Desarrollo Municipal.</w:t>
      </w:r>
    </w:p>
    <w:p w14:paraId="0B25E92F" w14:textId="77777777" w:rsidR="00A120F7" w:rsidRPr="004F2FCE" w:rsidRDefault="00A120F7" w:rsidP="00EB6E12">
      <w:pPr>
        <w:pStyle w:val="ListParagraph"/>
        <w:numPr>
          <w:ilvl w:val="1"/>
          <w:numId w:val="14"/>
        </w:numPr>
        <w:jc w:val="both"/>
        <w:rPr>
          <w:color w:val="auto"/>
          <w:sz w:val="22"/>
          <w:szCs w:val="22"/>
          <w:lang w:val="es-ES_tradnl"/>
        </w:rPr>
      </w:pPr>
      <w:r w:rsidRPr="004F2FCE">
        <w:rPr>
          <w:color w:val="auto"/>
          <w:sz w:val="22"/>
          <w:szCs w:val="22"/>
          <w:lang w:val="es-ES_tradnl"/>
        </w:rPr>
        <w:t>Compromiso 8: Tablero de Control Ciudadano del Programa Nacional de Reducción de la Pobreza “Sembrando Oportunidades”</w:t>
      </w:r>
    </w:p>
    <w:p w14:paraId="486F5D08" w14:textId="77777777" w:rsidR="00A120F7" w:rsidRPr="004F2FCE" w:rsidRDefault="00A120F7" w:rsidP="00EB6E12">
      <w:pPr>
        <w:pStyle w:val="ListParagraph"/>
        <w:numPr>
          <w:ilvl w:val="1"/>
          <w:numId w:val="14"/>
        </w:numPr>
        <w:jc w:val="both"/>
        <w:rPr>
          <w:color w:val="auto"/>
          <w:sz w:val="22"/>
          <w:szCs w:val="22"/>
          <w:lang w:val="es-ES_tradnl"/>
        </w:rPr>
      </w:pPr>
      <w:r w:rsidRPr="004F2FCE">
        <w:rPr>
          <w:color w:val="auto"/>
          <w:sz w:val="22"/>
          <w:szCs w:val="22"/>
          <w:lang w:val="es-ES_tradnl"/>
        </w:rPr>
        <w:t xml:space="preserve">Compromiso 9: Creación de un Sistema de Trámites Jurídicos Electrónicos en Contrataciones Públicas de acceso público. </w:t>
      </w:r>
    </w:p>
    <w:p w14:paraId="1221EEA4" w14:textId="77777777" w:rsidR="00F2101D" w:rsidRDefault="00F2101D" w:rsidP="00EB6E12">
      <w:pPr>
        <w:ind w:left="0"/>
        <w:jc w:val="both"/>
        <w:rPr>
          <w:color w:val="auto"/>
          <w:sz w:val="22"/>
          <w:szCs w:val="22"/>
          <w:lang w:val="es-ES_tradnl"/>
        </w:rPr>
      </w:pPr>
    </w:p>
    <w:p w14:paraId="506813DD" w14:textId="63FA3DCE" w:rsidR="00EB6E12" w:rsidRDefault="000C070F" w:rsidP="00EB6E12">
      <w:pPr>
        <w:ind w:left="0"/>
        <w:jc w:val="both"/>
        <w:rPr>
          <w:color w:val="auto"/>
          <w:sz w:val="22"/>
          <w:szCs w:val="22"/>
          <w:lang w:val="es-ES_tradnl"/>
        </w:rPr>
      </w:pPr>
      <w:r w:rsidRPr="004F2FCE">
        <w:rPr>
          <w:color w:val="auto"/>
          <w:sz w:val="22"/>
          <w:szCs w:val="22"/>
          <w:lang w:val="es-ES_tradnl"/>
        </w:rPr>
        <w:lastRenderedPageBreak/>
        <w:t>Para mayor detalle ver</w:t>
      </w:r>
      <w:r>
        <w:rPr>
          <w:color w:val="auto"/>
          <w:sz w:val="22"/>
          <w:szCs w:val="22"/>
          <w:lang w:val="es-ES_tradnl"/>
        </w:rPr>
        <w:t>:</w:t>
      </w:r>
    </w:p>
    <w:p w14:paraId="43CEDE86" w14:textId="77777777" w:rsidR="00CC7363" w:rsidRPr="00937DC6" w:rsidRDefault="00405B54" w:rsidP="00EB6E12">
      <w:pPr>
        <w:ind w:left="0"/>
        <w:jc w:val="both"/>
        <w:rPr>
          <w:color w:val="auto"/>
          <w:sz w:val="22"/>
          <w:szCs w:val="22"/>
          <w:lang w:val="es-ES_tradnl"/>
        </w:rPr>
      </w:pPr>
      <w:hyperlink r:id="rId21" w:history="1">
        <w:r w:rsidR="000C070F" w:rsidRPr="00256231">
          <w:rPr>
            <w:rStyle w:val="Hyperlink"/>
            <w:sz w:val="22"/>
            <w:szCs w:val="22"/>
            <w:lang w:val="es-ES_tradnl"/>
          </w:rPr>
          <w:t>http://www.opengovpartnership.org/sites/default/files/PLAN%20DE%20ACCI%C3%93N%20GOBIERNO%20ABIERTO%20ingl%C3%A9s_0.pdf</w:t>
        </w:r>
      </w:hyperlink>
    </w:p>
    <w:p w14:paraId="74A90DDF" w14:textId="77777777" w:rsidR="000B0815" w:rsidRDefault="009911A9" w:rsidP="00EB6E12">
      <w:pPr>
        <w:pStyle w:val="Heading1"/>
        <w:numPr>
          <w:ilvl w:val="1"/>
          <w:numId w:val="3"/>
        </w:numPr>
        <w:ind w:left="426"/>
        <w:jc w:val="both"/>
        <w:rPr>
          <w:lang w:val="es-ES_tradnl"/>
        </w:rPr>
      </w:pPr>
      <w:r>
        <w:rPr>
          <w:lang w:val="es-ES_tradnl"/>
        </w:rPr>
        <w:t>Otras M</w:t>
      </w:r>
      <w:r w:rsidR="00EB6E12">
        <w:rPr>
          <w:lang w:val="es-ES_tradnl"/>
        </w:rPr>
        <w:t>edidas</w:t>
      </w:r>
      <w:r>
        <w:rPr>
          <w:lang w:val="es-ES_tradnl"/>
        </w:rPr>
        <w:t xml:space="preserve"> </w:t>
      </w:r>
    </w:p>
    <w:p w14:paraId="148615AE" w14:textId="77777777" w:rsidR="009911A9" w:rsidRDefault="009911A9" w:rsidP="009911A9">
      <w:pPr>
        <w:ind w:left="0"/>
        <w:rPr>
          <w:lang w:val="es-ES_tradnl"/>
        </w:rPr>
      </w:pPr>
    </w:p>
    <w:p w14:paraId="76FA7CD0" w14:textId="77777777" w:rsidR="009911A9" w:rsidRPr="004F2FCE" w:rsidRDefault="009911A9" w:rsidP="001F61F3">
      <w:pPr>
        <w:pStyle w:val="ListParagraph"/>
        <w:numPr>
          <w:ilvl w:val="0"/>
          <w:numId w:val="18"/>
        </w:numPr>
        <w:jc w:val="both"/>
        <w:rPr>
          <w:color w:val="auto"/>
          <w:sz w:val="22"/>
          <w:szCs w:val="22"/>
          <w:lang w:val="es-ES_tradnl"/>
        </w:rPr>
      </w:pPr>
      <w:r w:rsidRPr="004F2FCE">
        <w:rPr>
          <w:color w:val="auto"/>
          <w:sz w:val="22"/>
          <w:szCs w:val="22"/>
          <w:lang w:val="es-ES_tradnl"/>
        </w:rPr>
        <w:t xml:space="preserve">Mediante Decreto </w:t>
      </w:r>
      <w:proofErr w:type="spellStart"/>
      <w:r w:rsidRPr="004F2FCE">
        <w:rPr>
          <w:color w:val="auto"/>
          <w:sz w:val="22"/>
          <w:szCs w:val="22"/>
          <w:lang w:val="es-ES_tradnl"/>
        </w:rPr>
        <w:t>N°</w:t>
      </w:r>
      <w:proofErr w:type="spellEnd"/>
      <w:r w:rsidRPr="004F2FCE">
        <w:rPr>
          <w:color w:val="auto"/>
          <w:sz w:val="22"/>
          <w:szCs w:val="22"/>
          <w:lang w:val="es-ES_tradnl"/>
        </w:rPr>
        <w:t xml:space="preserve"> 10.144 firmado en Noviembre 2012 se crea la </w:t>
      </w:r>
      <w:r w:rsidRPr="004F2FCE">
        <w:rPr>
          <w:b/>
          <w:color w:val="auto"/>
          <w:sz w:val="22"/>
          <w:szCs w:val="22"/>
          <w:lang w:val="es-ES_tradnl"/>
        </w:rPr>
        <w:t>Secretaría Nacional Anticorrupción</w:t>
      </w:r>
      <w:r w:rsidR="00853BE0" w:rsidRPr="004F2FCE">
        <w:rPr>
          <w:b/>
          <w:color w:val="auto"/>
          <w:sz w:val="22"/>
          <w:szCs w:val="22"/>
          <w:lang w:val="es-ES_tradnl"/>
        </w:rPr>
        <w:t xml:space="preserve"> (SENAC)</w:t>
      </w:r>
      <w:r w:rsidRPr="004F2FCE">
        <w:rPr>
          <w:color w:val="auto"/>
          <w:sz w:val="22"/>
          <w:szCs w:val="22"/>
          <w:lang w:val="es-ES_tradnl"/>
        </w:rPr>
        <w:t xml:space="preserve">, dependiente de la Presidencia de la República con la misión de liderar la aplicación de políticas de transparencia de gestión y lucha contra la corrupción en todas las instituciones del Poder Ejecutivo, impulsando estrategias y </w:t>
      </w:r>
      <w:r w:rsidR="00853BE0" w:rsidRPr="004F2FCE">
        <w:rPr>
          <w:color w:val="auto"/>
          <w:sz w:val="22"/>
          <w:szCs w:val="22"/>
          <w:lang w:val="es-ES_tradnl"/>
        </w:rPr>
        <w:t>mecanismos</w:t>
      </w:r>
      <w:r w:rsidRPr="004F2FCE">
        <w:rPr>
          <w:color w:val="auto"/>
          <w:sz w:val="22"/>
          <w:szCs w:val="22"/>
          <w:lang w:val="es-ES_tradnl"/>
        </w:rPr>
        <w:t xml:space="preserve"> que garanticen la articulación de las instituciones del sector púbico y de actores sociales en el compromiso nacional de construir un país libre de corrupción </w:t>
      </w:r>
    </w:p>
    <w:p w14:paraId="02933825" w14:textId="0EB35B69" w:rsidR="00853BE0" w:rsidRPr="004F2FCE" w:rsidRDefault="00853BE0" w:rsidP="001F61F3">
      <w:pPr>
        <w:pStyle w:val="ListParagraph"/>
        <w:numPr>
          <w:ilvl w:val="0"/>
          <w:numId w:val="18"/>
        </w:numPr>
        <w:jc w:val="both"/>
        <w:rPr>
          <w:color w:val="auto"/>
          <w:sz w:val="22"/>
          <w:szCs w:val="22"/>
          <w:lang w:val="es-ES_tradnl"/>
        </w:rPr>
      </w:pPr>
      <w:r w:rsidRPr="004F2FCE">
        <w:rPr>
          <w:color w:val="auto"/>
          <w:sz w:val="22"/>
          <w:szCs w:val="22"/>
          <w:lang w:val="es-ES_tradnl"/>
        </w:rPr>
        <w:t xml:space="preserve">Bajo la coordinación de SENAC </w:t>
      </w:r>
      <w:r w:rsidR="001F61F3" w:rsidRPr="004F2FCE">
        <w:rPr>
          <w:color w:val="auto"/>
          <w:sz w:val="22"/>
          <w:szCs w:val="22"/>
          <w:lang w:val="es-ES_tradnl"/>
        </w:rPr>
        <w:t xml:space="preserve">el 31 de marzo de 2016 </w:t>
      </w:r>
      <w:r w:rsidRPr="004F2FCE">
        <w:rPr>
          <w:color w:val="auto"/>
          <w:sz w:val="22"/>
          <w:szCs w:val="22"/>
          <w:lang w:val="es-ES_tradnl"/>
        </w:rPr>
        <w:t xml:space="preserve">se </w:t>
      </w:r>
      <w:r w:rsidR="001F61F3" w:rsidRPr="004F2FCE">
        <w:rPr>
          <w:color w:val="auto"/>
          <w:sz w:val="22"/>
          <w:szCs w:val="22"/>
          <w:lang w:val="es-ES_tradnl"/>
        </w:rPr>
        <w:t>present</w:t>
      </w:r>
      <w:r w:rsidRPr="004F2FCE">
        <w:rPr>
          <w:color w:val="auto"/>
          <w:sz w:val="22"/>
          <w:szCs w:val="22"/>
          <w:lang w:val="es-ES_tradnl"/>
        </w:rPr>
        <w:t xml:space="preserve">a el </w:t>
      </w:r>
      <w:r w:rsidRPr="004F2FCE">
        <w:rPr>
          <w:b/>
          <w:color w:val="auto"/>
          <w:sz w:val="22"/>
          <w:szCs w:val="22"/>
          <w:lang w:val="es-ES_tradnl"/>
        </w:rPr>
        <w:t>Plan Nacional de Prevención de la corrupción del Paraguay</w:t>
      </w:r>
      <w:r w:rsidR="001F61F3" w:rsidRPr="004F2FCE">
        <w:rPr>
          <w:b/>
          <w:color w:val="auto"/>
          <w:sz w:val="22"/>
          <w:szCs w:val="22"/>
          <w:lang w:val="es-ES_tradnl"/>
        </w:rPr>
        <w:t xml:space="preserve"> </w:t>
      </w:r>
      <w:r w:rsidR="001F61F3" w:rsidRPr="004F2FCE">
        <w:rPr>
          <w:color w:val="auto"/>
          <w:sz w:val="22"/>
          <w:szCs w:val="22"/>
          <w:lang w:val="es-ES_tradnl"/>
        </w:rPr>
        <w:t xml:space="preserve">(aprobado mediante decreto </w:t>
      </w:r>
      <w:proofErr w:type="spellStart"/>
      <w:r w:rsidR="001F61F3" w:rsidRPr="004F2FCE">
        <w:rPr>
          <w:color w:val="auto"/>
          <w:sz w:val="22"/>
          <w:szCs w:val="22"/>
          <w:lang w:val="es-ES_tradnl"/>
        </w:rPr>
        <w:t>N°</w:t>
      </w:r>
      <w:proofErr w:type="spellEnd"/>
      <w:r w:rsidR="001F61F3" w:rsidRPr="004F2FCE">
        <w:rPr>
          <w:color w:val="auto"/>
          <w:sz w:val="22"/>
          <w:szCs w:val="22"/>
          <w:lang w:val="es-ES_tradnl"/>
        </w:rPr>
        <w:t xml:space="preserve"> 4.900)</w:t>
      </w:r>
      <w:r w:rsidRPr="004F2FCE">
        <w:rPr>
          <w:color w:val="auto"/>
          <w:sz w:val="22"/>
          <w:szCs w:val="22"/>
          <w:lang w:val="es-ES_tradnl"/>
        </w:rPr>
        <w:t>, cuyo principal foco es el fortalecimiento de las políticas preventivas de la corrupción enmarcados en nueve ejes temáticos estratégicos</w:t>
      </w:r>
    </w:p>
    <w:p w14:paraId="64DD8B3A" w14:textId="143EA713" w:rsidR="00853BE0" w:rsidRPr="004F2FCE" w:rsidRDefault="00853BE0" w:rsidP="001F61F3">
      <w:pPr>
        <w:pStyle w:val="ListParagraph"/>
        <w:numPr>
          <w:ilvl w:val="1"/>
          <w:numId w:val="18"/>
        </w:numPr>
        <w:jc w:val="both"/>
        <w:rPr>
          <w:color w:val="auto"/>
          <w:sz w:val="22"/>
          <w:szCs w:val="22"/>
          <w:lang w:val="es-ES_tradnl"/>
        </w:rPr>
      </w:pPr>
      <w:r w:rsidRPr="004F2FCE">
        <w:rPr>
          <w:color w:val="auto"/>
          <w:sz w:val="22"/>
          <w:szCs w:val="22"/>
          <w:lang w:val="es-ES_tradnl"/>
        </w:rPr>
        <w:t xml:space="preserve">Fortalecimiento de SENAC, mediante una adecuación normativa (fortalecerle funcional y </w:t>
      </w:r>
      <w:r w:rsidR="004E3589" w:rsidRPr="004F2FCE">
        <w:rPr>
          <w:color w:val="auto"/>
          <w:sz w:val="22"/>
          <w:szCs w:val="22"/>
          <w:lang w:val="es-ES_tradnl"/>
        </w:rPr>
        <w:t>presupuestariamente</w:t>
      </w:r>
      <w:r w:rsidRPr="004F2FCE">
        <w:rPr>
          <w:color w:val="auto"/>
          <w:sz w:val="22"/>
          <w:szCs w:val="22"/>
          <w:lang w:val="es-ES_tradnl"/>
        </w:rPr>
        <w:t>).</w:t>
      </w:r>
    </w:p>
    <w:p w14:paraId="22331B39" w14:textId="77777777" w:rsidR="00853BE0" w:rsidRPr="004F2FCE" w:rsidRDefault="00853BE0" w:rsidP="001F61F3">
      <w:pPr>
        <w:pStyle w:val="ListParagraph"/>
        <w:numPr>
          <w:ilvl w:val="1"/>
          <w:numId w:val="18"/>
        </w:numPr>
        <w:jc w:val="both"/>
        <w:rPr>
          <w:color w:val="auto"/>
          <w:sz w:val="22"/>
          <w:szCs w:val="22"/>
          <w:lang w:val="es-ES_tradnl"/>
        </w:rPr>
      </w:pPr>
      <w:r w:rsidRPr="004F2FCE">
        <w:rPr>
          <w:color w:val="auto"/>
          <w:sz w:val="22"/>
          <w:szCs w:val="22"/>
          <w:lang w:val="es-ES_tradnl"/>
        </w:rPr>
        <w:t>Fortalecimiento de la Red Interinstitucional de Transparencia y Anticorrupción del Poder Ejecutivo</w:t>
      </w:r>
    </w:p>
    <w:p w14:paraId="1DA81A73" w14:textId="77777777" w:rsidR="00853BE0" w:rsidRPr="004F2FCE" w:rsidRDefault="00853BE0" w:rsidP="001F61F3">
      <w:pPr>
        <w:pStyle w:val="ListParagraph"/>
        <w:numPr>
          <w:ilvl w:val="1"/>
          <w:numId w:val="18"/>
        </w:numPr>
        <w:jc w:val="both"/>
        <w:rPr>
          <w:color w:val="auto"/>
          <w:sz w:val="22"/>
          <w:szCs w:val="22"/>
          <w:lang w:val="es-ES_tradnl"/>
        </w:rPr>
      </w:pPr>
      <w:r w:rsidRPr="004F2FCE">
        <w:rPr>
          <w:color w:val="auto"/>
          <w:sz w:val="22"/>
          <w:szCs w:val="22"/>
          <w:lang w:val="es-ES_tradnl"/>
        </w:rPr>
        <w:t>Consolidación del Modelo Estándar de Control Interno del Paraguay (MECIP) en cada una de las instituciones públicas del Poder Ejecutivo</w:t>
      </w:r>
    </w:p>
    <w:p w14:paraId="550B5EDB" w14:textId="77777777" w:rsidR="00853BE0" w:rsidRPr="004F2FCE" w:rsidRDefault="00853BE0" w:rsidP="001F61F3">
      <w:pPr>
        <w:pStyle w:val="ListParagraph"/>
        <w:numPr>
          <w:ilvl w:val="1"/>
          <w:numId w:val="18"/>
        </w:numPr>
        <w:jc w:val="both"/>
        <w:rPr>
          <w:color w:val="auto"/>
          <w:sz w:val="22"/>
          <w:szCs w:val="22"/>
          <w:lang w:val="es-ES_tradnl"/>
        </w:rPr>
      </w:pPr>
      <w:r w:rsidRPr="004F2FCE">
        <w:rPr>
          <w:color w:val="auto"/>
          <w:sz w:val="22"/>
          <w:szCs w:val="22"/>
          <w:lang w:val="es-ES_tradnl"/>
        </w:rPr>
        <w:t>Fortalecimiento del Sistema de Ética Pública en la Administración del Estado</w:t>
      </w:r>
    </w:p>
    <w:p w14:paraId="3042D06D" w14:textId="77777777" w:rsidR="00853BE0" w:rsidRPr="004F2FCE" w:rsidRDefault="00853BE0" w:rsidP="001F61F3">
      <w:pPr>
        <w:pStyle w:val="ListParagraph"/>
        <w:numPr>
          <w:ilvl w:val="1"/>
          <w:numId w:val="18"/>
        </w:numPr>
        <w:jc w:val="both"/>
        <w:rPr>
          <w:color w:val="auto"/>
          <w:sz w:val="22"/>
          <w:szCs w:val="22"/>
          <w:lang w:val="es-ES_tradnl"/>
        </w:rPr>
      </w:pPr>
      <w:r w:rsidRPr="004F2FCE">
        <w:rPr>
          <w:color w:val="auto"/>
          <w:sz w:val="22"/>
          <w:szCs w:val="22"/>
          <w:lang w:val="es-ES_tradnl"/>
        </w:rPr>
        <w:t>Robustecimiento de las políticas de Acceso a la Información Pública y Transparencia Activa</w:t>
      </w:r>
    </w:p>
    <w:p w14:paraId="0E42A969" w14:textId="77777777" w:rsidR="00853BE0" w:rsidRPr="004F2FCE" w:rsidRDefault="00853BE0" w:rsidP="001F61F3">
      <w:pPr>
        <w:pStyle w:val="ListParagraph"/>
        <w:numPr>
          <w:ilvl w:val="1"/>
          <w:numId w:val="18"/>
        </w:numPr>
        <w:jc w:val="both"/>
        <w:rPr>
          <w:color w:val="auto"/>
          <w:sz w:val="22"/>
          <w:szCs w:val="22"/>
          <w:lang w:val="es-ES_tradnl"/>
        </w:rPr>
      </w:pPr>
      <w:r w:rsidRPr="004F2FCE">
        <w:rPr>
          <w:color w:val="auto"/>
          <w:sz w:val="22"/>
          <w:szCs w:val="22"/>
          <w:lang w:val="es-ES_tradnl"/>
        </w:rPr>
        <w:t>Promoción de la transparencia y prevención de la corrupción en Empresas Públicas</w:t>
      </w:r>
    </w:p>
    <w:p w14:paraId="2E69E362" w14:textId="77777777" w:rsidR="00853BE0" w:rsidRPr="004F2FCE" w:rsidRDefault="00853BE0" w:rsidP="001F61F3">
      <w:pPr>
        <w:pStyle w:val="ListParagraph"/>
        <w:numPr>
          <w:ilvl w:val="1"/>
          <w:numId w:val="18"/>
        </w:numPr>
        <w:jc w:val="both"/>
        <w:rPr>
          <w:color w:val="auto"/>
          <w:sz w:val="22"/>
          <w:szCs w:val="22"/>
          <w:lang w:val="es-ES_tradnl"/>
        </w:rPr>
      </w:pPr>
      <w:r w:rsidRPr="004F2FCE">
        <w:rPr>
          <w:color w:val="auto"/>
          <w:sz w:val="22"/>
          <w:szCs w:val="22"/>
          <w:lang w:val="es-ES_tradnl"/>
        </w:rPr>
        <w:t>Transparencia y prevención de la corrupción en el marco de los contratos de participación público-privada</w:t>
      </w:r>
    </w:p>
    <w:p w14:paraId="2F44EFF5" w14:textId="77777777" w:rsidR="00853BE0" w:rsidRPr="004F2FCE" w:rsidRDefault="00853BE0" w:rsidP="001F61F3">
      <w:pPr>
        <w:pStyle w:val="ListParagraph"/>
        <w:numPr>
          <w:ilvl w:val="1"/>
          <w:numId w:val="18"/>
        </w:numPr>
        <w:jc w:val="both"/>
        <w:rPr>
          <w:color w:val="auto"/>
          <w:sz w:val="22"/>
          <w:szCs w:val="22"/>
          <w:lang w:val="es-ES_tradnl"/>
        </w:rPr>
      </w:pPr>
      <w:r w:rsidRPr="004F2FCE">
        <w:rPr>
          <w:color w:val="auto"/>
          <w:sz w:val="22"/>
          <w:szCs w:val="22"/>
          <w:lang w:val="es-ES_tradnl"/>
        </w:rPr>
        <w:t>Participación ciudadana en la prevención y el control de la corrupción</w:t>
      </w:r>
    </w:p>
    <w:p w14:paraId="02B65D2E" w14:textId="77777777" w:rsidR="00853BE0" w:rsidRPr="004F2FCE" w:rsidRDefault="00853BE0" w:rsidP="001F61F3">
      <w:pPr>
        <w:pStyle w:val="ListParagraph"/>
        <w:numPr>
          <w:ilvl w:val="1"/>
          <w:numId w:val="18"/>
        </w:numPr>
        <w:jc w:val="both"/>
        <w:rPr>
          <w:color w:val="auto"/>
          <w:sz w:val="22"/>
          <w:szCs w:val="22"/>
          <w:lang w:val="es-ES_tradnl"/>
        </w:rPr>
      </w:pPr>
      <w:r w:rsidRPr="004F2FCE">
        <w:rPr>
          <w:color w:val="auto"/>
          <w:sz w:val="22"/>
          <w:szCs w:val="22"/>
          <w:lang w:val="es-ES_tradnl"/>
        </w:rPr>
        <w:t>Política de Recuperación de Activos de Origen Ilícito</w:t>
      </w:r>
    </w:p>
    <w:p w14:paraId="292152A7" w14:textId="77777777" w:rsidR="009911A9" w:rsidRPr="004F2FCE" w:rsidRDefault="00853BE0" w:rsidP="001F61F3">
      <w:pPr>
        <w:pStyle w:val="ListParagraph"/>
        <w:numPr>
          <w:ilvl w:val="0"/>
          <w:numId w:val="18"/>
        </w:numPr>
        <w:jc w:val="both"/>
        <w:rPr>
          <w:color w:val="auto"/>
          <w:sz w:val="22"/>
          <w:szCs w:val="22"/>
          <w:lang w:val="es-ES_tradnl"/>
        </w:rPr>
      </w:pPr>
      <w:r w:rsidRPr="004F2FCE">
        <w:rPr>
          <w:color w:val="auto"/>
          <w:sz w:val="22"/>
          <w:szCs w:val="22"/>
          <w:lang w:val="es-ES_tradnl"/>
        </w:rPr>
        <w:t>Mediante</w:t>
      </w:r>
      <w:r w:rsidR="009911A9" w:rsidRPr="004F2FCE">
        <w:rPr>
          <w:color w:val="auto"/>
          <w:sz w:val="22"/>
          <w:szCs w:val="22"/>
          <w:lang w:val="es-ES_tradnl"/>
        </w:rPr>
        <w:t xml:space="preserve"> Decreto N°4.719 firmado en diciembre 2015, se crea el </w:t>
      </w:r>
      <w:r w:rsidR="009911A9" w:rsidRPr="004F2FCE">
        <w:rPr>
          <w:b/>
          <w:color w:val="auto"/>
          <w:sz w:val="22"/>
          <w:szCs w:val="22"/>
          <w:lang w:val="es-ES_tradnl"/>
        </w:rPr>
        <w:t>Equipo Nacional de Transparencia,</w:t>
      </w:r>
      <w:r w:rsidR="009911A9" w:rsidRPr="004F2FCE">
        <w:rPr>
          <w:color w:val="auto"/>
          <w:sz w:val="22"/>
          <w:szCs w:val="22"/>
          <w:lang w:val="es-ES_tradnl"/>
        </w:rPr>
        <w:t xml:space="preserve"> integrado por las </w:t>
      </w:r>
      <w:r w:rsidRPr="004F2FCE">
        <w:rPr>
          <w:color w:val="auto"/>
          <w:sz w:val="22"/>
          <w:szCs w:val="22"/>
          <w:lang w:val="es-ES_tradnl"/>
        </w:rPr>
        <w:t>instituciones</w:t>
      </w:r>
      <w:r w:rsidR="009911A9" w:rsidRPr="004F2FCE">
        <w:rPr>
          <w:color w:val="auto"/>
          <w:sz w:val="22"/>
          <w:szCs w:val="22"/>
          <w:lang w:val="es-ES_tradnl"/>
        </w:rPr>
        <w:t xml:space="preserve"> que </w:t>
      </w:r>
      <w:r w:rsidRPr="004F2FCE">
        <w:rPr>
          <w:color w:val="auto"/>
          <w:sz w:val="22"/>
          <w:szCs w:val="22"/>
          <w:lang w:val="es-ES_tradnl"/>
        </w:rPr>
        <w:t>conforman</w:t>
      </w:r>
      <w:r w:rsidR="009911A9" w:rsidRPr="004F2FCE">
        <w:rPr>
          <w:color w:val="auto"/>
          <w:sz w:val="22"/>
          <w:szCs w:val="22"/>
          <w:lang w:val="es-ES_tradnl"/>
        </w:rPr>
        <w:t xml:space="preserve"> el Equipo </w:t>
      </w:r>
      <w:r w:rsidRPr="004F2FCE">
        <w:rPr>
          <w:color w:val="auto"/>
          <w:sz w:val="22"/>
          <w:szCs w:val="22"/>
          <w:lang w:val="es-ES_tradnl"/>
        </w:rPr>
        <w:t>Económico</w:t>
      </w:r>
      <w:r w:rsidR="009911A9" w:rsidRPr="004F2FCE">
        <w:rPr>
          <w:color w:val="auto"/>
          <w:sz w:val="22"/>
          <w:szCs w:val="22"/>
          <w:lang w:val="es-ES_tradnl"/>
        </w:rPr>
        <w:t xml:space="preserve"> Nacional y la Secretaria Nacional Anticorrupción. Su objetivo es </w:t>
      </w:r>
      <w:r w:rsidRPr="004F2FCE">
        <w:rPr>
          <w:color w:val="auto"/>
          <w:sz w:val="22"/>
          <w:szCs w:val="22"/>
          <w:lang w:val="es-ES_tradnl"/>
        </w:rPr>
        <w:t>implementar</w:t>
      </w:r>
      <w:r w:rsidR="009911A9" w:rsidRPr="004F2FCE">
        <w:rPr>
          <w:color w:val="auto"/>
          <w:sz w:val="22"/>
          <w:szCs w:val="22"/>
          <w:lang w:val="es-ES_tradnl"/>
        </w:rPr>
        <w:t xml:space="preserve"> planes para mejorar la </w:t>
      </w:r>
      <w:r w:rsidRPr="004F2FCE">
        <w:rPr>
          <w:color w:val="auto"/>
          <w:sz w:val="22"/>
          <w:szCs w:val="22"/>
          <w:lang w:val="es-ES_tradnl"/>
        </w:rPr>
        <w:t>posición</w:t>
      </w:r>
      <w:r w:rsidR="009911A9" w:rsidRPr="004F2FCE">
        <w:rPr>
          <w:color w:val="auto"/>
          <w:sz w:val="22"/>
          <w:szCs w:val="22"/>
          <w:lang w:val="es-ES_tradnl"/>
        </w:rPr>
        <w:t xml:space="preserve"> de Paraguay en los índices de percepción de la corrupción, apoyando a sus actores a </w:t>
      </w:r>
      <w:r w:rsidRPr="004F2FCE">
        <w:rPr>
          <w:color w:val="auto"/>
          <w:sz w:val="22"/>
          <w:szCs w:val="22"/>
          <w:lang w:val="es-ES_tradnl"/>
        </w:rPr>
        <w:t>implementar</w:t>
      </w:r>
      <w:r w:rsidR="009911A9" w:rsidRPr="004F2FCE">
        <w:rPr>
          <w:color w:val="auto"/>
          <w:sz w:val="22"/>
          <w:szCs w:val="22"/>
          <w:lang w:val="es-ES_tradnl"/>
        </w:rPr>
        <w:t xml:space="preserve"> </w:t>
      </w:r>
      <w:r w:rsidRPr="004F2FCE">
        <w:rPr>
          <w:color w:val="auto"/>
          <w:sz w:val="22"/>
          <w:szCs w:val="22"/>
          <w:lang w:val="es-ES_tradnl"/>
        </w:rPr>
        <w:t>diagnósticos</w:t>
      </w:r>
      <w:r w:rsidR="009911A9" w:rsidRPr="004F2FCE">
        <w:rPr>
          <w:color w:val="auto"/>
          <w:sz w:val="22"/>
          <w:szCs w:val="22"/>
          <w:lang w:val="es-ES_tradnl"/>
        </w:rPr>
        <w:t xml:space="preserve"> y acciones </w:t>
      </w:r>
      <w:r w:rsidRPr="004F2FCE">
        <w:rPr>
          <w:color w:val="auto"/>
          <w:sz w:val="22"/>
          <w:szCs w:val="22"/>
          <w:lang w:val="es-ES_tradnl"/>
        </w:rPr>
        <w:t>específicas</w:t>
      </w:r>
      <w:r w:rsidR="009911A9" w:rsidRPr="004F2FCE">
        <w:rPr>
          <w:color w:val="auto"/>
          <w:sz w:val="22"/>
          <w:szCs w:val="22"/>
          <w:lang w:val="es-ES_tradnl"/>
        </w:rPr>
        <w:t xml:space="preserve"> para </w:t>
      </w:r>
      <w:r w:rsidRPr="004F2FCE">
        <w:rPr>
          <w:color w:val="auto"/>
          <w:sz w:val="22"/>
          <w:szCs w:val="22"/>
          <w:lang w:val="es-ES_tradnl"/>
        </w:rPr>
        <w:t>comunicar</w:t>
      </w:r>
      <w:r w:rsidR="009911A9" w:rsidRPr="004F2FCE">
        <w:rPr>
          <w:color w:val="auto"/>
          <w:sz w:val="22"/>
          <w:szCs w:val="22"/>
          <w:lang w:val="es-ES_tradnl"/>
        </w:rPr>
        <w:t xml:space="preserve"> los avances en materia de transparencia a nivel nacional e internacional, y que a su vez sirvan de herramientas para la </w:t>
      </w:r>
      <w:r w:rsidRPr="004F2FCE">
        <w:rPr>
          <w:color w:val="auto"/>
          <w:sz w:val="22"/>
          <w:szCs w:val="22"/>
          <w:lang w:val="es-ES_tradnl"/>
        </w:rPr>
        <w:t>implementación</w:t>
      </w:r>
      <w:r w:rsidR="009911A9" w:rsidRPr="004F2FCE">
        <w:rPr>
          <w:color w:val="auto"/>
          <w:sz w:val="22"/>
          <w:szCs w:val="22"/>
          <w:lang w:val="es-ES_tradnl"/>
        </w:rPr>
        <w:t xml:space="preserve"> de reformas concretas en el corto y mediano plazo.</w:t>
      </w:r>
    </w:p>
    <w:p w14:paraId="7E6C9933" w14:textId="77777777" w:rsidR="009911A9" w:rsidRPr="001F61F3" w:rsidRDefault="009911A9" w:rsidP="001F61F3">
      <w:pPr>
        <w:pStyle w:val="ListParagraph"/>
        <w:jc w:val="both"/>
        <w:rPr>
          <w:color w:val="auto"/>
          <w:sz w:val="22"/>
          <w:szCs w:val="22"/>
          <w:lang w:val="es-ES_tradnl"/>
        </w:rPr>
      </w:pPr>
    </w:p>
    <w:sectPr w:rsidR="009911A9" w:rsidRPr="001F61F3" w:rsidSect="003F30C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7B8918" w14:textId="77777777" w:rsidR="007D6CB2" w:rsidRDefault="007D6CB2" w:rsidP="00F24A6C">
      <w:pPr>
        <w:spacing w:after="0" w:line="240" w:lineRule="auto"/>
      </w:pPr>
      <w:r>
        <w:separator/>
      </w:r>
    </w:p>
  </w:endnote>
  <w:endnote w:type="continuationSeparator" w:id="0">
    <w:p w14:paraId="0DD4A77C" w14:textId="77777777" w:rsidR="007D6CB2" w:rsidRDefault="007D6CB2" w:rsidP="00F24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53CAA3" w14:textId="77777777" w:rsidR="007D6CB2" w:rsidRDefault="007D6CB2" w:rsidP="00F24A6C">
      <w:pPr>
        <w:spacing w:after="0" w:line="240" w:lineRule="auto"/>
      </w:pPr>
      <w:r>
        <w:separator/>
      </w:r>
    </w:p>
  </w:footnote>
  <w:footnote w:type="continuationSeparator" w:id="0">
    <w:p w14:paraId="4BF54569" w14:textId="77777777" w:rsidR="007D6CB2" w:rsidRDefault="007D6CB2" w:rsidP="00F24A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5387D"/>
    <w:multiLevelType w:val="hybridMultilevel"/>
    <w:tmpl w:val="8F6EE7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997620"/>
    <w:multiLevelType w:val="hybridMultilevel"/>
    <w:tmpl w:val="175EE97C"/>
    <w:lvl w:ilvl="0" w:tplc="5E5664F8">
      <w:start w:val="1"/>
      <w:numFmt w:val="lowerRoman"/>
      <w:lvlText w:val="%1."/>
      <w:lvlJc w:val="left"/>
      <w:pPr>
        <w:ind w:left="1125" w:hanging="7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6D401F"/>
    <w:multiLevelType w:val="hybridMultilevel"/>
    <w:tmpl w:val="3ADEDB80"/>
    <w:lvl w:ilvl="0" w:tplc="43DCCA08">
      <w:start w:val="1"/>
      <w:numFmt w:val="bullet"/>
      <w:lvlText w:val="•"/>
      <w:lvlJc w:val="left"/>
      <w:pPr>
        <w:tabs>
          <w:tab w:val="num" w:pos="720"/>
        </w:tabs>
        <w:ind w:left="720" w:hanging="360"/>
      </w:pPr>
      <w:rPr>
        <w:rFonts w:ascii="Times New Roman" w:hAnsi="Times New Roman" w:hint="default"/>
      </w:rPr>
    </w:lvl>
    <w:lvl w:ilvl="1" w:tplc="2410E13A" w:tentative="1">
      <w:start w:val="1"/>
      <w:numFmt w:val="bullet"/>
      <w:lvlText w:val="•"/>
      <w:lvlJc w:val="left"/>
      <w:pPr>
        <w:tabs>
          <w:tab w:val="num" w:pos="1440"/>
        </w:tabs>
        <w:ind w:left="1440" w:hanging="360"/>
      </w:pPr>
      <w:rPr>
        <w:rFonts w:ascii="Times New Roman" w:hAnsi="Times New Roman" w:hint="default"/>
      </w:rPr>
    </w:lvl>
    <w:lvl w:ilvl="2" w:tplc="04AC93D6" w:tentative="1">
      <w:start w:val="1"/>
      <w:numFmt w:val="bullet"/>
      <w:lvlText w:val="•"/>
      <w:lvlJc w:val="left"/>
      <w:pPr>
        <w:tabs>
          <w:tab w:val="num" w:pos="2160"/>
        </w:tabs>
        <w:ind w:left="2160" w:hanging="360"/>
      </w:pPr>
      <w:rPr>
        <w:rFonts w:ascii="Times New Roman" w:hAnsi="Times New Roman" w:hint="default"/>
      </w:rPr>
    </w:lvl>
    <w:lvl w:ilvl="3" w:tplc="1E2267BC" w:tentative="1">
      <w:start w:val="1"/>
      <w:numFmt w:val="bullet"/>
      <w:lvlText w:val="•"/>
      <w:lvlJc w:val="left"/>
      <w:pPr>
        <w:tabs>
          <w:tab w:val="num" w:pos="2880"/>
        </w:tabs>
        <w:ind w:left="2880" w:hanging="360"/>
      </w:pPr>
      <w:rPr>
        <w:rFonts w:ascii="Times New Roman" w:hAnsi="Times New Roman" w:hint="default"/>
      </w:rPr>
    </w:lvl>
    <w:lvl w:ilvl="4" w:tplc="FD043D88" w:tentative="1">
      <w:start w:val="1"/>
      <w:numFmt w:val="bullet"/>
      <w:lvlText w:val="•"/>
      <w:lvlJc w:val="left"/>
      <w:pPr>
        <w:tabs>
          <w:tab w:val="num" w:pos="3600"/>
        </w:tabs>
        <w:ind w:left="3600" w:hanging="360"/>
      </w:pPr>
      <w:rPr>
        <w:rFonts w:ascii="Times New Roman" w:hAnsi="Times New Roman" w:hint="default"/>
      </w:rPr>
    </w:lvl>
    <w:lvl w:ilvl="5" w:tplc="E17E27B0" w:tentative="1">
      <w:start w:val="1"/>
      <w:numFmt w:val="bullet"/>
      <w:lvlText w:val="•"/>
      <w:lvlJc w:val="left"/>
      <w:pPr>
        <w:tabs>
          <w:tab w:val="num" w:pos="4320"/>
        </w:tabs>
        <w:ind w:left="4320" w:hanging="360"/>
      </w:pPr>
      <w:rPr>
        <w:rFonts w:ascii="Times New Roman" w:hAnsi="Times New Roman" w:hint="default"/>
      </w:rPr>
    </w:lvl>
    <w:lvl w:ilvl="6" w:tplc="154084D6" w:tentative="1">
      <w:start w:val="1"/>
      <w:numFmt w:val="bullet"/>
      <w:lvlText w:val="•"/>
      <w:lvlJc w:val="left"/>
      <w:pPr>
        <w:tabs>
          <w:tab w:val="num" w:pos="5040"/>
        </w:tabs>
        <w:ind w:left="5040" w:hanging="360"/>
      </w:pPr>
      <w:rPr>
        <w:rFonts w:ascii="Times New Roman" w:hAnsi="Times New Roman" w:hint="default"/>
      </w:rPr>
    </w:lvl>
    <w:lvl w:ilvl="7" w:tplc="7D5216F2" w:tentative="1">
      <w:start w:val="1"/>
      <w:numFmt w:val="bullet"/>
      <w:lvlText w:val="•"/>
      <w:lvlJc w:val="left"/>
      <w:pPr>
        <w:tabs>
          <w:tab w:val="num" w:pos="5760"/>
        </w:tabs>
        <w:ind w:left="5760" w:hanging="360"/>
      </w:pPr>
      <w:rPr>
        <w:rFonts w:ascii="Times New Roman" w:hAnsi="Times New Roman" w:hint="default"/>
      </w:rPr>
    </w:lvl>
    <w:lvl w:ilvl="8" w:tplc="C57E2F52"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13FB3D66"/>
    <w:multiLevelType w:val="hybridMultilevel"/>
    <w:tmpl w:val="6EAE9B82"/>
    <w:lvl w:ilvl="0" w:tplc="3FCE4B7E">
      <w:start w:val="1"/>
      <w:numFmt w:val="bullet"/>
      <w:lvlText w:val="•"/>
      <w:lvlJc w:val="left"/>
      <w:pPr>
        <w:tabs>
          <w:tab w:val="num" w:pos="720"/>
        </w:tabs>
        <w:ind w:left="720" w:hanging="360"/>
      </w:pPr>
      <w:rPr>
        <w:rFonts w:ascii="Arial" w:hAnsi="Arial" w:hint="default"/>
      </w:rPr>
    </w:lvl>
    <w:lvl w:ilvl="1" w:tplc="7EDC592A" w:tentative="1">
      <w:start w:val="1"/>
      <w:numFmt w:val="bullet"/>
      <w:lvlText w:val="•"/>
      <w:lvlJc w:val="left"/>
      <w:pPr>
        <w:tabs>
          <w:tab w:val="num" w:pos="1440"/>
        </w:tabs>
        <w:ind w:left="1440" w:hanging="360"/>
      </w:pPr>
      <w:rPr>
        <w:rFonts w:ascii="Arial" w:hAnsi="Arial" w:hint="default"/>
      </w:rPr>
    </w:lvl>
    <w:lvl w:ilvl="2" w:tplc="1EC0EB5C" w:tentative="1">
      <w:start w:val="1"/>
      <w:numFmt w:val="bullet"/>
      <w:lvlText w:val="•"/>
      <w:lvlJc w:val="left"/>
      <w:pPr>
        <w:tabs>
          <w:tab w:val="num" w:pos="2160"/>
        </w:tabs>
        <w:ind w:left="2160" w:hanging="360"/>
      </w:pPr>
      <w:rPr>
        <w:rFonts w:ascii="Arial" w:hAnsi="Arial" w:hint="default"/>
      </w:rPr>
    </w:lvl>
    <w:lvl w:ilvl="3" w:tplc="C4440730" w:tentative="1">
      <w:start w:val="1"/>
      <w:numFmt w:val="bullet"/>
      <w:lvlText w:val="•"/>
      <w:lvlJc w:val="left"/>
      <w:pPr>
        <w:tabs>
          <w:tab w:val="num" w:pos="2880"/>
        </w:tabs>
        <w:ind w:left="2880" w:hanging="360"/>
      </w:pPr>
      <w:rPr>
        <w:rFonts w:ascii="Arial" w:hAnsi="Arial" w:hint="default"/>
      </w:rPr>
    </w:lvl>
    <w:lvl w:ilvl="4" w:tplc="08A2957E" w:tentative="1">
      <w:start w:val="1"/>
      <w:numFmt w:val="bullet"/>
      <w:lvlText w:val="•"/>
      <w:lvlJc w:val="left"/>
      <w:pPr>
        <w:tabs>
          <w:tab w:val="num" w:pos="3600"/>
        </w:tabs>
        <w:ind w:left="3600" w:hanging="360"/>
      </w:pPr>
      <w:rPr>
        <w:rFonts w:ascii="Arial" w:hAnsi="Arial" w:hint="default"/>
      </w:rPr>
    </w:lvl>
    <w:lvl w:ilvl="5" w:tplc="9B28C078" w:tentative="1">
      <w:start w:val="1"/>
      <w:numFmt w:val="bullet"/>
      <w:lvlText w:val="•"/>
      <w:lvlJc w:val="left"/>
      <w:pPr>
        <w:tabs>
          <w:tab w:val="num" w:pos="4320"/>
        </w:tabs>
        <w:ind w:left="4320" w:hanging="360"/>
      </w:pPr>
      <w:rPr>
        <w:rFonts w:ascii="Arial" w:hAnsi="Arial" w:hint="default"/>
      </w:rPr>
    </w:lvl>
    <w:lvl w:ilvl="6" w:tplc="32C4EB4C" w:tentative="1">
      <w:start w:val="1"/>
      <w:numFmt w:val="bullet"/>
      <w:lvlText w:val="•"/>
      <w:lvlJc w:val="left"/>
      <w:pPr>
        <w:tabs>
          <w:tab w:val="num" w:pos="5040"/>
        </w:tabs>
        <w:ind w:left="5040" w:hanging="360"/>
      </w:pPr>
      <w:rPr>
        <w:rFonts w:ascii="Arial" w:hAnsi="Arial" w:hint="default"/>
      </w:rPr>
    </w:lvl>
    <w:lvl w:ilvl="7" w:tplc="537AF178" w:tentative="1">
      <w:start w:val="1"/>
      <w:numFmt w:val="bullet"/>
      <w:lvlText w:val="•"/>
      <w:lvlJc w:val="left"/>
      <w:pPr>
        <w:tabs>
          <w:tab w:val="num" w:pos="5760"/>
        </w:tabs>
        <w:ind w:left="5760" w:hanging="360"/>
      </w:pPr>
      <w:rPr>
        <w:rFonts w:ascii="Arial" w:hAnsi="Arial" w:hint="default"/>
      </w:rPr>
    </w:lvl>
    <w:lvl w:ilvl="8" w:tplc="2B221A56"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162C4105"/>
    <w:multiLevelType w:val="hybridMultilevel"/>
    <w:tmpl w:val="40706E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E73D2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808629F"/>
    <w:multiLevelType w:val="hybridMultilevel"/>
    <w:tmpl w:val="A10E12E6"/>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8A6B01"/>
    <w:multiLevelType w:val="hybridMultilevel"/>
    <w:tmpl w:val="A1C82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7756A6"/>
    <w:multiLevelType w:val="hybridMultilevel"/>
    <w:tmpl w:val="A10E12E6"/>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65463D4"/>
    <w:multiLevelType w:val="hybridMultilevel"/>
    <w:tmpl w:val="0854DEBA"/>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116E01"/>
    <w:multiLevelType w:val="hybridMultilevel"/>
    <w:tmpl w:val="E55EE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D219A2"/>
    <w:multiLevelType w:val="multilevel"/>
    <w:tmpl w:val="54666328"/>
    <w:lvl w:ilvl="0">
      <w:start w:val="1"/>
      <w:numFmt w:val="decimal"/>
      <w:lvlText w:val="%1."/>
      <w:lvlJc w:val="left"/>
      <w:pPr>
        <w:ind w:left="360" w:hanging="360"/>
      </w:pPr>
      <w:rPr>
        <w:sz w:val="32"/>
        <w:szCs w:val="3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37755A9"/>
    <w:multiLevelType w:val="hybridMultilevel"/>
    <w:tmpl w:val="E102AE46"/>
    <w:lvl w:ilvl="0" w:tplc="4BA20B9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05E4DB9"/>
    <w:multiLevelType w:val="hybridMultilevel"/>
    <w:tmpl w:val="CC6A7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2525CB"/>
    <w:multiLevelType w:val="multilevel"/>
    <w:tmpl w:val="54666328"/>
    <w:lvl w:ilvl="0">
      <w:start w:val="1"/>
      <w:numFmt w:val="decimal"/>
      <w:lvlText w:val="%1."/>
      <w:lvlJc w:val="left"/>
      <w:pPr>
        <w:ind w:left="360" w:hanging="360"/>
      </w:pPr>
      <w:rPr>
        <w:sz w:val="32"/>
        <w:szCs w:val="3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80B7EB5"/>
    <w:multiLevelType w:val="hybridMultilevel"/>
    <w:tmpl w:val="5CA45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1C210F"/>
    <w:multiLevelType w:val="hybridMultilevel"/>
    <w:tmpl w:val="C78CE6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83B4585"/>
    <w:multiLevelType w:val="hybridMultilevel"/>
    <w:tmpl w:val="60727E1A"/>
    <w:lvl w:ilvl="0" w:tplc="57886D5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5"/>
  </w:num>
  <w:num w:numId="3">
    <w:abstractNumId w:val="14"/>
  </w:num>
  <w:num w:numId="4">
    <w:abstractNumId w:val="13"/>
  </w:num>
  <w:num w:numId="5">
    <w:abstractNumId w:val="15"/>
  </w:num>
  <w:num w:numId="6">
    <w:abstractNumId w:val="10"/>
  </w:num>
  <w:num w:numId="7">
    <w:abstractNumId w:val="1"/>
  </w:num>
  <w:num w:numId="8">
    <w:abstractNumId w:val="7"/>
  </w:num>
  <w:num w:numId="9">
    <w:abstractNumId w:val="17"/>
  </w:num>
  <w:num w:numId="10">
    <w:abstractNumId w:val="0"/>
  </w:num>
  <w:num w:numId="11">
    <w:abstractNumId w:val="12"/>
  </w:num>
  <w:num w:numId="12">
    <w:abstractNumId w:val="8"/>
  </w:num>
  <w:num w:numId="13">
    <w:abstractNumId w:val="6"/>
  </w:num>
  <w:num w:numId="14">
    <w:abstractNumId w:val="4"/>
  </w:num>
  <w:num w:numId="15">
    <w:abstractNumId w:val="2"/>
  </w:num>
  <w:num w:numId="16">
    <w:abstractNumId w:val="3"/>
  </w:num>
  <w:num w:numId="17">
    <w:abstractNumId w:val="1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0815"/>
    <w:rsid w:val="00051E09"/>
    <w:rsid w:val="00076B35"/>
    <w:rsid w:val="000909AB"/>
    <w:rsid w:val="000B0815"/>
    <w:rsid w:val="000C070F"/>
    <w:rsid w:val="000D0D30"/>
    <w:rsid w:val="00146A23"/>
    <w:rsid w:val="00167929"/>
    <w:rsid w:val="001B0C2A"/>
    <w:rsid w:val="001F61F3"/>
    <w:rsid w:val="002A5DA4"/>
    <w:rsid w:val="002B32C4"/>
    <w:rsid w:val="002E4673"/>
    <w:rsid w:val="002F00A8"/>
    <w:rsid w:val="003463F4"/>
    <w:rsid w:val="0038666D"/>
    <w:rsid w:val="00390929"/>
    <w:rsid w:val="00393E62"/>
    <w:rsid w:val="003C7A15"/>
    <w:rsid w:val="003F30CE"/>
    <w:rsid w:val="00405B54"/>
    <w:rsid w:val="004210AD"/>
    <w:rsid w:val="004479DE"/>
    <w:rsid w:val="004A0FC0"/>
    <w:rsid w:val="004D4FF8"/>
    <w:rsid w:val="004E1A4E"/>
    <w:rsid w:val="004E3589"/>
    <w:rsid w:val="004E3897"/>
    <w:rsid w:val="004F2FCE"/>
    <w:rsid w:val="0057627A"/>
    <w:rsid w:val="005808FD"/>
    <w:rsid w:val="005A0E35"/>
    <w:rsid w:val="00617B19"/>
    <w:rsid w:val="006623A8"/>
    <w:rsid w:val="00732C42"/>
    <w:rsid w:val="00762DE6"/>
    <w:rsid w:val="00790558"/>
    <w:rsid w:val="00791C3A"/>
    <w:rsid w:val="0079212F"/>
    <w:rsid w:val="007D6CB2"/>
    <w:rsid w:val="0084095D"/>
    <w:rsid w:val="00853BE0"/>
    <w:rsid w:val="00874C7F"/>
    <w:rsid w:val="008A34B8"/>
    <w:rsid w:val="008B4A7F"/>
    <w:rsid w:val="00937DC6"/>
    <w:rsid w:val="00943523"/>
    <w:rsid w:val="00947232"/>
    <w:rsid w:val="009911A9"/>
    <w:rsid w:val="009D0CD5"/>
    <w:rsid w:val="009E16AA"/>
    <w:rsid w:val="00A120F7"/>
    <w:rsid w:val="00A40DCD"/>
    <w:rsid w:val="00AB4E46"/>
    <w:rsid w:val="00AF7DA8"/>
    <w:rsid w:val="00BA707C"/>
    <w:rsid w:val="00C21508"/>
    <w:rsid w:val="00C27EFF"/>
    <w:rsid w:val="00C773DC"/>
    <w:rsid w:val="00CB3F9F"/>
    <w:rsid w:val="00CC7363"/>
    <w:rsid w:val="00D801C9"/>
    <w:rsid w:val="00D91707"/>
    <w:rsid w:val="00E501D9"/>
    <w:rsid w:val="00E77660"/>
    <w:rsid w:val="00EA0064"/>
    <w:rsid w:val="00EB6E12"/>
    <w:rsid w:val="00EC1D77"/>
    <w:rsid w:val="00EF4F92"/>
    <w:rsid w:val="00F2101D"/>
    <w:rsid w:val="00F24A6C"/>
    <w:rsid w:val="00FA2006"/>
    <w:rsid w:val="00FE67EA"/>
    <w:rsid w:val="00FF21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5BAFF"/>
  <w15:docId w15:val="{8A7088D6-93E9-4303-921F-6A3992C0D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en-US" w:bidi="ar-SA"/>
      </w:rPr>
    </w:rPrDefault>
    <w:pPrDefault>
      <w:pPr>
        <w:spacing w:after="160" w:line="288" w:lineRule="auto"/>
        <w:ind w:left="2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10AD"/>
    <w:rPr>
      <w:color w:val="5A5A5A" w:themeColor="text1" w:themeTint="A5"/>
    </w:rPr>
  </w:style>
  <w:style w:type="paragraph" w:styleId="Heading1">
    <w:name w:val="heading 1"/>
    <w:basedOn w:val="Normal"/>
    <w:next w:val="Normal"/>
    <w:link w:val="Heading1Char"/>
    <w:uiPriority w:val="9"/>
    <w:qFormat/>
    <w:rsid w:val="004210AD"/>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Heading2">
    <w:name w:val="heading 2"/>
    <w:basedOn w:val="Normal"/>
    <w:next w:val="Normal"/>
    <w:link w:val="Heading2Char"/>
    <w:uiPriority w:val="9"/>
    <w:semiHidden/>
    <w:unhideWhenUsed/>
    <w:qFormat/>
    <w:rsid w:val="004210AD"/>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Heading3">
    <w:name w:val="heading 3"/>
    <w:basedOn w:val="Normal"/>
    <w:next w:val="Normal"/>
    <w:link w:val="Heading3Char"/>
    <w:uiPriority w:val="9"/>
    <w:semiHidden/>
    <w:unhideWhenUsed/>
    <w:qFormat/>
    <w:rsid w:val="004210AD"/>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Heading4">
    <w:name w:val="heading 4"/>
    <w:basedOn w:val="Normal"/>
    <w:next w:val="Normal"/>
    <w:link w:val="Heading4Char"/>
    <w:uiPriority w:val="9"/>
    <w:semiHidden/>
    <w:unhideWhenUsed/>
    <w:qFormat/>
    <w:rsid w:val="004210AD"/>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Heading5">
    <w:name w:val="heading 5"/>
    <w:basedOn w:val="Normal"/>
    <w:next w:val="Normal"/>
    <w:link w:val="Heading5Char"/>
    <w:uiPriority w:val="9"/>
    <w:semiHidden/>
    <w:unhideWhenUsed/>
    <w:qFormat/>
    <w:rsid w:val="004210AD"/>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Heading6">
    <w:name w:val="heading 6"/>
    <w:basedOn w:val="Normal"/>
    <w:next w:val="Normal"/>
    <w:link w:val="Heading6Char"/>
    <w:uiPriority w:val="9"/>
    <w:semiHidden/>
    <w:unhideWhenUsed/>
    <w:qFormat/>
    <w:rsid w:val="004210AD"/>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Heading7">
    <w:name w:val="heading 7"/>
    <w:basedOn w:val="Normal"/>
    <w:next w:val="Normal"/>
    <w:link w:val="Heading7Char"/>
    <w:uiPriority w:val="9"/>
    <w:semiHidden/>
    <w:unhideWhenUsed/>
    <w:qFormat/>
    <w:rsid w:val="004210AD"/>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Heading8">
    <w:name w:val="heading 8"/>
    <w:basedOn w:val="Normal"/>
    <w:next w:val="Normal"/>
    <w:link w:val="Heading8Char"/>
    <w:uiPriority w:val="9"/>
    <w:semiHidden/>
    <w:unhideWhenUsed/>
    <w:qFormat/>
    <w:rsid w:val="004210AD"/>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Heading9">
    <w:name w:val="heading 9"/>
    <w:basedOn w:val="Normal"/>
    <w:next w:val="Normal"/>
    <w:link w:val="Heading9Char"/>
    <w:uiPriority w:val="9"/>
    <w:semiHidden/>
    <w:unhideWhenUsed/>
    <w:qFormat/>
    <w:rsid w:val="004210AD"/>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next w:val="Normal"/>
    <w:link w:val="TitleChar"/>
    <w:uiPriority w:val="10"/>
    <w:qFormat/>
    <w:rsid w:val="004210AD"/>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TitleChar">
    <w:name w:val="Title Char"/>
    <w:basedOn w:val="DefaultParagraphFont"/>
    <w:link w:val="Title"/>
    <w:uiPriority w:val="10"/>
    <w:rsid w:val="004210AD"/>
    <w:rPr>
      <w:rFonts w:asciiTheme="majorHAnsi" w:eastAsiaTheme="majorEastAsia" w:hAnsiTheme="majorHAnsi" w:cstheme="majorBidi"/>
      <w:smallCaps/>
      <w:color w:val="17365D" w:themeColor="text2" w:themeShade="BF"/>
      <w:spacing w:val="5"/>
      <w:sz w:val="72"/>
      <w:szCs w:val="72"/>
    </w:rPr>
  </w:style>
  <w:style w:type="paragraph" w:styleId="ListParagraph">
    <w:name w:val="List Paragraph"/>
    <w:basedOn w:val="Normal"/>
    <w:uiPriority w:val="34"/>
    <w:qFormat/>
    <w:rsid w:val="004210AD"/>
    <w:pPr>
      <w:ind w:left="720"/>
      <w:contextualSpacing/>
    </w:pPr>
  </w:style>
  <w:style w:type="table" w:styleId="TableGrid">
    <w:name w:val="Table Grid"/>
    <w:basedOn w:val="TableNormal"/>
    <w:uiPriority w:val="59"/>
    <w:rsid w:val="000B08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B08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0815"/>
    <w:rPr>
      <w:rFonts w:ascii="Tahoma" w:hAnsi="Tahoma" w:cs="Tahoma"/>
      <w:sz w:val="16"/>
      <w:szCs w:val="16"/>
    </w:rPr>
  </w:style>
  <w:style w:type="paragraph" w:styleId="Header">
    <w:name w:val="header"/>
    <w:basedOn w:val="Normal"/>
    <w:link w:val="HeaderChar"/>
    <w:uiPriority w:val="99"/>
    <w:unhideWhenUsed/>
    <w:rsid w:val="00F24A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4A6C"/>
  </w:style>
  <w:style w:type="paragraph" w:styleId="Footer">
    <w:name w:val="footer"/>
    <w:basedOn w:val="Normal"/>
    <w:link w:val="FooterChar"/>
    <w:uiPriority w:val="99"/>
    <w:unhideWhenUsed/>
    <w:rsid w:val="00F24A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4A6C"/>
  </w:style>
  <w:style w:type="paragraph" w:styleId="NormalWeb">
    <w:name w:val="Normal (Web)"/>
    <w:basedOn w:val="Normal"/>
    <w:uiPriority w:val="99"/>
    <w:unhideWhenUsed/>
    <w:rsid w:val="00AB4E46"/>
    <w:pPr>
      <w:spacing w:before="100" w:beforeAutospacing="1" w:after="100" w:afterAutospacing="1" w:line="240" w:lineRule="auto"/>
    </w:pPr>
    <w:rPr>
      <w:rFonts w:ascii="Times New Roman" w:hAnsi="Times New Roman" w:cs="Times New Roman"/>
      <w:sz w:val="24"/>
      <w:szCs w:val="24"/>
    </w:rPr>
  </w:style>
  <w:style w:type="table" w:styleId="LightList-Accent1">
    <w:name w:val="Light List Accent 1"/>
    <w:basedOn w:val="TableNormal"/>
    <w:uiPriority w:val="61"/>
    <w:rsid w:val="002A5DA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PlainText">
    <w:name w:val="Plain Text"/>
    <w:basedOn w:val="Normal"/>
    <w:link w:val="PlainTextChar"/>
    <w:uiPriority w:val="99"/>
    <w:semiHidden/>
    <w:unhideWhenUsed/>
    <w:rsid w:val="00D91707"/>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semiHidden/>
    <w:rsid w:val="00D91707"/>
    <w:rPr>
      <w:rFonts w:ascii="Calibri" w:hAnsi="Calibri" w:cs="Consolas"/>
      <w:szCs w:val="21"/>
    </w:rPr>
  </w:style>
  <w:style w:type="table" w:styleId="MediumGrid3-Accent1">
    <w:name w:val="Medium Grid 3 Accent 1"/>
    <w:basedOn w:val="TableNormal"/>
    <w:uiPriority w:val="69"/>
    <w:rsid w:val="00D91707"/>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customStyle="1" w:styleId="Heading1Char">
    <w:name w:val="Heading 1 Char"/>
    <w:basedOn w:val="DefaultParagraphFont"/>
    <w:link w:val="Heading1"/>
    <w:uiPriority w:val="9"/>
    <w:rsid w:val="004210AD"/>
    <w:rPr>
      <w:rFonts w:asciiTheme="majorHAnsi" w:eastAsiaTheme="majorEastAsia" w:hAnsiTheme="majorHAnsi" w:cstheme="majorBidi"/>
      <w:smallCaps/>
      <w:color w:val="0F243E" w:themeColor="text2" w:themeShade="7F"/>
      <w:spacing w:val="20"/>
      <w:sz w:val="32"/>
      <w:szCs w:val="32"/>
    </w:rPr>
  </w:style>
  <w:style w:type="table" w:styleId="LightShading-Accent1">
    <w:name w:val="Light Shading Accent 1"/>
    <w:basedOn w:val="TableNormal"/>
    <w:uiPriority w:val="60"/>
    <w:rsid w:val="00D9170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yperlink">
    <w:name w:val="Hyperlink"/>
    <w:basedOn w:val="DefaultParagraphFont"/>
    <w:uiPriority w:val="99"/>
    <w:unhideWhenUsed/>
    <w:rsid w:val="00943523"/>
    <w:rPr>
      <w:color w:val="0000FF" w:themeColor="hyperlink"/>
      <w:u w:val="single"/>
    </w:rPr>
  </w:style>
  <w:style w:type="character" w:customStyle="1" w:styleId="Heading2Char">
    <w:name w:val="Heading 2 Char"/>
    <w:basedOn w:val="DefaultParagraphFont"/>
    <w:link w:val="Heading2"/>
    <w:uiPriority w:val="9"/>
    <w:semiHidden/>
    <w:rsid w:val="004210AD"/>
    <w:rPr>
      <w:rFonts w:asciiTheme="majorHAnsi" w:eastAsiaTheme="majorEastAsia" w:hAnsiTheme="majorHAnsi" w:cstheme="majorBidi"/>
      <w:smallCaps/>
      <w:color w:val="17365D" w:themeColor="text2" w:themeShade="BF"/>
      <w:spacing w:val="20"/>
      <w:sz w:val="28"/>
      <w:szCs w:val="28"/>
    </w:rPr>
  </w:style>
  <w:style w:type="character" w:customStyle="1" w:styleId="Heading3Char">
    <w:name w:val="Heading 3 Char"/>
    <w:basedOn w:val="DefaultParagraphFont"/>
    <w:link w:val="Heading3"/>
    <w:uiPriority w:val="9"/>
    <w:semiHidden/>
    <w:rsid w:val="004210AD"/>
    <w:rPr>
      <w:rFonts w:asciiTheme="majorHAnsi" w:eastAsiaTheme="majorEastAsia" w:hAnsiTheme="majorHAnsi" w:cstheme="majorBidi"/>
      <w:smallCaps/>
      <w:color w:val="1F497D" w:themeColor="text2"/>
      <w:spacing w:val="20"/>
      <w:sz w:val="24"/>
      <w:szCs w:val="24"/>
    </w:rPr>
  </w:style>
  <w:style w:type="character" w:customStyle="1" w:styleId="Heading4Char">
    <w:name w:val="Heading 4 Char"/>
    <w:basedOn w:val="DefaultParagraphFont"/>
    <w:link w:val="Heading4"/>
    <w:uiPriority w:val="9"/>
    <w:semiHidden/>
    <w:rsid w:val="004210AD"/>
    <w:rPr>
      <w:rFonts w:asciiTheme="majorHAnsi" w:eastAsiaTheme="majorEastAsia" w:hAnsiTheme="majorHAnsi" w:cstheme="majorBidi"/>
      <w:b/>
      <w:bCs/>
      <w:smallCaps/>
      <w:color w:val="3071C3" w:themeColor="text2" w:themeTint="BF"/>
      <w:spacing w:val="20"/>
    </w:rPr>
  </w:style>
  <w:style w:type="character" w:customStyle="1" w:styleId="Heading5Char">
    <w:name w:val="Heading 5 Char"/>
    <w:basedOn w:val="DefaultParagraphFont"/>
    <w:link w:val="Heading5"/>
    <w:uiPriority w:val="9"/>
    <w:semiHidden/>
    <w:rsid w:val="004210AD"/>
    <w:rPr>
      <w:rFonts w:asciiTheme="majorHAnsi" w:eastAsiaTheme="majorEastAsia" w:hAnsiTheme="majorHAnsi" w:cstheme="majorBidi"/>
      <w:smallCaps/>
      <w:color w:val="3071C3" w:themeColor="text2" w:themeTint="BF"/>
      <w:spacing w:val="20"/>
    </w:rPr>
  </w:style>
  <w:style w:type="character" w:customStyle="1" w:styleId="Heading6Char">
    <w:name w:val="Heading 6 Char"/>
    <w:basedOn w:val="DefaultParagraphFont"/>
    <w:link w:val="Heading6"/>
    <w:uiPriority w:val="9"/>
    <w:semiHidden/>
    <w:rsid w:val="004210AD"/>
    <w:rPr>
      <w:rFonts w:asciiTheme="majorHAnsi" w:eastAsiaTheme="majorEastAsia" w:hAnsiTheme="majorHAnsi" w:cstheme="majorBidi"/>
      <w:smallCaps/>
      <w:color w:val="938953" w:themeColor="background2" w:themeShade="7F"/>
      <w:spacing w:val="20"/>
    </w:rPr>
  </w:style>
  <w:style w:type="character" w:customStyle="1" w:styleId="Heading7Char">
    <w:name w:val="Heading 7 Char"/>
    <w:basedOn w:val="DefaultParagraphFont"/>
    <w:link w:val="Heading7"/>
    <w:uiPriority w:val="9"/>
    <w:semiHidden/>
    <w:rsid w:val="004210AD"/>
    <w:rPr>
      <w:rFonts w:asciiTheme="majorHAnsi" w:eastAsiaTheme="majorEastAsia" w:hAnsiTheme="majorHAnsi" w:cstheme="majorBidi"/>
      <w:b/>
      <w:bCs/>
      <w:smallCaps/>
      <w:color w:val="938953" w:themeColor="background2" w:themeShade="7F"/>
      <w:spacing w:val="20"/>
      <w:sz w:val="16"/>
      <w:szCs w:val="16"/>
    </w:rPr>
  </w:style>
  <w:style w:type="character" w:customStyle="1" w:styleId="Heading8Char">
    <w:name w:val="Heading 8 Char"/>
    <w:basedOn w:val="DefaultParagraphFont"/>
    <w:link w:val="Heading8"/>
    <w:uiPriority w:val="9"/>
    <w:semiHidden/>
    <w:rsid w:val="004210AD"/>
    <w:rPr>
      <w:rFonts w:asciiTheme="majorHAnsi" w:eastAsiaTheme="majorEastAsia" w:hAnsiTheme="majorHAnsi" w:cstheme="majorBidi"/>
      <w:b/>
      <w:smallCaps/>
      <w:color w:val="938953" w:themeColor="background2" w:themeShade="7F"/>
      <w:spacing w:val="20"/>
      <w:sz w:val="16"/>
      <w:szCs w:val="16"/>
    </w:rPr>
  </w:style>
  <w:style w:type="character" w:customStyle="1" w:styleId="Heading9Char">
    <w:name w:val="Heading 9 Char"/>
    <w:basedOn w:val="DefaultParagraphFont"/>
    <w:link w:val="Heading9"/>
    <w:uiPriority w:val="9"/>
    <w:semiHidden/>
    <w:rsid w:val="004210AD"/>
    <w:rPr>
      <w:rFonts w:asciiTheme="majorHAnsi" w:eastAsiaTheme="majorEastAsia" w:hAnsiTheme="majorHAnsi" w:cstheme="majorBidi"/>
      <w:smallCaps/>
      <w:color w:val="938953" w:themeColor="background2" w:themeShade="7F"/>
      <w:spacing w:val="20"/>
      <w:sz w:val="16"/>
      <w:szCs w:val="16"/>
    </w:rPr>
  </w:style>
  <w:style w:type="paragraph" w:styleId="Caption">
    <w:name w:val="caption"/>
    <w:basedOn w:val="Normal"/>
    <w:next w:val="Normal"/>
    <w:uiPriority w:val="35"/>
    <w:semiHidden/>
    <w:unhideWhenUsed/>
    <w:qFormat/>
    <w:rsid w:val="004210AD"/>
    <w:rPr>
      <w:b/>
      <w:bCs/>
      <w:smallCaps/>
      <w:color w:val="1F497D" w:themeColor="text2"/>
      <w:spacing w:val="10"/>
      <w:sz w:val="18"/>
      <w:szCs w:val="18"/>
    </w:rPr>
  </w:style>
  <w:style w:type="paragraph" w:styleId="Subtitle">
    <w:name w:val="Subtitle"/>
    <w:next w:val="Normal"/>
    <w:link w:val="SubtitleChar"/>
    <w:uiPriority w:val="11"/>
    <w:qFormat/>
    <w:rsid w:val="004210AD"/>
    <w:pPr>
      <w:spacing w:after="600" w:line="240" w:lineRule="auto"/>
      <w:ind w:left="0"/>
    </w:pPr>
    <w:rPr>
      <w:smallCaps/>
      <w:color w:val="938953" w:themeColor="background2" w:themeShade="7F"/>
      <w:spacing w:val="5"/>
      <w:sz w:val="28"/>
      <w:szCs w:val="28"/>
    </w:rPr>
  </w:style>
  <w:style w:type="character" w:customStyle="1" w:styleId="SubtitleChar">
    <w:name w:val="Subtitle Char"/>
    <w:basedOn w:val="DefaultParagraphFont"/>
    <w:link w:val="Subtitle"/>
    <w:uiPriority w:val="11"/>
    <w:rsid w:val="004210AD"/>
    <w:rPr>
      <w:smallCaps/>
      <w:color w:val="938953" w:themeColor="background2" w:themeShade="7F"/>
      <w:spacing w:val="5"/>
      <w:sz w:val="28"/>
      <w:szCs w:val="28"/>
    </w:rPr>
  </w:style>
  <w:style w:type="character" w:styleId="Strong">
    <w:name w:val="Strong"/>
    <w:uiPriority w:val="22"/>
    <w:qFormat/>
    <w:rsid w:val="004210AD"/>
    <w:rPr>
      <w:b/>
      <w:bCs/>
      <w:spacing w:val="0"/>
    </w:rPr>
  </w:style>
  <w:style w:type="character" w:styleId="Emphasis">
    <w:name w:val="Emphasis"/>
    <w:uiPriority w:val="20"/>
    <w:qFormat/>
    <w:rsid w:val="004210AD"/>
    <w:rPr>
      <w:b/>
      <w:bCs/>
      <w:smallCaps/>
      <w:dstrike w:val="0"/>
      <w:color w:val="5A5A5A" w:themeColor="text1" w:themeTint="A5"/>
      <w:spacing w:val="20"/>
      <w:kern w:val="0"/>
      <w:vertAlign w:val="baseline"/>
    </w:rPr>
  </w:style>
  <w:style w:type="paragraph" w:styleId="NoSpacing">
    <w:name w:val="No Spacing"/>
    <w:basedOn w:val="Normal"/>
    <w:uiPriority w:val="1"/>
    <w:qFormat/>
    <w:rsid w:val="004210AD"/>
    <w:pPr>
      <w:spacing w:after="0" w:line="240" w:lineRule="auto"/>
    </w:pPr>
  </w:style>
  <w:style w:type="paragraph" w:styleId="Quote">
    <w:name w:val="Quote"/>
    <w:basedOn w:val="Normal"/>
    <w:next w:val="Normal"/>
    <w:link w:val="QuoteChar"/>
    <w:uiPriority w:val="29"/>
    <w:qFormat/>
    <w:rsid w:val="004210AD"/>
    <w:rPr>
      <w:i/>
      <w:iCs/>
    </w:rPr>
  </w:style>
  <w:style w:type="character" w:customStyle="1" w:styleId="QuoteChar">
    <w:name w:val="Quote Char"/>
    <w:basedOn w:val="DefaultParagraphFont"/>
    <w:link w:val="Quote"/>
    <w:uiPriority w:val="29"/>
    <w:rsid w:val="004210AD"/>
    <w:rPr>
      <w:i/>
      <w:iCs/>
      <w:color w:val="5A5A5A" w:themeColor="text1" w:themeTint="A5"/>
    </w:rPr>
  </w:style>
  <w:style w:type="paragraph" w:styleId="IntenseQuote">
    <w:name w:val="Intense Quote"/>
    <w:basedOn w:val="Normal"/>
    <w:next w:val="Normal"/>
    <w:link w:val="IntenseQuoteChar"/>
    <w:uiPriority w:val="30"/>
    <w:qFormat/>
    <w:rsid w:val="004210AD"/>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IntenseQuoteChar">
    <w:name w:val="Intense Quote Char"/>
    <w:basedOn w:val="DefaultParagraphFont"/>
    <w:link w:val="IntenseQuote"/>
    <w:uiPriority w:val="30"/>
    <w:rsid w:val="004210AD"/>
    <w:rPr>
      <w:rFonts w:asciiTheme="majorHAnsi" w:eastAsiaTheme="majorEastAsia" w:hAnsiTheme="majorHAnsi" w:cstheme="majorBidi"/>
      <w:smallCaps/>
      <w:color w:val="365F91" w:themeColor="accent1" w:themeShade="BF"/>
    </w:rPr>
  </w:style>
  <w:style w:type="character" w:styleId="SubtleEmphasis">
    <w:name w:val="Subtle Emphasis"/>
    <w:uiPriority w:val="19"/>
    <w:qFormat/>
    <w:rsid w:val="004210AD"/>
    <w:rPr>
      <w:smallCaps/>
      <w:dstrike w:val="0"/>
      <w:color w:val="5A5A5A" w:themeColor="text1" w:themeTint="A5"/>
      <w:vertAlign w:val="baseline"/>
    </w:rPr>
  </w:style>
  <w:style w:type="character" w:styleId="IntenseEmphasis">
    <w:name w:val="Intense Emphasis"/>
    <w:uiPriority w:val="21"/>
    <w:qFormat/>
    <w:rsid w:val="004210AD"/>
    <w:rPr>
      <w:b/>
      <w:bCs/>
      <w:smallCaps/>
      <w:color w:val="4F81BD" w:themeColor="accent1"/>
      <w:spacing w:val="40"/>
    </w:rPr>
  </w:style>
  <w:style w:type="character" w:styleId="SubtleReference">
    <w:name w:val="Subtle Reference"/>
    <w:uiPriority w:val="31"/>
    <w:qFormat/>
    <w:rsid w:val="004210AD"/>
    <w:rPr>
      <w:rFonts w:asciiTheme="majorHAnsi" w:eastAsiaTheme="majorEastAsia" w:hAnsiTheme="majorHAnsi" w:cstheme="majorBidi"/>
      <w:i/>
      <w:iCs/>
      <w:smallCaps/>
      <w:color w:val="5A5A5A" w:themeColor="text1" w:themeTint="A5"/>
      <w:spacing w:val="20"/>
    </w:rPr>
  </w:style>
  <w:style w:type="character" w:styleId="IntenseReference">
    <w:name w:val="Intense Reference"/>
    <w:uiPriority w:val="32"/>
    <w:qFormat/>
    <w:rsid w:val="004210AD"/>
    <w:rPr>
      <w:rFonts w:asciiTheme="majorHAnsi" w:eastAsiaTheme="majorEastAsia" w:hAnsiTheme="majorHAnsi" w:cstheme="majorBidi"/>
      <w:b/>
      <w:bCs/>
      <w:i/>
      <w:iCs/>
      <w:smallCaps/>
      <w:color w:val="17365D" w:themeColor="text2" w:themeShade="BF"/>
      <w:spacing w:val="20"/>
    </w:rPr>
  </w:style>
  <w:style w:type="character" w:styleId="BookTitle">
    <w:name w:val="Book Title"/>
    <w:uiPriority w:val="33"/>
    <w:qFormat/>
    <w:rsid w:val="004210AD"/>
    <w:rPr>
      <w:rFonts w:asciiTheme="majorHAnsi" w:eastAsiaTheme="majorEastAsia" w:hAnsiTheme="majorHAnsi" w:cstheme="majorBidi"/>
      <w:b/>
      <w:bCs/>
      <w:smallCaps/>
      <w:color w:val="17365D" w:themeColor="text2" w:themeShade="BF"/>
      <w:spacing w:val="10"/>
      <w:u w:val="single"/>
    </w:rPr>
  </w:style>
  <w:style w:type="paragraph" w:styleId="TOCHeading">
    <w:name w:val="TOC Heading"/>
    <w:basedOn w:val="Heading1"/>
    <w:next w:val="Normal"/>
    <w:uiPriority w:val="39"/>
    <w:semiHidden/>
    <w:unhideWhenUsed/>
    <w:qFormat/>
    <w:rsid w:val="004210AD"/>
    <w:pPr>
      <w:outlineLvl w:val="9"/>
    </w:pPr>
    <w:rPr>
      <w:lang w:bidi="en-US"/>
    </w:rPr>
  </w:style>
  <w:style w:type="paragraph" w:styleId="FootnoteText">
    <w:name w:val="footnote text"/>
    <w:basedOn w:val="Normal"/>
    <w:link w:val="FootnoteTextChar"/>
    <w:uiPriority w:val="99"/>
    <w:semiHidden/>
    <w:unhideWhenUsed/>
    <w:rsid w:val="00146A23"/>
    <w:pPr>
      <w:spacing w:after="0" w:line="240" w:lineRule="auto"/>
    </w:pPr>
  </w:style>
  <w:style w:type="character" w:customStyle="1" w:styleId="FootnoteTextChar">
    <w:name w:val="Footnote Text Char"/>
    <w:basedOn w:val="DefaultParagraphFont"/>
    <w:link w:val="FootnoteText"/>
    <w:uiPriority w:val="99"/>
    <w:semiHidden/>
    <w:rsid w:val="00146A23"/>
    <w:rPr>
      <w:color w:val="5A5A5A" w:themeColor="text1" w:themeTint="A5"/>
    </w:rPr>
  </w:style>
  <w:style w:type="character" w:styleId="FootnoteReference">
    <w:name w:val="footnote reference"/>
    <w:basedOn w:val="DefaultParagraphFont"/>
    <w:uiPriority w:val="99"/>
    <w:semiHidden/>
    <w:unhideWhenUsed/>
    <w:rsid w:val="00146A23"/>
    <w:rPr>
      <w:vertAlign w:val="superscript"/>
    </w:rPr>
  </w:style>
  <w:style w:type="character" w:styleId="FollowedHyperlink">
    <w:name w:val="FollowedHyperlink"/>
    <w:basedOn w:val="DefaultParagraphFont"/>
    <w:uiPriority w:val="99"/>
    <w:semiHidden/>
    <w:unhideWhenUsed/>
    <w:rsid w:val="00146A23"/>
    <w:rPr>
      <w:color w:val="800080" w:themeColor="followedHyperlink"/>
      <w:u w:val="single"/>
    </w:rPr>
  </w:style>
  <w:style w:type="character" w:styleId="CommentReference">
    <w:name w:val="annotation reference"/>
    <w:basedOn w:val="DefaultParagraphFont"/>
    <w:uiPriority w:val="99"/>
    <w:semiHidden/>
    <w:unhideWhenUsed/>
    <w:rsid w:val="00CB3F9F"/>
    <w:rPr>
      <w:sz w:val="16"/>
      <w:szCs w:val="16"/>
    </w:rPr>
  </w:style>
  <w:style w:type="paragraph" w:styleId="CommentText">
    <w:name w:val="annotation text"/>
    <w:basedOn w:val="Normal"/>
    <w:link w:val="CommentTextChar"/>
    <w:uiPriority w:val="99"/>
    <w:semiHidden/>
    <w:unhideWhenUsed/>
    <w:rsid w:val="00CB3F9F"/>
    <w:pPr>
      <w:spacing w:line="240" w:lineRule="auto"/>
    </w:pPr>
  </w:style>
  <w:style w:type="character" w:customStyle="1" w:styleId="CommentTextChar">
    <w:name w:val="Comment Text Char"/>
    <w:basedOn w:val="DefaultParagraphFont"/>
    <w:link w:val="CommentText"/>
    <w:uiPriority w:val="99"/>
    <w:semiHidden/>
    <w:rsid w:val="00CB3F9F"/>
    <w:rPr>
      <w:color w:val="5A5A5A" w:themeColor="text1" w:themeTint="A5"/>
    </w:rPr>
  </w:style>
  <w:style w:type="paragraph" w:styleId="CommentSubject">
    <w:name w:val="annotation subject"/>
    <w:basedOn w:val="CommentText"/>
    <w:next w:val="CommentText"/>
    <w:link w:val="CommentSubjectChar"/>
    <w:uiPriority w:val="99"/>
    <w:semiHidden/>
    <w:unhideWhenUsed/>
    <w:rsid w:val="00CB3F9F"/>
    <w:rPr>
      <w:b/>
      <w:bCs/>
    </w:rPr>
  </w:style>
  <w:style w:type="character" w:customStyle="1" w:styleId="CommentSubjectChar">
    <w:name w:val="Comment Subject Char"/>
    <w:basedOn w:val="CommentTextChar"/>
    <w:link w:val="CommentSubject"/>
    <w:uiPriority w:val="99"/>
    <w:semiHidden/>
    <w:rsid w:val="00CB3F9F"/>
    <w:rPr>
      <w:b/>
      <w:bCs/>
      <w:color w:val="5A5A5A" w:themeColor="text1" w:themeTint="A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811977">
      <w:bodyDiv w:val="1"/>
      <w:marLeft w:val="0"/>
      <w:marRight w:val="0"/>
      <w:marTop w:val="0"/>
      <w:marBottom w:val="0"/>
      <w:divBdr>
        <w:top w:val="none" w:sz="0" w:space="0" w:color="auto"/>
        <w:left w:val="none" w:sz="0" w:space="0" w:color="auto"/>
        <w:bottom w:val="none" w:sz="0" w:space="0" w:color="auto"/>
        <w:right w:val="none" w:sz="0" w:space="0" w:color="auto"/>
      </w:divBdr>
      <w:divsChild>
        <w:div w:id="697706649">
          <w:marLeft w:val="274"/>
          <w:marRight w:val="0"/>
          <w:marTop w:val="86"/>
          <w:marBottom w:val="0"/>
          <w:divBdr>
            <w:top w:val="none" w:sz="0" w:space="0" w:color="auto"/>
            <w:left w:val="none" w:sz="0" w:space="0" w:color="auto"/>
            <w:bottom w:val="none" w:sz="0" w:space="0" w:color="auto"/>
            <w:right w:val="none" w:sz="0" w:space="0" w:color="auto"/>
          </w:divBdr>
        </w:div>
        <w:div w:id="494958257">
          <w:marLeft w:val="994"/>
          <w:marRight w:val="0"/>
          <w:marTop w:val="86"/>
          <w:marBottom w:val="0"/>
          <w:divBdr>
            <w:top w:val="none" w:sz="0" w:space="0" w:color="auto"/>
            <w:left w:val="none" w:sz="0" w:space="0" w:color="auto"/>
            <w:bottom w:val="none" w:sz="0" w:space="0" w:color="auto"/>
            <w:right w:val="none" w:sz="0" w:space="0" w:color="auto"/>
          </w:divBdr>
        </w:div>
        <w:div w:id="782384661">
          <w:marLeft w:val="994"/>
          <w:marRight w:val="0"/>
          <w:marTop w:val="86"/>
          <w:marBottom w:val="0"/>
          <w:divBdr>
            <w:top w:val="none" w:sz="0" w:space="0" w:color="auto"/>
            <w:left w:val="none" w:sz="0" w:space="0" w:color="auto"/>
            <w:bottom w:val="none" w:sz="0" w:space="0" w:color="auto"/>
            <w:right w:val="none" w:sz="0" w:space="0" w:color="auto"/>
          </w:divBdr>
        </w:div>
        <w:div w:id="1194926950">
          <w:marLeft w:val="994"/>
          <w:marRight w:val="0"/>
          <w:marTop w:val="86"/>
          <w:marBottom w:val="0"/>
          <w:divBdr>
            <w:top w:val="none" w:sz="0" w:space="0" w:color="auto"/>
            <w:left w:val="none" w:sz="0" w:space="0" w:color="auto"/>
            <w:bottom w:val="none" w:sz="0" w:space="0" w:color="auto"/>
            <w:right w:val="none" w:sz="0" w:space="0" w:color="auto"/>
          </w:divBdr>
        </w:div>
      </w:divsChild>
    </w:div>
    <w:div w:id="120342594">
      <w:bodyDiv w:val="1"/>
      <w:marLeft w:val="0"/>
      <w:marRight w:val="0"/>
      <w:marTop w:val="0"/>
      <w:marBottom w:val="0"/>
      <w:divBdr>
        <w:top w:val="none" w:sz="0" w:space="0" w:color="auto"/>
        <w:left w:val="none" w:sz="0" w:space="0" w:color="auto"/>
        <w:bottom w:val="none" w:sz="0" w:space="0" w:color="auto"/>
        <w:right w:val="none" w:sz="0" w:space="0" w:color="auto"/>
      </w:divBdr>
    </w:div>
    <w:div w:id="305402449">
      <w:bodyDiv w:val="1"/>
      <w:marLeft w:val="0"/>
      <w:marRight w:val="0"/>
      <w:marTop w:val="0"/>
      <w:marBottom w:val="0"/>
      <w:divBdr>
        <w:top w:val="none" w:sz="0" w:space="0" w:color="auto"/>
        <w:left w:val="none" w:sz="0" w:space="0" w:color="auto"/>
        <w:bottom w:val="none" w:sz="0" w:space="0" w:color="auto"/>
        <w:right w:val="none" w:sz="0" w:space="0" w:color="auto"/>
      </w:divBdr>
    </w:div>
    <w:div w:id="557470984">
      <w:bodyDiv w:val="1"/>
      <w:marLeft w:val="0"/>
      <w:marRight w:val="0"/>
      <w:marTop w:val="0"/>
      <w:marBottom w:val="0"/>
      <w:divBdr>
        <w:top w:val="none" w:sz="0" w:space="0" w:color="auto"/>
        <w:left w:val="none" w:sz="0" w:space="0" w:color="auto"/>
        <w:bottom w:val="none" w:sz="0" w:space="0" w:color="auto"/>
        <w:right w:val="none" w:sz="0" w:space="0" w:color="auto"/>
      </w:divBdr>
    </w:div>
    <w:div w:id="624040661">
      <w:bodyDiv w:val="1"/>
      <w:marLeft w:val="0"/>
      <w:marRight w:val="0"/>
      <w:marTop w:val="0"/>
      <w:marBottom w:val="0"/>
      <w:divBdr>
        <w:top w:val="none" w:sz="0" w:space="0" w:color="auto"/>
        <w:left w:val="none" w:sz="0" w:space="0" w:color="auto"/>
        <w:bottom w:val="none" w:sz="0" w:space="0" w:color="auto"/>
        <w:right w:val="none" w:sz="0" w:space="0" w:color="auto"/>
      </w:divBdr>
    </w:div>
    <w:div w:id="702706627">
      <w:bodyDiv w:val="1"/>
      <w:marLeft w:val="0"/>
      <w:marRight w:val="0"/>
      <w:marTop w:val="0"/>
      <w:marBottom w:val="0"/>
      <w:divBdr>
        <w:top w:val="none" w:sz="0" w:space="0" w:color="auto"/>
        <w:left w:val="none" w:sz="0" w:space="0" w:color="auto"/>
        <w:bottom w:val="none" w:sz="0" w:space="0" w:color="auto"/>
        <w:right w:val="none" w:sz="0" w:space="0" w:color="auto"/>
      </w:divBdr>
    </w:div>
    <w:div w:id="715616433">
      <w:bodyDiv w:val="1"/>
      <w:marLeft w:val="0"/>
      <w:marRight w:val="0"/>
      <w:marTop w:val="0"/>
      <w:marBottom w:val="0"/>
      <w:divBdr>
        <w:top w:val="none" w:sz="0" w:space="0" w:color="auto"/>
        <w:left w:val="none" w:sz="0" w:space="0" w:color="auto"/>
        <w:bottom w:val="none" w:sz="0" w:space="0" w:color="auto"/>
        <w:right w:val="none" w:sz="0" w:space="0" w:color="auto"/>
      </w:divBdr>
    </w:div>
    <w:div w:id="974213621">
      <w:bodyDiv w:val="1"/>
      <w:marLeft w:val="0"/>
      <w:marRight w:val="0"/>
      <w:marTop w:val="0"/>
      <w:marBottom w:val="0"/>
      <w:divBdr>
        <w:top w:val="none" w:sz="0" w:space="0" w:color="auto"/>
        <w:left w:val="none" w:sz="0" w:space="0" w:color="auto"/>
        <w:bottom w:val="none" w:sz="0" w:space="0" w:color="auto"/>
        <w:right w:val="none" w:sz="0" w:space="0" w:color="auto"/>
      </w:divBdr>
    </w:div>
    <w:div w:id="1123422549">
      <w:bodyDiv w:val="1"/>
      <w:marLeft w:val="0"/>
      <w:marRight w:val="0"/>
      <w:marTop w:val="0"/>
      <w:marBottom w:val="0"/>
      <w:divBdr>
        <w:top w:val="none" w:sz="0" w:space="0" w:color="auto"/>
        <w:left w:val="none" w:sz="0" w:space="0" w:color="auto"/>
        <w:bottom w:val="none" w:sz="0" w:space="0" w:color="auto"/>
        <w:right w:val="none" w:sz="0" w:space="0" w:color="auto"/>
      </w:divBdr>
    </w:div>
    <w:div w:id="1164315451">
      <w:bodyDiv w:val="1"/>
      <w:marLeft w:val="0"/>
      <w:marRight w:val="0"/>
      <w:marTop w:val="0"/>
      <w:marBottom w:val="0"/>
      <w:divBdr>
        <w:top w:val="none" w:sz="0" w:space="0" w:color="auto"/>
        <w:left w:val="none" w:sz="0" w:space="0" w:color="auto"/>
        <w:bottom w:val="none" w:sz="0" w:space="0" w:color="auto"/>
        <w:right w:val="none" w:sz="0" w:space="0" w:color="auto"/>
      </w:divBdr>
      <w:divsChild>
        <w:div w:id="2099134349">
          <w:marLeft w:val="274"/>
          <w:marRight w:val="0"/>
          <w:marTop w:val="86"/>
          <w:marBottom w:val="0"/>
          <w:divBdr>
            <w:top w:val="none" w:sz="0" w:space="0" w:color="auto"/>
            <w:left w:val="none" w:sz="0" w:space="0" w:color="auto"/>
            <w:bottom w:val="none" w:sz="0" w:space="0" w:color="auto"/>
            <w:right w:val="none" w:sz="0" w:space="0" w:color="auto"/>
          </w:divBdr>
        </w:div>
        <w:div w:id="1396322431">
          <w:marLeft w:val="274"/>
          <w:marRight w:val="0"/>
          <w:marTop w:val="86"/>
          <w:marBottom w:val="0"/>
          <w:divBdr>
            <w:top w:val="none" w:sz="0" w:space="0" w:color="auto"/>
            <w:left w:val="none" w:sz="0" w:space="0" w:color="auto"/>
            <w:bottom w:val="none" w:sz="0" w:space="0" w:color="auto"/>
            <w:right w:val="none" w:sz="0" w:space="0" w:color="auto"/>
          </w:divBdr>
        </w:div>
        <w:div w:id="1749186383">
          <w:marLeft w:val="274"/>
          <w:marRight w:val="0"/>
          <w:marTop w:val="86"/>
          <w:marBottom w:val="0"/>
          <w:divBdr>
            <w:top w:val="none" w:sz="0" w:space="0" w:color="auto"/>
            <w:left w:val="none" w:sz="0" w:space="0" w:color="auto"/>
            <w:bottom w:val="none" w:sz="0" w:space="0" w:color="auto"/>
            <w:right w:val="none" w:sz="0" w:space="0" w:color="auto"/>
          </w:divBdr>
        </w:div>
      </w:divsChild>
    </w:div>
    <w:div w:id="1210847471">
      <w:bodyDiv w:val="1"/>
      <w:marLeft w:val="0"/>
      <w:marRight w:val="0"/>
      <w:marTop w:val="0"/>
      <w:marBottom w:val="0"/>
      <w:divBdr>
        <w:top w:val="none" w:sz="0" w:space="0" w:color="auto"/>
        <w:left w:val="none" w:sz="0" w:space="0" w:color="auto"/>
        <w:bottom w:val="none" w:sz="0" w:space="0" w:color="auto"/>
        <w:right w:val="none" w:sz="0" w:space="0" w:color="auto"/>
      </w:divBdr>
      <w:divsChild>
        <w:div w:id="760368158">
          <w:marLeft w:val="274"/>
          <w:marRight w:val="0"/>
          <w:marTop w:val="86"/>
          <w:marBottom w:val="0"/>
          <w:divBdr>
            <w:top w:val="none" w:sz="0" w:space="0" w:color="auto"/>
            <w:left w:val="none" w:sz="0" w:space="0" w:color="auto"/>
            <w:bottom w:val="none" w:sz="0" w:space="0" w:color="auto"/>
            <w:right w:val="none" w:sz="0" w:space="0" w:color="auto"/>
          </w:divBdr>
        </w:div>
      </w:divsChild>
    </w:div>
    <w:div w:id="1227574089">
      <w:bodyDiv w:val="1"/>
      <w:marLeft w:val="0"/>
      <w:marRight w:val="0"/>
      <w:marTop w:val="0"/>
      <w:marBottom w:val="0"/>
      <w:divBdr>
        <w:top w:val="none" w:sz="0" w:space="0" w:color="auto"/>
        <w:left w:val="none" w:sz="0" w:space="0" w:color="auto"/>
        <w:bottom w:val="none" w:sz="0" w:space="0" w:color="auto"/>
        <w:right w:val="none" w:sz="0" w:space="0" w:color="auto"/>
      </w:divBdr>
    </w:div>
    <w:div w:id="1517380623">
      <w:bodyDiv w:val="1"/>
      <w:marLeft w:val="0"/>
      <w:marRight w:val="0"/>
      <w:marTop w:val="0"/>
      <w:marBottom w:val="0"/>
      <w:divBdr>
        <w:top w:val="none" w:sz="0" w:space="0" w:color="auto"/>
        <w:left w:val="none" w:sz="0" w:space="0" w:color="auto"/>
        <w:bottom w:val="none" w:sz="0" w:space="0" w:color="auto"/>
        <w:right w:val="none" w:sz="0" w:space="0" w:color="auto"/>
      </w:divBdr>
    </w:div>
    <w:div w:id="1531603204">
      <w:bodyDiv w:val="1"/>
      <w:marLeft w:val="0"/>
      <w:marRight w:val="0"/>
      <w:marTop w:val="0"/>
      <w:marBottom w:val="0"/>
      <w:divBdr>
        <w:top w:val="none" w:sz="0" w:space="0" w:color="auto"/>
        <w:left w:val="none" w:sz="0" w:space="0" w:color="auto"/>
        <w:bottom w:val="none" w:sz="0" w:space="0" w:color="auto"/>
        <w:right w:val="none" w:sz="0" w:space="0" w:color="auto"/>
      </w:divBdr>
    </w:div>
    <w:div w:id="1590888269">
      <w:bodyDiv w:val="1"/>
      <w:marLeft w:val="0"/>
      <w:marRight w:val="0"/>
      <w:marTop w:val="0"/>
      <w:marBottom w:val="0"/>
      <w:divBdr>
        <w:top w:val="none" w:sz="0" w:space="0" w:color="auto"/>
        <w:left w:val="none" w:sz="0" w:space="0" w:color="auto"/>
        <w:bottom w:val="none" w:sz="0" w:space="0" w:color="auto"/>
        <w:right w:val="none" w:sz="0" w:space="0" w:color="auto"/>
      </w:divBdr>
    </w:div>
    <w:div w:id="1905869268">
      <w:bodyDiv w:val="1"/>
      <w:marLeft w:val="0"/>
      <w:marRight w:val="0"/>
      <w:marTop w:val="0"/>
      <w:marBottom w:val="0"/>
      <w:divBdr>
        <w:top w:val="none" w:sz="0" w:space="0" w:color="auto"/>
        <w:left w:val="none" w:sz="0" w:space="0" w:color="auto"/>
        <w:bottom w:val="none" w:sz="0" w:space="0" w:color="auto"/>
        <w:right w:val="none" w:sz="0" w:space="0" w:color="auto"/>
      </w:divBdr>
      <w:divsChild>
        <w:div w:id="1754662592">
          <w:marLeft w:val="274"/>
          <w:marRight w:val="0"/>
          <w:marTop w:val="86"/>
          <w:marBottom w:val="0"/>
          <w:divBdr>
            <w:top w:val="none" w:sz="0" w:space="0" w:color="auto"/>
            <w:left w:val="none" w:sz="0" w:space="0" w:color="auto"/>
            <w:bottom w:val="none" w:sz="0" w:space="0" w:color="auto"/>
            <w:right w:val="none" w:sz="0" w:space="0" w:color="auto"/>
          </w:divBdr>
        </w:div>
      </w:divsChild>
    </w:div>
    <w:div w:id="1947735938">
      <w:bodyDiv w:val="1"/>
      <w:marLeft w:val="0"/>
      <w:marRight w:val="0"/>
      <w:marTop w:val="0"/>
      <w:marBottom w:val="0"/>
      <w:divBdr>
        <w:top w:val="none" w:sz="0" w:space="0" w:color="auto"/>
        <w:left w:val="none" w:sz="0" w:space="0" w:color="auto"/>
        <w:bottom w:val="none" w:sz="0" w:space="0" w:color="auto"/>
        <w:right w:val="none" w:sz="0" w:space="0" w:color="auto"/>
      </w:divBdr>
    </w:div>
    <w:div w:id="205279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chart" Target="charts/chart5.xml"/><Relationship Id="rId3" Type="http://schemas.openxmlformats.org/officeDocument/2006/relationships/customXml" Target="../customXml/item3.xml"/><Relationship Id="rId21" Type="http://schemas.openxmlformats.org/officeDocument/2006/relationships/hyperlink" Target="http://www.opengovpartnership.org/sites/default/files/PLAN%20DE%20ACCI%C3%93N%20GOBIERNO%20ABIERTO%20ingl%C3%A9s_0.pdf"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hart" Target="charts/chart4.xml"/><Relationship Id="rId2" Type="http://schemas.openxmlformats.org/officeDocument/2006/relationships/customXml" Target="../customXml/item2.xml"/><Relationship Id="rId16" Type="http://schemas.openxmlformats.org/officeDocument/2006/relationships/chart" Target="charts/chart3.xml"/><Relationship Id="rId20" Type="http://schemas.openxmlformats.org/officeDocument/2006/relationships/hyperlink" Target="http://www.oas.org/juridico/PDFs/mesicic5_pry_final_sp.pdf"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customXml" Target="../customXml/item9.xml"/><Relationship Id="rId23" Type="http://schemas.openxmlformats.org/officeDocument/2006/relationships/theme" Target="theme/theme1.xml"/><Relationship Id="rId15" Type="http://schemas.openxmlformats.org/officeDocument/2006/relationships/chart" Target="charts/chart2.xml"/><Relationship Id="rId10" Type="http://schemas.openxmlformats.org/officeDocument/2006/relationships/settings" Target="settings.xml"/><Relationship Id="rId19" Type="http://schemas.openxmlformats.org/officeDocument/2006/relationships/chart" Target="charts/chart6.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chart" Target="charts/chart1.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evelynm\Downloads\CPI2016_FullDataSetWithRegionalTables.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evelynm\Documents\D%20DRIVE\DATA.IDB\Documents\Corruption%20Transparency%20in%20LAC%20at%20a%20glance\TRC%20LAC%20at%20a%20glance%208abr2016.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evelynm\Documents\D%20DRIVE\DATA.IDB\Documents\Corruption%20Transparency%20in%20LAC%20at%20a%20glance\TRC%20LAC%20at%20a%20glance%208abr2016.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evelynm\Documents\D%20DRIVE\DATA.IDB\Documents\Corruption%20Transparency%20in%20LAC%20at%20a%20glance\WGI%202015%20TRC%20LAC%20at%20a%20glance%208abr2016.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evelynm\Documents\D%20DRIVE\DATA.IDB\Documents\Corruption%20Transparency%20in%20LAC%20at%20a%20glance\WGI%202015%20TRC%20LAC%20at%20a%20glance%208abr2016.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evelynm\Documents\D%20DRIVE\DATA.IDB\Documents\Corruption%20Transparency%20in%20LAC%20at%20a%20glance\TRC%20LAC%20at%20a%20glance%208abr2016.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ES" sz="1200"/>
              <a:t>Índice de Percepción de Corrupción (IPC)</a:t>
            </a:r>
            <a:endParaRPr lang="en-US" sz="1200"/>
          </a:p>
          <a:p>
            <a:pPr>
              <a:defRPr/>
            </a:pPr>
            <a:r>
              <a:rPr lang="es-ES_tradnl" sz="1100" b="0"/>
              <a:t>Escala 0 a 100, 0 = muy corrupto y 100= muy limpio </a:t>
            </a:r>
            <a:endParaRPr lang="en-US" sz="1100" b="0"/>
          </a:p>
        </c:rich>
      </c:tx>
      <c:overlay val="1"/>
    </c:title>
    <c:autoTitleDeleted val="0"/>
    <c:plotArea>
      <c:layout/>
      <c:barChart>
        <c:barDir val="col"/>
        <c:grouping val="clustered"/>
        <c:varyColors val="0"/>
        <c:ser>
          <c:idx val="0"/>
          <c:order val="0"/>
          <c:tx>
            <c:v>2016</c:v>
          </c:tx>
          <c:invertIfNegative val="0"/>
          <c:cat>
            <c:strRef>
              <c:f>[CPI2016_FullDataSetWithRegionalTables.xlsx]Sheet1!$G$4:$G$28</c:f>
              <c:strCache>
                <c:ptCount val="25"/>
                <c:pt idx="0">
                  <c:v>UR</c:v>
                </c:pt>
                <c:pt idx="1">
                  <c:v>CH</c:v>
                </c:pt>
                <c:pt idx="2">
                  <c:v>BH</c:v>
                </c:pt>
                <c:pt idx="3">
                  <c:v>BA</c:v>
                </c:pt>
                <c:pt idx="4">
                  <c:v>CR</c:v>
                </c:pt>
                <c:pt idx="5">
                  <c:v>SU</c:v>
                </c:pt>
                <c:pt idx="6">
                  <c:v>BR</c:v>
                </c:pt>
                <c:pt idx="7">
                  <c:v>JA</c:v>
                </c:pt>
                <c:pt idx="8">
                  <c:v>PN</c:v>
                </c:pt>
                <c:pt idx="9">
                  <c:v>CO</c:v>
                </c:pt>
                <c:pt idx="10">
                  <c:v>ES</c:v>
                </c:pt>
                <c:pt idx="11">
                  <c:v>AR</c:v>
                </c:pt>
                <c:pt idx="12">
                  <c:v>TT</c:v>
                </c:pt>
                <c:pt idx="13">
                  <c:v>PE</c:v>
                </c:pt>
                <c:pt idx="14">
                  <c:v>GU</c:v>
                </c:pt>
                <c:pt idx="15">
                  <c:v>BO</c:v>
                </c:pt>
                <c:pt idx="16">
                  <c:v>DR</c:v>
                </c:pt>
                <c:pt idx="17">
                  <c:v>EC</c:v>
                </c:pt>
                <c:pt idx="18">
                  <c:v>ME</c:v>
                </c:pt>
                <c:pt idx="19">
                  <c:v>HO</c:v>
                </c:pt>
                <c:pt idx="20">
                  <c:v>PR</c:v>
                </c:pt>
                <c:pt idx="21">
                  <c:v>GU</c:v>
                </c:pt>
                <c:pt idx="22">
                  <c:v>NI</c:v>
                </c:pt>
                <c:pt idx="23">
                  <c:v>HA</c:v>
                </c:pt>
                <c:pt idx="24">
                  <c:v>VE</c:v>
                </c:pt>
              </c:strCache>
            </c:strRef>
          </c:cat>
          <c:val>
            <c:numRef>
              <c:f>[CPI2016_FullDataSetWithRegionalTables.xlsx]Sheet1!$I$4:$I$28</c:f>
              <c:numCache>
                <c:formatCode>General</c:formatCode>
                <c:ptCount val="25"/>
                <c:pt idx="0">
                  <c:v>71</c:v>
                </c:pt>
                <c:pt idx="1">
                  <c:v>66</c:v>
                </c:pt>
                <c:pt idx="2">
                  <c:v>66</c:v>
                </c:pt>
                <c:pt idx="3">
                  <c:v>61</c:v>
                </c:pt>
                <c:pt idx="4">
                  <c:v>58</c:v>
                </c:pt>
                <c:pt idx="5">
                  <c:v>45</c:v>
                </c:pt>
                <c:pt idx="6">
                  <c:v>40</c:v>
                </c:pt>
                <c:pt idx="7">
                  <c:v>39</c:v>
                </c:pt>
                <c:pt idx="8">
                  <c:v>38</c:v>
                </c:pt>
                <c:pt idx="9">
                  <c:v>37</c:v>
                </c:pt>
                <c:pt idx="10">
                  <c:v>36</c:v>
                </c:pt>
                <c:pt idx="11">
                  <c:v>36</c:v>
                </c:pt>
                <c:pt idx="12">
                  <c:v>35</c:v>
                </c:pt>
                <c:pt idx="13">
                  <c:v>35</c:v>
                </c:pt>
                <c:pt idx="14">
                  <c:v>34</c:v>
                </c:pt>
                <c:pt idx="15">
                  <c:v>33</c:v>
                </c:pt>
                <c:pt idx="16">
                  <c:v>31</c:v>
                </c:pt>
                <c:pt idx="17">
                  <c:v>31</c:v>
                </c:pt>
                <c:pt idx="18">
                  <c:v>30</c:v>
                </c:pt>
                <c:pt idx="19">
                  <c:v>30</c:v>
                </c:pt>
                <c:pt idx="20">
                  <c:v>30</c:v>
                </c:pt>
                <c:pt idx="21">
                  <c:v>28</c:v>
                </c:pt>
                <c:pt idx="22">
                  <c:v>26</c:v>
                </c:pt>
                <c:pt idx="23">
                  <c:v>20</c:v>
                </c:pt>
                <c:pt idx="24">
                  <c:v>17</c:v>
                </c:pt>
              </c:numCache>
            </c:numRef>
          </c:val>
          <c:extLst>
            <c:ext xmlns:c16="http://schemas.microsoft.com/office/drawing/2014/chart" uri="{C3380CC4-5D6E-409C-BE32-E72D297353CC}">
              <c16:uniqueId val="{00000000-1CAE-422F-9757-F11D4A9594DF}"/>
            </c:ext>
          </c:extLst>
        </c:ser>
        <c:ser>
          <c:idx val="1"/>
          <c:order val="1"/>
          <c:tx>
            <c:v>2015</c:v>
          </c:tx>
          <c:spPr>
            <a:solidFill>
              <a:schemeClr val="bg1">
                <a:lumMod val="65000"/>
              </a:schemeClr>
            </a:solidFill>
          </c:spPr>
          <c:invertIfNegative val="0"/>
          <c:cat>
            <c:strRef>
              <c:f>[CPI2016_FullDataSetWithRegionalTables.xlsx]Sheet1!$G$4:$G$28</c:f>
              <c:strCache>
                <c:ptCount val="25"/>
                <c:pt idx="0">
                  <c:v>UR</c:v>
                </c:pt>
                <c:pt idx="1">
                  <c:v>CH</c:v>
                </c:pt>
                <c:pt idx="2">
                  <c:v>BH</c:v>
                </c:pt>
                <c:pt idx="3">
                  <c:v>BA</c:v>
                </c:pt>
                <c:pt idx="4">
                  <c:v>CR</c:v>
                </c:pt>
                <c:pt idx="5">
                  <c:v>SU</c:v>
                </c:pt>
                <c:pt idx="6">
                  <c:v>BR</c:v>
                </c:pt>
                <c:pt idx="7">
                  <c:v>JA</c:v>
                </c:pt>
                <c:pt idx="8">
                  <c:v>PN</c:v>
                </c:pt>
                <c:pt idx="9">
                  <c:v>CO</c:v>
                </c:pt>
                <c:pt idx="10">
                  <c:v>ES</c:v>
                </c:pt>
                <c:pt idx="11">
                  <c:v>AR</c:v>
                </c:pt>
                <c:pt idx="12">
                  <c:v>TT</c:v>
                </c:pt>
                <c:pt idx="13">
                  <c:v>PE</c:v>
                </c:pt>
                <c:pt idx="14">
                  <c:v>GU</c:v>
                </c:pt>
                <c:pt idx="15">
                  <c:v>BO</c:v>
                </c:pt>
                <c:pt idx="16">
                  <c:v>DR</c:v>
                </c:pt>
                <c:pt idx="17">
                  <c:v>EC</c:v>
                </c:pt>
                <c:pt idx="18">
                  <c:v>ME</c:v>
                </c:pt>
                <c:pt idx="19">
                  <c:v>HO</c:v>
                </c:pt>
                <c:pt idx="20">
                  <c:v>PR</c:v>
                </c:pt>
                <c:pt idx="21">
                  <c:v>GU</c:v>
                </c:pt>
                <c:pt idx="22">
                  <c:v>NI</c:v>
                </c:pt>
                <c:pt idx="23">
                  <c:v>HA</c:v>
                </c:pt>
                <c:pt idx="24">
                  <c:v>VE</c:v>
                </c:pt>
              </c:strCache>
            </c:strRef>
          </c:cat>
          <c:val>
            <c:numRef>
              <c:f>[CPI2016_FullDataSetWithRegionalTables.xlsx]Sheet1!$J$4:$J$28</c:f>
              <c:numCache>
                <c:formatCode>General</c:formatCode>
                <c:ptCount val="25"/>
                <c:pt idx="0">
                  <c:v>74</c:v>
                </c:pt>
                <c:pt idx="1">
                  <c:v>70</c:v>
                </c:pt>
                <c:pt idx="4">
                  <c:v>55</c:v>
                </c:pt>
                <c:pt idx="5">
                  <c:v>36</c:v>
                </c:pt>
                <c:pt idx="6">
                  <c:v>38</c:v>
                </c:pt>
                <c:pt idx="7">
                  <c:v>41</c:v>
                </c:pt>
                <c:pt idx="8">
                  <c:v>39</c:v>
                </c:pt>
                <c:pt idx="9">
                  <c:v>37</c:v>
                </c:pt>
                <c:pt idx="10">
                  <c:v>39</c:v>
                </c:pt>
                <c:pt idx="11">
                  <c:v>32</c:v>
                </c:pt>
                <c:pt idx="12">
                  <c:v>39</c:v>
                </c:pt>
                <c:pt idx="13">
                  <c:v>36</c:v>
                </c:pt>
                <c:pt idx="14">
                  <c:v>29</c:v>
                </c:pt>
                <c:pt idx="15">
                  <c:v>34</c:v>
                </c:pt>
                <c:pt idx="16">
                  <c:v>33</c:v>
                </c:pt>
                <c:pt idx="17">
                  <c:v>32</c:v>
                </c:pt>
                <c:pt idx="18">
                  <c:v>35</c:v>
                </c:pt>
                <c:pt idx="19">
                  <c:v>31</c:v>
                </c:pt>
                <c:pt idx="20">
                  <c:v>27</c:v>
                </c:pt>
                <c:pt idx="21">
                  <c:v>28</c:v>
                </c:pt>
                <c:pt idx="22">
                  <c:v>27</c:v>
                </c:pt>
                <c:pt idx="23">
                  <c:v>17</c:v>
                </c:pt>
                <c:pt idx="24">
                  <c:v>17</c:v>
                </c:pt>
              </c:numCache>
            </c:numRef>
          </c:val>
          <c:extLst>
            <c:ext xmlns:c16="http://schemas.microsoft.com/office/drawing/2014/chart" uri="{C3380CC4-5D6E-409C-BE32-E72D297353CC}">
              <c16:uniqueId val="{00000001-1CAE-422F-9757-F11D4A9594DF}"/>
            </c:ext>
          </c:extLst>
        </c:ser>
        <c:dLbls>
          <c:showLegendKey val="0"/>
          <c:showVal val="0"/>
          <c:showCatName val="0"/>
          <c:showSerName val="0"/>
          <c:showPercent val="0"/>
          <c:showBubbleSize val="0"/>
        </c:dLbls>
        <c:gapWidth val="67"/>
        <c:axId val="351705344"/>
        <c:axId val="351662080"/>
      </c:barChart>
      <c:catAx>
        <c:axId val="351705344"/>
        <c:scaling>
          <c:orientation val="minMax"/>
        </c:scaling>
        <c:delete val="0"/>
        <c:axPos val="b"/>
        <c:numFmt formatCode="General" sourceLinked="0"/>
        <c:majorTickMark val="out"/>
        <c:minorTickMark val="none"/>
        <c:tickLblPos val="nextTo"/>
        <c:crossAx val="351662080"/>
        <c:crosses val="autoZero"/>
        <c:auto val="1"/>
        <c:lblAlgn val="ctr"/>
        <c:lblOffset val="100"/>
        <c:noMultiLvlLbl val="0"/>
      </c:catAx>
      <c:valAx>
        <c:axId val="351662080"/>
        <c:scaling>
          <c:orientation val="minMax"/>
        </c:scaling>
        <c:delete val="0"/>
        <c:axPos val="l"/>
        <c:numFmt formatCode="General" sourceLinked="1"/>
        <c:majorTickMark val="out"/>
        <c:minorTickMark val="none"/>
        <c:tickLblPos val="nextTo"/>
        <c:crossAx val="351705344"/>
        <c:crosses val="autoZero"/>
        <c:crossBetween val="between"/>
      </c:valAx>
    </c:plotArea>
    <c:legend>
      <c:legendPos val="r"/>
      <c:layout>
        <c:manualLayout>
          <c:xMode val="edge"/>
          <c:yMode val="edge"/>
          <c:x val="0.62496950205168011"/>
          <c:y val="0.24498651210265385"/>
          <c:w val="0.23330298941505551"/>
          <c:h val="0.10374007389203738"/>
        </c:manualLayout>
      </c:layout>
      <c:overlay val="1"/>
    </c:legend>
    <c:plotVisOnly val="1"/>
    <c:dispBlanksAs val="gap"/>
    <c:showDLblsOverMax val="0"/>
  </c:chart>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000"/>
              <a:t>Pagos irregulares y sobornos</a:t>
            </a:r>
          </a:p>
          <a:p>
            <a:pPr>
              <a:defRPr/>
            </a:pPr>
            <a:r>
              <a:rPr lang="en-US" sz="1000" b="0"/>
              <a:t>Escala  1  (muy común) a 7 (nunca ocurre)</a:t>
            </a:r>
          </a:p>
        </c:rich>
      </c:tx>
      <c:layout>
        <c:manualLayout>
          <c:xMode val="edge"/>
          <c:yMode val="edge"/>
          <c:x val="0.14773614464240059"/>
          <c:y val="2.8688524590163935E-2"/>
        </c:manualLayout>
      </c:layout>
      <c:overlay val="0"/>
    </c:title>
    <c:autoTitleDeleted val="0"/>
    <c:plotArea>
      <c:layout/>
      <c:lineChart>
        <c:grouping val="standard"/>
        <c:varyColors val="0"/>
        <c:ser>
          <c:idx val="0"/>
          <c:order val="0"/>
          <c:tx>
            <c:strRef>
              <c:f>'WEF 2015-2016'!$DK$4</c:f>
              <c:strCache>
                <c:ptCount val="1"/>
                <c:pt idx="0">
                  <c:v>Paraguay</c:v>
                </c:pt>
              </c:strCache>
            </c:strRef>
          </c:tx>
          <c:cat>
            <c:strRef>
              <c:f>('WEF 2015-2016'!$C$3186,'WEF 2015-2016'!$C$2796,'WEF 2015-2016'!$C$2398,'WEF 2015-2016'!$C$1916,'WEF 2015-2016'!$C$983,'WEF 2015-2016'!$C$35)</c:f>
              <c:strCache>
                <c:ptCount val="6"/>
                <c:pt idx="0">
                  <c:v>2010-2011</c:v>
                </c:pt>
                <c:pt idx="1">
                  <c:v>2011-2012</c:v>
                </c:pt>
                <c:pt idx="2">
                  <c:v>2012-2013</c:v>
                </c:pt>
                <c:pt idx="3">
                  <c:v>2013-2014</c:v>
                </c:pt>
                <c:pt idx="4">
                  <c:v>2014-2015</c:v>
                </c:pt>
                <c:pt idx="5">
                  <c:v>2015-2016</c:v>
                </c:pt>
              </c:strCache>
            </c:strRef>
          </c:cat>
          <c:val>
            <c:numRef>
              <c:f>('WEF 2015-2016'!$DK$3186,'WEF 2015-2016'!$DK$2796,'WEF 2015-2016'!$DK$2398,'WEF 2015-2016'!$DK$1916,'WEF 2015-2016'!$DK$983,'WEF 2015-2016'!$DK$35)</c:f>
              <c:numCache>
                <c:formatCode>_(* #,##0.00_);_(* \(#,##0.00\);_(* "-"??_);_(@_)</c:formatCode>
                <c:ptCount val="6"/>
                <c:pt idx="0">
                  <c:v>2.7081352571653543</c:v>
                </c:pt>
                <c:pt idx="1">
                  <c:v>2.98914179369863</c:v>
                </c:pt>
                <c:pt idx="2">
                  <c:v>3.0511089243678158</c:v>
                </c:pt>
                <c:pt idx="3">
                  <c:v>2.8286965849275361</c:v>
                </c:pt>
                <c:pt idx="4">
                  <c:v>2.6731798579180568</c:v>
                </c:pt>
                <c:pt idx="5">
                  <c:v>2.7255091506423375</c:v>
                </c:pt>
              </c:numCache>
            </c:numRef>
          </c:val>
          <c:smooth val="0"/>
          <c:extLst>
            <c:ext xmlns:c16="http://schemas.microsoft.com/office/drawing/2014/chart" uri="{C3380CC4-5D6E-409C-BE32-E72D297353CC}">
              <c16:uniqueId val="{00000000-EA46-48A5-B124-B3AF6F943A25}"/>
            </c:ext>
          </c:extLst>
        </c:ser>
        <c:ser>
          <c:idx val="1"/>
          <c:order val="1"/>
          <c:tx>
            <c:v>ALC</c:v>
          </c:tx>
          <c:cat>
            <c:strRef>
              <c:f>('WEF 2015-2016'!$C$3186,'WEF 2015-2016'!$C$2796,'WEF 2015-2016'!$C$2398,'WEF 2015-2016'!$C$1916,'WEF 2015-2016'!$C$983,'WEF 2015-2016'!$C$35)</c:f>
              <c:strCache>
                <c:ptCount val="6"/>
                <c:pt idx="0">
                  <c:v>2010-2011</c:v>
                </c:pt>
                <c:pt idx="1">
                  <c:v>2011-2012</c:v>
                </c:pt>
                <c:pt idx="2">
                  <c:v>2012-2013</c:v>
                </c:pt>
                <c:pt idx="3">
                  <c:v>2013-2014</c:v>
                </c:pt>
                <c:pt idx="4">
                  <c:v>2014-2015</c:v>
                </c:pt>
                <c:pt idx="5">
                  <c:v>2015-2016</c:v>
                </c:pt>
              </c:strCache>
            </c:strRef>
          </c:cat>
          <c:val>
            <c:numRef>
              <c:f>('WEF 2015-2016'!$FE$3186,'WEF 2015-2016'!$FE$2796,'WEF 2015-2016'!$FE$2398,'WEF 2015-2016'!$FE$1916,'WEF 2015-2016'!$FE$983,'WEF 2015-2016'!$FE$35)</c:f>
              <c:numCache>
                <c:formatCode>_(* #,##0.00_);_(* \(#,##0.00\);_(* "-"??_);_(@_)</c:formatCode>
                <c:ptCount val="6"/>
                <c:pt idx="0">
                  <c:v>3.3459786099023803</c:v>
                </c:pt>
                <c:pt idx="1">
                  <c:v>3.727623211632606</c:v>
                </c:pt>
                <c:pt idx="2">
                  <c:v>3.5272751953046515</c:v>
                </c:pt>
                <c:pt idx="3">
                  <c:v>3.4807005957836794</c:v>
                </c:pt>
                <c:pt idx="4">
                  <c:v>3.3137960427309259</c:v>
                </c:pt>
                <c:pt idx="5">
                  <c:v>3.5172807139021534</c:v>
                </c:pt>
              </c:numCache>
            </c:numRef>
          </c:val>
          <c:smooth val="0"/>
          <c:extLst>
            <c:ext xmlns:c16="http://schemas.microsoft.com/office/drawing/2014/chart" uri="{C3380CC4-5D6E-409C-BE32-E72D297353CC}">
              <c16:uniqueId val="{00000001-EA46-48A5-B124-B3AF6F943A25}"/>
            </c:ext>
          </c:extLst>
        </c:ser>
        <c:ser>
          <c:idx val="2"/>
          <c:order val="2"/>
          <c:tx>
            <c:v>OCDE</c:v>
          </c:tx>
          <c:cat>
            <c:strRef>
              <c:f>('WEF 2015-2016'!$C$3186,'WEF 2015-2016'!$C$2796,'WEF 2015-2016'!$C$2398,'WEF 2015-2016'!$C$1916,'WEF 2015-2016'!$C$983,'WEF 2015-2016'!$C$35)</c:f>
              <c:strCache>
                <c:ptCount val="6"/>
                <c:pt idx="0">
                  <c:v>2010-2011</c:v>
                </c:pt>
                <c:pt idx="1">
                  <c:v>2011-2012</c:v>
                </c:pt>
                <c:pt idx="2">
                  <c:v>2012-2013</c:v>
                </c:pt>
                <c:pt idx="3">
                  <c:v>2013-2014</c:v>
                </c:pt>
                <c:pt idx="4">
                  <c:v>2014-2015</c:v>
                </c:pt>
                <c:pt idx="5">
                  <c:v>2015-2016</c:v>
                </c:pt>
              </c:strCache>
            </c:strRef>
          </c:cat>
          <c:val>
            <c:numRef>
              <c:f>('WEF 2015-2016'!$FU$3186,'WEF 2015-2016'!$FU$2796,'WEF 2015-2016'!$FU$2398,'WEF 2015-2016'!$FU$1916,'WEF 2015-2016'!$FU$983,'WEF 2015-2016'!$FU$35)</c:f>
              <c:numCache>
                <c:formatCode>_(* #,##0.00_);_(* \(#,##0.00\);_(* "-"??_);_(@_)</c:formatCode>
                <c:ptCount val="6"/>
                <c:pt idx="0">
                  <c:v>5.6211113669044437</c:v>
                </c:pt>
                <c:pt idx="1">
                  <c:v>5.5755805886549963</c:v>
                </c:pt>
                <c:pt idx="2">
                  <c:v>5.4864317605102579</c:v>
                </c:pt>
                <c:pt idx="3">
                  <c:v>5.4301566866168427</c:v>
                </c:pt>
                <c:pt idx="4">
                  <c:v>5.4285818141324329</c:v>
                </c:pt>
                <c:pt idx="5">
                  <c:v>5.5368691276647697</c:v>
                </c:pt>
              </c:numCache>
            </c:numRef>
          </c:val>
          <c:smooth val="0"/>
          <c:extLst>
            <c:ext xmlns:c16="http://schemas.microsoft.com/office/drawing/2014/chart" uri="{C3380CC4-5D6E-409C-BE32-E72D297353CC}">
              <c16:uniqueId val="{00000002-EA46-48A5-B124-B3AF6F943A25}"/>
            </c:ext>
          </c:extLst>
        </c:ser>
        <c:dLbls>
          <c:showLegendKey val="0"/>
          <c:showVal val="0"/>
          <c:showCatName val="0"/>
          <c:showSerName val="0"/>
          <c:showPercent val="0"/>
          <c:showBubbleSize val="0"/>
        </c:dLbls>
        <c:marker val="1"/>
        <c:smooth val="0"/>
        <c:axId val="351701632"/>
        <c:axId val="353313152"/>
      </c:lineChart>
      <c:catAx>
        <c:axId val="351701632"/>
        <c:scaling>
          <c:orientation val="minMax"/>
        </c:scaling>
        <c:delete val="0"/>
        <c:axPos val="b"/>
        <c:numFmt formatCode="General" sourceLinked="0"/>
        <c:majorTickMark val="out"/>
        <c:minorTickMark val="none"/>
        <c:tickLblPos val="nextTo"/>
        <c:crossAx val="353313152"/>
        <c:crosses val="autoZero"/>
        <c:auto val="1"/>
        <c:lblAlgn val="ctr"/>
        <c:lblOffset val="100"/>
        <c:noMultiLvlLbl val="0"/>
      </c:catAx>
      <c:valAx>
        <c:axId val="353313152"/>
        <c:scaling>
          <c:orientation val="minMax"/>
        </c:scaling>
        <c:delete val="0"/>
        <c:axPos val="l"/>
        <c:numFmt formatCode="_(* #,##0.00_);_(* \(#,##0.00\);_(* &quot;-&quot;??_);_(@_)" sourceLinked="1"/>
        <c:majorTickMark val="out"/>
        <c:minorTickMark val="none"/>
        <c:tickLblPos val="nextTo"/>
        <c:crossAx val="351701632"/>
        <c:crosses val="autoZero"/>
        <c:crossBetween val="between"/>
      </c:valAx>
    </c:plotArea>
    <c:legend>
      <c:legendPos val="b"/>
      <c:overlay val="0"/>
    </c:legend>
    <c:plotVisOnly val="1"/>
    <c:dispBlanksAs val="gap"/>
    <c:showDLblsOverMax val="0"/>
  </c:chart>
  <c:txPr>
    <a:bodyPr/>
    <a:lstStyle/>
    <a:p>
      <a:pPr>
        <a:defRPr sz="1000"/>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sz="1000" b="1" i="0" baseline="0">
                <a:effectLst/>
              </a:rPr>
              <a:t>Transparencia en la elaboración de politicas gubernamentales</a:t>
            </a:r>
            <a:endParaRPr lang="en-US" sz="1000">
              <a:effectLst/>
            </a:endParaRPr>
          </a:p>
          <a:p>
            <a:pPr>
              <a:defRPr/>
            </a:pPr>
            <a:r>
              <a:rPr lang="es-ES" sz="1000" b="0" i="0" baseline="0">
                <a:effectLst/>
              </a:rPr>
              <a:t>Escala de 1 (extremadamente difícil) a </a:t>
            </a:r>
            <a:endParaRPr lang="en-US" sz="1000">
              <a:effectLst/>
            </a:endParaRPr>
          </a:p>
          <a:p>
            <a:pPr>
              <a:defRPr/>
            </a:pPr>
            <a:r>
              <a:rPr lang="es-ES" sz="1000" b="0" i="0" baseline="0">
                <a:effectLst/>
              </a:rPr>
              <a:t>7 (extremadamente fácil)</a:t>
            </a:r>
            <a:endParaRPr lang="en-US" sz="1000">
              <a:effectLst/>
            </a:endParaRPr>
          </a:p>
        </c:rich>
      </c:tx>
      <c:overlay val="0"/>
    </c:title>
    <c:autoTitleDeleted val="0"/>
    <c:plotArea>
      <c:layout/>
      <c:lineChart>
        <c:grouping val="standard"/>
        <c:varyColors val="0"/>
        <c:ser>
          <c:idx val="0"/>
          <c:order val="0"/>
          <c:tx>
            <c:strRef>
              <c:f>'WEF 2015-2016'!$DK$4</c:f>
              <c:strCache>
                <c:ptCount val="1"/>
                <c:pt idx="0">
                  <c:v>Paraguay</c:v>
                </c:pt>
              </c:strCache>
            </c:strRef>
          </c:tx>
          <c:cat>
            <c:strRef>
              <c:f>('WEF 2015-2016'!$C$4663,'WEF 2015-2016'!$C$4313,'WEF 2015-2016'!$C$3955,'WEF 2015-2016'!$C$3592,'WEF 2015-2016'!$C$3206,'WEF 2015-2016'!$C$2816,'WEF 2015-2016'!$C$2418,'WEF 2015-2016'!$C$1943,'WEF 2015-2016'!$C$1037,'WEF 2015-2016'!$C$89)</c:f>
              <c:strCache>
                <c:ptCount val="10"/>
                <c:pt idx="0">
                  <c:v>2006-2007</c:v>
                </c:pt>
                <c:pt idx="1">
                  <c:v>2007-2008</c:v>
                </c:pt>
                <c:pt idx="2">
                  <c:v>2008-2009</c:v>
                </c:pt>
                <c:pt idx="3">
                  <c:v>2009-2010</c:v>
                </c:pt>
                <c:pt idx="4">
                  <c:v>2010-2011</c:v>
                </c:pt>
                <c:pt idx="5">
                  <c:v>2011-2012</c:v>
                </c:pt>
                <c:pt idx="6">
                  <c:v>2012-2013</c:v>
                </c:pt>
                <c:pt idx="7">
                  <c:v>2013-2014</c:v>
                </c:pt>
                <c:pt idx="8">
                  <c:v>2014-2015</c:v>
                </c:pt>
                <c:pt idx="9">
                  <c:v>2015-2016</c:v>
                </c:pt>
              </c:strCache>
            </c:strRef>
          </c:cat>
          <c:val>
            <c:numRef>
              <c:f>('WEF 2015-2016'!$DK$4663,'WEF 2015-2016'!$DK$4313,'WEF 2015-2016'!$DK$3955,'WEF 2015-2016'!$DK$3592,'WEF 2015-2016'!$DK$3206,'WEF 2015-2016'!$DK$2816,'WEF 2015-2016'!$DK$2418,'WEF 2015-2016'!$DK$1943,'WEF 2015-2016'!$DK$1037,'WEF 2015-2016'!$DK$89)</c:f>
              <c:numCache>
                <c:formatCode>_(* #,##0.00_);_(* \(#,##0.00\);_(* "-"??_);_(@_)</c:formatCode>
                <c:ptCount val="10"/>
                <c:pt idx="0">
                  <c:v>2.7558139534883725</c:v>
                </c:pt>
                <c:pt idx="1">
                  <c:v>2.8792550855355481</c:v>
                </c:pt>
                <c:pt idx="2">
                  <c:v>3.039686290144231</c:v>
                </c:pt>
                <c:pt idx="3">
                  <c:v>3.4318999012345679</c:v>
                </c:pt>
                <c:pt idx="4">
                  <c:v>3.8084304023622049</c:v>
                </c:pt>
                <c:pt idx="5">
                  <c:v>3.8891620442922372</c:v>
                </c:pt>
                <c:pt idx="6">
                  <c:v>4.0802876114942528</c:v>
                </c:pt>
                <c:pt idx="7">
                  <c:v>3.9585465884057967</c:v>
                </c:pt>
                <c:pt idx="8">
                  <c:v>3.9127123868695644</c:v>
                </c:pt>
                <c:pt idx="9">
                  <c:v>3.9921669660192545</c:v>
                </c:pt>
              </c:numCache>
            </c:numRef>
          </c:val>
          <c:smooth val="0"/>
          <c:extLst>
            <c:ext xmlns:c16="http://schemas.microsoft.com/office/drawing/2014/chart" uri="{C3380CC4-5D6E-409C-BE32-E72D297353CC}">
              <c16:uniqueId val="{00000000-8BC8-48A1-9E16-5D4374E9D52E}"/>
            </c:ext>
          </c:extLst>
        </c:ser>
        <c:ser>
          <c:idx val="1"/>
          <c:order val="1"/>
          <c:tx>
            <c:v>ALC</c:v>
          </c:tx>
          <c:cat>
            <c:strRef>
              <c:f>('WEF 2015-2016'!$C$4663,'WEF 2015-2016'!$C$4313,'WEF 2015-2016'!$C$3955,'WEF 2015-2016'!$C$3592,'WEF 2015-2016'!$C$3206,'WEF 2015-2016'!$C$2816,'WEF 2015-2016'!$C$2418,'WEF 2015-2016'!$C$1943,'WEF 2015-2016'!$C$1037,'WEF 2015-2016'!$C$89)</c:f>
              <c:strCache>
                <c:ptCount val="10"/>
                <c:pt idx="0">
                  <c:v>2006-2007</c:v>
                </c:pt>
                <c:pt idx="1">
                  <c:v>2007-2008</c:v>
                </c:pt>
                <c:pt idx="2">
                  <c:v>2008-2009</c:v>
                </c:pt>
                <c:pt idx="3">
                  <c:v>2009-2010</c:v>
                </c:pt>
                <c:pt idx="4">
                  <c:v>2010-2011</c:v>
                </c:pt>
                <c:pt idx="5">
                  <c:v>2011-2012</c:v>
                </c:pt>
                <c:pt idx="6">
                  <c:v>2012-2013</c:v>
                </c:pt>
                <c:pt idx="7">
                  <c:v>2013-2014</c:v>
                </c:pt>
                <c:pt idx="8">
                  <c:v>2014-2015</c:v>
                </c:pt>
                <c:pt idx="9">
                  <c:v>2015-2016</c:v>
                </c:pt>
              </c:strCache>
            </c:strRef>
          </c:cat>
          <c:val>
            <c:numRef>
              <c:f>('WEF 2015-2016'!$FE$4663,'WEF 2015-2016'!$FE$4313,'WEF 2015-2016'!$FE$3955,'WEF 2015-2016'!$FE$3592,'WEF 2015-2016'!$FE$3206,'WEF 2015-2016'!$FE$2816,'WEF 2015-2016'!$FE$2418,'WEF 2015-2016'!$FE$1943,'WEF 2015-2016'!$FE$1037,'WEF 2015-2016'!$FE$89)</c:f>
              <c:numCache>
                <c:formatCode>_(* #,##0.00_);_(* \(#,##0.00\);_(* "-"??_);_(@_)</c:formatCode>
                <c:ptCount val="10"/>
                <c:pt idx="0">
                  <c:v>3.245078947461562</c:v>
                </c:pt>
                <c:pt idx="1">
                  <c:v>3.3076492023531419</c:v>
                </c:pt>
                <c:pt idx="2">
                  <c:v>3.3041337466497804</c:v>
                </c:pt>
                <c:pt idx="3">
                  <c:v>3.5018596607082526</c:v>
                </c:pt>
                <c:pt idx="4">
                  <c:v>3.7125626145063917</c:v>
                </c:pt>
                <c:pt idx="5">
                  <c:v>4.0814733601010786</c:v>
                </c:pt>
                <c:pt idx="6">
                  <c:v>3.9090637438076694</c:v>
                </c:pt>
                <c:pt idx="7">
                  <c:v>3.7773114323956047</c:v>
                </c:pt>
                <c:pt idx="8">
                  <c:v>3.4859534882734327</c:v>
                </c:pt>
                <c:pt idx="9">
                  <c:v>3.7644122490410599</c:v>
                </c:pt>
              </c:numCache>
            </c:numRef>
          </c:val>
          <c:smooth val="0"/>
          <c:extLst>
            <c:ext xmlns:c16="http://schemas.microsoft.com/office/drawing/2014/chart" uri="{C3380CC4-5D6E-409C-BE32-E72D297353CC}">
              <c16:uniqueId val="{00000001-8BC8-48A1-9E16-5D4374E9D52E}"/>
            </c:ext>
          </c:extLst>
        </c:ser>
        <c:ser>
          <c:idx val="3"/>
          <c:order val="2"/>
          <c:tx>
            <c:v>OCDE</c:v>
          </c:tx>
          <c:spPr>
            <a:ln>
              <a:solidFill>
                <a:schemeClr val="accent3"/>
              </a:solidFill>
            </a:ln>
          </c:spPr>
          <c:marker>
            <c:symbol val="triangle"/>
            <c:size val="7"/>
            <c:spPr>
              <a:solidFill>
                <a:schemeClr val="accent3"/>
              </a:solidFill>
              <a:ln>
                <a:solidFill>
                  <a:schemeClr val="accent3"/>
                </a:solidFill>
              </a:ln>
            </c:spPr>
          </c:marker>
          <c:val>
            <c:numRef>
              <c:f>('WEF 2015-2016'!$FU$4663,'WEF 2015-2016'!$FU$4313,'WEF 2015-2016'!$FU$3955,'WEF 2015-2016'!$FU$3592,'WEF 2015-2016'!$FU$3206,'WEF 2015-2016'!$FU$2816,'WEF 2015-2016'!$FU$2418,'WEF 2015-2016'!$FU$1943,'WEF 2015-2016'!$FU$1037,'WEF 2015-2016'!$FU$89)</c:f>
              <c:numCache>
                <c:formatCode>_(* #,##0.00_);_(* \(#,##0.00\);_(* "-"??_);_(@_)</c:formatCode>
                <c:ptCount val="10"/>
                <c:pt idx="0">
                  <c:v>4.9131393378189676</c:v>
                </c:pt>
                <c:pt idx="1">
                  <c:v>4.898880572479924</c:v>
                </c:pt>
                <c:pt idx="2">
                  <c:v>4.7920369398579687</c:v>
                </c:pt>
                <c:pt idx="3">
                  <c:v>4.8304992628219567</c:v>
                </c:pt>
                <c:pt idx="4">
                  <c:v>4.9247045669766063</c:v>
                </c:pt>
                <c:pt idx="5">
                  <c:v>4.8487682026320673</c:v>
                </c:pt>
                <c:pt idx="6">
                  <c:v>4.7879181285814578</c:v>
                </c:pt>
                <c:pt idx="7">
                  <c:v>4.6417160119076755</c:v>
                </c:pt>
                <c:pt idx="8">
                  <c:v>4.530777201147937</c:v>
                </c:pt>
                <c:pt idx="9">
                  <c:v>4.7677186982367923</c:v>
                </c:pt>
              </c:numCache>
            </c:numRef>
          </c:val>
          <c:smooth val="0"/>
          <c:extLst>
            <c:ext xmlns:c16="http://schemas.microsoft.com/office/drawing/2014/chart" uri="{C3380CC4-5D6E-409C-BE32-E72D297353CC}">
              <c16:uniqueId val="{00000002-8BC8-48A1-9E16-5D4374E9D52E}"/>
            </c:ext>
          </c:extLst>
        </c:ser>
        <c:dLbls>
          <c:showLegendKey val="0"/>
          <c:showVal val="0"/>
          <c:showCatName val="0"/>
          <c:showSerName val="0"/>
          <c:showPercent val="0"/>
          <c:showBubbleSize val="0"/>
        </c:dLbls>
        <c:marker val="1"/>
        <c:smooth val="0"/>
        <c:axId val="353326208"/>
        <c:axId val="353328128"/>
      </c:lineChart>
      <c:catAx>
        <c:axId val="353326208"/>
        <c:scaling>
          <c:orientation val="minMax"/>
        </c:scaling>
        <c:delete val="0"/>
        <c:axPos val="b"/>
        <c:numFmt formatCode="General" sourceLinked="0"/>
        <c:majorTickMark val="out"/>
        <c:minorTickMark val="none"/>
        <c:tickLblPos val="nextTo"/>
        <c:crossAx val="353328128"/>
        <c:crosses val="autoZero"/>
        <c:auto val="1"/>
        <c:lblAlgn val="ctr"/>
        <c:lblOffset val="100"/>
        <c:noMultiLvlLbl val="0"/>
      </c:catAx>
      <c:valAx>
        <c:axId val="353328128"/>
        <c:scaling>
          <c:orientation val="minMax"/>
        </c:scaling>
        <c:delete val="0"/>
        <c:axPos val="l"/>
        <c:numFmt formatCode="_(* #,##0.00_);_(* \(#,##0.00\);_(* &quot;-&quot;??_);_(@_)" sourceLinked="1"/>
        <c:majorTickMark val="out"/>
        <c:minorTickMark val="none"/>
        <c:tickLblPos val="nextTo"/>
        <c:crossAx val="353326208"/>
        <c:crosses val="autoZero"/>
        <c:crossBetween val="between"/>
      </c:valAx>
    </c:plotArea>
    <c:legend>
      <c:legendPos val="b"/>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s-ES"/>
              <a:t>Efectividad Gubernamental</a:t>
            </a:r>
            <a:endParaRPr lang="en-US"/>
          </a:p>
          <a:p>
            <a:pPr>
              <a:defRPr/>
            </a:pPr>
            <a:r>
              <a:rPr lang="es-ES" b="0"/>
              <a:t>Escala de -2.5 (débil) a 2.5 (fuerte)</a:t>
            </a:r>
            <a:endParaRPr lang="en-US" b="0"/>
          </a:p>
        </c:rich>
      </c:tx>
      <c:overlay val="0"/>
    </c:title>
    <c:autoTitleDeleted val="0"/>
    <c:plotArea>
      <c:layout/>
      <c:lineChart>
        <c:grouping val="standard"/>
        <c:varyColors val="0"/>
        <c:ser>
          <c:idx val="0"/>
          <c:order val="0"/>
          <c:tx>
            <c:v>Paraguay</c:v>
          </c:tx>
          <c:dLbls>
            <c:dLbl>
              <c:idx val="16"/>
              <c:layout>
                <c:manualLayout>
                  <c:x val="0"/>
                  <c:y val="3.521111409249139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5C5F-4CF8-952C-28B44CE026E0}"/>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numRef>
              <c:f>GovernmentEffectiveness!$E$14:$U$14</c:f>
              <c:numCache>
                <c:formatCode>General</c:formatCode>
                <c:ptCount val="17"/>
                <c:pt idx="0">
                  <c:v>1996</c:v>
                </c:pt>
                <c:pt idx="1">
                  <c:v>1998</c:v>
                </c:pt>
                <c:pt idx="2">
                  <c:v>2000</c:v>
                </c:pt>
                <c:pt idx="3">
                  <c:v>2002</c:v>
                </c:pt>
                <c:pt idx="4">
                  <c:v>2003</c:v>
                </c:pt>
                <c:pt idx="5">
                  <c:v>2004</c:v>
                </c:pt>
                <c:pt idx="6">
                  <c:v>2005</c:v>
                </c:pt>
                <c:pt idx="7">
                  <c:v>2006</c:v>
                </c:pt>
                <c:pt idx="8">
                  <c:v>2007</c:v>
                </c:pt>
                <c:pt idx="9">
                  <c:v>2008</c:v>
                </c:pt>
                <c:pt idx="10">
                  <c:v>2009</c:v>
                </c:pt>
                <c:pt idx="11">
                  <c:v>2010</c:v>
                </c:pt>
                <c:pt idx="12">
                  <c:v>2011</c:v>
                </c:pt>
                <c:pt idx="13">
                  <c:v>2012</c:v>
                </c:pt>
                <c:pt idx="14">
                  <c:v>2013</c:v>
                </c:pt>
                <c:pt idx="15">
                  <c:v>2014</c:v>
                </c:pt>
                <c:pt idx="16">
                  <c:v>2015</c:v>
                </c:pt>
              </c:numCache>
            </c:numRef>
          </c:cat>
          <c:val>
            <c:numRef>
              <c:f>GovernmentEffectiveness!$E$166:$U$166</c:f>
              <c:numCache>
                <c:formatCode>0.00</c:formatCode>
                <c:ptCount val="17"/>
                <c:pt idx="0">
                  <c:v>-0.94697672128677368</c:v>
                </c:pt>
                <c:pt idx="1">
                  <c:v>-1.0852509737014771</c:v>
                </c:pt>
                <c:pt idx="2">
                  <c:v>-1.1702010631561279</c:v>
                </c:pt>
                <c:pt idx="3">
                  <c:v>-1.0890593528747559</c:v>
                </c:pt>
                <c:pt idx="4">
                  <c:v>-0.90861350297927856</c:v>
                </c:pt>
                <c:pt idx="5">
                  <c:v>-0.89604663848876953</c:v>
                </c:pt>
                <c:pt idx="6">
                  <c:v>-0.78513312339782715</c:v>
                </c:pt>
                <c:pt idx="7">
                  <c:v>-0.8942674994468689</c:v>
                </c:pt>
                <c:pt idx="8">
                  <c:v>-0.84841233491897583</c:v>
                </c:pt>
                <c:pt idx="9">
                  <c:v>-0.87041991949081421</c:v>
                </c:pt>
                <c:pt idx="10">
                  <c:v>-0.92201310396194458</c:v>
                </c:pt>
                <c:pt idx="11">
                  <c:v>-0.93962866067886353</c:v>
                </c:pt>
                <c:pt idx="12">
                  <c:v>-0.83759903907775879</c:v>
                </c:pt>
                <c:pt idx="13">
                  <c:v>-0.89133930206298828</c:v>
                </c:pt>
                <c:pt idx="14">
                  <c:v>-0.87040257453918457</c:v>
                </c:pt>
                <c:pt idx="15">
                  <c:v>-0.92466682195663452</c:v>
                </c:pt>
                <c:pt idx="16">
                  <c:v>-0.94503539800643921</c:v>
                </c:pt>
              </c:numCache>
            </c:numRef>
          </c:val>
          <c:smooth val="0"/>
          <c:extLst>
            <c:ext xmlns:c16="http://schemas.microsoft.com/office/drawing/2014/chart" uri="{C3380CC4-5D6E-409C-BE32-E72D297353CC}">
              <c16:uniqueId val="{00000001-5C5F-4CF8-952C-28B44CE026E0}"/>
            </c:ext>
          </c:extLst>
        </c:ser>
        <c:ser>
          <c:idx val="1"/>
          <c:order val="1"/>
          <c:tx>
            <c:strRef>
              <c:f>GovernmentEffectiveness!$D$231</c:f>
              <c:strCache>
                <c:ptCount val="1"/>
                <c:pt idx="0">
                  <c:v>OCDE</c:v>
                </c:pt>
              </c:strCache>
            </c:strRef>
          </c:tx>
          <c:spPr>
            <a:ln>
              <a:solidFill>
                <a:schemeClr val="accent3"/>
              </a:solidFill>
            </a:ln>
          </c:spPr>
          <c:marker>
            <c:spPr>
              <a:solidFill>
                <a:schemeClr val="accent3"/>
              </a:solidFill>
              <a:ln>
                <a:solidFill>
                  <a:schemeClr val="accent3"/>
                </a:solidFill>
              </a:ln>
            </c:spPr>
          </c:marker>
          <c:dLbls>
            <c:dLbl>
              <c:idx val="16"/>
              <c:layout>
                <c:manualLayout>
                  <c:x val="-1.3888888888888888E-2"/>
                  <c:y val="-6.7988668555240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5C5F-4CF8-952C-28B44CE026E0}"/>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numRef>
              <c:f>GovernmentEffectiveness!$E$14:$U$14</c:f>
              <c:numCache>
                <c:formatCode>General</c:formatCode>
                <c:ptCount val="17"/>
                <c:pt idx="0">
                  <c:v>1996</c:v>
                </c:pt>
                <c:pt idx="1">
                  <c:v>1998</c:v>
                </c:pt>
                <c:pt idx="2">
                  <c:v>2000</c:v>
                </c:pt>
                <c:pt idx="3">
                  <c:v>2002</c:v>
                </c:pt>
                <c:pt idx="4">
                  <c:v>2003</c:v>
                </c:pt>
                <c:pt idx="5">
                  <c:v>2004</c:v>
                </c:pt>
                <c:pt idx="6">
                  <c:v>2005</c:v>
                </c:pt>
                <c:pt idx="7">
                  <c:v>2006</c:v>
                </c:pt>
                <c:pt idx="8">
                  <c:v>2007</c:v>
                </c:pt>
                <c:pt idx="9">
                  <c:v>2008</c:v>
                </c:pt>
                <c:pt idx="10">
                  <c:v>2009</c:v>
                </c:pt>
                <c:pt idx="11">
                  <c:v>2010</c:v>
                </c:pt>
                <c:pt idx="12">
                  <c:v>2011</c:v>
                </c:pt>
                <c:pt idx="13">
                  <c:v>2012</c:v>
                </c:pt>
                <c:pt idx="14">
                  <c:v>2013</c:v>
                </c:pt>
                <c:pt idx="15">
                  <c:v>2014</c:v>
                </c:pt>
                <c:pt idx="16">
                  <c:v>2015</c:v>
                </c:pt>
              </c:numCache>
            </c:numRef>
          </c:cat>
          <c:val>
            <c:numRef>
              <c:f>GovernmentEffectiveness!$E$231:$U$231</c:f>
              <c:numCache>
                <c:formatCode>0.00</c:formatCode>
                <c:ptCount val="17"/>
                <c:pt idx="0">
                  <c:v>1.2425690701497452</c:v>
                </c:pt>
                <c:pt idx="1">
                  <c:v>1.2609248914888926</c:v>
                </c:pt>
                <c:pt idx="2">
                  <c:v>1.2779581111190574</c:v>
                </c:pt>
                <c:pt idx="3">
                  <c:v>1.30415731338518</c:v>
                </c:pt>
                <c:pt idx="4">
                  <c:v>1.3285371579229832</c:v>
                </c:pt>
                <c:pt idx="5">
                  <c:v>1.3653231317443506</c:v>
                </c:pt>
                <c:pt idx="6">
                  <c:v>1.2717275487525121</c:v>
                </c:pt>
                <c:pt idx="7">
                  <c:v>1.2529850861855916</c:v>
                </c:pt>
                <c:pt idx="8">
                  <c:v>1.214716323358672</c:v>
                </c:pt>
                <c:pt idx="9">
                  <c:v>1.2190967862095152</c:v>
                </c:pt>
                <c:pt idx="10">
                  <c:v>1.2268707667078291</c:v>
                </c:pt>
                <c:pt idx="11">
                  <c:v>1.2283398023673466</c:v>
                </c:pt>
                <c:pt idx="12">
                  <c:v>1.2228613947119031</c:v>
                </c:pt>
                <c:pt idx="13">
                  <c:v>1.2116926397596086</c:v>
                </c:pt>
                <c:pt idx="14">
                  <c:v>1.2195219670023236</c:v>
                </c:pt>
                <c:pt idx="15">
                  <c:v>1.2240372781242643</c:v>
                </c:pt>
                <c:pt idx="16">
                  <c:v>1.2282961032220296</c:v>
                </c:pt>
              </c:numCache>
            </c:numRef>
          </c:val>
          <c:smooth val="0"/>
          <c:extLst>
            <c:ext xmlns:c16="http://schemas.microsoft.com/office/drawing/2014/chart" uri="{C3380CC4-5D6E-409C-BE32-E72D297353CC}">
              <c16:uniqueId val="{00000003-5C5F-4CF8-952C-28B44CE026E0}"/>
            </c:ext>
          </c:extLst>
        </c:ser>
        <c:ser>
          <c:idx val="2"/>
          <c:order val="2"/>
          <c:tx>
            <c:strRef>
              <c:f>GovernmentEffectiveness!$D$232</c:f>
              <c:strCache>
                <c:ptCount val="1"/>
                <c:pt idx="0">
                  <c:v>LAC</c:v>
                </c:pt>
              </c:strCache>
            </c:strRef>
          </c:tx>
          <c:spPr>
            <a:ln>
              <a:solidFill>
                <a:schemeClr val="accent2"/>
              </a:solidFill>
            </a:ln>
          </c:spPr>
          <c:marker>
            <c:spPr>
              <a:solidFill>
                <a:schemeClr val="accent2"/>
              </a:solidFill>
              <a:ln>
                <a:solidFill>
                  <a:schemeClr val="accent2"/>
                </a:solidFill>
              </a:ln>
            </c:spPr>
          </c:marker>
          <c:dLbls>
            <c:dLbl>
              <c:idx val="16"/>
              <c:layout>
                <c:manualLayout>
                  <c:x val="0"/>
                  <c:y val="4.785049307053677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5C5F-4CF8-952C-28B44CE026E0}"/>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numRef>
              <c:f>GovernmentEffectiveness!$E$14:$U$14</c:f>
              <c:numCache>
                <c:formatCode>General</c:formatCode>
                <c:ptCount val="17"/>
                <c:pt idx="0">
                  <c:v>1996</c:v>
                </c:pt>
                <c:pt idx="1">
                  <c:v>1998</c:v>
                </c:pt>
                <c:pt idx="2">
                  <c:v>2000</c:v>
                </c:pt>
                <c:pt idx="3">
                  <c:v>2002</c:v>
                </c:pt>
                <c:pt idx="4">
                  <c:v>2003</c:v>
                </c:pt>
                <c:pt idx="5">
                  <c:v>2004</c:v>
                </c:pt>
                <c:pt idx="6">
                  <c:v>2005</c:v>
                </c:pt>
                <c:pt idx="7">
                  <c:v>2006</c:v>
                </c:pt>
                <c:pt idx="8">
                  <c:v>2007</c:v>
                </c:pt>
                <c:pt idx="9">
                  <c:v>2008</c:v>
                </c:pt>
                <c:pt idx="10">
                  <c:v>2009</c:v>
                </c:pt>
                <c:pt idx="11">
                  <c:v>2010</c:v>
                </c:pt>
                <c:pt idx="12">
                  <c:v>2011</c:v>
                </c:pt>
                <c:pt idx="13">
                  <c:v>2012</c:v>
                </c:pt>
                <c:pt idx="14">
                  <c:v>2013</c:v>
                </c:pt>
                <c:pt idx="15">
                  <c:v>2014</c:v>
                </c:pt>
                <c:pt idx="16">
                  <c:v>2015</c:v>
                </c:pt>
              </c:numCache>
            </c:numRef>
          </c:cat>
          <c:val>
            <c:numRef>
              <c:f>GovernmentEffectiveness!$E$232:$U$232</c:f>
              <c:numCache>
                <c:formatCode>0.00</c:formatCode>
                <c:ptCount val="17"/>
                <c:pt idx="0">
                  <c:v>-0.10934118124154898</c:v>
                </c:pt>
                <c:pt idx="1">
                  <c:v>-3.7244813904040851E-2</c:v>
                </c:pt>
                <c:pt idx="2">
                  <c:v>-8.923354684017025E-2</c:v>
                </c:pt>
                <c:pt idx="3">
                  <c:v>-0.15280704515484664</c:v>
                </c:pt>
                <c:pt idx="4">
                  <c:v>-0.11157828487026003</c:v>
                </c:pt>
                <c:pt idx="5">
                  <c:v>-0.16383148930393732</c:v>
                </c:pt>
                <c:pt idx="6">
                  <c:v>-0.18369983724103525</c:v>
                </c:pt>
                <c:pt idx="7">
                  <c:v>-0.17374403361016169</c:v>
                </c:pt>
                <c:pt idx="8">
                  <c:v>-0.14361427041988534</c:v>
                </c:pt>
                <c:pt idx="9">
                  <c:v>-0.13564325912067524</c:v>
                </c:pt>
                <c:pt idx="10">
                  <c:v>-0.15370360819193032</c:v>
                </c:pt>
                <c:pt idx="11">
                  <c:v>-0.13516349087540919</c:v>
                </c:pt>
                <c:pt idx="12">
                  <c:v>-0.11381427786098076</c:v>
                </c:pt>
                <c:pt idx="13">
                  <c:v>-0.10712686057489079</c:v>
                </c:pt>
                <c:pt idx="14">
                  <c:v>-0.10492156831046137</c:v>
                </c:pt>
                <c:pt idx="15">
                  <c:v>-0.19194865427338159</c:v>
                </c:pt>
                <c:pt idx="16">
                  <c:v>-0.21016229904614961</c:v>
                </c:pt>
              </c:numCache>
            </c:numRef>
          </c:val>
          <c:smooth val="0"/>
          <c:extLst>
            <c:ext xmlns:c16="http://schemas.microsoft.com/office/drawing/2014/chart" uri="{C3380CC4-5D6E-409C-BE32-E72D297353CC}">
              <c16:uniqueId val="{00000005-5C5F-4CF8-952C-28B44CE026E0}"/>
            </c:ext>
          </c:extLst>
        </c:ser>
        <c:dLbls>
          <c:showLegendKey val="0"/>
          <c:showVal val="0"/>
          <c:showCatName val="0"/>
          <c:showSerName val="0"/>
          <c:showPercent val="0"/>
          <c:showBubbleSize val="0"/>
        </c:dLbls>
        <c:marker val="1"/>
        <c:smooth val="0"/>
        <c:axId val="353347840"/>
        <c:axId val="353349632"/>
      </c:lineChart>
      <c:catAx>
        <c:axId val="353347840"/>
        <c:scaling>
          <c:orientation val="minMax"/>
        </c:scaling>
        <c:delete val="0"/>
        <c:axPos val="b"/>
        <c:numFmt formatCode="General" sourceLinked="1"/>
        <c:majorTickMark val="out"/>
        <c:minorTickMark val="none"/>
        <c:tickLblPos val="low"/>
        <c:crossAx val="353349632"/>
        <c:crosses val="autoZero"/>
        <c:auto val="1"/>
        <c:lblAlgn val="ctr"/>
        <c:lblOffset val="100"/>
        <c:noMultiLvlLbl val="0"/>
      </c:catAx>
      <c:valAx>
        <c:axId val="353349632"/>
        <c:scaling>
          <c:orientation val="minMax"/>
        </c:scaling>
        <c:delete val="0"/>
        <c:axPos val="l"/>
        <c:numFmt formatCode="0.00" sourceLinked="1"/>
        <c:majorTickMark val="out"/>
        <c:minorTickMark val="none"/>
        <c:tickLblPos val="nextTo"/>
        <c:crossAx val="353347840"/>
        <c:crosses val="autoZero"/>
        <c:crossBetween val="between"/>
      </c:valAx>
    </c:plotArea>
    <c:legend>
      <c:legendPos val="b"/>
      <c:overlay val="0"/>
    </c:legend>
    <c:plotVisOnly val="1"/>
    <c:dispBlanksAs val="gap"/>
    <c:showDLblsOverMax val="0"/>
  </c:chart>
  <c:txPr>
    <a:bodyPr/>
    <a:lstStyle/>
    <a:p>
      <a:pPr>
        <a:defRPr sz="1000"/>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Control de Corrupción</a:t>
            </a:r>
          </a:p>
          <a:p>
            <a:pPr>
              <a:defRPr/>
            </a:pPr>
            <a:r>
              <a:rPr lang="en-US"/>
              <a:t>Escala de -2.5 (débil) a 2.5 (fuerte)</a:t>
            </a:r>
          </a:p>
        </c:rich>
      </c:tx>
      <c:layout>
        <c:manualLayout>
          <c:xMode val="edge"/>
          <c:yMode val="edge"/>
          <c:x val="0.14290266841644794"/>
          <c:y val="0"/>
        </c:manualLayout>
      </c:layout>
      <c:overlay val="0"/>
    </c:title>
    <c:autoTitleDeleted val="0"/>
    <c:plotArea>
      <c:layout/>
      <c:lineChart>
        <c:grouping val="standard"/>
        <c:varyColors val="0"/>
        <c:ser>
          <c:idx val="0"/>
          <c:order val="0"/>
          <c:tx>
            <c:v>Paraguay</c:v>
          </c:tx>
          <c:dLbls>
            <c:dLbl>
              <c:idx val="16"/>
              <c:layout>
                <c:manualLayout>
                  <c:x val="0"/>
                  <c:y val="4.166666666666666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A9E-4B09-BF2F-077BF2311D69}"/>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numRef>
              <c:f>ControlofCorruption!$E$14:$U$14</c:f>
              <c:numCache>
                <c:formatCode>General</c:formatCode>
                <c:ptCount val="17"/>
                <c:pt idx="0">
                  <c:v>1996</c:v>
                </c:pt>
                <c:pt idx="1">
                  <c:v>1998</c:v>
                </c:pt>
                <c:pt idx="2">
                  <c:v>2000</c:v>
                </c:pt>
                <c:pt idx="3">
                  <c:v>2002</c:v>
                </c:pt>
                <c:pt idx="4">
                  <c:v>2003</c:v>
                </c:pt>
                <c:pt idx="5">
                  <c:v>2004</c:v>
                </c:pt>
                <c:pt idx="6">
                  <c:v>2005</c:v>
                </c:pt>
                <c:pt idx="7">
                  <c:v>2006</c:v>
                </c:pt>
                <c:pt idx="8">
                  <c:v>2007</c:v>
                </c:pt>
                <c:pt idx="9">
                  <c:v>2008</c:v>
                </c:pt>
                <c:pt idx="10">
                  <c:v>2009</c:v>
                </c:pt>
                <c:pt idx="11">
                  <c:v>2010</c:v>
                </c:pt>
                <c:pt idx="12">
                  <c:v>2011</c:v>
                </c:pt>
                <c:pt idx="13">
                  <c:v>2012</c:v>
                </c:pt>
                <c:pt idx="14">
                  <c:v>2013</c:v>
                </c:pt>
                <c:pt idx="15">
                  <c:v>2014</c:v>
                </c:pt>
                <c:pt idx="16">
                  <c:v>2015</c:v>
                </c:pt>
              </c:numCache>
            </c:numRef>
          </c:cat>
          <c:val>
            <c:numRef>
              <c:f>ControlofCorruption!$E$166:$U$166</c:f>
              <c:numCache>
                <c:formatCode>0.00</c:formatCode>
                <c:ptCount val="17"/>
                <c:pt idx="0">
                  <c:v>-0.86232036352157593</c:v>
                </c:pt>
                <c:pt idx="1">
                  <c:v>-1.2060599327087402</c:v>
                </c:pt>
                <c:pt idx="2">
                  <c:v>-1.3739058971405029</c:v>
                </c:pt>
                <c:pt idx="3">
                  <c:v>-1.2765562534332275</c:v>
                </c:pt>
                <c:pt idx="4">
                  <c:v>-1.4443588256835938</c:v>
                </c:pt>
                <c:pt idx="5">
                  <c:v>-1.4029537439346313</c:v>
                </c:pt>
                <c:pt idx="6">
                  <c:v>-1.4024486541748047</c:v>
                </c:pt>
                <c:pt idx="7">
                  <c:v>-1.187472939491272</c:v>
                </c:pt>
                <c:pt idx="8">
                  <c:v>-1.2490195035934448</c:v>
                </c:pt>
                <c:pt idx="9">
                  <c:v>-1.0068343877792358</c:v>
                </c:pt>
                <c:pt idx="10">
                  <c:v>-0.82719248533248901</c:v>
                </c:pt>
                <c:pt idx="11">
                  <c:v>-0.74084168672561646</c:v>
                </c:pt>
                <c:pt idx="12">
                  <c:v>-0.71302926540374756</c:v>
                </c:pt>
                <c:pt idx="13">
                  <c:v>-0.84561449289321899</c:v>
                </c:pt>
                <c:pt idx="14">
                  <c:v>-1.0453482866287231</c:v>
                </c:pt>
                <c:pt idx="15">
                  <c:v>-0.99779200553894043</c:v>
                </c:pt>
                <c:pt idx="16">
                  <c:v>-0.9402540922164917</c:v>
                </c:pt>
              </c:numCache>
            </c:numRef>
          </c:val>
          <c:smooth val="0"/>
          <c:extLst>
            <c:ext xmlns:c16="http://schemas.microsoft.com/office/drawing/2014/chart" uri="{C3380CC4-5D6E-409C-BE32-E72D297353CC}">
              <c16:uniqueId val="{00000001-BA9E-4B09-BF2F-077BF2311D69}"/>
            </c:ext>
          </c:extLst>
        </c:ser>
        <c:ser>
          <c:idx val="1"/>
          <c:order val="1"/>
          <c:tx>
            <c:strRef>
              <c:f>ControlofCorruption!$D$231</c:f>
              <c:strCache>
                <c:ptCount val="1"/>
                <c:pt idx="0">
                  <c:v>OCDE</c:v>
                </c:pt>
              </c:strCache>
            </c:strRef>
          </c:tx>
          <c:spPr>
            <a:ln>
              <a:solidFill>
                <a:schemeClr val="accent3"/>
              </a:solidFill>
            </a:ln>
          </c:spPr>
          <c:marker>
            <c:spPr>
              <a:solidFill>
                <a:schemeClr val="accent3"/>
              </a:solidFill>
              <a:ln>
                <a:solidFill>
                  <a:schemeClr val="accent3"/>
                </a:solidFill>
              </a:ln>
            </c:spPr>
          </c:marker>
          <c:dLbls>
            <c:dLbl>
              <c:idx val="16"/>
              <c:layout>
                <c:manualLayout>
                  <c:x val="0"/>
                  <c:y val="-6.944444444444444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BA9E-4B09-BF2F-077BF2311D69}"/>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numRef>
              <c:f>ControlofCorruption!$E$14:$U$14</c:f>
              <c:numCache>
                <c:formatCode>General</c:formatCode>
                <c:ptCount val="17"/>
                <c:pt idx="0">
                  <c:v>1996</c:v>
                </c:pt>
                <c:pt idx="1">
                  <c:v>1998</c:v>
                </c:pt>
                <c:pt idx="2">
                  <c:v>2000</c:v>
                </c:pt>
                <c:pt idx="3">
                  <c:v>2002</c:v>
                </c:pt>
                <c:pt idx="4">
                  <c:v>2003</c:v>
                </c:pt>
                <c:pt idx="5">
                  <c:v>2004</c:v>
                </c:pt>
                <c:pt idx="6">
                  <c:v>2005</c:v>
                </c:pt>
                <c:pt idx="7">
                  <c:v>2006</c:v>
                </c:pt>
                <c:pt idx="8">
                  <c:v>2007</c:v>
                </c:pt>
                <c:pt idx="9">
                  <c:v>2008</c:v>
                </c:pt>
                <c:pt idx="10">
                  <c:v>2009</c:v>
                </c:pt>
                <c:pt idx="11">
                  <c:v>2010</c:v>
                </c:pt>
                <c:pt idx="12">
                  <c:v>2011</c:v>
                </c:pt>
                <c:pt idx="13">
                  <c:v>2012</c:v>
                </c:pt>
                <c:pt idx="14">
                  <c:v>2013</c:v>
                </c:pt>
                <c:pt idx="15">
                  <c:v>2014</c:v>
                </c:pt>
                <c:pt idx="16">
                  <c:v>2015</c:v>
                </c:pt>
              </c:numCache>
            </c:numRef>
          </c:cat>
          <c:val>
            <c:numRef>
              <c:f>ControlofCorruption!$E$231:$U$231</c:f>
              <c:numCache>
                <c:formatCode>0.00</c:formatCode>
                <c:ptCount val="17"/>
                <c:pt idx="0">
                  <c:v>1.2293674913900239</c:v>
                </c:pt>
                <c:pt idx="1">
                  <c:v>1.3033408183072295</c:v>
                </c:pt>
                <c:pt idx="2">
                  <c:v>1.2941183918288777</c:v>
                </c:pt>
                <c:pt idx="3">
                  <c:v>1.2627947358148439</c:v>
                </c:pt>
                <c:pt idx="4">
                  <c:v>1.26668698319367</c:v>
                </c:pt>
                <c:pt idx="5">
                  <c:v>1.2615109137126377</c:v>
                </c:pt>
                <c:pt idx="6">
                  <c:v>1.2306203919329815</c:v>
                </c:pt>
                <c:pt idx="7">
                  <c:v>1.257819319835731</c:v>
                </c:pt>
                <c:pt idx="8">
                  <c:v>1.2292696507913725</c:v>
                </c:pt>
                <c:pt idx="9">
                  <c:v>1.2178109154105186</c:v>
                </c:pt>
                <c:pt idx="10">
                  <c:v>1.2107490980332452</c:v>
                </c:pt>
                <c:pt idx="11">
                  <c:v>1.1879059134716434</c:v>
                </c:pt>
                <c:pt idx="12">
                  <c:v>1.1977549208062035</c:v>
                </c:pt>
                <c:pt idx="13">
                  <c:v>1.1938184435346297</c:v>
                </c:pt>
                <c:pt idx="14">
                  <c:v>1.1846883045775549</c:v>
                </c:pt>
                <c:pt idx="15">
                  <c:v>1.1433385742562159</c:v>
                </c:pt>
                <c:pt idx="16">
                  <c:v>1.1633120764579092</c:v>
                </c:pt>
              </c:numCache>
            </c:numRef>
          </c:val>
          <c:smooth val="0"/>
          <c:extLst>
            <c:ext xmlns:c16="http://schemas.microsoft.com/office/drawing/2014/chart" uri="{C3380CC4-5D6E-409C-BE32-E72D297353CC}">
              <c16:uniqueId val="{00000003-BA9E-4B09-BF2F-077BF2311D69}"/>
            </c:ext>
          </c:extLst>
        </c:ser>
        <c:ser>
          <c:idx val="2"/>
          <c:order val="2"/>
          <c:tx>
            <c:strRef>
              <c:f>ControlofCorruption!$D$232</c:f>
              <c:strCache>
                <c:ptCount val="1"/>
                <c:pt idx="0">
                  <c:v>LAC</c:v>
                </c:pt>
              </c:strCache>
            </c:strRef>
          </c:tx>
          <c:spPr>
            <a:ln>
              <a:solidFill>
                <a:schemeClr val="accent2"/>
              </a:solidFill>
            </a:ln>
          </c:spPr>
          <c:marker>
            <c:spPr>
              <a:solidFill>
                <a:schemeClr val="accent2"/>
              </a:solidFill>
              <a:ln>
                <a:solidFill>
                  <a:schemeClr val="accent2"/>
                </a:solidFill>
              </a:ln>
            </c:spPr>
          </c:marker>
          <c:dLbls>
            <c:dLbl>
              <c:idx val="16"/>
              <c:layout>
                <c:manualLayout>
                  <c:x val="0"/>
                  <c:y val="-3.240740740740740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BA9E-4B09-BF2F-077BF2311D69}"/>
                </c:ext>
              </c:extLst>
            </c:dLbl>
            <c:spPr>
              <a:noFill/>
              <a:ln>
                <a:noFill/>
              </a:ln>
              <a:effectLst/>
            </c:spPr>
            <c:showLegendKey val="0"/>
            <c:showVal val="0"/>
            <c:showCatName val="0"/>
            <c:showSerName val="0"/>
            <c:showPercent val="0"/>
            <c:showBubbleSize val="0"/>
            <c:extLst>
              <c:ext xmlns:c15="http://schemas.microsoft.com/office/drawing/2012/chart" uri="{CE6537A1-D6FC-4f65-9D91-7224C49458BB}">
                <c15:showLeaderLines val="0"/>
              </c:ext>
            </c:extLst>
          </c:dLbls>
          <c:cat>
            <c:numRef>
              <c:f>ControlofCorruption!$E$14:$U$14</c:f>
              <c:numCache>
                <c:formatCode>General</c:formatCode>
                <c:ptCount val="17"/>
                <c:pt idx="0">
                  <c:v>1996</c:v>
                </c:pt>
                <c:pt idx="1">
                  <c:v>1998</c:v>
                </c:pt>
                <c:pt idx="2">
                  <c:v>2000</c:v>
                </c:pt>
                <c:pt idx="3">
                  <c:v>2002</c:v>
                </c:pt>
                <c:pt idx="4">
                  <c:v>2003</c:v>
                </c:pt>
                <c:pt idx="5">
                  <c:v>2004</c:v>
                </c:pt>
                <c:pt idx="6">
                  <c:v>2005</c:v>
                </c:pt>
                <c:pt idx="7">
                  <c:v>2006</c:v>
                </c:pt>
                <c:pt idx="8">
                  <c:v>2007</c:v>
                </c:pt>
                <c:pt idx="9">
                  <c:v>2008</c:v>
                </c:pt>
                <c:pt idx="10">
                  <c:v>2009</c:v>
                </c:pt>
                <c:pt idx="11">
                  <c:v>2010</c:v>
                </c:pt>
                <c:pt idx="12">
                  <c:v>2011</c:v>
                </c:pt>
                <c:pt idx="13">
                  <c:v>2012</c:v>
                </c:pt>
                <c:pt idx="14">
                  <c:v>2013</c:v>
                </c:pt>
                <c:pt idx="15">
                  <c:v>2014</c:v>
                </c:pt>
                <c:pt idx="16">
                  <c:v>2015</c:v>
                </c:pt>
              </c:numCache>
            </c:numRef>
          </c:cat>
          <c:val>
            <c:numRef>
              <c:f>ControlofCorruption!$E$232:$U$232</c:f>
              <c:numCache>
                <c:formatCode>0.00</c:formatCode>
                <c:ptCount val="17"/>
                <c:pt idx="0">
                  <c:v>-0.16303393774880812</c:v>
                </c:pt>
                <c:pt idx="1">
                  <c:v>-0.18188898756992644</c:v>
                </c:pt>
                <c:pt idx="2">
                  <c:v>-0.17762227406582007</c:v>
                </c:pt>
                <c:pt idx="3">
                  <c:v>-0.24631606242977655</c:v>
                </c:pt>
                <c:pt idx="4">
                  <c:v>-0.20683713257312775</c:v>
                </c:pt>
                <c:pt idx="5">
                  <c:v>-0.2008369337194241</c:v>
                </c:pt>
                <c:pt idx="6">
                  <c:v>-0.21736638018718132</c:v>
                </c:pt>
                <c:pt idx="7">
                  <c:v>-0.21385977875727874</c:v>
                </c:pt>
                <c:pt idx="8">
                  <c:v>-0.21804901097829527</c:v>
                </c:pt>
                <c:pt idx="9">
                  <c:v>-0.19570426413646111</c:v>
                </c:pt>
                <c:pt idx="10">
                  <c:v>-0.19784283079206944</c:v>
                </c:pt>
                <c:pt idx="11">
                  <c:v>-0.19396462252804597</c:v>
                </c:pt>
                <c:pt idx="12">
                  <c:v>-0.16439319000794336</c:v>
                </c:pt>
                <c:pt idx="13">
                  <c:v>-0.22290194493073684</c:v>
                </c:pt>
                <c:pt idx="14">
                  <c:v>-0.22201829718855712</c:v>
                </c:pt>
                <c:pt idx="15">
                  <c:v>-0.3191181065944525</c:v>
                </c:pt>
                <c:pt idx="16">
                  <c:v>-0.27995891353258717</c:v>
                </c:pt>
              </c:numCache>
            </c:numRef>
          </c:val>
          <c:smooth val="0"/>
          <c:extLst>
            <c:ext xmlns:c16="http://schemas.microsoft.com/office/drawing/2014/chart" uri="{C3380CC4-5D6E-409C-BE32-E72D297353CC}">
              <c16:uniqueId val="{00000005-BA9E-4B09-BF2F-077BF2311D69}"/>
            </c:ext>
          </c:extLst>
        </c:ser>
        <c:dLbls>
          <c:showLegendKey val="0"/>
          <c:showVal val="0"/>
          <c:showCatName val="0"/>
          <c:showSerName val="0"/>
          <c:showPercent val="0"/>
          <c:showBubbleSize val="0"/>
        </c:dLbls>
        <c:marker val="1"/>
        <c:smooth val="0"/>
        <c:axId val="353381760"/>
        <c:axId val="353395840"/>
      </c:lineChart>
      <c:catAx>
        <c:axId val="353381760"/>
        <c:scaling>
          <c:orientation val="minMax"/>
        </c:scaling>
        <c:delete val="0"/>
        <c:axPos val="b"/>
        <c:numFmt formatCode="General" sourceLinked="1"/>
        <c:majorTickMark val="out"/>
        <c:minorTickMark val="none"/>
        <c:tickLblPos val="low"/>
        <c:crossAx val="353395840"/>
        <c:crosses val="autoZero"/>
        <c:auto val="1"/>
        <c:lblAlgn val="ctr"/>
        <c:lblOffset val="100"/>
        <c:noMultiLvlLbl val="0"/>
      </c:catAx>
      <c:valAx>
        <c:axId val="353395840"/>
        <c:scaling>
          <c:orientation val="minMax"/>
        </c:scaling>
        <c:delete val="0"/>
        <c:axPos val="l"/>
        <c:numFmt formatCode="0.00" sourceLinked="1"/>
        <c:majorTickMark val="out"/>
        <c:minorTickMark val="none"/>
        <c:tickLblPos val="nextTo"/>
        <c:crossAx val="353381760"/>
        <c:crosses val="autoZero"/>
        <c:crossBetween val="between"/>
      </c:valAx>
    </c:plotArea>
    <c:legend>
      <c:legendPos val="b"/>
      <c:overlay val="0"/>
    </c:legend>
    <c:plotVisOnly val="1"/>
    <c:dispBlanksAs val="gap"/>
    <c:showDLblsOverMax val="0"/>
  </c:chart>
  <c:txPr>
    <a:bodyPr/>
    <a:lstStyle/>
    <a:p>
      <a:pPr>
        <a:defRPr sz="1000"/>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100"/>
            </a:pPr>
            <a:r>
              <a:rPr lang="en-US" sz="1100" b="1" i="0" baseline="0">
                <a:effectLst/>
              </a:rPr>
              <a:t>Principales factores que afecta el hacer negocios en ALC, 2015</a:t>
            </a:r>
            <a:endParaRPr lang="en-US" sz="1100">
              <a:effectLst/>
            </a:endParaRPr>
          </a:p>
        </c:rich>
      </c:tx>
      <c:overlay val="0"/>
    </c:title>
    <c:autoTitleDeleted val="0"/>
    <c:plotArea>
      <c:layout>
        <c:manualLayout>
          <c:layoutTarget val="inner"/>
          <c:xMode val="edge"/>
          <c:yMode val="edge"/>
          <c:x val="0.303996445910244"/>
          <c:y val="0.16326243205181226"/>
          <c:w val="0.38426477054250924"/>
          <c:h val="0.68153241915821283"/>
        </c:manualLayout>
      </c:layout>
      <c:radarChart>
        <c:radarStyle val="marker"/>
        <c:varyColors val="0"/>
        <c:ser>
          <c:idx val="0"/>
          <c:order val="0"/>
          <c:tx>
            <c:strRef>
              <c:f>'Factor affect Buisness 2015'!$I$49</c:f>
              <c:strCache>
                <c:ptCount val="1"/>
                <c:pt idx="0">
                  <c:v>Promedio ALC</c:v>
                </c:pt>
              </c:strCache>
            </c:strRef>
          </c:tx>
          <c:spPr>
            <a:ln>
              <a:solidFill>
                <a:schemeClr val="tx2"/>
              </a:solidFill>
            </a:ln>
          </c:spPr>
          <c:marker>
            <c:spPr>
              <a:solidFill>
                <a:schemeClr val="tx2"/>
              </a:solidFill>
              <a:ln>
                <a:solidFill>
                  <a:schemeClr val="tx2"/>
                </a:solidFill>
              </a:ln>
            </c:spPr>
          </c:marker>
          <c:cat>
            <c:strRef>
              <c:f>'Factor affect Buisness 2015'!$H$50:$H$65</c:f>
              <c:strCache>
                <c:ptCount val="16"/>
                <c:pt idx="0">
                  <c:v>Inestabilidad gubernamental</c:v>
                </c:pt>
                <c:pt idx="1">
                  <c:v>Burocracia gubernamental</c:v>
                </c:pt>
                <c:pt idx="2">
                  <c:v>Corrupción</c:v>
                </c:pt>
                <c:pt idx="3">
                  <c:v>Tasas de impuestos</c:v>
                </c:pt>
                <c:pt idx="4">
                  <c:v>Infraestructura inadecuada</c:v>
                </c:pt>
                <c:pt idx="5">
                  <c:v>Acceso a financiamiento</c:v>
                </c:pt>
                <c:pt idx="6">
                  <c:v>Regulación laboral restrictiva</c:v>
                </c:pt>
                <c:pt idx="7">
                  <c:v>Fuerza laboral educada de forma inadecuada</c:v>
                </c:pt>
                <c:pt idx="8">
                  <c:v>Crimen y robo</c:v>
                </c:pt>
                <c:pt idx="9">
                  <c:v>Inestabilidad política</c:v>
                </c:pt>
                <c:pt idx="10">
                  <c:v>Complejidad en la regulación de impuestos</c:v>
                </c:pt>
                <c:pt idx="11">
                  <c:v>Poca ética en la fuerza de trabajo</c:v>
                </c:pt>
                <c:pt idx="12">
                  <c:v>Inflación</c:v>
                </c:pt>
                <c:pt idx="13">
                  <c:v>Insuficiente capacidad de innovación</c:v>
                </c:pt>
                <c:pt idx="14">
                  <c:v>Regulación del tipo de cambio</c:v>
                </c:pt>
                <c:pt idx="15">
                  <c:v>Salud Pública de baja calidad</c:v>
                </c:pt>
              </c:strCache>
            </c:strRef>
          </c:cat>
          <c:val>
            <c:numRef>
              <c:f>'Factor affect Buisness 2015'!$I$50:$I$65</c:f>
              <c:numCache>
                <c:formatCode>0.0</c:formatCode>
                <c:ptCount val="16"/>
                <c:pt idx="0">
                  <c:v>1.05</c:v>
                </c:pt>
                <c:pt idx="1">
                  <c:v>13.495454545454544</c:v>
                </c:pt>
                <c:pt idx="2">
                  <c:v>11.759090909090908</c:v>
                </c:pt>
                <c:pt idx="3">
                  <c:v>8.9363636363636356</c:v>
                </c:pt>
                <c:pt idx="4">
                  <c:v>8.1409090909090889</c:v>
                </c:pt>
                <c:pt idx="5">
                  <c:v>8.0181818181818194</c:v>
                </c:pt>
                <c:pt idx="6">
                  <c:v>7.9272727272727277</c:v>
                </c:pt>
                <c:pt idx="7">
                  <c:v>7.7818181818181822</c:v>
                </c:pt>
                <c:pt idx="8">
                  <c:v>7.4863636363636354</c:v>
                </c:pt>
                <c:pt idx="9">
                  <c:v>5.1363636363636367</c:v>
                </c:pt>
                <c:pt idx="10">
                  <c:v>4.8863636363636367</c:v>
                </c:pt>
                <c:pt idx="11">
                  <c:v>4.2318181818181815</c:v>
                </c:pt>
                <c:pt idx="12">
                  <c:v>3.422727272727272</c:v>
                </c:pt>
                <c:pt idx="13">
                  <c:v>3.2636363636363641</c:v>
                </c:pt>
                <c:pt idx="14">
                  <c:v>3.2136363636363625</c:v>
                </c:pt>
                <c:pt idx="15">
                  <c:v>1.2681818181818181</c:v>
                </c:pt>
              </c:numCache>
            </c:numRef>
          </c:val>
          <c:extLst>
            <c:ext xmlns:c16="http://schemas.microsoft.com/office/drawing/2014/chart" uri="{C3380CC4-5D6E-409C-BE32-E72D297353CC}">
              <c16:uniqueId val="{00000000-49F2-4FF7-B662-61732E37C5C4}"/>
            </c:ext>
          </c:extLst>
        </c:ser>
        <c:ser>
          <c:idx val="1"/>
          <c:order val="1"/>
          <c:tx>
            <c:strRef>
              <c:f>'Factor affect Buisness 2015'!$J$49</c:f>
              <c:strCache>
                <c:ptCount val="1"/>
                <c:pt idx="0">
                  <c:v>Paraguay</c:v>
                </c:pt>
              </c:strCache>
            </c:strRef>
          </c:tx>
          <c:val>
            <c:numRef>
              <c:f>'Factor affect Buisness 2015'!$J$50:$J$65</c:f>
              <c:numCache>
                <c:formatCode>0.00</c:formatCode>
                <c:ptCount val="16"/>
                <c:pt idx="0">
                  <c:v>0.8</c:v>
                </c:pt>
                <c:pt idx="1">
                  <c:v>12.3</c:v>
                </c:pt>
                <c:pt idx="2">
                  <c:v>18.7</c:v>
                </c:pt>
                <c:pt idx="3">
                  <c:v>0.4</c:v>
                </c:pt>
                <c:pt idx="4">
                  <c:v>14.7</c:v>
                </c:pt>
                <c:pt idx="5">
                  <c:v>8.1999999999999993</c:v>
                </c:pt>
                <c:pt idx="6">
                  <c:v>5.8</c:v>
                </c:pt>
                <c:pt idx="7">
                  <c:v>18.7</c:v>
                </c:pt>
                <c:pt idx="8">
                  <c:v>4.2</c:v>
                </c:pt>
                <c:pt idx="9">
                  <c:v>1.1000000000000001</c:v>
                </c:pt>
                <c:pt idx="10">
                  <c:v>0.1</c:v>
                </c:pt>
                <c:pt idx="11">
                  <c:v>5.3</c:v>
                </c:pt>
                <c:pt idx="12">
                  <c:v>0.6</c:v>
                </c:pt>
                <c:pt idx="13">
                  <c:v>6</c:v>
                </c:pt>
                <c:pt idx="14">
                  <c:v>0.9</c:v>
                </c:pt>
                <c:pt idx="15">
                  <c:v>2.4</c:v>
                </c:pt>
              </c:numCache>
            </c:numRef>
          </c:val>
          <c:extLst>
            <c:ext xmlns:c16="http://schemas.microsoft.com/office/drawing/2014/chart" uri="{C3380CC4-5D6E-409C-BE32-E72D297353CC}">
              <c16:uniqueId val="{00000001-49F2-4FF7-B662-61732E37C5C4}"/>
            </c:ext>
          </c:extLst>
        </c:ser>
        <c:dLbls>
          <c:showLegendKey val="0"/>
          <c:showVal val="0"/>
          <c:showCatName val="0"/>
          <c:showSerName val="0"/>
          <c:showPercent val="0"/>
          <c:showBubbleSize val="0"/>
        </c:dLbls>
        <c:axId val="353424896"/>
        <c:axId val="353426432"/>
      </c:radarChart>
      <c:catAx>
        <c:axId val="353424896"/>
        <c:scaling>
          <c:orientation val="minMax"/>
        </c:scaling>
        <c:delete val="0"/>
        <c:axPos val="b"/>
        <c:majorGridlines/>
        <c:numFmt formatCode="General" sourceLinked="0"/>
        <c:majorTickMark val="out"/>
        <c:minorTickMark val="none"/>
        <c:tickLblPos val="nextTo"/>
        <c:crossAx val="353426432"/>
        <c:crosses val="autoZero"/>
        <c:auto val="1"/>
        <c:lblAlgn val="ctr"/>
        <c:lblOffset val="100"/>
        <c:noMultiLvlLbl val="0"/>
      </c:catAx>
      <c:valAx>
        <c:axId val="353426432"/>
        <c:scaling>
          <c:orientation val="minMax"/>
        </c:scaling>
        <c:delete val="0"/>
        <c:axPos val="l"/>
        <c:majorGridlines/>
        <c:numFmt formatCode="0" sourceLinked="0"/>
        <c:majorTickMark val="cross"/>
        <c:minorTickMark val="none"/>
        <c:tickLblPos val="nextTo"/>
        <c:crossAx val="353424896"/>
        <c:crosses val="autoZero"/>
        <c:crossBetween val="between"/>
      </c:valAx>
    </c:plotArea>
    <c:legend>
      <c:legendPos val="b"/>
      <c:overlay val="0"/>
    </c:legend>
    <c:plotVisOnly val="1"/>
    <c:dispBlanksAs val="gap"/>
    <c:showDLblsOverMax val="0"/>
  </c:chart>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0.05348</cdr:x>
      <cdr:y>0.47831</cdr:y>
    </cdr:from>
    <cdr:to>
      <cdr:x>0.96053</cdr:x>
      <cdr:y>0.47831</cdr:y>
    </cdr:to>
    <cdr:cxnSp macro="">
      <cdr:nvCxnSpPr>
        <cdr:cNvPr id="3" name="Straight Connector 2"/>
        <cdr:cNvCxnSpPr/>
      </cdr:nvCxnSpPr>
      <cdr:spPr>
        <a:xfrm xmlns:a="http://schemas.openxmlformats.org/drawingml/2006/main">
          <a:off x="317855" y="1429629"/>
          <a:ext cx="5391142" cy="0"/>
        </a:xfrm>
        <a:prstGeom xmlns:a="http://schemas.openxmlformats.org/drawingml/2006/main" prst="line">
          <a:avLst/>
        </a:prstGeom>
        <a:ln xmlns:a="http://schemas.openxmlformats.org/drawingml/2006/main" w="19050">
          <a:solidFill>
            <a:srgbClr val="FF0000"/>
          </a:solidFill>
          <a:prstDash val="sys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EAC144B5690EB408DB63879C0EA8156" ma:contentTypeVersion="224" ma:contentTypeDescription="A content type to manage public (operations) IDB documents" ma:contentTypeScope="" ma:versionID="813a03a3edb6dab7b6a6645342fc088d">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Hoffman, Nathalie Alexandra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TRANSPARENCY AND ANTI-CORRUPTION</TermName>
          <TermId xmlns="http://schemas.microsoft.com/office/infopath/2007/PartnerControls">8051693f-16ea-43a4-8415-419f5c18c146</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24</Value>
      <Value>191</Value>
      <Value>36</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PR-L1161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_dlc_DocId xmlns="cdc7663a-08f0-4737-9e8c-148ce897a09c">EZSHARE-127113952-45</_dlc_DocId>
    <_dlc_DocIdUrl xmlns="cdc7663a-08f0-4737-9e8c-148ce897a09c">
      <Url>https://idbg.sharepoint.com/teams/EZ-PR-LON/PR-L1161/_layouts/15/DocIdRedir.aspx?ID=EZSHARE-127113952-45</Url>
      <Description>EZSHARE-127113952-45</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Urls xmlns="http://schemas.microsoft.com/sharepoint/v3/contenttype/forms/url">
  <Display>_catalogs/masterpage/ECMForms/OperationsCT/View.aspx</Display>
  <Edit>_catalogs/masterpage/ECMForms/OperationsCT/Edit.aspx</Edit>
</FormUrls>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AC5312EC-B73D-4047-BA2B-20AE0945720E}"/>
</file>

<file path=customXml/itemProps2.xml><?xml version="1.0" encoding="utf-8"?>
<ds:datastoreItem xmlns:ds="http://schemas.openxmlformats.org/officeDocument/2006/customXml" ds:itemID="{4A2A4820-5438-439E-A6A7-2ABA7AEAC2FA}"/>
</file>

<file path=customXml/itemProps3.xml><?xml version="1.0" encoding="utf-8"?>
<ds:datastoreItem xmlns:ds="http://schemas.openxmlformats.org/officeDocument/2006/customXml" ds:itemID="{66A429DA-5DA4-4715-A4BD-B7E3A432FBE7}">
  <ds:schemaRefs>
    <ds:schemaRef ds:uri="http://schemas.microsoft.com/sharepoint/events"/>
  </ds:schemaRefs>
</ds:datastoreItem>
</file>

<file path=customXml/itemProps4.xml><?xml version="1.0" encoding="utf-8"?>
<ds:datastoreItem xmlns:ds="http://schemas.openxmlformats.org/officeDocument/2006/customXml" ds:itemID="{EA62E616-76E9-4186-86AB-488429236006}">
  <ds:schemaRefs>
    <ds:schemaRef ds:uri="http://schemas.microsoft.com/sharepoint/v3/contenttype/forms"/>
  </ds:schemaRefs>
</ds:datastoreItem>
</file>

<file path=customXml/itemProps5.xml><?xml version="1.0" encoding="utf-8"?>
<ds:datastoreItem xmlns:ds="http://schemas.openxmlformats.org/officeDocument/2006/customXml" ds:itemID="{AEEDBF2F-4B1D-40B7-8FF6-6B1E232FA652}">
  <ds:schemaRefs>
    <ds:schemaRef ds:uri="http://schemas.microsoft.com/sharepoint/v3/contenttype/forms/url"/>
  </ds:schemaRefs>
</ds:datastoreItem>
</file>

<file path=customXml/itemProps6.xml><?xml version="1.0" encoding="utf-8"?>
<ds:datastoreItem xmlns:ds="http://schemas.openxmlformats.org/officeDocument/2006/customXml" ds:itemID="{1502F66F-F92E-4984-A920-E052E0A29A2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cdc7663a-08f0-4737-9e8c-148ce897a09c"/>
    <ds:schemaRef ds:uri="http://www.w3.org/XML/1998/namespace"/>
    <ds:schemaRef ds:uri="http://purl.org/dc/dcmitype/"/>
  </ds:schemaRefs>
</ds:datastoreItem>
</file>

<file path=customXml/itemProps7.xml><?xml version="1.0" encoding="utf-8"?>
<ds:datastoreItem xmlns:ds="http://schemas.openxmlformats.org/officeDocument/2006/customXml" ds:itemID="{B41D321A-B8DC-4FAE-89B7-507310B30A88}">
  <ds:schemaRefs>
    <ds:schemaRef ds:uri="http://schemas.openxmlformats.org/officeDocument/2006/bibliography"/>
  </ds:schemaRefs>
</ds:datastoreItem>
</file>

<file path=customXml/itemProps8.xml><?xml version="1.0" encoding="utf-8"?>
<ds:datastoreItem xmlns:ds="http://schemas.openxmlformats.org/officeDocument/2006/customXml" ds:itemID="{3C352D75-15AB-4820-9920-82DC67CF66D7}"/>
</file>

<file path=customXml/itemProps9.xml><?xml version="1.0" encoding="utf-8"?>
<ds:datastoreItem xmlns:ds="http://schemas.openxmlformats.org/officeDocument/2006/customXml" ds:itemID="{F3A2707F-6BB4-4039-8C6F-2D897FFC813F}"/>
</file>

<file path=docProps/app.xml><?xml version="1.0" encoding="utf-8"?>
<Properties xmlns="http://schemas.openxmlformats.org/officeDocument/2006/extended-properties" xmlns:vt="http://schemas.openxmlformats.org/officeDocument/2006/docPropsVTypes">
  <Template>Normal.dotm</Template>
  <TotalTime>0</TotalTime>
  <Pages>8</Pages>
  <Words>2086</Words>
  <Characters>11895</Characters>
  <Application>Microsoft Office Word</Application>
  <DocSecurity>4</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13954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Evelyn Molina</dc:creator>
  <cp:keywords/>
  <cp:lastModifiedBy>Hoffman, Nathalie Alexandra</cp:lastModifiedBy>
  <cp:revision>2</cp:revision>
  <dcterms:created xsi:type="dcterms:W3CDTF">2019-07-17T19:12:00Z</dcterms:created>
  <dcterms:modified xsi:type="dcterms:W3CDTF">2019-07-17T19:12:00Z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1;#Project Preparation, Planning and Design|29ca0c72-1fc4-435f-a09c-28585cb5eac9</vt:lpwstr>
  </property>
  <property fmtid="{D5CDD505-2E9C-101B-9397-08002B2CF9AE}" pid="4" name="Sector IDB">
    <vt:lpwstr>36;#REFORM / MODERNIZATION OF THE STATE|c8fda4a7-691a-4c65-b227-9825197b5cd2</vt:lpwstr>
  </property>
  <property fmtid="{D5CDD505-2E9C-101B-9397-08002B2CF9AE}" pid="5" name="Sub-Sector">
    <vt:lpwstr>191;#TRANSPARENCY AND ANTI-CORRUPTION|8051693f-16ea-43a4-8415-419f5c18c146</vt:lpwstr>
  </property>
  <property fmtid="{D5CDD505-2E9C-101B-9397-08002B2CF9AE}" pid="6" name="Series Operations IDB">
    <vt:lpwstr/>
  </property>
  <property fmtid="{D5CDD505-2E9C-101B-9397-08002B2CF9AE}" pid="7" name="Country">
    <vt:lpwstr>24;#Paraguay|50282442-27e7-4526-9d04-55bf5da33a10</vt:lpwstr>
  </property>
  <property fmtid="{D5CDD505-2E9C-101B-9397-08002B2CF9AE}" pid="8" name="Fund IDB">
    <vt:lpwstr/>
  </property>
  <property fmtid="{D5CDD505-2E9C-101B-9397-08002B2CF9AE}" pid="9" name="TaxKeyword">
    <vt:lpwstr/>
  </property>
  <property fmtid="{D5CDD505-2E9C-101B-9397-08002B2CF9AE}" pid="10" name="TaxKeywordTaxHTField">
    <vt:lpwstr/>
  </property>
  <property fmtid="{D5CDD505-2E9C-101B-9397-08002B2CF9AE}" pid="11" name="_dlc_DocIdItemGuid">
    <vt:lpwstr>67fc16e8-8164-4449-9dd6-d627a6f0973d</vt:lpwstr>
  </property>
  <property fmtid="{D5CDD505-2E9C-101B-9397-08002B2CF9AE}" pid="12" name="Disclosure Activity">
    <vt:lpwstr>Loan Proposal</vt:lpwstr>
  </property>
  <property fmtid="{D5CDD505-2E9C-101B-9397-08002B2CF9AE}" pid="13" name="ContentTypeId">
    <vt:lpwstr>0x0101001A458A224826124E8B45B1D613300CFC00EEAC144B5690EB408DB63879C0EA8156</vt:lpwstr>
  </property>
</Properties>
</file>