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A7EFF8" w14:textId="248F088F" w:rsidR="00220407" w:rsidRPr="00A42118" w:rsidRDefault="00447E8B" w:rsidP="00AE6E31">
      <w:pPr>
        <w:tabs>
          <w:tab w:val="left" w:pos="1440"/>
          <w:tab w:val="left" w:pos="3060"/>
        </w:tabs>
        <w:jc w:val="center"/>
        <w:rPr>
          <w:rFonts w:ascii="Arial" w:hAnsi="Arial" w:cs="Arial"/>
          <w:b/>
          <w:smallCaps/>
          <w:sz w:val="22"/>
          <w:szCs w:val="22"/>
          <w:lang w:val="es-ES"/>
        </w:rPr>
      </w:pPr>
      <w:r>
        <w:rPr>
          <w:rFonts w:ascii="Arial" w:hAnsi="Arial" w:cs="Arial"/>
          <w:b/>
          <w:smallCaps/>
          <w:sz w:val="22"/>
          <w:szCs w:val="22"/>
          <w:lang w:val="es-ES"/>
        </w:rPr>
        <w:t xml:space="preserve">Informes y Diagnósticos Sectoriales </w:t>
      </w:r>
      <w:r w:rsidR="00511F8D">
        <w:rPr>
          <w:rFonts w:ascii="Arial" w:hAnsi="Arial" w:cs="Arial"/>
          <w:b/>
          <w:smallCaps/>
          <w:sz w:val="22"/>
          <w:szCs w:val="22"/>
          <w:lang w:val="es-ES"/>
        </w:rPr>
        <w:t>en Paraguay</w:t>
      </w:r>
    </w:p>
    <w:p w14:paraId="09BBD6BA" w14:textId="77777777" w:rsidR="00AE6E31" w:rsidRPr="00A42118" w:rsidRDefault="00AE6E31" w:rsidP="00F403C6">
      <w:pPr>
        <w:tabs>
          <w:tab w:val="left" w:pos="1440"/>
          <w:tab w:val="left" w:pos="3060"/>
        </w:tabs>
        <w:rPr>
          <w:rFonts w:ascii="Arial" w:hAnsi="Arial" w:cs="Arial"/>
          <w:b/>
          <w:smallCaps/>
          <w:sz w:val="22"/>
          <w:szCs w:val="22"/>
          <w:lang w:val="es-ES"/>
        </w:rPr>
      </w:pPr>
    </w:p>
    <w:tbl>
      <w:tblPr>
        <w:tblW w:w="4617" w:type="pct"/>
        <w:jc w:val="center"/>
        <w:tblLayout w:type="fixed"/>
        <w:tblCellMar>
          <w:left w:w="70" w:type="dxa"/>
          <w:right w:w="70" w:type="dxa"/>
        </w:tblCellMar>
        <w:tblLook w:val="04A0" w:firstRow="1" w:lastRow="0" w:firstColumn="1" w:lastColumn="0" w:noHBand="0" w:noVBand="1"/>
      </w:tblPr>
      <w:tblGrid>
        <w:gridCol w:w="2496"/>
        <w:gridCol w:w="4738"/>
        <w:gridCol w:w="3560"/>
        <w:gridCol w:w="1081"/>
      </w:tblGrid>
      <w:tr w:rsidR="00F403C6" w:rsidRPr="00F403C6" w14:paraId="657D4AD7" w14:textId="77777777" w:rsidTr="004B7137">
        <w:trPr>
          <w:cantSplit/>
          <w:trHeight w:val="300"/>
          <w:tblHeader/>
          <w:jc w:val="center"/>
        </w:trPr>
        <w:tc>
          <w:tcPr>
            <w:tcW w:w="1051" w:type="pct"/>
            <w:tcBorders>
              <w:top w:val="single" w:sz="4" w:space="0" w:color="auto"/>
              <w:left w:val="single" w:sz="4" w:space="0" w:color="auto"/>
              <w:bottom w:val="single" w:sz="4" w:space="0" w:color="auto"/>
              <w:right w:val="single" w:sz="4" w:space="0" w:color="auto"/>
            </w:tcBorders>
            <w:shd w:val="clear" w:color="000000" w:fill="D9D9D9"/>
            <w:vAlign w:val="center"/>
          </w:tcPr>
          <w:p w14:paraId="06295C4A" w14:textId="77777777" w:rsidR="00F403C6" w:rsidRPr="00F403C6" w:rsidRDefault="00F403C6" w:rsidP="005E487E">
            <w:pPr>
              <w:jc w:val="center"/>
              <w:rPr>
                <w:rFonts w:ascii="Arial" w:hAnsi="Arial" w:cs="Arial"/>
                <w:b/>
                <w:bCs/>
                <w:iCs/>
                <w:color w:val="000000"/>
                <w:sz w:val="18"/>
                <w:szCs w:val="18"/>
                <w:lang w:val="es-ES" w:eastAsia="es-CL"/>
              </w:rPr>
            </w:pPr>
            <w:r w:rsidRPr="00F403C6">
              <w:rPr>
                <w:rFonts w:ascii="Arial" w:hAnsi="Arial" w:cs="Arial"/>
                <w:b/>
                <w:bCs/>
                <w:iCs/>
                <w:color w:val="000000"/>
                <w:sz w:val="18"/>
                <w:szCs w:val="18"/>
                <w:lang w:val="es-ES" w:eastAsia="es-CL"/>
              </w:rPr>
              <w:t>Tipo de referencia</w:t>
            </w:r>
          </w:p>
        </w:tc>
        <w:tc>
          <w:tcPr>
            <w:tcW w:w="199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BC637A1" w14:textId="77777777" w:rsidR="00F403C6" w:rsidRPr="00F403C6" w:rsidRDefault="00F403C6" w:rsidP="005E487E">
            <w:pPr>
              <w:jc w:val="center"/>
              <w:rPr>
                <w:rFonts w:ascii="Arial" w:hAnsi="Arial" w:cs="Arial"/>
                <w:b/>
                <w:bCs/>
                <w:color w:val="000000"/>
                <w:sz w:val="18"/>
                <w:szCs w:val="18"/>
                <w:lang w:val="es-ES" w:eastAsia="es-CL"/>
              </w:rPr>
            </w:pPr>
            <w:r w:rsidRPr="00F403C6">
              <w:rPr>
                <w:rFonts w:ascii="Arial" w:hAnsi="Arial" w:cs="Arial"/>
                <w:b/>
                <w:bCs/>
                <w:iCs/>
                <w:color w:val="000000"/>
                <w:sz w:val="18"/>
                <w:szCs w:val="18"/>
                <w:lang w:val="es-ES" w:eastAsia="es-CL"/>
              </w:rPr>
              <w:t>Tema</w:t>
            </w:r>
          </w:p>
        </w:tc>
        <w:tc>
          <w:tcPr>
            <w:tcW w:w="1499" w:type="pct"/>
            <w:tcBorders>
              <w:top w:val="single" w:sz="4" w:space="0" w:color="auto"/>
              <w:left w:val="nil"/>
              <w:bottom w:val="single" w:sz="4" w:space="0" w:color="auto"/>
              <w:right w:val="single" w:sz="4" w:space="0" w:color="auto"/>
            </w:tcBorders>
            <w:shd w:val="clear" w:color="000000" w:fill="D9D9D9"/>
            <w:vAlign w:val="center"/>
            <w:hideMark/>
          </w:tcPr>
          <w:p w14:paraId="7E5116E4" w14:textId="77777777" w:rsidR="00F403C6" w:rsidRPr="00F403C6" w:rsidRDefault="00F403C6" w:rsidP="005E487E">
            <w:pPr>
              <w:jc w:val="center"/>
              <w:rPr>
                <w:rFonts w:ascii="Arial" w:hAnsi="Arial" w:cs="Arial"/>
                <w:b/>
                <w:bCs/>
                <w:color w:val="000000"/>
                <w:sz w:val="18"/>
                <w:szCs w:val="18"/>
                <w:lang w:val="es-ES" w:eastAsia="es-CL"/>
              </w:rPr>
            </w:pPr>
            <w:r w:rsidRPr="00F403C6">
              <w:rPr>
                <w:rFonts w:ascii="Arial" w:hAnsi="Arial" w:cs="Arial"/>
                <w:b/>
                <w:bCs/>
                <w:color w:val="000000"/>
                <w:sz w:val="18"/>
                <w:szCs w:val="18"/>
                <w:lang w:val="es-ES" w:eastAsia="es-CL"/>
              </w:rPr>
              <w:t>Descripción</w:t>
            </w:r>
          </w:p>
        </w:tc>
        <w:tc>
          <w:tcPr>
            <w:tcW w:w="455" w:type="pct"/>
            <w:tcBorders>
              <w:top w:val="single" w:sz="4" w:space="0" w:color="auto"/>
              <w:left w:val="nil"/>
              <w:bottom w:val="single" w:sz="4" w:space="0" w:color="auto"/>
              <w:right w:val="single" w:sz="4" w:space="0" w:color="auto"/>
            </w:tcBorders>
            <w:shd w:val="clear" w:color="000000" w:fill="D9D9D9"/>
            <w:vAlign w:val="center"/>
            <w:hideMark/>
          </w:tcPr>
          <w:p w14:paraId="07E82F54" w14:textId="77777777" w:rsidR="00F403C6" w:rsidRPr="00F403C6" w:rsidRDefault="00F403C6" w:rsidP="005E487E">
            <w:pPr>
              <w:jc w:val="center"/>
              <w:rPr>
                <w:rFonts w:ascii="Arial" w:hAnsi="Arial" w:cs="Arial"/>
                <w:b/>
                <w:bCs/>
                <w:color w:val="000000"/>
                <w:sz w:val="18"/>
                <w:szCs w:val="18"/>
                <w:lang w:val="es-ES" w:eastAsia="es-CL"/>
              </w:rPr>
            </w:pPr>
            <w:r w:rsidRPr="00F403C6">
              <w:rPr>
                <w:rFonts w:ascii="Arial" w:hAnsi="Arial" w:cs="Arial"/>
                <w:b/>
                <w:bCs/>
                <w:color w:val="000000"/>
                <w:sz w:val="18"/>
                <w:szCs w:val="18"/>
                <w:lang w:val="es-ES" w:eastAsia="es-CL"/>
              </w:rPr>
              <w:t>Fecha</w:t>
            </w:r>
          </w:p>
        </w:tc>
      </w:tr>
      <w:tr w:rsidR="00F403C6" w:rsidRPr="00F403C6" w14:paraId="13A97BD9" w14:textId="77777777" w:rsidTr="004B7137">
        <w:trPr>
          <w:trHeight w:val="820"/>
          <w:jc w:val="center"/>
        </w:trPr>
        <w:tc>
          <w:tcPr>
            <w:tcW w:w="105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2AD03D5" w14:textId="77777777" w:rsidR="00F403C6" w:rsidRPr="00F403C6" w:rsidRDefault="00F403C6" w:rsidP="00E112EA">
            <w:pPr>
              <w:jc w:val="center"/>
              <w:rPr>
                <w:rFonts w:ascii="Arial" w:hAnsi="Arial" w:cs="Arial"/>
                <w:b/>
                <w:color w:val="000000"/>
                <w:sz w:val="18"/>
                <w:szCs w:val="18"/>
                <w:lang w:val="es-ES" w:eastAsia="es-CL"/>
              </w:rPr>
            </w:pPr>
          </w:p>
          <w:p w14:paraId="1278C12C" w14:textId="24365AB5" w:rsidR="00F403C6" w:rsidRPr="00F403C6" w:rsidRDefault="00F403C6" w:rsidP="00E112EA">
            <w:pPr>
              <w:jc w:val="center"/>
              <w:rPr>
                <w:rFonts w:ascii="Arial" w:hAnsi="Arial" w:cs="Arial"/>
                <w:b/>
                <w:color w:val="000000"/>
                <w:sz w:val="18"/>
                <w:szCs w:val="18"/>
                <w:lang w:val="es-ES" w:eastAsia="es-CL"/>
              </w:rPr>
            </w:pPr>
            <w:r w:rsidRPr="00F403C6">
              <w:rPr>
                <w:rFonts w:ascii="Arial" w:hAnsi="Arial" w:cs="Arial"/>
                <w:b/>
                <w:color w:val="000000"/>
                <w:sz w:val="18"/>
                <w:szCs w:val="18"/>
                <w:lang w:val="es-ES" w:eastAsia="es-CL"/>
              </w:rPr>
              <w:t>Informes del Gobierno de Paraguay</w:t>
            </w:r>
          </w:p>
        </w:tc>
        <w:tc>
          <w:tcPr>
            <w:tcW w:w="1995" w:type="pct"/>
            <w:tcBorders>
              <w:top w:val="nil"/>
              <w:left w:val="single" w:sz="4" w:space="0" w:color="auto"/>
              <w:bottom w:val="single" w:sz="4" w:space="0" w:color="auto"/>
              <w:right w:val="single" w:sz="4" w:space="0" w:color="auto"/>
            </w:tcBorders>
            <w:shd w:val="clear" w:color="auto" w:fill="FFFFFF" w:themeFill="background1"/>
            <w:hideMark/>
          </w:tcPr>
          <w:p w14:paraId="3D9770B4" w14:textId="0A720D15" w:rsidR="00F403C6" w:rsidRPr="00F403C6" w:rsidRDefault="00511F8D" w:rsidP="005E487E">
            <w:pPr>
              <w:rPr>
                <w:rFonts w:ascii="Arial" w:hAnsi="Arial" w:cs="Arial"/>
                <w:color w:val="000000"/>
                <w:sz w:val="18"/>
                <w:szCs w:val="18"/>
                <w:lang w:val="es-ES" w:eastAsia="es-CL"/>
              </w:rPr>
            </w:pPr>
            <w:hyperlink r:id="rId14" w:history="1">
              <w:r w:rsidR="00F403C6" w:rsidRPr="00F403C6">
                <w:rPr>
                  <w:rStyle w:val="Hyperlink"/>
                  <w:rFonts w:ascii="Arial" w:hAnsi="Arial" w:cs="Arial"/>
                  <w:sz w:val="18"/>
                  <w:szCs w:val="18"/>
                  <w:lang w:val="es-ES" w:eastAsia="es-CL"/>
                </w:rPr>
                <w:t>Plan Nacional de Desarrollo “Paraguay 2030”</w:t>
              </w:r>
            </w:hyperlink>
          </w:p>
        </w:tc>
        <w:tc>
          <w:tcPr>
            <w:tcW w:w="1499" w:type="pct"/>
            <w:tcBorders>
              <w:top w:val="nil"/>
              <w:left w:val="nil"/>
              <w:bottom w:val="single" w:sz="4" w:space="0" w:color="auto"/>
              <w:right w:val="single" w:sz="4" w:space="0" w:color="auto"/>
            </w:tcBorders>
            <w:shd w:val="clear" w:color="auto" w:fill="FFFFFF" w:themeFill="background1"/>
            <w:noWrap/>
            <w:hideMark/>
          </w:tcPr>
          <w:p w14:paraId="75CB7A4F" w14:textId="713F02EE" w:rsidR="00F403C6" w:rsidRPr="00F403C6" w:rsidRDefault="00F403C6" w:rsidP="005E487E">
            <w:pPr>
              <w:rPr>
                <w:rFonts w:ascii="Arial" w:hAnsi="Arial" w:cs="Arial"/>
                <w:color w:val="000000"/>
                <w:sz w:val="18"/>
                <w:szCs w:val="18"/>
                <w:lang w:val="es-ES" w:eastAsia="es-CL"/>
              </w:rPr>
            </w:pPr>
            <w:r w:rsidRPr="00F403C6">
              <w:rPr>
                <w:rFonts w:ascii="Arial" w:hAnsi="Arial" w:cs="Arial"/>
                <w:color w:val="000000"/>
                <w:sz w:val="18"/>
                <w:szCs w:val="18"/>
                <w:lang w:val="es-ES" w:eastAsia="es-CL"/>
              </w:rPr>
              <w:t>El plan establece provisiones sobre numerosos temas, incluyendo la transparencia como factor para una mejor gestión pública, competitividad e innovación</w:t>
            </w:r>
          </w:p>
          <w:p w14:paraId="1A202F7F" w14:textId="77777777" w:rsidR="00F403C6" w:rsidRPr="00F403C6" w:rsidRDefault="00F403C6" w:rsidP="005E487E">
            <w:pPr>
              <w:rPr>
                <w:rFonts w:ascii="Arial" w:hAnsi="Arial" w:cs="Arial"/>
                <w:color w:val="000000"/>
                <w:sz w:val="18"/>
                <w:szCs w:val="18"/>
                <w:lang w:val="es-ES" w:eastAsia="es-CL"/>
              </w:rPr>
            </w:pPr>
          </w:p>
        </w:tc>
        <w:tc>
          <w:tcPr>
            <w:tcW w:w="455" w:type="pct"/>
            <w:tcBorders>
              <w:top w:val="nil"/>
              <w:left w:val="nil"/>
              <w:bottom w:val="single" w:sz="4" w:space="0" w:color="auto"/>
              <w:right w:val="single" w:sz="4" w:space="0" w:color="auto"/>
            </w:tcBorders>
            <w:shd w:val="clear" w:color="auto" w:fill="FFFFFF" w:themeFill="background1"/>
            <w:hideMark/>
          </w:tcPr>
          <w:p w14:paraId="5FCAEC48" w14:textId="712B8FDE"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2014</w:t>
            </w:r>
          </w:p>
        </w:tc>
      </w:tr>
      <w:tr w:rsidR="00F403C6" w:rsidRPr="00F403C6" w14:paraId="304E8352" w14:textId="77777777" w:rsidTr="004B7137">
        <w:trPr>
          <w:trHeight w:val="900"/>
          <w:jc w:val="center"/>
        </w:trPr>
        <w:tc>
          <w:tcPr>
            <w:tcW w:w="105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ED6217" w14:textId="77777777" w:rsidR="00F403C6" w:rsidRPr="00F403C6" w:rsidRDefault="00F403C6" w:rsidP="00E112EA">
            <w:pPr>
              <w:jc w:val="center"/>
              <w:rPr>
                <w:rFonts w:ascii="Arial" w:hAnsi="Arial" w:cs="Arial"/>
                <w:b/>
                <w:color w:val="000000"/>
                <w:sz w:val="18"/>
                <w:szCs w:val="18"/>
                <w:lang w:val="es-ES" w:eastAsia="es-CL"/>
              </w:rPr>
            </w:pPr>
            <w:r w:rsidRPr="00F403C6">
              <w:rPr>
                <w:rFonts w:ascii="Arial" w:hAnsi="Arial" w:cs="Arial"/>
                <w:b/>
                <w:color w:val="000000"/>
                <w:sz w:val="18"/>
                <w:szCs w:val="18"/>
                <w:lang w:val="es-ES" w:eastAsia="es-CL"/>
              </w:rPr>
              <w:t>Indicadores y Rankings</w:t>
            </w:r>
          </w:p>
        </w:tc>
        <w:tc>
          <w:tcPr>
            <w:tcW w:w="1995" w:type="pct"/>
            <w:tcBorders>
              <w:top w:val="nil"/>
              <w:left w:val="single" w:sz="4" w:space="0" w:color="auto"/>
              <w:bottom w:val="single" w:sz="4" w:space="0" w:color="auto"/>
              <w:right w:val="single" w:sz="4" w:space="0" w:color="auto"/>
            </w:tcBorders>
            <w:shd w:val="clear" w:color="auto" w:fill="FFFFFF" w:themeFill="background1"/>
            <w:hideMark/>
          </w:tcPr>
          <w:p w14:paraId="00D90C30" w14:textId="685757DE" w:rsidR="00F403C6" w:rsidRPr="00F403C6" w:rsidRDefault="00511F8D" w:rsidP="006F6CDA">
            <w:pPr>
              <w:rPr>
                <w:rFonts w:ascii="Arial" w:hAnsi="Arial" w:cs="Arial"/>
                <w:color w:val="000000"/>
                <w:sz w:val="18"/>
                <w:szCs w:val="18"/>
                <w:lang w:val="es-ES" w:eastAsia="es-CL"/>
              </w:rPr>
            </w:pPr>
            <w:hyperlink r:id="rId15" w:anchor="reports" w:history="1">
              <w:proofErr w:type="spellStart"/>
              <w:r w:rsidR="00F403C6" w:rsidRPr="00F403C6">
                <w:rPr>
                  <w:rStyle w:val="Hyperlink"/>
                  <w:rFonts w:ascii="Arial" w:hAnsi="Arial" w:cs="Arial"/>
                  <w:i/>
                  <w:sz w:val="18"/>
                  <w:szCs w:val="18"/>
                  <w:lang w:val="es-ES" w:eastAsia="es-CL"/>
                </w:rPr>
                <w:t>Worldwide</w:t>
              </w:r>
              <w:proofErr w:type="spellEnd"/>
              <w:r w:rsidR="00F403C6" w:rsidRPr="00F403C6">
                <w:rPr>
                  <w:rStyle w:val="Hyperlink"/>
                  <w:rFonts w:ascii="Arial" w:hAnsi="Arial" w:cs="Arial"/>
                  <w:i/>
                  <w:sz w:val="18"/>
                  <w:szCs w:val="18"/>
                  <w:lang w:val="es-ES" w:eastAsia="es-CL"/>
                </w:rPr>
                <w:t xml:space="preserve"> </w:t>
              </w:r>
              <w:proofErr w:type="spellStart"/>
              <w:r w:rsidR="00F403C6" w:rsidRPr="00F403C6">
                <w:rPr>
                  <w:rStyle w:val="Hyperlink"/>
                  <w:rFonts w:ascii="Arial" w:hAnsi="Arial" w:cs="Arial"/>
                  <w:i/>
                  <w:sz w:val="18"/>
                  <w:szCs w:val="18"/>
                  <w:lang w:val="es-ES" w:eastAsia="es-CL"/>
                </w:rPr>
                <w:t>Governance</w:t>
              </w:r>
              <w:proofErr w:type="spellEnd"/>
              <w:r w:rsidR="00F403C6" w:rsidRPr="00F403C6">
                <w:rPr>
                  <w:rStyle w:val="Hyperlink"/>
                  <w:rFonts w:ascii="Arial" w:hAnsi="Arial" w:cs="Arial"/>
                  <w:i/>
                  <w:sz w:val="18"/>
                  <w:szCs w:val="18"/>
                  <w:lang w:val="es-ES" w:eastAsia="es-CL"/>
                </w:rPr>
                <w:t xml:space="preserve"> </w:t>
              </w:r>
              <w:proofErr w:type="spellStart"/>
              <w:r w:rsidR="00F403C6" w:rsidRPr="00F403C6">
                <w:rPr>
                  <w:rStyle w:val="Hyperlink"/>
                  <w:rFonts w:ascii="Arial" w:hAnsi="Arial" w:cs="Arial"/>
                  <w:i/>
                  <w:sz w:val="18"/>
                  <w:szCs w:val="18"/>
                  <w:lang w:val="es-ES" w:eastAsia="es-CL"/>
                </w:rPr>
                <w:t>Indicators</w:t>
              </w:r>
              <w:proofErr w:type="spellEnd"/>
              <w:r w:rsidR="00F403C6" w:rsidRPr="00F403C6">
                <w:rPr>
                  <w:rStyle w:val="Hyperlink"/>
                  <w:rFonts w:ascii="Arial" w:hAnsi="Arial" w:cs="Arial"/>
                  <w:i/>
                  <w:sz w:val="18"/>
                  <w:szCs w:val="18"/>
                  <w:lang w:val="es-ES" w:eastAsia="es-CL"/>
                </w:rPr>
                <w:t>/</w:t>
              </w:r>
              <w:r w:rsidR="00F403C6" w:rsidRPr="00F403C6">
                <w:rPr>
                  <w:rStyle w:val="Hyperlink"/>
                  <w:rFonts w:ascii="Arial" w:hAnsi="Arial" w:cs="Arial"/>
                  <w:sz w:val="18"/>
                  <w:szCs w:val="18"/>
                  <w:lang w:val="es-ES" w:eastAsia="es-CL"/>
                </w:rPr>
                <w:t xml:space="preserve"> Indicadores Globales de Gobernanza, Banco Mundial 2015. Especialmente Indicador </w:t>
              </w:r>
              <w:r w:rsidR="00F403C6" w:rsidRPr="00F403C6">
                <w:rPr>
                  <w:rStyle w:val="Hyperlink"/>
                  <w:rFonts w:ascii="Arial" w:hAnsi="Arial" w:cs="Arial"/>
                  <w:i/>
                  <w:sz w:val="18"/>
                  <w:szCs w:val="18"/>
                  <w:lang w:val="es-ES" w:eastAsia="es-CL"/>
                </w:rPr>
                <w:t xml:space="preserve">Control of </w:t>
              </w:r>
              <w:proofErr w:type="spellStart"/>
              <w:r w:rsidR="00F403C6" w:rsidRPr="00F403C6">
                <w:rPr>
                  <w:rStyle w:val="Hyperlink"/>
                  <w:rFonts w:ascii="Arial" w:hAnsi="Arial" w:cs="Arial"/>
                  <w:i/>
                  <w:sz w:val="18"/>
                  <w:szCs w:val="18"/>
                  <w:lang w:val="es-ES" w:eastAsia="es-CL"/>
                </w:rPr>
                <w:t>Corruption</w:t>
              </w:r>
              <w:proofErr w:type="spellEnd"/>
            </w:hyperlink>
          </w:p>
        </w:tc>
        <w:tc>
          <w:tcPr>
            <w:tcW w:w="1499" w:type="pct"/>
            <w:tcBorders>
              <w:top w:val="nil"/>
              <w:left w:val="nil"/>
              <w:bottom w:val="single" w:sz="4" w:space="0" w:color="auto"/>
              <w:right w:val="single" w:sz="4" w:space="0" w:color="auto"/>
            </w:tcBorders>
            <w:shd w:val="clear" w:color="auto" w:fill="FFFFFF" w:themeFill="background1"/>
            <w:noWrap/>
            <w:hideMark/>
          </w:tcPr>
          <w:p w14:paraId="21B53C6B" w14:textId="19604918" w:rsidR="00F403C6" w:rsidRPr="00F403C6" w:rsidRDefault="00F403C6" w:rsidP="006F6CDA">
            <w:pPr>
              <w:rPr>
                <w:rFonts w:ascii="Arial" w:hAnsi="Arial" w:cs="Arial"/>
                <w:color w:val="000000"/>
                <w:sz w:val="18"/>
                <w:szCs w:val="18"/>
                <w:lang w:val="es-ES" w:eastAsia="es-CL"/>
              </w:rPr>
            </w:pPr>
            <w:r w:rsidRPr="00F403C6">
              <w:rPr>
                <w:rFonts w:ascii="Arial" w:hAnsi="Arial" w:cs="Arial"/>
                <w:color w:val="000000"/>
                <w:sz w:val="18"/>
                <w:szCs w:val="18"/>
                <w:lang w:val="es-ES" w:eastAsia="es-CL"/>
              </w:rPr>
              <w:t>Indicadores sobre gobernanza del Banco Mundial</w:t>
            </w:r>
          </w:p>
          <w:p w14:paraId="40DBAA71" w14:textId="77777777" w:rsidR="00F403C6" w:rsidRPr="00F403C6" w:rsidRDefault="00F403C6" w:rsidP="006F6CDA">
            <w:pPr>
              <w:rPr>
                <w:rFonts w:ascii="Arial" w:hAnsi="Arial" w:cs="Arial"/>
                <w:color w:val="000000"/>
                <w:sz w:val="18"/>
                <w:szCs w:val="18"/>
                <w:lang w:val="es-ES" w:eastAsia="es-CL"/>
              </w:rPr>
            </w:pPr>
          </w:p>
          <w:p w14:paraId="462680A9" w14:textId="77777777" w:rsidR="00F403C6" w:rsidRPr="00F403C6" w:rsidRDefault="00F403C6" w:rsidP="006F6CDA">
            <w:pPr>
              <w:spacing w:after="120"/>
              <w:rPr>
                <w:rFonts w:ascii="Arial" w:hAnsi="Arial" w:cs="Arial"/>
                <w:color w:val="000000"/>
                <w:sz w:val="18"/>
                <w:szCs w:val="18"/>
                <w:lang w:val="es-ES" w:eastAsia="es-CL"/>
              </w:rPr>
            </w:pPr>
          </w:p>
        </w:tc>
        <w:tc>
          <w:tcPr>
            <w:tcW w:w="455" w:type="pct"/>
            <w:tcBorders>
              <w:top w:val="nil"/>
              <w:left w:val="nil"/>
              <w:bottom w:val="single" w:sz="4" w:space="0" w:color="auto"/>
              <w:right w:val="single" w:sz="4" w:space="0" w:color="auto"/>
            </w:tcBorders>
            <w:shd w:val="clear" w:color="auto" w:fill="FFFFFF" w:themeFill="background1"/>
            <w:hideMark/>
          </w:tcPr>
          <w:p w14:paraId="4E22C031" w14:textId="3BC346B2"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2018</w:t>
            </w:r>
          </w:p>
        </w:tc>
      </w:tr>
      <w:tr w:rsidR="00F403C6" w:rsidRPr="00F403C6" w14:paraId="16B87F20" w14:textId="77777777" w:rsidTr="004B7137">
        <w:trPr>
          <w:trHeight w:val="60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10C112" w14:textId="77777777" w:rsidR="00F403C6" w:rsidRPr="00F403C6" w:rsidRDefault="00F403C6" w:rsidP="00E112EA">
            <w:pPr>
              <w:jc w:val="center"/>
              <w:rPr>
                <w:rFonts w:ascii="Arial" w:hAnsi="Arial" w:cs="Arial"/>
                <w:b/>
                <w:color w:val="000000"/>
                <w:sz w:val="18"/>
                <w:szCs w:val="18"/>
                <w:lang w:val="es-ES" w:eastAsia="es-CL"/>
              </w:rPr>
            </w:pPr>
          </w:p>
        </w:tc>
        <w:tc>
          <w:tcPr>
            <w:tcW w:w="1995" w:type="pct"/>
            <w:tcBorders>
              <w:top w:val="nil"/>
              <w:left w:val="single" w:sz="4" w:space="0" w:color="auto"/>
              <w:bottom w:val="single" w:sz="4" w:space="0" w:color="auto"/>
              <w:right w:val="single" w:sz="4" w:space="0" w:color="auto"/>
            </w:tcBorders>
            <w:shd w:val="clear" w:color="auto" w:fill="FFFFFF" w:themeFill="background1"/>
            <w:hideMark/>
          </w:tcPr>
          <w:p w14:paraId="50CBB90A" w14:textId="394CCF38" w:rsidR="00F403C6" w:rsidRPr="00F403C6" w:rsidRDefault="00511F8D" w:rsidP="005E487E">
            <w:pPr>
              <w:rPr>
                <w:rFonts w:ascii="Arial" w:hAnsi="Arial" w:cs="Arial"/>
                <w:color w:val="000000"/>
                <w:sz w:val="18"/>
                <w:szCs w:val="18"/>
                <w:lang w:val="pt-BR" w:eastAsia="es-CL"/>
              </w:rPr>
            </w:pPr>
            <w:hyperlink r:id="rId16" w:history="1">
              <w:r w:rsidR="00F403C6" w:rsidRPr="00F403C6">
                <w:rPr>
                  <w:rStyle w:val="Hyperlink"/>
                  <w:rFonts w:ascii="Arial" w:hAnsi="Arial" w:cs="Arial"/>
                  <w:sz w:val="18"/>
                  <w:szCs w:val="18"/>
                  <w:lang w:val="pt-BR" w:eastAsia="es-CL"/>
                </w:rPr>
                <w:t>Barómetro Open Data</w:t>
              </w:r>
            </w:hyperlink>
            <w:r w:rsidR="00F403C6" w:rsidRPr="00F403C6">
              <w:rPr>
                <w:rFonts w:ascii="Arial" w:hAnsi="Arial" w:cs="Arial"/>
                <w:color w:val="000000"/>
                <w:sz w:val="18"/>
                <w:szCs w:val="18"/>
                <w:lang w:val="pt-BR" w:eastAsia="es-CL"/>
              </w:rPr>
              <w:t xml:space="preserve"> </w:t>
            </w:r>
          </w:p>
        </w:tc>
        <w:tc>
          <w:tcPr>
            <w:tcW w:w="1499" w:type="pct"/>
            <w:tcBorders>
              <w:top w:val="nil"/>
              <w:left w:val="nil"/>
              <w:bottom w:val="single" w:sz="4" w:space="0" w:color="auto"/>
              <w:right w:val="single" w:sz="4" w:space="0" w:color="auto"/>
            </w:tcBorders>
            <w:shd w:val="clear" w:color="auto" w:fill="FFFFFF" w:themeFill="background1"/>
            <w:noWrap/>
            <w:hideMark/>
          </w:tcPr>
          <w:p w14:paraId="6DA49A2E" w14:textId="1FF088A7" w:rsidR="00F403C6" w:rsidRPr="00F403C6" w:rsidRDefault="00F403C6" w:rsidP="009C2461">
            <w:pPr>
              <w:rPr>
                <w:rFonts w:ascii="Arial" w:hAnsi="Arial" w:cs="Arial"/>
                <w:color w:val="000000"/>
                <w:sz w:val="18"/>
                <w:szCs w:val="18"/>
                <w:lang w:val="es-ES" w:eastAsia="es-CL"/>
              </w:rPr>
            </w:pPr>
            <w:r w:rsidRPr="00F403C6">
              <w:rPr>
                <w:rFonts w:ascii="Arial" w:hAnsi="Arial" w:cs="Arial"/>
                <w:color w:val="000000"/>
                <w:sz w:val="18"/>
                <w:szCs w:val="18"/>
                <w:lang w:val="es-ES" w:eastAsia="es-CL"/>
              </w:rPr>
              <w:t>Indicador sobre Datos Abiertos en Paraguay</w:t>
            </w:r>
          </w:p>
        </w:tc>
        <w:tc>
          <w:tcPr>
            <w:tcW w:w="455" w:type="pct"/>
            <w:tcBorders>
              <w:top w:val="nil"/>
              <w:left w:val="nil"/>
              <w:bottom w:val="single" w:sz="4" w:space="0" w:color="auto"/>
              <w:right w:val="single" w:sz="4" w:space="0" w:color="auto"/>
            </w:tcBorders>
            <w:shd w:val="clear" w:color="auto" w:fill="FFFFFF" w:themeFill="background1"/>
            <w:hideMark/>
          </w:tcPr>
          <w:p w14:paraId="5EBBCCDF" w14:textId="03885139"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2018</w:t>
            </w:r>
          </w:p>
        </w:tc>
      </w:tr>
      <w:tr w:rsidR="00F403C6" w:rsidRPr="00F403C6" w14:paraId="174BC19B" w14:textId="77777777" w:rsidTr="004B7137">
        <w:trPr>
          <w:trHeight w:val="30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F1ACE4" w14:textId="77777777" w:rsidR="00F403C6" w:rsidRPr="00F403C6" w:rsidRDefault="00F403C6" w:rsidP="00E112EA">
            <w:pPr>
              <w:jc w:val="center"/>
              <w:rPr>
                <w:rFonts w:ascii="Arial" w:hAnsi="Arial" w:cs="Arial"/>
                <w:b/>
                <w:color w:val="000000"/>
                <w:sz w:val="18"/>
                <w:szCs w:val="18"/>
                <w:lang w:val="es-ES" w:eastAsia="es-CL"/>
              </w:rPr>
            </w:pPr>
          </w:p>
        </w:tc>
        <w:tc>
          <w:tcPr>
            <w:tcW w:w="1995" w:type="pct"/>
            <w:tcBorders>
              <w:top w:val="nil"/>
              <w:left w:val="single" w:sz="4" w:space="0" w:color="auto"/>
              <w:bottom w:val="single" w:sz="4" w:space="0" w:color="auto"/>
              <w:right w:val="single" w:sz="4" w:space="0" w:color="auto"/>
            </w:tcBorders>
            <w:shd w:val="clear" w:color="auto" w:fill="FFFFFF" w:themeFill="background1"/>
            <w:hideMark/>
          </w:tcPr>
          <w:p w14:paraId="58827E7E" w14:textId="0BA718C7" w:rsidR="00F403C6" w:rsidRPr="00F403C6" w:rsidRDefault="00511F8D" w:rsidP="005E487E">
            <w:pPr>
              <w:rPr>
                <w:rFonts w:ascii="Arial" w:hAnsi="Arial" w:cs="Arial"/>
                <w:color w:val="000000"/>
                <w:sz w:val="18"/>
                <w:szCs w:val="18"/>
                <w:lang w:eastAsia="es-CL"/>
              </w:rPr>
            </w:pPr>
            <w:hyperlink r:id="rId17" w:history="1">
              <w:r w:rsidR="00F403C6" w:rsidRPr="00F403C6">
                <w:rPr>
                  <w:rStyle w:val="Hyperlink"/>
                  <w:rFonts w:ascii="Arial" w:hAnsi="Arial" w:cs="Arial"/>
                  <w:sz w:val="18"/>
                  <w:szCs w:val="18"/>
                  <w:lang w:eastAsia="es-CL"/>
                </w:rPr>
                <w:t>RTI Rating, Global Right to Information Rating Map</w:t>
              </w:r>
            </w:hyperlink>
          </w:p>
        </w:tc>
        <w:tc>
          <w:tcPr>
            <w:tcW w:w="1499" w:type="pct"/>
            <w:tcBorders>
              <w:top w:val="nil"/>
              <w:left w:val="nil"/>
              <w:bottom w:val="single" w:sz="4" w:space="0" w:color="auto"/>
              <w:right w:val="single" w:sz="4" w:space="0" w:color="auto"/>
            </w:tcBorders>
            <w:shd w:val="clear" w:color="auto" w:fill="FFFFFF" w:themeFill="background1"/>
            <w:noWrap/>
            <w:hideMark/>
          </w:tcPr>
          <w:p w14:paraId="213B958C" w14:textId="5475C075" w:rsidR="00F403C6" w:rsidRPr="007F4E42" w:rsidRDefault="00F403C6" w:rsidP="005E487E">
            <w:pPr>
              <w:rPr>
                <w:rFonts w:ascii="Arial" w:hAnsi="Arial" w:cs="Arial"/>
                <w:color w:val="000000"/>
                <w:sz w:val="18"/>
                <w:szCs w:val="18"/>
                <w:lang w:val="es-ES_tradnl" w:eastAsia="es-CL"/>
              </w:rPr>
            </w:pPr>
            <w:r w:rsidRPr="00F403C6">
              <w:rPr>
                <w:rFonts w:ascii="Arial" w:hAnsi="Arial" w:cs="Arial"/>
                <w:color w:val="000000"/>
                <w:sz w:val="18"/>
                <w:szCs w:val="18"/>
                <w:lang w:val="es-ES_tradnl" w:eastAsia="es-CL"/>
              </w:rPr>
              <w:t>Indicadores de acceso a la información a nivel global</w:t>
            </w:r>
          </w:p>
        </w:tc>
        <w:tc>
          <w:tcPr>
            <w:tcW w:w="455" w:type="pct"/>
            <w:tcBorders>
              <w:top w:val="nil"/>
              <w:left w:val="nil"/>
              <w:bottom w:val="single" w:sz="4" w:space="0" w:color="auto"/>
              <w:right w:val="single" w:sz="4" w:space="0" w:color="auto"/>
            </w:tcBorders>
            <w:shd w:val="clear" w:color="auto" w:fill="FFFFFF" w:themeFill="background1"/>
            <w:hideMark/>
          </w:tcPr>
          <w:p w14:paraId="05E4D34F" w14:textId="55A0557F"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2018</w:t>
            </w:r>
          </w:p>
        </w:tc>
      </w:tr>
      <w:tr w:rsidR="00F403C6" w:rsidRPr="00F403C6" w14:paraId="419F92C8" w14:textId="77777777" w:rsidTr="004B7137">
        <w:trPr>
          <w:trHeight w:val="60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A50A6E" w14:textId="77777777" w:rsidR="00F403C6" w:rsidRPr="00F403C6" w:rsidRDefault="00F403C6" w:rsidP="00DC14B0">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538DD435" w14:textId="3F08EDFF" w:rsidR="00F403C6" w:rsidRPr="00F403C6" w:rsidRDefault="00511F8D" w:rsidP="00DC14B0">
            <w:pPr>
              <w:rPr>
                <w:rFonts w:ascii="Arial" w:hAnsi="Arial" w:cs="Arial"/>
                <w:color w:val="000000"/>
                <w:sz w:val="18"/>
                <w:szCs w:val="18"/>
                <w:lang w:eastAsia="es-CL"/>
              </w:rPr>
            </w:pPr>
            <w:hyperlink r:id="rId18" w:history="1">
              <w:r w:rsidR="00F403C6" w:rsidRPr="00F403C6">
                <w:rPr>
                  <w:rStyle w:val="Hyperlink"/>
                  <w:rFonts w:ascii="Arial" w:hAnsi="Arial" w:cs="Arial"/>
                  <w:sz w:val="18"/>
                  <w:szCs w:val="18"/>
                  <w:lang w:eastAsia="es-CL"/>
                </w:rPr>
                <w:t>Índice de Basilea 2018</w:t>
              </w:r>
            </w:hyperlink>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0312E294" w14:textId="76DD9BE5" w:rsidR="00F403C6" w:rsidRPr="00F403C6" w:rsidRDefault="00F403C6" w:rsidP="00DC14B0">
            <w:pPr>
              <w:rPr>
                <w:rFonts w:ascii="Arial" w:hAnsi="Arial" w:cs="Arial"/>
                <w:color w:val="000000"/>
                <w:sz w:val="18"/>
                <w:szCs w:val="18"/>
                <w:lang w:val="es-ES" w:eastAsia="es-CL"/>
              </w:rPr>
            </w:pPr>
            <w:r w:rsidRPr="00F403C6">
              <w:rPr>
                <w:rFonts w:ascii="Arial" w:hAnsi="Arial" w:cs="Arial"/>
                <w:color w:val="000000"/>
                <w:sz w:val="18"/>
                <w:szCs w:val="18"/>
                <w:lang w:val="es-ES_tradnl" w:eastAsia="es-CL"/>
              </w:rPr>
              <w:t xml:space="preserve">Indicador sobre actividades </w:t>
            </w:r>
            <w:r w:rsidR="007F4E42" w:rsidRPr="00F403C6">
              <w:rPr>
                <w:rFonts w:ascii="Arial" w:hAnsi="Arial" w:cs="Arial"/>
                <w:color w:val="000000"/>
                <w:sz w:val="18"/>
                <w:szCs w:val="18"/>
                <w:lang w:val="es-ES_tradnl" w:eastAsia="es-CL"/>
              </w:rPr>
              <w:t>antilavado</w:t>
            </w:r>
            <w:r w:rsidRPr="00F403C6">
              <w:rPr>
                <w:rFonts w:ascii="Arial" w:hAnsi="Arial" w:cs="Arial"/>
                <w:color w:val="000000"/>
                <w:sz w:val="18"/>
                <w:szCs w:val="18"/>
                <w:lang w:val="es-ES_tradnl" w:eastAsia="es-CL"/>
              </w:rPr>
              <w:t xml:space="preserve"> de dinero y sobre recuperación de activos compilados por </w:t>
            </w:r>
            <w:bookmarkStart w:id="0" w:name="_GoBack"/>
            <w:bookmarkEnd w:id="0"/>
            <w:r w:rsidRPr="00F403C6">
              <w:rPr>
                <w:rFonts w:ascii="Arial" w:hAnsi="Arial" w:cs="Arial"/>
                <w:color w:val="000000"/>
                <w:sz w:val="18"/>
                <w:szCs w:val="18"/>
                <w:lang w:val="es-ES_tradnl" w:eastAsia="es-CL"/>
              </w:rPr>
              <w:t>el Centro Internacional para la Recuperación de Activos del Instituto de Basilea para la Gobernanza</w:t>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068AFBC5" w14:textId="66548C86"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2018</w:t>
            </w:r>
          </w:p>
        </w:tc>
      </w:tr>
      <w:tr w:rsidR="00F403C6" w:rsidRPr="00F403C6" w14:paraId="3C034CCC" w14:textId="77777777" w:rsidTr="004B7137">
        <w:trPr>
          <w:trHeight w:val="60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4F1307" w14:textId="77777777" w:rsidR="00F403C6" w:rsidRPr="00F403C6" w:rsidRDefault="00F403C6" w:rsidP="00DC14B0">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0499C478" w14:textId="47CEC4AC" w:rsidR="00F403C6" w:rsidRPr="00F403C6" w:rsidRDefault="00511F8D" w:rsidP="00DC14B0">
            <w:pPr>
              <w:rPr>
                <w:rFonts w:ascii="Arial" w:hAnsi="Arial" w:cs="Arial"/>
                <w:color w:val="000000"/>
                <w:sz w:val="18"/>
                <w:szCs w:val="18"/>
                <w:lang w:eastAsia="es-CL"/>
              </w:rPr>
            </w:pPr>
            <w:hyperlink r:id="rId19" w:history="1">
              <w:r w:rsidR="00F403C6" w:rsidRPr="00F403C6">
                <w:rPr>
                  <w:rStyle w:val="Hyperlink"/>
                  <w:rFonts w:ascii="Arial" w:hAnsi="Arial" w:cs="Arial"/>
                  <w:sz w:val="18"/>
                  <w:szCs w:val="18"/>
                  <w:lang w:eastAsia="es-CL"/>
                </w:rPr>
                <w:t>Open Budget Survey - International Budget Partnership</w:t>
              </w:r>
            </w:hyperlink>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noWrap/>
            <w:hideMark/>
          </w:tcPr>
          <w:p w14:paraId="1A12E9AA" w14:textId="5169C2EA" w:rsidR="00F403C6" w:rsidRPr="00F403C6" w:rsidRDefault="00F403C6" w:rsidP="00DC14B0">
            <w:pPr>
              <w:rPr>
                <w:rFonts w:ascii="Arial" w:hAnsi="Arial" w:cs="Arial"/>
                <w:color w:val="000000"/>
                <w:sz w:val="18"/>
                <w:szCs w:val="18"/>
                <w:lang w:val="es-ES" w:eastAsia="es-CL"/>
              </w:rPr>
            </w:pPr>
            <w:r w:rsidRPr="00F403C6">
              <w:rPr>
                <w:rFonts w:ascii="Arial" w:hAnsi="Arial" w:cs="Arial"/>
                <w:color w:val="000000"/>
                <w:sz w:val="18"/>
                <w:szCs w:val="18"/>
                <w:lang w:val="es-ES" w:eastAsia="es-CL"/>
              </w:rPr>
              <w:t xml:space="preserve">Ranking detallado sobre apertura de información presupuestaria </w:t>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hideMark/>
          </w:tcPr>
          <w:p w14:paraId="629AEFD4" w14:textId="6CCE8BEB"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2017</w:t>
            </w:r>
          </w:p>
        </w:tc>
      </w:tr>
      <w:tr w:rsidR="00F403C6" w:rsidRPr="00F403C6" w14:paraId="06F65A73" w14:textId="77777777" w:rsidTr="004B7137">
        <w:trPr>
          <w:trHeight w:val="300"/>
          <w:jc w:val="center"/>
        </w:trPr>
        <w:tc>
          <w:tcPr>
            <w:tcW w:w="1051"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5E93E3AE" w14:textId="68D464D3" w:rsidR="00F403C6" w:rsidRPr="00F403C6" w:rsidRDefault="00F403C6" w:rsidP="00F672A5">
            <w:pPr>
              <w:jc w:val="center"/>
              <w:rPr>
                <w:rFonts w:ascii="Arial" w:hAnsi="Arial" w:cs="Arial"/>
                <w:b/>
                <w:color w:val="000000"/>
                <w:sz w:val="18"/>
                <w:szCs w:val="18"/>
                <w:lang w:val="es-ES" w:eastAsia="es-CL"/>
              </w:rPr>
            </w:pPr>
            <w:r w:rsidRPr="00F403C6">
              <w:rPr>
                <w:rFonts w:ascii="Arial" w:hAnsi="Arial" w:cs="Arial"/>
                <w:b/>
                <w:color w:val="000000"/>
                <w:sz w:val="18"/>
                <w:szCs w:val="18"/>
                <w:lang w:val="es-ES" w:eastAsia="es-CL"/>
              </w:rPr>
              <w:t>Informes del BID</w:t>
            </w: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5F2F34C4" w14:textId="31A75469" w:rsidR="00F403C6" w:rsidRPr="00F403C6" w:rsidRDefault="00511F8D" w:rsidP="00F672A5">
            <w:pPr>
              <w:rPr>
                <w:rFonts w:ascii="Arial" w:hAnsi="Arial" w:cs="Arial"/>
                <w:color w:val="000000"/>
                <w:sz w:val="18"/>
                <w:szCs w:val="18"/>
                <w:lang w:val="es-ES_tradnl"/>
              </w:rPr>
            </w:pPr>
            <w:hyperlink r:id="rId20" w:history="1">
              <w:r w:rsidR="00F403C6" w:rsidRPr="00F403C6">
                <w:rPr>
                  <w:rStyle w:val="Hyperlink"/>
                  <w:rFonts w:ascii="Arial" w:hAnsi="Arial" w:cs="Arial"/>
                  <w:sz w:val="18"/>
                  <w:szCs w:val="18"/>
                  <w:lang w:val="es-ES" w:eastAsia="es-CL"/>
                </w:rPr>
                <w:t xml:space="preserve">Informe Consultor José Antonio Monreal: “Análisis Regional de Cumplimiento Técnico del Marco Regulatorio de Prevención de Lavado de Activos y Financiamiento del Terrorismo”  </w:t>
              </w:r>
            </w:hyperlink>
            <w:r w:rsidR="00F403C6" w:rsidRPr="00F403C6">
              <w:rPr>
                <w:rFonts w:ascii="Arial" w:hAnsi="Arial" w:cs="Arial"/>
                <w:color w:val="000000"/>
                <w:sz w:val="18"/>
                <w:szCs w:val="18"/>
                <w:lang w:val="es-ES_tradnl"/>
              </w:rPr>
              <w:t xml:space="preserve"> </w:t>
            </w:r>
          </w:p>
          <w:p w14:paraId="245F6658" w14:textId="77777777" w:rsidR="00F403C6" w:rsidRPr="00F403C6" w:rsidRDefault="00F403C6" w:rsidP="00F672A5">
            <w:pPr>
              <w:rPr>
                <w:rFonts w:ascii="Arial" w:hAnsi="Arial" w:cs="Arial"/>
                <w:color w:val="000000"/>
                <w:sz w:val="18"/>
                <w:szCs w:val="18"/>
                <w:lang w:val="es-ES" w:eastAsia="es-CL"/>
              </w:rPr>
            </w:pPr>
          </w:p>
          <w:p w14:paraId="6A928325" w14:textId="63C72DD7" w:rsidR="00F403C6" w:rsidRPr="00F403C6" w:rsidRDefault="00511F8D" w:rsidP="00F672A5">
            <w:pPr>
              <w:rPr>
                <w:rFonts w:ascii="Arial" w:hAnsi="Arial" w:cs="Arial"/>
                <w:color w:val="000000"/>
                <w:sz w:val="18"/>
                <w:szCs w:val="18"/>
                <w:lang w:val="es-ES" w:eastAsia="es-CL"/>
              </w:rPr>
            </w:pPr>
            <w:hyperlink r:id="rId21" w:history="1">
              <w:r w:rsidR="00F403C6" w:rsidRPr="00F403C6">
                <w:rPr>
                  <w:rStyle w:val="Hyperlink"/>
                  <w:rFonts w:ascii="Arial" w:hAnsi="Arial" w:cs="Arial"/>
                  <w:sz w:val="18"/>
                  <w:szCs w:val="18"/>
                  <w:lang w:val="es-ES" w:eastAsia="es-CL"/>
                </w:rPr>
                <w:t>Informe en elaboración, pendiente de aprobación final</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11BE02BA" w14:textId="2EB2A830" w:rsidR="00F403C6" w:rsidRPr="00F403C6" w:rsidRDefault="00F403C6" w:rsidP="00F672A5">
            <w:pPr>
              <w:rPr>
                <w:rFonts w:ascii="Arial" w:hAnsi="Arial" w:cs="Arial"/>
                <w:color w:val="000000"/>
                <w:sz w:val="18"/>
                <w:szCs w:val="18"/>
                <w:lang w:val="es-ES" w:eastAsia="es-CL"/>
              </w:rPr>
            </w:pPr>
            <w:r w:rsidRPr="00F403C6">
              <w:rPr>
                <w:rFonts w:ascii="Arial" w:hAnsi="Arial" w:cs="Arial"/>
                <w:color w:val="000000"/>
                <w:sz w:val="18"/>
                <w:szCs w:val="18"/>
                <w:lang w:val="es-ES" w:eastAsia="es-CL"/>
              </w:rPr>
              <w:t>El objetivo general de la consultoría es el de apoyar a los gobiernos de los países en la comprensión de la magnitud y la importancia del reto que plantean los nuevos Estándares ALA/CFT</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417B5CB5" w14:textId="037068A8"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2019</w:t>
            </w:r>
          </w:p>
        </w:tc>
      </w:tr>
      <w:tr w:rsidR="00F403C6" w:rsidRPr="00F403C6" w14:paraId="469BF4B8" w14:textId="77777777" w:rsidTr="004B7137">
        <w:trPr>
          <w:trHeight w:val="300"/>
          <w:jc w:val="center"/>
        </w:trPr>
        <w:tc>
          <w:tcPr>
            <w:tcW w:w="1051" w:type="pct"/>
            <w:vMerge/>
            <w:tcBorders>
              <w:left w:val="single" w:sz="4" w:space="0" w:color="auto"/>
              <w:right w:val="single" w:sz="4" w:space="0" w:color="auto"/>
            </w:tcBorders>
            <w:shd w:val="clear" w:color="auto" w:fill="D9D9D9" w:themeFill="background1" w:themeFillShade="D9"/>
            <w:vAlign w:val="center"/>
          </w:tcPr>
          <w:p w14:paraId="33F89737" w14:textId="77777777" w:rsidR="00F403C6" w:rsidRPr="00F403C6" w:rsidRDefault="00F403C6" w:rsidP="00F672A5">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62CDDD9D" w14:textId="2CEE9193" w:rsidR="00F403C6" w:rsidRPr="00F403C6" w:rsidRDefault="00511F8D" w:rsidP="00F672A5">
            <w:pPr>
              <w:rPr>
                <w:rFonts w:ascii="Arial" w:hAnsi="Arial" w:cs="Arial"/>
                <w:color w:val="000000"/>
                <w:sz w:val="18"/>
                <w:szCs w:val="18"/>
                <w:lang w:val="pt-BR" w:eastAsia="es-CL"/>
              </w:rPr>
            </w:pPr>
            <w:hyperlink r:id="rId22" w:history="1">
              <w:r w:rsidR="00F403C6" w:rsidRPr="00F403C6">
                <w:rPr>
                  <w:rStyle w:val="Hyperlink"/>
                  <w:rFonts w:ascii="Arial" w:hAnsi="Arial" w:cs="Arial"/>
                  <w:sz w:val="18"/>
                  <w:szCs w:val="18"/>
                  <w:lang w:val="pt-BR" w:eastAsia="es-CL"/>
                </w:rPr>
                <w:t xml:space="preserve">Informe Consultor Fernando </w:t>
              </w:r>
              <w:proofErr w:type="spellStart"/>
              <w:r w:rsidR="00F403C6" w:rsidRPr="00F403C6">
                <w:rPr>
                  <w:rStyle w:val="Hyperlink"/>
                  <w:rFonts w:ascii="Arial" w:hAnsi="Arial" w:cs="Arial"/>
                  <w:sz w:val="18"/>
                  <w:szCs w:val="18"/>
                  <w:lang w:val="pt-BR" w:eastAsia="es-CL"/>
                </w:rPr>
                <w:t>Basch</w:t>
              </w:r>
              <w:proofErr w:type="spellEnd"/>
              <w:r w:rsidR="00F403C6" w:rsidRPr="00F403C6">
                <w:rPr>
                  <w:rStyle w:val="Hyperlink"/>
                  <w:rFonts w:ascii="Arial" w:hAnsi="Arial" w:cs="Arial"/>
                  <w:sz w:val="18"/>
                  <w:szCs w:val="18"/>
                  <w:lang w:val="pt-BR" w:eastAsia="es-CL"/>
                </w:rPr>
                <w:t xml:space="preserve"> sobre </w:t>
              </w:r>
              <w:proofErr w:type="spellStart"/>
              <w:r w:rsidR="00F403C6" w:rsidRPr="00F403C6">
                <w:rPr>
                  <w:rStyle w:val="Hyperlink"/>
                  <w:rFonts w:ascii="Arial" w:hAnsi="Arial" w:cs="Arial"/>
                  <w:sz w:val="18"/>
                  <w:szCs w:val="18"/>
                  <w:lang w:val="pt-BR" w:eastAsia="es-CL"/>
                </w:rPr>
                <w:t>Beneficiarios</w:t>
              </w:r>
              <w:proofErr w:type="spellEnd"/>
              <w:r w:rsidR="00F403C6" w:rsidRPr="00F403C6">
                <w:rPr>
                  <w:rStyle w:val="Hyperlink"/>
                  <w:rFonts w:ascii="Arial" w:hAnsi="Arial" w:cs="Arial"/>
                  <w:sz w:val="18"/>
                  <w:szCs w:val="18"/>
                  <w:lang w:val="pt-BR" w:eastAsia="es-CL"/>
                </w:rPr>
                <w:t xml:space="preserve"> </w:t>
              </w:r>
              <w:proofErr w:type="spellStart"/>
              <w:r w:rsidR="00F403C6" w:rsidRPr="00F403C6">
                <w:rPr>
                  <w:rStyle w:val="Hyperlink"/>
                  <w:rFonts w:ascii="Arial" w:hAnsi="Arial" w:cs="Arial"/>
                  <w:sz w:val="18"/>
                  <w:szCs w:val="18"/>
                  <w:lang w:val="pt-BR" w:eastAsia="es-CL"/>
                </w:rPr>
                <w:t>Finales</w:t>
              </w:r>
              <w:proofErr w:type="spellEnd"/>
              <w:r w:rsidR="00F403C6" w:rsidRPr="00F403C6">
                <w:rPr>
                  <w:rStyle w:val="Hyperlink"/>
                  <w:rFonts w:ascii="Arial" w:hAnsi="Arial" w:cs="Arial"/>
                  <w:sz w:val="18"/>
                  <w:szCs w:val="18"/>
                  <w:lang w:val="pt-BR" w:eastAsia="es-CL"/>
                </w:rPr>
                <w:t xml:space="preserve"> </w:t>
              </w:r>
              <w:proofErr w:type="spellStart"/>
              <w:r w:rsidR="00F403C6" w:rsidRPr="00F403C6">
                <w:rPr>
                  <w:rStyle w:val="Hyperlink"/>
                  <w:rFonts w:ascii="Arial" w:hAnsi="Arial" w:cs="Arial"/>
                  <w:sz w:val="18"/>
                  <w:szCs w:val="18"/>
                  <w:lang w:val="pt-BR" w:eastAsia="es-CL"/>
                </w:rPr>
                <w:t>en</w:t>
              </w:r>
              <w:proofErr w:type="spellEnd"/>
              <w:r w:rsidR="00F403C6" w:rsidRPr="00F403C6">
                <w:rPr>
                  <w:rStyle w:val="Hyperlink"/>
                  <w:rFonts w:ascii="Arial" w:hAnsi="Arial" w:cs="Arial"/>
                  <w:sz w:val="18"/>
                  <w:szCs w:val="18"/>
                  <w:lang w:val="pt-BR" w:eastAsia="es-CL"/>
                </w:rPr>
                <w:t xml:space="preserve"> </w:t>
              </w:r>
              <w:proofErr w:type="spellStart"/>
              <w:r w:rsidR="00F403C6" w:rsidRPr="00F403C6">
                <w:rPr>
                  <w:rStyle w:val="Hyperlink"/>
                  <w:rFonts w:ascii="Arial" w:hAnsi="Arial" w:cs="Arial"/>
                  <w:sz w:val="18"/>
                  <w:szCs w:val="18"/>
                  <w:lang w:val="pt-BR" w:eastAsia="es-CL"/>
                </w:rPr>
                <w:t>Paraguay</w:t>
              </w:r>
              <w:proofErr w:type="spellEnd"/>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0EBBB890" w14:textId="5177F1AC" w:rsidR="00F403C6" w:rsidRPr="00F403C6" w:rsidRDefault="00F403C6" w:rsidP="00F672A5">
            <w:pPr>
              <w:rPr>
                <w:rFonts w:ascii="Arial" w:hAnsi="Arial" w:cs="Arial"/>
                <w:color w:val="000000"/>
                <w:sz w:val="18"/>
                <w:szCs w:val="18"/>
                <w:lang w:val="es-ES" w:eastAsia="es-CL"/>
              </w:rPr>
            </w:pPr>
            <w:r w:rsidRPr="00F403C6">
              <w:rPr>
                <w:rFonts w:ascii="Arial" w:hAnsi="Arial" w:cs="Arial"/>
                <w:color w:val="000000"/>
                <w:sz w:val="18"/>
                <w:szCs w:val="18"/>
                <w:lang w:val="es-ES" w:eastAsia="es-CL"/>
              </w:rPr>
              <w:t xml:space="preserve">En este memorándum se presentan los principales hallazgos y recomendaciones recabados durante Misión en Enero de 2019 para alinear el marco normativo paraguayo en la materia a los estándares establecidos en el GAFI al respecto de los Beneficiarios Finales (BF) </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52A42EB3" w14:textId="2014DC03"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2019</w:t>
            </w:r>
          </w:p>
        </w:tc>
      </w:tr>
      <w:tr w:rsidR="00F403C6" w:rsidRPr="00F403C6" w14:paraId="5585D43B" w14:textId="77777777" w:rsidTr="004B7137">
        <w:trPr>
          <w:trHeight w:val="300"/>
          <w:jc w:val="center"/>
        </w:trPr>
        <w:tc>
          <w:tcPr>
            <w:tcW w:w="1051" w:type="pct"/>
            <w:vMerge/>
            <w:tcBorders>
              <w:left w:val="single" w:sz="4" w:space="0" w:color="auto"/>
              <w:right w:val="single" w:sz="4" w:space="0" w:color="auto"/>
            </w:tcBorders>
            <w:shd w:val="clear" w:color="auto" w:fill="D9D9D9" w:themeFill="background1" w:themeFillShade="D9"/>
            <w:vAlign w:val="center"/>
          </w:tcPr>
          <w:p w14:paraId="680802E5" w14:textId="77777777" w:rsidR="00F403C6" w:rsidRPr="00F403C6" w:rsidRDefault="00F403C6" w:rsidP="00112D5D">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1663F30B" w14:textId="69CEE4EA" w:rsidR="00F403C6" w:rsidRPr="00F403C6" w:rsidRDefault="00511F8D" w:rsidP="00112D5D">
            <w:pPr>
              <w:rPr>
                <w:rFonts w:ascii="Arial" w:hAnsi="Arial" w:cs="Arial"/>
                <w:color w:val="000000"/>
                <w:sz w:val="18"/>
                <w:szCs w:val="18"/>
                <w:lang w:val="es-ES_tradnl" w:eastAsia="es-CL"/>
              </w:rPr>
            </w:pPr>
            <w:hyperlink r:id="rId23" w:history="1">
              <w:r w:rsidR="00F403C6" w:rsidRPr="00F403C6">
                <w:rPr>
                  <w:rStyle w:val="Hyperlink"/>
                  <w:rFonts w:ascii="Arial" w:hAnsi="Arial" w:cs="Arial"/>
                  <w:sz w:val="18"/>
                  <w:szCs w:val="18"/>
                  <w:lang w:val="es-ES_tradnl" w:eastAsia="es-CL"/>
                </w:rPr>
                <w:t xml:space="preserve">Informe Consultor Fernando Basch sobre Hallazgos y Recomendaciones para </w:t>
              </w:r>
              <w:r w:rsidR="00E726F0" w:rsidRPr="00F403C6">
                <w:rPr>
                  <w:rStyle w:val="Hyperlink"/>
                  <w:rFonts w:ascii="Arial" w:hAnsi="Arial" w:cs="Arial"/>
                  <w:sz w:val="18"/>
                  <w:szCs w:val="18"/>
                  <w:lang w:val="es-ES_tradnl" w:eastAsia="es-CL"/>
                </w:rPr>
                <w:t>la</w:t>
              </w:r>
              <w:r w:rsidR="00F403C6" w:rsidRPr="00F403C6">
                <w:rPr>
                  <w:rStyle w:val="Hyperlink"/>
                  <w:rFonts w:ascii="Arial" w:hAnsi="Arial" w:cs="Arial"/>
                  <w:sz w:val="18"/>
                  <w:szCs w:val="18"/>
                  <w:lang w:val="es-ES_tradnl" w:eastAsia="es-CL"/>
                </w:rPr>
                <w:t xml:space="preserve"> implementación de medidas sobre Personas Expuestas Políticamente (PEPs) en Paraguay</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136FBD66" w14:textId="6056A426" w:rsidR="00F403C6" w:rsidRPr="00F403C6" w:rsidRDefault="00F403C6" w:rsidP="00112D5D">
            <w:pPr>
              <w:rPr>
                <w:rFonts w:ascii="Arial" w:hAnsi="Arial" w:cs="Arial"/>
                <w:color w:val="000000"/>
                <w:sz w:val="18"/>
                <w:szCs w:val="18"/>
                <w:lang w:val="es-ES_tradnl" w:eastAsia="es-CL"/>
              </w:rPr>
            </w:pPr>
            <w:r w:rsidRPr="00F403C6">
              <w:rPr>
                <w:rFonts w:ascii="Arial" w:hAnsi="Arial" w:cs="Arial"/>
                <w:color w:val="000000"/>
                <w:sz w:val="18"/>
                <w:szCs w:val="18"/>
                <w:lang w:val="es-ES" w:eastAsia="es-CL"/>
              </w:rPr>
              <w:t xml:space="preserve">En este memorándum se presentan los principales hallazgos y recomendaciones recabados durante Misión en Enero de 2019 para alinear el marco normativo </w:t>
            </w:r>
            <w:r w:rsidRPr="00F403C6">
              <w:rPr>
                <w:rFonts w:ascii="Arial" w:hAnsi="Arial" w:cs="Arial"/>
                <w:color w:val="000000"/>
                <w:sz w:val="18"/>
                <w:szCs w:val="18"/>
                <w:lang w:val="es-ES" w:eastAsia="es-CL"/>
              </w:rPr>
              <w:lastRenderedPageBreak/>
              <w:t>paraguayo en la materia a los estándares establecidos en el GAFI al respecto de las Personas Expuestas Políticamente (</w:t>
            </w:r>
            <w:proofErr w:type="spellStart"/>
            <w:r w:rsidRPr="00F403C6">
              <w:rPr>
                <w:rFonts w:ascii="Arial" w:hAnsi="Arial" w:cs="Arial"/>
                <w:color w:val="000000"/>
                <w:sz w:val="18"/>
                <w:szCs w:val="18"/>
                <w:lang w:val="es-ES" w:eastAsia="es-CL"/>
              </w:rPr>
              <w:t>PEPs</w:t>
            </w:r>
            <w:proofErr w:type="spellEnd"/>
            <w:r w:rsidRPr="00F403C6">
              <w:rPr>
                <w:rFonts w:ascii="Arial" w:hAnsi="Arial" w:cs="Arial"/>
                <w:color w:val="000000"/>
                <w:sz w:val="18"/>
                <w:szCs w:val="18"/>
                <w:lang w:val="es-ES" w:eastAsia="es-CL"/>
              </w:rPr>
              <w:t>)</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40C1A1B6" w14:textId="01D523C4"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lastRenderedPageBreak/>
              <w:t>2019</w:t>
            </w:r>
          </w:p>
        </w:tc>
      </w:tr>
      <w:tr w:rsidR="00F403C6" w:rsidRPr="00F403C6" w14:paraId="7F2ED775" w14:textId="77777777" w:rsidTr="004B7137">
        <w:trPr>
          <w:trHeight w:val="300"/>
          <w:jc w:val="center"/>
        </w:trPr>
        <w:tc>
          <w:tcPr>
            <w:tcW w:w="1051" w:type="pct"/>
            <w:vMerge/>
            <w:tcBorders>
              <w:left w:val="single" w:sz="4" w:space="0" w:color="auto"/>
              <w:right w:val="single" w:sz="4" w:space="0" w:color="auto"/>
            </w:tcBorders>
            <w:shd w:val="clear" w:color="auto" w:fill="D9D9D9" w:themeFill="background1" w:themeFillShade="D9"/>
            <w:vAlign w:val="center"/>
          </w:tcPr>
          <w:p w14:paraId="0C09D8B8" w14:textId="77777777" w:rsidR="00F403C6" w:rsidRPr="00F403C6" w:rsidRDefault="00F403C6" w:rsidP="008B4B9A">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0CBD060" w14:textId="33578106" w:rsidR="00F403C6" w:rsidRPr="00F403C6" w:rsidRDefault="00511F8D" w:rsidP="008B4B9A">
            <w:pPr>
              <w:rPr>
                <w:rFonts w:ascii="Arial" w:hAnsi="Arial" w:cs="Arial"/>
                <w:color w:val="000000"/>
                <w:sz w:val="18"/>
                <w:szCs w:val="18"/>
                <w:lang w:val="es-ES_tradnl" w:eastAsia="es-CL"/>
              </w:rPr>
            </w:pPr>
            <w:hyperlink r:id="rId24" w:history="1">
              <w:r w:rsidR="00F403C6" w:rsidRPr="00F403C6">
                <w:rPr>
                  <w:rStyle w:val="Hyperlink"/>
                  <w:rFonts w:ascii="Arial" w:hAnsi="Arial" w:cs="Arial"/>
                  <w:sz w:val="18"/>
                  <w:szCs w:val="18"/>
                  <w:lang w:val="es-ES_tradnl" w:eastAsia="es-CL"/>
                </w:rPr>
                <w:t>Informe Consultor Marcos Mendiburu sobre Transparencia e Integridad en Paraguay</w:t>
              </w:r>
            </w:hyperlink>
            <w:r w:rsidR="00F403C6" w:rsidRPr="00F403C6">
              <w:rPr>
                <w:rFonts w:ascii="Arial" w:hAnsi="Arial" w:cs="Arial"/>
                <w:color w:val="000000"/>
                <w:sz w:val="18"/>
                <w:szCs w:val="18"/>
                <w:lang w:val="es-ES_tradnl" w:eastAsia="es-CL"/>
              </w:rPr>
              <w:t xml:space="preserve"> </w:t>
            </w:r>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5605E24B" w14:textId="76E42094"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Este informe consiste en una revisión y síntesis de un conjunto selecto de informes de diagnóstico existentes sobre transparencia e integridad– especialmente de sus hallazgos y recomendaciones – que contribuya a la formulación de una hoja de ruta futura en la materia por parte de la nueva administración del Presidente Mario Benítez</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3AC734FB" w14:textId="2B175C5B"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2019</w:t>
            </w:r>
          </w:p>
        </w:tc>
      </w:tr>
      <w:tr w:rsidR="00F403C6" w:rsidRPr="00F403C6" w14:paraId="5DD1DCB4" w14:textId="77777777" w:rsidTr="004B7137">
        <w:trPr>
          <w:trHeight w:val="300"/>
          <w:jc w:val="center"/>
        </w:trPr>
        <w:tc>
          <w:tcPr>
            <w:tcW w:w="1051" w:type="pct"/>
            <w:vMerge/>
            <w:tcBorders>
              <w:left w:val="single" w:sz="4" w:space="0" w:color="auto"/>
              <w:right w:val="single" w:sz="4" w:space="0" w:color="auto"/>
            </w:tcBorders>
            <w:shd w:val="clear" w:color="auto" w:fill="D9D9D9" w:themeFill="background1" w:themeFillShade="D9"/>
            <w:vAlign w:val="center"/>
          </w:tcPr>
          <w:p w14:paraId="467C6E43" w14:textId="2FC06AA7" w:rsidR="00F403C6" w:rsidRPr="00F403C6" w:rsidRDefault="00F403C6" w:rsidP="008B4B9A">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2E9EE605" w14:textId="315462D3" w:rsidR="00F403C6" w:rsidRPr="00F403C6" w:rsidRDefault="00511F8D" w:rsidP="008B4B9A">
            <w:pPr>
              <w:rPr>
                <w:rFonts w:ascii="Arial" w:hAnsi="Arial" w:cs="Arial"/>
                <w:color w:val="000000"/>
                <w:sz w:val="18"/>
                <w:szCs w:val="18"/>
                <w:lang w:val="es-ES" w:eastAsia="es-CL"/>
              </w:rPr>
            </w:pPr>
            <w:hyperlink r:id="rId25" w:history="1">
              <w:r w:rsidR="00F403C6" w:rsidRPr="00F403C6">
                <w:rPr>
                  <w:rStyle w:val="Hyperlink"/>
                  <w:rFonts w:ascii="Arial" w:hAnsi="Arial" w:cs="Arial"/>
                  <w:sz w:val="18"/>
                  <w:szCs w:val="18"/>
                  <w:lang w:val="es-ES" w:eastAsia="es-CL"/>
                </w:rPr>
                <w:t>Paraguay: Rutas para el Desarrollo</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20EB13F4" w14:textId="70AE9341"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Esta publicación sintetiza el trabajo analítico desarrollado por especialistas del BID en el marco de preparación de la nueva estrategia del Banco con Paraguay. El documento analiza los desafíos que afronta Paraguay para alcanzar mayores niveles de bienestar y desarrollo, y propone opciones de política para superarlos</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75692BB6" w14:textId="1D688B42"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2018</w:t>
            </w:r>
          </w:p>
        </w:tc>
      </w:tr>
      <w:tr w:rsidR="00F403C6" w:rsidRPr="00F403C6" w14:paraId="5A0EEC72" w14:textId="77777777" w:rsidTr="004B7137">
        <w:trPr>
          <w:trHeight w:val="300"/>
          <w:jc w:val="center"/>
        </w:trPr>
        <w:tc>
          <w:tcPr>
            <w:tcW w:w="1051" w:type="pct"/>
            <w:vMerge/>
            <w:tcBorders>
              <w:left w:val="single" w:sz="4" w:space="0" w:color="auto"/>
              <w:right w:val="single" w:sz="4" w:space="0" w:color="auto"/>
            </w:tcBorders>
            <w:shd w:val="clear" w:color="auto" w:fill="D9D9D9" w:themeFill="background1" w:themeFillShade="D9"/>
            <w:vAlign w:val="center"/>
          </w:tcPr>
          <w:p w14:paraId="570CC48C" w14:textId="77777777" w:rsidR="00F403C6" w:rsidRPr="00F403C6" w:rsidRDefault="00F403C6" w:rsidP="008B4B9A">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1FDD22ED" w14:textId="7DFDF653" w:rsidR="00F403C6" w:rsidRPr="00F403C6" w:rsidRDefault="00511F8D" w:rsidP="008B4B9A">
            <w:pPr>
              <w:rPr>
                <w:rFonts w:ascii="Arial" w:hAnsi="Arial" w:cs="Arial"/>
                <w:color w:val="000000"/>
                <w:sz w:val="18"/>
                <w:szCs w:val="18"/>
                <w:lang w:val="es-ES" w:eastAsia="es-CL"/>
              </w:rPr>
            </w:pPr>
            <w:hyperlink r:id="rId26" w:history="1">
              <w:r w:rsidR="00F403C6" w:rsidRPr="00F403C6">
                <w:rPr>
                  <w:rStyle w:val="Hyperlink"/>
                  <w:rFonts w:ascii="Arial" w:hAnsi="Arial" w:cs="Arial"/>
                  <w:sz w:val="18"/>
                  <w:szCs w:val="18"/>
                  <w:lang w:val="es-ES" w:eastAsia="es-CL"/>
                </w:rPr>
                <w:t>Kahn T., Baron A. y Vieyra J. C. (2018). “Tecnologías digitales para la transparencia en la inversión pública: Nuevos instrumentos para empoderar a ciudadanos y gobiernos”</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01919F70" w14:textId="74540C16"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 xml:space="preserve">Este trabajo analiza los retos de construir sistemas transparentes de gestión de la inversión pública en LAC, y pone de relieve cómo un conjunto de nuevos instrumentos tecnológicos puede mejorar la implementación de los proyectos de infraestructura y los servicios públicos. Se menciona el caso concreto de Paraguay a través de la iniciativa </w:t>
            </w:r>
            <w:proofErr w:type="spellStart"/>
            <w:r w:rsidRPr="00F403C6">
              <w:rPr>
                <w:rFonts w:ascii="Arial" w:hAnsi="Arial" w:cs="Arial"/>
                <w:color w:val="000000"/>
                <w:sz w:val="18"/>
                <w:szCs w:val="18"/>
                <w:lang w:val="es-ES" w:eastAsia="es-CL"/>
              </w:rPr>
              <w:t>MapaInversiones</w:t>
            </w:r>
            <w:proofErr w:type="spellEnd"/>
          </w:p>
        </w:tc>
        <w:tc>
          <w:tcPr>
            <w:tcW w:w="455" w:type="pct"/>
            <w:tcBorders>
              <w:top w:val="single" w:sz="4" w:space="0" w:color="auto"/>
              <w:left w:val="nil"/>
              <w:bottom w:val="single" w:sz="4" w:space="0" w:color="auto"/>
              <w:right w:val="single" w:sz="4" w:space="0" w:color="auto"/>
            </w:tcBorders>
            <w:shd w:val="clear" w:color="auto" w:fill="FFFFFF" w:themeFill="background1"/>
          </w:tcPr>
          <w:p w14:paraId="4A9E4E26" w14:textId="1726277B"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2018</w:t>
            </w:r>
          </w:p>
        </w:tc>
      </w:tr>
      <w:tr w:rsidR="00F403C6" w:rsidRPr="00F403C6" w14:paraId="04704D1D" w14:textId="77777777" w:rsidTr="004B7137">
        <w:trPr>
          <w:trHeight w:val="300"/>
          <w:jc w:val="center"/>
        </w:trPr>
        <w:tc>
          <w:tcPr>
            <w:tcW w:w="1051" w:type="pct"/>
            <w:vMerge/>
            <w:tcBorders>
              <w:left w:val="single" w:sz="4" w:space="0" w:color="auto"/>
              <w:bottom w:val="single" w:sz="4" w:space="0" w:color="auto"/>
              <w:right w:val="single" w:sz="4" w:space="0" w:color="auto"/>
            </w:tcBorders>
            <w:shd w:val="clear" w:color="auto" w:fill="D9D9D9" w:themeFill="background1" w:themeFillShade="D9"/>
            <w:vAlign w:val="center"/>
          </w:tcPr>
          <w:p w14:paraId="0991BC31" w14:textId="77777777" w:rsidR="00F403C6" w:rsidRPr="00F403C6" w:rsidRDefault="00F403C6" w:rsidP="008B4B9A">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36ED510F" w14:textId="2722BE42" w:rsidR="00F403C6" w:rsidRPr="00F403C6" w:rsidRDefault="00511F8D" w:rsidP="008B4B9A">
            <w:pPr>
              <w:rPr>
                <w:rFonts w:ascii="Arial" w:hAnsi="Arial" w:cs="Arial"/>
                <w:color w:val="000000"/>
                <w:sz w:val="18"/>
                <w:szCs w:val="18"/>
                <w:lang w:val="es-ES" w:eastAsia="es-CL"/>
              </w:rPr>
            </w:pPr>
            <w:hyperlink r:id="rId27" w:history="1">
              <w:r w:rsidR="00F403C6" w:rsidRPr="00F403C6">
                <w:rPr>
                  <w:rStyle w:val="Hyperlink"/>
                  <w:rFonts w:ascii="Arial" w:hAnsi="Arial" w:cs="Arial"/>
                  <w:sz w:val="18"/>
                  <w:szCs w:val="18"/>
                  <w:lang w:val="es-ES" w:eastAsia="es-CL"/>
                </w:rPr>
                <w:t>Kaufmann J. (2017). “Un nuevo impulso al fortalecimiento de la gobernanza de las empresas públicas en Paraguay”</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494B7B33" w14:textId="5760A259"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 xml:space="preserve">En este </w:t>
            </w:r>
            <w:proofErr w:type="spellStart"/>
            <w:r w:rsidRPr="00F403C6">
              <w:rPr>
                <w:rFonts w:ascii="Arial" w:hAnsi="Arial" w:cs="Arial"/>
                <w:color w:val="000000"/>
                <w:sz w:val="18"/>
                <w:szCs w:val="18"/>
                <w:lang w:val="es-ES" w:eastAsia="es-CL"/>
              </w:rPr>
              <w:t>paper</w:t>
            </w:r>
            <w:proofErr w:type="spellEnd"/>
            <w:r w:rsidRPr="00F403C6">
              <w:rPr>
                <w:rFonts w:ascii="Arial" w:hAnsi="Arial" w:cs="Arial"/>
                <w:color w:val="000000"/>
                <w:sz w:val="18"/>
                <w:szCs w:val="18"/>
                <w:lang w:val="es-ES" w:eastAsia="es-CL"/>
              </w:rPr>
              <w:t xml:space="preserve"> se identifican una serie de desafíos acerca de la gestión de las empresas públicas en Paraguay, entre ellos, la fragilidad de las capacidades institucionales para la supervisión centralizada y la falta de información uniforme y en tiempo real sobre la actividad y resultados de las empresas públicas en el país</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6FC229B1" w14:textId="77E8C95F"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2017</w:t>
            </w:r>
          </w:p>
        </w:tc>
      </w:tr>
      <w:tr w:rsidR="00F403C6" w:rsidRPr="00F403C6" w14:paraId="1F6CA700" w14:textId="77777777" w:rsidTr="004B7137">
        <w:trPr>
          <w:trHeight w:val="300"/>
          <w:jc w:val="center"/>
        </w:trPr>
        <w:tc>
          <w:tcPr>
            <w:tcW w:w="105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484C864" w14:textId="68676A84" w:rsidR="00F403C6" w:rsidRPr="00F403C6" w:rsidRDefault="00F403C6" w:rsidP="008B4B9A">
            <w:pPr>
              <w:jc w:val="center"/>
              <w:rPr>
                <w:rFonts w:ascii="Arial" w:hAnsi="Arial" w:cs="Arial"/>
                <w:b/>
                <w:color w:val="000000"/>
                <w:sz w:val="18"/>
                <w:szCs w:val="18"/>
                <w:lang w:val="es-ES" w:eastAsia="es-CL"/>
              </w:rPr>
            </w:pPr>
            <w:r w:rsidRPr="00F403C6">
              <w:rPr>
                <w:rFonts w:ascii="Arial" w:hAnsi="Arial" w:cs="Arial"/>
                <w:b/>
                <w:color w:val="000000"/>
                <w:sz w:val="18"/>
                <w:szCs w:val="18"/>
                <w:lang w:val="es-ES" w:eastAsia="es-CL"/>
              </w:rPr>
              <w:t>Informes de Organismos Internacionales</w:t>
            </w: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5085361" w14:textId="1499A9C1" w:rsidR="00F403C6" w:rsidRPr="00F403C6" w:rsidRDefault="00511F8D" w:rsidP="008B4B9A">
            <w:pPr>
              <w:rPr>
                <w:rFonts w:ascii="Arial" w:hAnsi="Arial" w:cs="Arial"/>
                <w:color w:val="000000"/>
                <w:sz w:val="18"/>
                <w:szCs w:val="18"/>
                <w:lang w:eastAsia="es-CL"/>
              </w:rPr>
            </w:pPr>
            <w:hyperlink r:id="rId28" w:anchor="page1" w:history="1">
              <w:r w:rsidR="00F403C6" w:rsidRPr="00F403C6">
                <w:rPr>
                  <w:rStyle w:val="Hyperlink"/>
                  <w:rFonts w:ascii="Arial" w:hAnsi="Arial" w:cs="Arial"/>
                  <w:sz w:val="18"/>
                  <w:szCs w:val="18"/>
                  <w:lang w:val="es-ES" w:eastAsia="es-CL"/>
                </w:rPr>
                <w:t>OCDE. (2018). “</w:t>
              </w:r>
              <w:r w:rsidR="00F403C6" w:rsidRPr="00F403C6">
                <w:rPr>
                  <w:rStyle w:val="Hyperlink"/>
                  <w:rFonts w:ascii="Arial" w:hAnsi="Arial" w:cs="Arial"/>
                  <w:sz w:val="18"/>
                  <w:szCs w:val="18"/>
                  <w:lang w:val="es-ES_tradnl" w:eastAsia="es-CL"/>
                </w:rPr>
                <w:t>Paraguay. Hacia un desarrollo nacional mediante una gobernanza pública integrada”.</w:t>
              </w:r>
              <w:r w:rsidR="00F403C6" w:rsidRPr="00F403C6">
                <w:rPr>
                  <w:rStyle w:val="Hyperlink"/>
                  <w:rFonts w:ascii="Arial" w:hAnsi="Arial" w:cs="Arial"/>
                  <w:sz w:val="18"/>
                  <w:szCs w:val="18"/>
                  <w:lang w:val="es-ES"/>
                </w:rPr>
                <w:t xml:space="preserve"> Estudios sobre Gobernanza Pública. OCDE, 2018</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5B73B323" w14:textId="31412200"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_tradnl" w:eastAsia="es-CL"/>
              </w:rPr>
              <w:t xml:space="preserve">Este estudio analiza y ofrece recomendaciones concretas en diversas áreas de la gobernanza pública EN </w:t>
            </w:r>
            <w:r w:rsidRPr="00F403C6">
              <w:rPr>
                <w:rFonts w:ascii="Arial" w:hAnsi="Arial" w:cs="Arial"/>
                <w:color w:val="000000"/>
                <w:sz w:val="18"/>
                <w:szCs w:val="18"/>
                <w:lang w:val="es-ES_tradnl" w:eastAsia="es-CL"/>
              </w:rPr>
              <w:lastRenderedPageBreak/>
              <w:t>Paraguay para fomentar el desarrollo del país</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00AC2C25" w14:textId="179BD41A"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lastRenderedPageBreak/>
              <w:t>2018</w:t>
            </w:r>
          </w:p>
        </w:tc>
      </w:tr>
      <w:tr w:rsidR="00F403C6" w:rsidRPr="00F403C6" w14:paraId="39E0F268" w14:textId="77777777" w:rsidTr="004B7137">
        <w:trPr>
          <w:trHeight w:val="30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1C7B708" w14:textId="77777777" w:rsidR="00F403C6" w:rsidRPr="00F403C6" w:rsidRDefault="00F403C6" w:rsidP="008B4B9A">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55C585DF" w14:textId="449BB06C" w:rsidR="00F403C6" w:rsidRPr="00F403C6" w:rsidRDefault="00511F8D" w:rsidP="008B4B9A">
            <w:pPr>
              <w:rPr>
                <w:rFonts w:ascii="Arial" w:hAnsi="Arial" w:cs="Arial"/>
                <w:color w:val="000000"/>
                <w:sz w:val="18"/>
                <w:szCs w:val="18"/>
                <w:lang w:val="es-ES" w:eastAsia="es-CL"/>
              </w:rPr>
            </w:pPr>
            <w:hyperlink r:id="rId29" w:history="1">
              <w:r w:rsidR="00F403C6" w:rsidRPr="00F403C6">
                <w:rPr>
                  <w:rStyle w:val="Hyperlink"/>
                  <w:rFonts w:ascii="Arial" w:hAnsi="Arial" w:cs="Arial"/>
                  <w:sz w:val="18"/>
                  <w:szCs w:val="18"/>
                  <w:lang w:val="es-ES" w:eastAsia="es-CL"/>
                </w:rPr>
                <w:t>Banco Mundial. (2018). Diagnóstico-País, Paraguay</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15AD9F4B" w14:textId="2AC22288" w:rsidR="00F403C6" w:rsidRPr="00F403C6" w:rsidRDefault="00F403C6" w:rsidP="008B4B9A">
            <w:pPr>
              <w:rPr>
                <w:rFonts w:ascii="Arial" w:hAnsi="Arial" w:cs="Arial"/>
                <w:color w:val="000000"/>
                <w:sz w:val="18"/>
                <w:szCs w:val="18"/>
                <w:lang w:val="es-ES_tradnl" w:eastAsia="es-CL"/>
              </w:rPr>
            </w:pPr>
            <w:r w:rsidRPr="00F403C6">
              <w:rPr>
                <w:rFonts w:ascii="Arial" w:hAnsi="Arial" w:cs="Arial"/>
                <w:color w:val="000000"/>
                <w:sz w:val="18"/>
                <w:szCs w:val="18"/>
                <w:lang w:val="es-ES_tradnl" w:eastAsia="es-CL"/>
              </w:rPr>
              <w:t>Numerosas referencias a temas de transparencia, acceso a la información y contrataciones abiertas</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40C4CD93" w14:textId="054DA52D"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2018</w:t>
            </w:r>
          </w:p>
        </w:tc>
      </w:tr>
      <w:tr w:rsidR="00F403C6" w:rsidRPr="00F403C6" w14:paraId="4AFEF138" w14:textId="77777777" w:rsidTr="004B7137">
        <w:trPr>
          <w:trHeight w:val="30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C12C5B8" w14:textId="77777777" w:rsidR="00F403C6" w:rsidRPr="00F403C6" w:rsidRDefault="00F403C6" w:rsidP="008B4B9A">
            <w:pPr>
              <w:jc w:val="cente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573814C2" w14:textId="29444E10" w:rsidR="00F403C6" w:rsidRPr="00F403C6" w:rsidRDefault="00511F8D" w:rsidP="008B4B9A">
            <w:pPr>
              <w:rPr>
                <w:rFonts w:ascii="Arial" w:hAnsi="Arial" w:cs="Arial"/>
                <w:color w:val="000000"/>
                <w:sz w:val="18"/>
                <w:szCs w:val="18"/>
                <w:lang w:val="es-ES" w:eastAsia="es-CL"/>
              </w:rPr>
            </w:pPr>
            <w:hyperlink r:id="rId30" w:history="1">
              <w:r w:rsidR="00F403C6" w:rsidRPr="00F403C6">
                <w:rPr>
                  <w:rStyle w:val="Hyperlink"/>
                  <w:rFonts w:ascii="Arial" w:hAnsi="Arial" w:cs="Arial"/>
                  <w:sz w:val="18"/>
                  <w:szCs w:val="18"/>
                  <w:lang w:val="es-ES" w:eastAsia="es-CL"/>
                </w:rPr>
                <w:t>OEA. Informes de avance nacional del MESICIC</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1D814C6B" w14:textId="51960878"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Informes de avance de Paraguay ante el MESICIC (Mecanismo de Seguimiento de la Implementación de la Convención Interamericana contra la Corrupción) – es el Mecanismo Anticorrupción de la OEA</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045D549B" w14:textId="38E87138"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2017</w:t>
            </w:r>
          </w:p>
        </w:tc>
      </w:tr>
      <w:tr w:rsidR="00F403C6" w:rsidRPr="00F403C6" w14:paraId="318EB523" w14:textId="77777777" w:rsidTr="004B7137">
        <w:trPr>
          <w:trHeight w:val="692"/>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93385E" w14:textId="77777777" w:rsidR="00F403C6" w:rsidRPr="00F403C6" w:rsidRDefault="00F403C6" w:rsidP="008B4B9A">
            <w:pP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4BE62BBD" w14:textId="57026802" w:rsidR="00F403C6" w:rsidRPr="00F403C6" w:rsidRDefault="00511F8D" w:rsidP="008B4B9A">
            <w:pPr>
              <w:rPr>
                <w:rFonts w:ascii="Arial" w:hAnsi="Arial" w:cs="Arial"/>
                <w:color w:val="000000"/>
                <w:sz w:val="18"/>
                <w:szCs w:val="18"/>
                <w:lang w:eastAsia="es-CL"/>
              </w:rPr>
            </w:pPr>
            <w:hyperlink r:id="rId31" w:history="1">
              <w:r w:rsidR="00F403C6" w:rsidRPr="00F403C6">
                <w:rPr>
                  <w:rStyle w:val="Hyperlink"/>
                  <w:rFonts w:ascii="Arial" w:hAnsi="Arial" w:cs="Arial"/>
                  <w:sz w:val="18"/>
                  <w:szCs w:val="18"/>
                  <w:lang w:eastAsia="es-CL"/>
                </w:rPr>
                <w:t>Banco Mundial. (2017). “</w:t>
              </w:r>
              <w:r w:rsidR="00F403C6" w:rsidRPr="00F403C6">
                <w:rPr>
                  <w:rStyle w:val="Hyperlink"/>
                  <w:rFonts w:ascii="Arial" w:hAnsi="Arial" w:cs="Arial"/>
                  <w:i/>
                  <w:sz w:val="18"/>
                  <w:szCs w:val="18"/>
                  <w:lang w:eastAsia="es-CL"/>
                </w:rPr>
                <w:t>Performance and Learning Review of the Country Strategy for Paraguay for the period FY15-FT2018</w:t>
              </w:r>
              <w:r w:rsidR="00F403C6" w:rsidRPr="00F403C6">
                <w:rPr>
                  <w:rStyle w:val="Hyperlink"/>
                  <w:rFonts w:ascii="Arial" w:hAnsi="Arial" w:cs="Arial"/>
                  <w:sz w:val="18"/>
                  <w:szCs w:val="18"/>
                  <w:lang w:eastAsia="es-CL"/>
                </w:rPr>
                <w:t>”</w:t>
              </w:r>
            </w:hyperlink>
            <w:r w:rsidR="00F403C6" w:rsidRPr="00F403C6">
              <w:rPr>
                <w:rFonts w:ascii="Arial" w:hAnsi="Arial" w:cs="Arial"/>
                <w:sz w:val="18"/>
                <w:szCs w:val="18"/>
              </w:rPr>
              <w:t xml:space="preserve"> </w:t>
            </w:r>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5828D756" w14:textId="74B38EA6" w:rsidR="00F403C6" w:rsidRPr="00F403C6" w:rsidRDefault="00F403C6" w:rsidP="008B4B9A">
            <w:pPr>
              <w:rPr>
                <w:rFonts w:ascii="Arial" w:hAnsi="Arial" w:cs="Arial"/>
                <w:color w:val="000000"/>
                <w:sz w:val="18"/>
                <w:szCs w:val="18"/>
                <w:lang w:val="es-ES_tradnl" w:eastAsia="es-CL"/>
              </w:rPr>
            </w:pPr>
            <w:r w:rsidRPr="00F403C6">
              <w:rPr>
                <w:rFonts w:ascii="Arial" w:hAnsi="Arial" w:cs="Arial"/>
                <w:color w:val="000000"/>
                <w:sz w:val="18"/>
                <w:szCs w:val="18"/>
                <w:lang w:val="es-ES_tradnl" w:eastAsia="es-CL"/>
              </w:rPr>
              <w:t>Esta Revisión de Desempeño y Aprendizaje hace una evaluación del progreso realizado en aras de alcanzar los objetivos de la Estrategia de Asociación de País de Paraguay (CPS) para los años fiscales 2015-2018</w:t>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31D9EABD" w14:textId="3FC218D5"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2017</w:t>
            </w:r>
          </w:p>
        </w:tc>
      </w:tr>
      <w:tr w:rsidR="00F403C6" w:rsidRPr="00F403C6" w14:paraId="45259344" w14:textId="77777777" w:rsidTr="004B7137">
        <w:trPr>
          <w:trHeight w:val="692"/>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325737" w14:textId="77777777" w:rsidR="00F403C6" w:rsidRPr="00F403C6" w:rsidRDefault="00F403C6" w:rsidP="008B4B9A">
            <w:pP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7D48BCAB" w14:textId="5F5C08F4" w:rsidR="00F403C6" w:rsidRPr="00F403C6" w:rsidRDefault="00511F8D" w:rsidP="008B4B9A">
            <w:pPr>
              <w:rPr>
                <w:rFonts w:ascii="Arial" w:hAnsi="Arial" w:cs="Arial"/>
                <w:color w:val="000000"/>
                <w:sz w:val="18"/>
                <w:szCs w:val="18"/>
                <w:lang w:val="es-ES_tradnl" w:eastAsia="es-CL"/>
              </w:rPr>
            </w:pPr>
            <w:hyperlink r:id="rId32" w:history="1">
              <w:r w:rsidR="00F403C6" w:rsidRPr="00F403C6">
                <w:rPr>
                  <w:rStyle w:val="Hyperlink"/>
                  <w:rFonts w:ascii="Arial" w:hAnsi="Arial" w:cs="Arial"/>
                  <w:sz w:val="18"/>
                  <w:szCs w:val="18"/>
                  <w:lang w:val="es-ES_tradnl" w:eastAsia="es-CL"/>
                </w:rPr>
                <w:t xml:space="preserve">Open </w:t>
              </w:r>
              <w:proofErr w:type="spellStart"/>
              <w:r w:rsidR="00F403C6" w:rsidRPr="00F403C6">
                <w:rPr>
                  <w:rStyle w:val="Hyperlink"/>
                  <w:rFonts w:ascii="Arial" w:hAnsi="Arial" w:cs="Arial"/>
                  <w:sz w:val="18"/>
                  <w:szCs w:val="18"/>
                  <w:lang w:val="es-ES_tradnl" w:eastAsia="es-CL"/>
                </w:rPr>
                <w:t>Contracting</w:t>
              </w:r>
              <w:proofErr w:type="spellEnd"/>
              <w:r w:rsidR="00F403C6" w:rsidRPr="00F403C6">
                <w:rPr>
                  <w:rStyle w:val="Hyperlink"/>
                  <w:rFonts w:ascii="Arial" w:hAnsi="Arial" w:cs="Arial"/>
                  <w:sz w:val="18"/>
                  <w:szCs w:val="18"/>
                  <w:lang w:val="es-ES_tradnl" w:eastAsia="es-CL"/>
                </w:rPr>
                <w:t xml:space="preserve"> </w:t>
              </w:r>
              <w:proofErr w:type="spellStart"/>
              <w:r w:rsidR="00F403C6" w:rsidRPr="00F403C6">
                <w:rPr>
                  <w:rStyle w:val="Hyperlink"/>
                  <w:rFonts w:ascii="Arial" w:hAnsi="Arial" w:cs="Arial"/>
                  <w:sz w:val="18"/>
                  <w:szCs w:val="18"/>
                  <w:lang w:val="es-ES_tradnl" w:eastAsia="es-CL"/>
                </w:rPr>
                <w:t>Partnership</w:t>
              </w:r>
              <w:proofErr w:type="spellEnd"/>
              <w:r w:rsidR="00F403C6" w:rsidRPr="00F403C6">
                <w:rPr>
                  <w:rStyle w:val="Hyperlink"/>
                  <w:rFonts w:ascii="Arial" w:hAnsi="Arial" w:cs="Arial"/>
                  <w:sz w:val="18"/>
                  <w:szCs w:val="18"/>
                  <w:lang w:val="es-ES_tradnl" w:eastAsia="es-CL"/>
                </w:rPr>
                <w:t>. (2017). “Informe Diagnóstico: Datos Abiertos en Contrataciones Abiertas”</w:t>
              </w:r>
            </w:hyperlink>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2E4DDBA7" w14:textId="055071D0" w:rsidR="00F403C6" w:rsidRPr="00F403C6" w:rsidRDefault="00F403C6" w:rsidP="008B4B9A">
            <w:pPr>
              <w:autoSpaceDE w:val="0"/>
              <w:autoSpaceDN w:val="0"/>
              <w:adjustRightInd w:val="0"/>
              <w:rPr>
                <w:rFonts w:ascii="Arial" w:hAnsi="Arial" w:cs="Arial"/>
                <w:color w:val="000000"/>
                <w:sz w:val="18"/>
                <w:szCs w:val="18"/>
                <w:lang w:val="es-ES_tradnl" w:eastAsia="es-CL"/>
              </w:rPr>
            </w:pPr>
            <w:r w:rsidRPr="00F403C6">
              <w:rPr>
                <w:rFonts w:ascii="Arial" w:hAnsi="Arial" w:cs="Arial"/>
                <w:color w:val="000000"/>
                <w:sz w:val="18"/>
                <w:szCs w:val="18"/>
                <w:lang w:val="es-ES_tradnl" w:eastAsia="es-CL"/>
              </w:rPr>
              <w:t>El objetivo de este informe es relevar las capacidades de los países para el diseño e implementación de</w:t>
            </w:r>
          </w:p>
          <w:p w14:paraId="7BF06384" w14:textId="77777777" w:rsidR="00F403C6" w:rsidRPr="00F403C6" w:rsidRDefault="00F403C6" w:rsidP="008B4B9A">
            <w:pPr>
              <w:autoSpaceDE w:val="0"/>
              <w:autoSpaceDN w:val="0"/>
              <w:adjustRightInd w:val="0"/>
              <w:rPr>
                <w:rFonts w:ascii="Arial" w:hAnsi="Arial" w:cs="Arial"/>
                <w:color w:val="000000"/>
                <w:sz w:val="18"/>
                <w:szCs w:val="18"/>
                <w:lang w:val="es-ES_tradnl" w:eastAsia="es-CL"/>
              </w:rPr>
            </w:pPr>
            <w:r w:rsidRPr="00F403C6">
              <w:rPr>
                <w:rFonts w:ascii="Arial" w:hAnsi="Arial" w:cs="Arial"/>
                <w:color w:val="000000"/>
                <w:sz w:val="18"/>
                <w:szCs w:val="18"/>
                <w:lang w:val="es-ES_tradnl" w:eastAsia="es-CL"/>
              </w:rPr>
              <w:t>políticas de contrataciones abiertas. El diagnóstico</w:t>
            </w:r>
          </w:p>
          <w:p w14:paraId="5026B497" w14:textId="77777777" w:rsidR="00F403C6" w:rsidRPr="00F403C6" w:rsidRDefault="00F403C6" w:rsidP="008B4B9A">
            <w:pPr>
              <w:autoSpaceDE w:val="0"/>
              <w:autoSpaceDN w:val="0"/>
              <w:adjustRightInd w:val="0"/>
              <w:rPr>
                <w:rFonts w:ascii="Arial" w:hAnsi="Arial" w:cs="Arial"/>
                <w:color w:val="000000"/>
                <w:sz w:val="18"/>
                <w:szCs w:val="18"/>
                <w:lang w:val="es-ES_tradnl" w:eastAsia="es-CL"/>
              </w:rPr>
            </w:pPr>
            <w:r w:rsidRPr="00F403C6">
              <w:rPr>
                <w:rFonts w:ascii="Arial" w:hAnsi="Arial" w:cs="Arial"/>
                <w:color w:val="000000"/>
                <w:sz w:val="18"/>
                <w:szCs w:val="18"/>
                <w:lang w:val="es-ES_tradnl" w:eastAsia="es-CL"/>
              </w:rPr>
              <w:t>toma como punto de partida una encuesta</w:t>
            </w:r>
          </w:p>
          <w:p w14:paraId="6A7AF2FD" w14:textId="5EE7A592" w:rsidR="00F403C6" w:rsidRPr="00F403C6" w:rsidRDefault="00F403C6" w:rsidP="008B4B9A">
            <w:pPr>
              <w:rPr>
                <w:rFonts w:ascii="Arial" w:hAnsi="Arial" w:cs="Arial"/>
                <w:color w:val="000000"/>
                <w:sz w:val="18"/>
                <w:szCs w:val="18"/>
                <w:lang w:val="es-ES_tradnl" w:eastAsia="es-CL"/>
              </w:rPr>
            </w:pPr>
            <w:r w:rsidRPr="00F403C6">
              <w:rPr>
                <w:rFonts w:ascii="Arial" w:hAnsi="Arial" w:cs="Arial"/>
                <w:color w:val="000000"/>
                <w:sz w:val="18"/>
                <w:szCs w:val="18"/>
                <w:lang w:val="es-ES_tradnl" w:eastAsia="es-CL"/>
              </w:rPr>
              <w:t>realizada durante 2016 en los países OCP parte del estudio, incluyendo Paraguay</w:t>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09C8D251" w14:textId="228DF615" w:rsidR="00F403C6" w:rsidRPr="00F403C6" w:rsidRDefault="00F403C6" w:rsidP="009F151E">
            <w:pPr>
              <w:jc w:val="center"/>
              <w:rPr>
                <w:rFonts w:ascii="Arial" w:hAnsi="Arial" w:cs="Arial"/>
                <w:color w:val="000000"/>
                <w:sz w:val="18"/>
                <w:szCs w:val="18"/>
                <w:lang w:eastAsia="es-CL"/>
              </w:rPr>
            </w:pPr>
            <w:r w:rsidRPr="00F403C6">
              <w:rPr>
                <w:rFonts w:ascii="Arial" w:hAnsi="Arial" w:cs="Arial"/>
                <w:color w:val="000000"/>
                <w:sz w:val="18"/>
                <w:szCs w:val="18"/>
                <w:lang w:eastAsia="es-CL"/>
              </w:rPr>
              <w:t>2017</w:t>
            </w:r>
          </w:p>
        </w:tc>
      </w:tr>
      <w:tr w:rsidR="00F403C6" w:rsidRPr="00F403C6" w14:paraId="295350BC" w14:textId="77777777" w:rsidTr="004B7137">
        <w:trPr>
          <w:trHeight w:val="692"/>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562FE7D" w14:textId="77777777" w:rsidR="00F403C6" w:rsidRPr="00F403C6" w:rsidRDefault="00F403C6" w:rsidP="008B4B9A">
            <w:pPr>
              <w:rPr>
                <w:rFonts w:ascii="Arial" w:hAnsi="Arial" w:cs="Arial"/>
                <w:b/>
                <w:color w:val="000000"/>
                <w:sz w:val="18"/>
                <w:szCs w:val="18"/>
                <w:lang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21C9FD1E" w14:textId="7CCB9AE4" w:rsidR="00F403C6" w:rsidRPr="00F403C6" w:rsidRDefault="00511F8D" w:rsidP="008B4B9A">
            <w:pPr>
              <w:rPr>
                <w:rFonts w:ascii="Arial" w:hAnsi="Arial" w:cs="Arial"/>
                <w:color w:val="000000"/>
                <w:sz w:val="18"/>
                <w:szCs w:val="18"/>
                <w:lang w:eastAsia="es-CL"/>
              </w:rPr>
            </w:pPr>
            <w:hyperlink r:id="rId33" w:history="1">
              <w:r w:rsidR="00F403C6" w:rsidRPr="00F403C6">
                <w:rPr>
                  <w:rStyle w:val="Hyperlink"/>
                  <w:rFonts w:ascii="Arial" w:hAnsi="Arial" w:cs="Arial"/>
                  <w:sz w:val="18"/>
                  <w:szCs w:val="18"/>
                  <w:lang w:eastAsia="es-CL"/>
                </w:rPr>
                <w:t>IMF. (2016). “</w:t>
              </w:r>
              <w:r w:rsidR="00F403C6" w:rsidRPr="00F403C6">
                <w:rPr>
                  <w:rStyle w:val="Hyperlink"/>
                  <w:rFonts w:ascii="Arial" w:hAnsi="Arial" w:cs="Arial"/>
                  <w:i/>
                  <w:sz w:val="18"/>
                  <w:szCs w:val="18"/>
                  <w:lang w:eastAsia="es-CL"/>
                </w:rPr>
                <w:t>Paraguay. Selected Issues</w:t>
              </w:r>
              <w:r w:rsidR="00F403C6" w:rsidRPr="00F403C6">
                <w:rPr>
                  <w:rStyle w:val="Hyperlink"/>
                  <w:rFonts w:ascii="Arial" w:hAnsi="Arial" w:cs="Arial"/>
                  <w:sz w:val="18"/>
                  <w:szCs w:val="18"/>
                  <w:lang w:eastAsia="es-CL"/>
                </w:rPr>
                <w:t>”. IMF Country Report No. 16/117</w:t>
              </w:r>
            </w:hyperlink>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5D003D77" w14:textId="77C7AEA6" w:rsidR="00F403C6" w:rsidRPr="00F403C6" w:rsidRDefault="00F403C6" w:rsidP="008B4B9A">
            <w:pPr>
              <w:rPr>
                <w:rFonts w:ascii="Arial" w:hAnsi="Arial" w:cs="Arial"/>
                <w:color w:val="000000"/>
                <w:sz w:val="18"/>
                <w:szCs w:val="18"/>
                <w:lang w:val="es-ES_tradnl" w:eastAsia="es-CL"/>
              </w:rPr>
            </w:pPr>
            <w:r w:rsidRPr="00F403C6">
              <w:rPr>
                <w:rFonts w:ascii="Arial" w:hAnsi="Arial" w:cs="Arial"/>
                <w:color w:val="000000"/>
                <w:sz w:val="18"/>
                <w:szCs w:val="18"/>
                <w:lang w:val="es-ES_tradnl" w:eastAsia="es-CL"/>
              </w:rPr>
              <w:t>Esta publicación compila una serie de temas clave para Paraguay, entre los que figura la necesidad de ir hacia mejoras en materia de transparencia</w:t>
            </w: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6D42E8B3" w14:textId="7C444429"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2016</w:t>
            </w:r>
          </w:p>
        </w:tc>
      </w:tr>
      <w:tr w:rsidR="00F403C6" w:rsidRPr="00F403C6" w14:paraId="1F3EB283" w14:textId="77777777" w:rsidTr="004B7137">
        <w:trPr>
          <w:trHeight w:val="692"/>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0CA2BE" w14:textId="77777777" w:rsidR="00F403C6" w:rsidRPr="00F403C6" w:rsidRDefault="00F403C6" w:rsidP="008B4B9A">
            <w:pP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61CC3926" w14:textId="763DC243" w:rsidR="00F403C6" w:rsidRPr="00F403C6" w:rsidRDefault="00511F8D" w:rsidP="008B4B9A">
            <w:pPr>
              <w:rPr>
                <w:rFonts w:ascii="Arial" w:hAnsi="Arial" w:cs="Arial"/>
                <w:color w:val="000000"/>
                <w:sz w:val="18"/>
                <w:szCs w:val="18"/>
                <w:lang w:eastAsia="es-CL"/>
              </w:rPr>
            </w:pPr>
            <w:hyperlink r:id="rId34" w:history="1">
              <w:r w:rsidR="00F403C6" w:rsidRPr="00F403C6">
                <w:rPr>
                  <w:rStyle w:val="Hyperlink"/>
                  <w:rFonts w:ascii="Arial" w:hAnsi="Arial" w:cs="Arial"/>
                  <w:i/>
                  <w:iCs/>
                  <w:sz w:val="18"/>
                  <w:szCs w:val="18"/>
                </w:rPr>
                <w:t>OCDE: “The rationale for fighting corruption”, Background brief”</w:t>
              </w:r>
            </w:hyperlink>
          </w:p>
        </w:tc>
        <w:tc>
          <w:tcPr>
            <w:tcW w:w="1499" w:type="pct"/>
            <w:tcBorders>
              <w:top w:val="single" w:sz="4" w:space="0" w:color="auto"/>
              <w:left w:val="single" w:sz="4" w:space="0" w:color="auto"/>
              <w:bottom w:val="single" w:sz="4" w:space="0" w:color="auto"/>
              <w:right w:val="single" w:sz="4" w:space="0" w:color="auto"/>
            </w:tcBorders>
            <w:shd w:val="clear" w:color="auto" w:fill="FFFFFF" w:themeFill="background1"/>
            <w:noWrap/>
          </w:tcPr>
          <w:p w14:paraId="666EF982" w14:textId="428403A0"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Breve resumen de por qué combatir la corrupción es importante, por la OCDE</w:t>
            </w:r>
          </w:p>
          <w:p w14:paraId="72B956BF" w14:textId="77777777" w:rsidR="00F403C6" w:rsidRPr="00F403C6" w:rsidRDefault="00F403C6" w:rsidP="008B4B9A">
            <w:pPr>
              <w:rPr>
                <w:rFonts w:ascii="Arial" w:hAnsi="Arial" w:cs="Arial"/>
                <w:color w:val="000000"/>
                <w:sz w:val="18"/>
                <w:szCs w:val="18"/>
                <w:lang w:val="es-ES_tradnl" w:eastAsia="es-CL"/>
              </w:rPr>
            </w:pPr>
          </w:p>
        </w:tc>
        <w:tc>
          <w:tcPr>
            <w:tcW w:w="455" w:type="pct"/>
            <w:tcBorders>
              <w:top w:val="single" w:sz="4" w:space="0" w:color="auto"/>
              <w:left w:val="single" w:sz="4" w:space="0" w:color="auto"/>
              <w:bottom w:val="single" w:sz="4" w:space="0" w:color="auto"/>
              <w:right w:val="single" w:sz="4" w:space="0" w:color="auto"/>
            </w:tcBorders>
            <w:shd w:val="clear" w:color="auto" w:fill="FFFFFF" w:themeFill="background1"/>
          </w:tcPr>
          <w:p w14:paraId="4B41C576" w14:textId="4A66CD10"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2013</w:t>
            </w:r>
          </w:p>
        </w:tc>
      </w:tr>
      <w:tr w:rsidR="00F403C6" w:rsidRPr="00F403C6" w14:paraId="66CEABF6" w14:textId="77777777" w:rsidTr="0088108B">
        <w:trPr>
          <w:trHeight w:val="44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62CCC9" w14:textId="77777777" w:rsidR="00F403C6" w:rsidRPr="00F403C6" w:rsidRDefault="00F403C6" w:rsidP="008B4B9A">
            <w:pPr>
              <w:rPr>
                <w:rFonts w:ascii="Arial" w:hAnsi="Arial" w:cs="Arial"/>
                <w:b/>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41413A65" w14:textId="07FC3CDA" w:rsidR="00F403C6" w:rsidRPr="00F403C6" w:rsidRDefault="00511F8D" w:rsidP="008B4B9A">
            <w:pPr>
              <w:rPr>
                <w:rFonts w:ascii="Arial" w:hAnsi="Arial" w:cs="Arial"/>
                <w:color w:val="000000"/>
                <w:sz w:val="18"/>
                <w:szCs w:val="18"/>
                <w:lang w:val="es-ES" w:eastAsia="es-CL"/>
              </w:rPr>
            </w:pPr>
            <w:hyperlink r:id="rId35" w:history="1">
              <w:r w:rsidR="00F403C6" w:rsidRPr="00F403C6">
                <w:rPr>
                  <w:rStyle w:val="Hyperlink"/>
                  <w:rFonts w:ascii="Arial" w:hAnsi="Arial" w:cs="Arial"/>
                  <w:sz w:val="18"/>
                  <w:szCs w:val="18"/>
                  <w:lang w:val="es-ES" w:eastAsia="es-CL"/>
                </w:rPr>
                <w:t>FMI y GAFISUD. (2008). Informe de Evaluación Mutua, ALD/LFT</w:t>
              </w:r>
            </w:hyperlink>
          </w:p>
          <w:p w14:paraId="43216715" w14:textId="77777777" w:rsidR="00F403C6" w:rsidRPr="00F403C6" w:rsidRDefault="00F403C6" w:rsidP="008B4B9A">
            <w:pPr>
              <w:rPr>
                <w:rFonts w:ascii="Arial" w:hAnsi="Arial" w:cs="Arial"/>
                <w:color w:val="000000"/>
                <w:sz w:val="18"/>
                <w:szCs w:val="18"/>
                <w:lang w:val="es-ES" w:eastAsia="es-CL"/>
              </w:rPr>
            </w:pPr>
          </w:p>
          <w:p w14:paraId="4356F550" w14:textId="13390273"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 xml:space="preserve">Este informe se complementa con el </w:t>
            </w:r>
            <w:r w:rsidRPr="00F403C6">
              <w:rPr>
                <w:rFonts w:ascii="Arial" w:hAnsi="Arial" w:cs="Arial"/>
                <w:sz w:val="18"/>
                <w:szCs w:val="18"/>
                <w:lang w:val="es-ES_tradnl"/>
              </w:rPr>
              <w:t>Informe de Avance de la Evaluación Mutua de Paraguay. Seguimiento Intensificado (2009)</w:t>
            </w:r>
            <w:r w:rsidRPr="00F403C6">
              <w:rPr>
                <w:rFonts w:ascii="Arial" w:hAnsi="Arial" w:cs="Arial"/>
                <w:color w:val="000000"/>
                <w:sz w:val="18"/>
                <w:szCs w:val="18"/>
                <w:lang w:val="es-ES" w:eastAsia="es-CL"/>
              </w:rPr>
              <w:t xml:space="preserve"> </w:t>
            </w:r>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77991910" w14:textId="4B57446A"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Este informe es una evaluación del régimen en materia de lucha contra el lavado de dinero (ALD) y el</w:t>
            </w:r>
          </w:p>
          <w:p w14:paraId="7A0DE409" w14:textId="45B545EB" w:rsidR="000C7590"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financiamiento del terrorismo (LFT) de la República del Paraguay. El informe se basa en las recomendaciones de 2001 y 2003 en materia de antilavado de dinero y financiamiento antiterrorista</w:t>
            </w:r>
          </w:p>
        </w:tc>
        <w:tc>
          <w:tcPr>
            <w:tcW w:w="455" w:type="pct"/>
            <w:tcBorders>
              <w:top w:val="single" w:sz="4" w:space="0" w:color="auto"/>
              <w:left w:val="nil"/>
              <w:bottom w:val="single" w:sz="4" w:space="0" w:color="auto"/>
              <w:right w:val="single" w:sz="4" w:space="0" w:color="auto"/>
            </w:tcBorders>
            <w:shd w:val="clear" w:color="auto" w:fill="FFFFFF" w:themeFill="background1"/>
          </w:tcPr>
          <w:p w14:paraId="01F235A5" w14:textId="54CD6E3C"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2008</w:t>
            </w:r>
          </w:p>
        </w:tc>
      </w:tr>
      <w:tr w:rsidR="00F403C6" w:rsidRPr="00F403C6" w14:paraId="48DE9908" w14:textId="77777777" w:rsidTr="00F572A7">
        <w:trPr>
          <w:trHeight w:val="485"/>
          <w:jc w:val="center"/>
        </w:trPr>
        <w:tc>
          <w:tcPr>
            <w:tcW w:w="105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726305B" w14:textId="07259667" w:rsidR="00F403C6" w:rsidRPr="00F403C6" w:rsidRDefault="00F403C6" w:rsidP="008B4B9A">
            <w:pPr>
              <w:jc w:val="center"/>
              <w:rPr>
                <w:rFonts w:ascii="Arial" w:hAnsi="Arial" w:cs="Arial"/>
                <w:b/>
                <w:color w:val="000000"/>
                <w:sz w:val="18"/>
                <w:szCs w:val="18"/>
                <w:lang w:val="es-ES" w:eastAsia="es-CL"/>
              </w:rPr>
            </w:pPr>
            <w:r w:rsidRPr="00F403C6">
              <w:rPr>
                <w:rFonts w:ascii="Arial" w:hAnsi="Arial" w:cs="Arial"/>
                <w:b/>
                <w:color w:val="000000"/>
                <w:sz w:val="18"/>
                <w:szCs w:val="18"/>
                <w:lang w:val="es-ES" w:eastAsia="es-CL"/>
              </w:rPr>
              <w:t>Legislación de la República del Paraguay</w:t>
            </w: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5F19CE66" w14:textId="511FB2E4" w:rsidR="00F403C6" w:rsidRPr="006E252C" w:rsidRDefault="00511F8D" w:rsidP="008B4B9A">
            <w:pPr>
              <w:rPr>
                <w:rFonts w:ascii="Arial" w:hAnsi="Arial" w:cs="Arial"/>
                <w:color w:val="000000"/>
                <w:sz w:val="18"/>
                <w:szCs w:val="18"/>
                <w:lang w:val="es-ES" w:eastAsia="es-CL"/>
              </w:rPr>
            </w:pPr>
            <w:hyperlink r:id="rId36" w:history="1">
              <w:r w:rsidR="00F403C6" w:rsidRPr="006E252C">
                <w:rPr>
                  <w:rStyle w:val="Hyperlink"/>
                  <w:rFonts w:ascii="Arial" w:hAnsi="Arial" w:cs="Arial"/>
                  <w:sz w:val="18"/>
                  <w:szCs w:val="18"/>
                  <w:lang w:val="es-ES"/>
                </w:rPr>
                <w:t>Artículo nº55, Ley de Presupuesto General de La Nación para el Ejercicio Fiscal 2019</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7C1019DC" w14:textId="628A648F" w:rsidR="00F403C6" w:rsidRPr="006E252C" w:rsidRDefault="00F403C6" w:rsidP="008B4B9A">
            <w:pPr>
              <w:rPr>
                <w:rFonts w:ascii="Arial" w:hAnsi="Arial" w:cs="Arial"/>
                <w:color w:val="000000"/>
                <w:sz w:val="18"/>
                <w:szCs w:val="18"/>
                <w:lang w:val="es-ES" w:eastAsia="es-CL"/>
              </w:rPr>
            </w:pPr>
            <w:r w:rsidRPr="006E252C">
              <w:rPr>
                <w:rFonts w:ascii="Arial" w:hAnsi="Arial" w:cs="Arial"/>
                <w:color w:val="000000"/>
                <w:sz w:val="18"/>
                <w:szCs w:val="18"/>
                <w:lang w:val="es-ES" w:eastAsia="es-CL"/>
              </w:rPr>
              <w:t xml:space="preserve">Este artículo obliga a los Organismos y Entidades del Estado que ejecutan </w:t>
            </w:r>
            <w:r w:rsidRPr="006E252C">
              <w:rPr>
                <w:rFonts w:ascii="Arial" w:hAnsi="Arial" w:cs="Arial"/>
                <w:color w:val="000000"/>
                <w:sz w:val="18"/>
                <w:szCs w:val="18"/>
                <w:lang w:val="es-ES" w:eastAsia="es-CL"/>
              </w:rPr>
              <w:lastRenderedPageBreak/>
              <w:t>proyectos públicos a informar periódicamente sobre el avance físico</w:t>
            </w:r>
            <w:r w:rsidR="0088108B">
              <w:rPr>
                <w:rFonts w:ascii="Arial" w:hAnsi="Arial" w:cs="Arial"/>
                <w:color w:val="000000"/>
                <w:sz w:val="18"/>
                <w:szCs w:val="18"/>
                <w:lang w:val="es-ES" w:eastAsia="es-CL"/>
              </w:rPr>
              <w:noBreakHyphen/>
            </w:r>
            <w:r w:rsidRPr="006E252C">
              <w:rPr>
                <w:rFonts w:ascii="Arial" w:hAnsi="Arial" w:cs="Arial"/>
                <w:color w:val="000000"/>
                <w:sz w:val="18"/>
                <w:szCs w:val="18"/>
                <w:lang w:val="es-ES" w:eastAsia="es-CL"/>
              </w:rPr>
              <w:t>financiero comprometido en el Plan de Ejecución Plurianual de los mismos</w:t>
            </w:r>
          </w:p>
        </w:tc>
        <w:tc>
          <w:tcPr>
            <w:tcW w:w="455" w:type="pct"/>
            <w:tcBorders>
              <w:top w:val="single" w:sz="4" w:space="0" w:color="auto"/>
              <w:left w:val="nil"/>
              <w:bottom w:val="single" w:sz="4" w:space="0" w:color="auto"/>
              <w:right w:val="single" w:sz="4" w:space="0" w:color="auto"/>
            </w:tcBorders>
            <w:shd w:val="clear" w:color="auto" w:fill="FFFFFF" w:themeFill="background1"/>
            <w:noWrap/>
          </w:tcPr>
          <w:p w14:paraId="10BD01F7" w14:textId="151A1425" w:rsidR="00F403C6" w:rsidRPr="006E252C" w:rsidRDefault="00F403C6" w:rsidP="009F151E">
            <w:pPr>
              <w:jc w:val="center"/>
              <w:rPr>
                <w:rFonts w:ascii="Arial" w:hAnsi="Arial" w:cs="Arial"/>
                <w:color w:val="000000"/>
                <w:sz w:val="18"/>
                <w:szCs w:val="18"/>
                <w:lang w:val="es-ES" w:eastAsia="es-CL"/>
              </w:rPr>
            </w:pPr>
            <w:r w:rsidRPr="006E252C">
              <w:rPr>
                <w:rFonts w:ascii="Arial" w:hAnsi="Arial" w:cs="Arial"/>
                <w:color w:val="000000"/>
                <w:sz w:val="18"/>
                <w:szCs w:val="18"/>
                <w:lang w:val="es-ES" w:eastAsia="es-CL"/>
              </w:rPr>
              <w:lastRenderedPageBreak/>
              <w:t>2019</w:t>
            </w:r>
          </w:p>
        </w:tc>
      </w:tr>
      <w:tr w:rsidR="00F403C6" w:rsidRPr="00F403C6" w14:paraId="46A4464B" w14:textId="77777777" w:rsidTr="00F572A7">
        <w:trPr>
          <w:trHeight w:val="215"/>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096B19" w14:textId="77777777" w:rsidR="00F403C6" w:rsidRPr="00F403C6" w:rsidRDefault="00F403C6" w:rsidP="008B4B9A">
            <w:pPr>
              <w:rPr>
                <w:rFonts w:ascii="Arial" w:hAnsi="Arial" w:cs="Arial"/>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255E6DF5" w14:textId="41E949A3" w:rsidR="00F403C6" w:rsidRPr="006E252C" w:rsidRDefault="00511F8D" w:rsidP="008B4B9A">
            <w:pPr>
              <w:rPr>
                <w:rFonts w:ascii="Arial" w:hAnsi="Arial" w:cs="Arial"/>
                <w:sz w:val="18"/>
                <w:szCs w:val="18"/>
                <w:lang w:val="es-ES_tradnl"/>
              </w:rPr>
            </w:pPr>
            <w:hyperlink r:id="rId37" w:history="1">
              <w:r w:rsidR="00F403C6" w:rsidRPr="006E252C">
                <w:rPr>
                  <w:rStyle w:val="Hyperlink"/>
                  <w:rFonts w:ascii="Arial" w:hAnsi="Arial" w:cs="Arial"/>
                  <w:sz w:val="18"/>
                  <w:szCs w:val="18"/>
                  <w:lang w:val="es-ES"/>
                </w:rPr>
                <w:t>Decreto Nº9043/2018, de reglamentación de la Ley N°5895/2017</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32AD1B9C" w14:textId="30332EA3" w:rsidR="00F403C6" w:rsidRPr="006E252C" w:rsidRDefault="00F403C6" w:rsidP="008B4B9A">
            <w:pPr>
              <w:rPr>
                <w:rFonts w:ascii="Arial" w:hAnsi="Arial" w:cs="Arial"/>
                <w:color w:val="000000"/>
                <w:sz w:val="18"/>
                <w:szCs w:val="18"/>
                <w:lang w:val="es-ES" w:eastAsia="es-CL"/>
              </w:rPr>
            </w:pPr>
            <w:r w:rsidRPr="006E252C">
              <w:rPr>
                <w:rFonts w:ascii="Arial" w:hAnsi="Arial" w:cs="Arial"/>
                <w:color w:val="000000"/>
                <w:sz w:val="18"/>
                <w:szCs w:val="18"/>
                <w:lang w:val="es-ES" w:eastAsia="es-CL"/>
              </w:rPr>
              <w:t>Reglamentación de la Ley que establece reglas de transparencia en el régimen de las sociedades constituidas por acciones, estableciéndose disposiciones en materia societaria</w:t>
            </w:r>
          </w:p>
        </w:tc>
        <w:tc>
          <w:tcPr>
            <w:tcW w:w="455" w:type="pct"/>
            <w:tcBorders>
              <w:top w:val="single" w:sz="4" w:space="0" w:color="auto"/>
              <w:left w:val="nil"/>
              <w:bottom w:val="single" w:sz="4" w:space="0" w:color="auto"/>
              <w:right w:val="single" w:sz="4" w:space="0" w:color="auto"/>
            </w:tcBorders>
            <w:shd w:val="clear" w:color="auto" w:fill="FFFFFF" w:themeFill="background1"/>
            <w:noWrap/>
          </w:tcPr>
          <w:p w14:paraId="3608EDB7" w14:textId="72012458" w:rsidR="00F403C6" w:rsidRPr="006E252C" w:rsidRDefault="00F403C6" w:rsidP="009F151E">
            <w:pPr>
              <w:jc w:val="center"/>
              <w:rPr>
                <w:rFonts w:ascii="Arial" w:hAnsi="Arial" w:cs="Arial"/>
                <w:color w:val="000000"/>
                <w:sz w:val="18"/>
                <w:szCs w:val="18"/>
                <w:lang w:val="es-ES" w:eastAsia="es-CL"/>
              </w:rPr>
            </w:pPr>
            <w:r w:rsidRPr="006E252C">
              <w:rPr>
                <w:rFonts w:ascii="Arial" w:hAnsi="Arial" w:cs="Arial"/>
                <w:color w:val="000000"/>
                <w:sz w:val="18"/>
                <w:szCs w:val="18"/>
                <w:lang w:val="es-ES" w:eastAsia="es-CL"/>
              </w:rPr>
              <w:t>2018</w:t>
            </w:r>
          </w:p>
        </w:tc>
      </w:tr>
      <w:tr w:rsidR="00F403C6" w:rsidRPr="00F403C6" w14:paraId="31BDA618" w14:textId="77777777" w:rsidTr="00F572A7">
        <w:trPr>
          <w:trHeight w:val="683"/>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F0AAB5" w14:textId="77777777" w:rsidR="00F403C6" w:rsidRPr="00F403C6" w:rsidRDefault="00F403C6" w:rsidP="008B4B9A">
            <w:pPr>
              <w:rPr>
                <w:rFonts w:ascii="Arial" w:hAnsi="Arial" w:cs="Arial"/>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186EC246" w14:textId="73916882" w:rsidR="00F403C6" w:rsidRPr="006E252C" w:rsidRDefault="00511F8D" w:rsidP="00A3390F">
            <w:pPr>
              <w:pStyle w:val="FootnoteText"/>
              <w:spacing w:after="0"/>
              <w:ind w:left="0" w:firstLine="0"/>
              <w:jc w:val="left"/>
              <w:rPr>
                <w:rFonts w:ascii="Arial" w:hAnsi="Arial" w:cs="Arial"/>
                <w:sz w:val="18"/>
                <w:szCs w:val="18"/>
                <w:lang w:val="es-ES"/>
              </w:rPr>
            </w:pPr>
            <w:hyperlink r:id="rId38" w:history="1">
              <w:r w:rsidR="00F403C6" w:rsidRPr="006E252C">
                <w:rPr>
                  <w:rStyle w:val="Hyperlink"/>
                  <w:rFonts w:ascii="Arial" w:hAnsi="Arial" w:cs="Arial"/>
                  <w:sz w:val="18"/>
                  <w:szCs w:val="18"/>
                  <w:lang w:val="es-ES"/>
                </w:rPr>
                <w:t>Ley Nº5895/2017, que establece reglas de transparencia en el régimen de las sociedades constitutivas por acciones</w:t>
              </w:r>
            </w:hyperlink>
            <w:r w:rsidR="00F403C6" w:rsidRPr="006E252C">
              <w:rPr>
                <w:rFonts w:ascii="Arial" w:hAnsi="Arial" w:cs="Arial"/>
                <w:sz w:val="18"/>
                <w:szCs w:val="18"/>
                <w:lang w:val="es-ES"/>
              </w:rPr>
              <w:t xml:space="preserve"> </w:t>
            </w:r>
          </w:p>
          <w:p w14:paraId="2BF3A7DE" w14:textId="77777777" w:rsidR="00F403C6" w:rsidRPr="006E252C" w:rsidRDefault="00F403C6" w:rsidP="008B4B9A">
            <w:pPr>
              <w:rPr>
                <w:rFonts w:ascii="Arial" w:hAnsi="Arial" w:cs="Arial"/>
                <w:sz w:val="18"/>
                <w:szCs w:val="18"/>
                <w:lang w:val="es-ES"/>
              </w:rPr>
            </w:pPr>
          </w:p>
          <w:p w14:paraId="2FD1BD78" w14:textId="0E300F0D" w:rsidR="00F403C6" w:rsidRPr="006E252C" w:rsidRDefault="00F403C6" w:rsidP="008B4B9A">
            <w:pPr>
              <w:rPr>
                <w:rFonts w:ascii="Arial" w:hAnsi="Arial" w:cs="Arial"/>
                <w:color w:val="000000"/>
                <w:sz w:val="18"/>
                <w:szCs w:val="18"/>
                <w:lang w:val="es-ES" w:eastAsia="es-CL"/>
              </w:rPr>
            </w:pPr>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1C5E64A9" w14:textId="37DE356E" w:rsidR="00F403C6" w:rsidRPr="006E252C" w:rsidRDefault="00F403C6" w:rsidP="008B4B9A">
            <w:pPr>
              <w:rPr>
                <w:rFonts w:ascii="Arial" w:hAnsi="Arial" w:cs="Arial"/>
                <w:color w:val="000000"/>
                <w:sz w:val="18"/>
                <w:szCs w:val="18"/>
                <w:lang w:val="es-ES" w:eastAsia="es-CL"/>
              </w:rPr>
            </w:pPr>
            <w:r w:rsidRPr="006E252C">
              <w:rPr>
                <w:rFonts w:ascii="Arial" w:hAnsi="Arial" w:cs="Arial"/>
                <w:color w:val="000000"/>
                <w:sz w:val="18"/>
                <w:szCs w:val="18"/>
                <w:lang w:val="es-ES" w:eastAsia="es-CL"/>
              </w:rPr>
              <w:t>Esta Ley tiene por objeto incorporar mecanismos de transparencia dentro del régimen de funcionamiento de las sociedades constituidas por acciones</w:t>
            </w:r>
          </w:p>
        </w:tc>
        <w:tc>
          <w:tcPr>
            <w:tcW w:w="455" w:type="pct"/>
            <w:tcBorders>
              <w:top w:val="single" w:sz="4" w:space="0" w:color="auto"/>
              <w:left w:val="nil"/>
              <w:bottom w:val="single" w:sz="4" w:space="0" w:color="auto"/>
              <w:right w:val="single" w:sz="4" w:space="0" w:color="auto"/>
            </w:tcBorders>
            <w:shd w:val="clear" w:color="auto" w:fill="FFFFFF" w:themeFill="background1"/>
            <w:noWrap/>
          </w:tcPr>
          <w:p w14:paraId="6C48667B" w14:textId="0BBD942F" w:rsidR="00F403C6" w:rsidRPr="006E252C" w:rsidRDefault="00F403C6" w:rsidP="009F151E">
            <w:pPr>
              <w:jc w:val="center"/>
              <w:rPr>
                <w:rFonts w:ascii="Arial" w:hAnsi="Arial" w:cs="Arial"/>
                <w:color w:val="000000"/>
                <w:sz w:val="18"/>
                <w:szCs w:val="18"/>
                <w:lang w:val="es-ES" w:eastAsia="es-CL"/>
              </w:rPr>
            </w:pPr>
            <w:r w:rsidRPr="006E252C">
              <w:rPr>
                <w:rFonts w:ascii="Arial" w:hAnsi="Arial" w:cs="Arial"/>
                <w:color w:val="000000"/>
                <w:sz w:val="18"/>
                <w:szCs w:val="18"/>
                <w:lang w:val="es-ES" w:eastAsia="es-CL"/>
              </w:rPr>
              <w:t>2017</w:t>
            </w:r>
          </w:p>
        </w:tc>
      </w:tr>
      <w:tr w:rsidR="00F403C6" w:rsidRPr="00F403C6" w14:paraId="6815D56F" w14:textId="77777777" w:rsidTr="00F572A7">
        <w:trPr>
          <w:trHeight w:val="485"/>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99A941" w14:textId="77777777" w:rsidR="00F403C6" w:rsidRPr="00F403C6" w:rsidRDefault="00F403C6" w:rsidP="008B4B9A">
            <w:pPr>
              <w:rPr>
                <w:rFonts w:ascii="Arial" w:hAnsi="Arial" w:cs="Arial"/>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48FF07D7" w14:textId="24E94991" w:rsidR="00F403C6" w:rsidRPr="006E252C" w:rsidRDefault="00511F8D" w:rsidP="008B4B9A">
            <w:pPr>
              <w:pStyle w:val="ListParagraph"/>
              <w:ind w:left="0"/>
              <w:rPr>
                <w:rFonts w:ascii="Arial" w:hAnsi="Arial" w:cs="Arial"/>
                <w:sz w:val="18"/>
                <w:szCs w:val="18"/>
                <w:lang w:val="es-ES"/>
              </w:rPr>
            </w:pPr>
            <w:hyperlink r:id="rId39" w:history="1">
              <w:r w:rsidR="00F403C6" w:rsidRPr="006E252C">
                <w:rPr>
                  <w:rStyle w:val="Hyperlink"/>
                  <w:rFonts w:ascii="Arial" w:hAnsi="Arial" w:cs="Arial"/>
                  <w:sz w:val="18"/>
                  <w:szCs w:val="18"/>
                  <w:lang w:val="es-ES"/>
                </w:rPr>
                <w:t xml:space="preserve">Decreto </w:t>
              </w:r>
              <w:r w:rsidR="00325CA8" w:rsidRPr="006E252C">
                <w:rPr>
                  <w:rStyle w:val="Hyperlink"/>
                  <w:rFonts w:ascii="Arial" w:hAnsi="Arial" w:cs="Arial"/>
                  <w:sz w:val="18"/>
                  <w:szCs w:val="18"/>
                  <w:lang w:val="es-ES"/>
                </w:rPr>
                <w:t>N.º</w:t>
              </w:r>
              <w:r w:rsidR="00F403C6" w:rsidRPr="006E252C">
                <w:rPr>
                  <w:rStyle w:val="Hyperlink"/>
                  <w:rFonts w:ascii="Arial" w:hAnsi="Arial" w:cs="Arial"/>
                  <w:sz w:val="18"/>
                  <w:szCs w:val="18"/>
                  <w:lang w:val="es-ES"/>
                </w:rPr>
                <w:t xml:space="preserve"> 7949/2017, por el cual se establece una Coordinación General y un Comité Interinstitucional para el Sistema Antilavado de Activos y Contra el Financiamiento del Terrorismo ALACFT de la República del Paraguay y se abroga el Decreto Nº66042016</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7ADCAC27" w14:textId="62B48783" w:rsidR="00F403C6" w:rsidRPr="006E252C" w:rsidRDefault="00F403C6" w:rsidP="008B4B9A">
            <w:pPr>
              <w:rPr>
                <w:rFonts w:ascii="Arial" w:hAnsi="Arial" w:cs="Arial"/>
                <w:color w:val="000000"/>
                <w:sz w:val="18"/>
                <w:szCs w:val="18"/>
                <w:lang w:val="es-ES" w:eastAsia="es-CL"/>
              </w:rPr>
            </w:pPr>
            <w:r w:rsidRPr="006E252C">
              <w:rPr>
                <w:rFonts w:ascii="Arial" w:hAnsi="Arial" w:cs="Arial"/>
                <w:color w:val="000000"/>
                <w:sz w:val="18"/>
                <w:szCs w:val="18"/>
                <w:lang w:val="es-ES" w:eastAsia="es-CL"/>
              </w:rPr>
              <w:t>Este Decreto tiene como objetivo fortalecer el Sistema Antilavado de Activos en Paraguay, a través de la creación de una entidad de Coordinación General presidida por el Ministro del Interior pero que también engloba a otras numerosas instituciones del Estado</w:t>
            </w:r>
          </w:p>
        </w:tc>
        <w:tc>
          <w:tcPr>
            <w:tcW w:w="455" w:type="pct"/>
            <w:tcBorders>
              <w:top w:val="single" w:sz="4" w:space="0" w:color="auto"/>
              <w:left w:val="nil"/>
              <w:bottom w:val="single" w:sz="4" w:space="0" w:color="auto"/>
              <w:right w:val="single" w:sz="4" w:space="0" w:color="auto"/>
            </w:tcBorders>
            <w:shd w:val="clear" w:color="auto" w:fill="FFFFFF" w:themeFill="background1"/>
            <w:noWrap/>
          </w:tcPr>
          <w:p w14:paraId="7EC54754" w14:textId="55ACF92E" w:rsidR="00F403C6" w:rsidRPr="006E252C" w:rsidRDefault="00F403C6" w:rsidP="009F151E">
            <w:pPr>
              <w:jc w:val="center"/>
              <w:rPr>
                <w:rFonts w:ascii="Arial" w:hAnsi="Arial" w:cs="Arial"/>
                <w:color w:val="000000"/>
                <w:sz w:val="18"/>
                <w:szCs w:val="18"/>
                <w:lang w:val="es-ES" w:eastAsia="es-CL"/>
              </w:rPr>
            </w:pPr>
            <w:r w:rsidRPr="006E252C">
              <w:rPr>
                <w:rFonts w:ascii="Arial" w:hAnsi="Arial" w:cs="Arial"/>
                <w:color w:val="000000"/>
                <w:sz w:val="18"/>
                <w:szCs w:val="18"/>
                <w:lang w:val="es-ES" w:eastAsia="es-CL"/>
              </w:rPr>
              <w:t>2017</w:t>
            </w:r>
          </w:p>
        </w:tc>
      </w:tr>
      <w:tr w:rsidR="00F403C6" w:rsidRPr="00F403C6" w14:paraId="73196592" w14:textId="77777777" w:rsidTr="00F572A7">
        <w:trPr>
          <w:trHeight w:val="89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CC27B54" w14:textId="77777777" w:rsidR="00F403C6" w:rsidRPr="00F403C6" w:rsidRDefault="00F403C6" w:rsidP="008B4B9A">
            <w:pPr>
              <w:rPr>
                <w:rFonts w:ascii="Arial" w:hAnsi="Arial" w:cs="Arial"/>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4C024737" w14:textId="2F3C31A5" w:rsidR="00F403C6" w:rsidRPr="006E252C" w:rsidRDefault="00511F8D" w:rsidP="008B4B9A">
            <w:pPr>
              <w:pStyle w:val="ListParagraph"/>
              <w:ind w:left="0"/>
              <w:rPr>
                <w:rFonts w:ascii="Arial" w:hAnsi="Arial" w:cs="Arial"/>
                <w:color w:val="000000"/>
                <w:sz w:val="18"/>
                <w:szCs w:val="18"/>
                <w:lang w:val="es-ES_tradnl" w:eastAsia="es-CL"/>
              </w:rPr>
            </w:pPr>
            <w:hyperlink r:id="rId40" w:history="1">
              <w:r w:rsidR="00F403C6" w:rsidRPr="006E252C">
                <w:rPr>
                  <w:rStyle w:val="Hyperlink"/>
                  <w:rFonts w:ascii="Arial" w:hAnsi="Arial" w:cs="Arial"/>
                  <w:sz w:val="18"/>
                  <w:szCs w:val="18"/>
                  <w:lang w:val="es-ES"/>
                </w:rPr>
                <w:t>Decreto 6495/2016, “Por el cual se complementa y ajusta el marco regulatorio del Sistema Nacional de Inversión Pública”</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0E72F302" w14:textId="42BFA287" w:rsidR="00F403C6" w:rsidRPr="006E252C" w:rsidRDefault="00F403C6" w:rsidP="008B4B9A">
            <w:pPr>
              <w:rPr>
                <w:rFonts w:ascii="Arial" w:hAnsi="Arial" w:cs="Arial"/>
                <w:color w:val="000000"/>
                <w:sz w:val="18"/>
                <w:szCs w:val="18"/>
                <w:lang w:val="es-ES" w:eastAsia="es-CL"/>
              </w:rPr>
            </w:pPr>
            <w:r w:rsidRPr="006E252C">
              <w:rPr>
                <w:rFonts w:ascii="Arial" w:hAnsi="Arial" w:cs="Arial"/>
                <w:sz w:val="18"/>
                <w:szCs w:val="18"/>
                <w:lang w:val="es-ES"/>
              </w:rPr>
              <w:t>Este Decreto tiene como objeto regular las acciones del Sistema Nacional de Inversión Pública (SNIP), en el marco del cual se planifican, formulan, evalúan socioeconómicamente, priorizan y ejecutan todos los proyectos de inversión pública – así como la evaluación de proyectos</w:t>
            </w:r>
          </w:p>
        </w:tc>
        <w:tc>
          <w:tcPr>
            <w:tcW w:w="455" w:type="pct"/>
            <w:tcBorders>
              <w:top w:val="single" w:sz="4" w:space="0" w:color="auto"/>
              <w:left w:val="nil"/>
              <w:bottom w:val="single" w:sz="4" w:space="0" w:color="auto"/>
              <w:right w:val="single" w:sz="4" w:space="0" w:color="auto"/>
            </w:tcBorders>
            <w:shd w:val="clear" w:color="auto" w:fill="FFFFFF" w:themeFill="background1"/>
            <w:noWrap/>
          </w:tcPr>
          <w:p w14:paraId="6AE14806" w14:textId="794E8400" w:rsidR="00F403C6" w:rsidRPr="006E252C" w:rsidRDefault="00F403C6" w:rsidP="009F151E">
            <w:pPr>
              <w:jc w:val="center"/>
              <w:rPr>
                <w:rFonts w:ascii="Arial" w:hAnsi="Arial" w:cs="Arial"/>
                <w:color w:val="000000"/>
                <w:sz w:val="18"/>
                <w:szCs w:val="18"/>
                <w:lang w:val="es-ES" w:eastAsia="es-CL"/>
              </w:rPr>
            </w:pPr>
            <w:r w:rsidRPr="006E252C">
              <w:rPr>
                <w:rFonts w:ascii="Arial" w:hAnsi="Arial" w:cs="Arial"/>
                <w:color w:val="000000"/>
                <w:sz w:val="18"/>
                <w:szCs w:val="18"/>
                <w:lang w:val="es-ES" w:eastAsia="es-CL"/>
              </w:rPr>
              <w:t>2016</w:t>
            </w:r>
          </w:p>
        </w:tc>
      </w:tr>
      <w:tr w:rsidR="00F403C6" w:rsidRPr="00F403C6" w14:paraId="3367E876" w14:textId="77777777" w:rsidTr="00F572A7">
        <w:trPr>
          <w:trHeight w:val="71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E41FFA" w14:textId="77777777" w:rsidR="00F403C6" w:rsidRPr="00F403C6" w:rsidRDefault="00F403C6" w:rsidP="008B4B9A">
            <w:pPr>
              <w:rPr>
                <w:rFonts w:ascii="Arial" w:hAnsi="Arial" w:cs="Arial"/>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39AB7EE8" w14:textId="2D8B6634" w:rsidR="00F403C6" w:rsidRPr="00F403C6" w:rsidRDefault="00511F8D" w:rsidP="008B4B9A">
            <w:pPr>
              <w:rPr>
                <w:rFonts w:ascii="Arial" w:hAnsi="Arial" w:cs="Arial"/>
                <w:sz w:val="18"/>
                <w:szCs w:val="18"/>
                <w:lang w:val="es-ES"/>
              </w:rPr>
            </w:pPr>
            <w:hyperlink r:id="rId41" w:history="1">
              <w:r w:rsidR="00F403C6" w:rsidRPr="00F403C6">
                <w:rPr>
                  <w:rStyle w:val="Hyperlink"/>
                  <w:rFonts w:ascii="Arial" w:hAnsi="Arial" w:cs="Arial"/>
                  <w:sz w:val="18"/>
                  <w:szCs w:val="18"/>
                  <w:lang w:val="es-ES"/>
                </w:rPr>
                <w:t>Resolución 370/2011 de SEPRELAD, que deroga la Resolución SEPRELAD Nº35/2010 y aprueba el reglamento de la Ley Nº1015/97 y la modificación de la Ley Nº3783/09, para las entidades sujetas a la supervisión y fiscalización del Instituto Nacional de Cooperatividad (INCOOP)</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03304FE5" w14:textId="4CCAEB23" w:rsidR="00F403C6" w:rsidRPr="00F403C6" w:rsidRDefault="00F403C6" w:rsidP="008B4B9A">
            <w:pPr>
              <w:rPr>
                <w:rFonts w:ascii="Arial" w:hAnsi="Arial" w:cs="Arial"/>
                <w:sz w:val="18"/>
                <w:szCs w:val="18"/>
                <w:lang w:val="es-ES"/>
              </w:rPr>
            </w:pPr>
            <w:r w:rsidRPr="00F403C6">
              <w:rPr>
                <w:rFonts w:ascii="Arial" w:hAnsi="Arial" w:cs="Arial"/>
                <w:sz w:val="18"/>
                <w:szCs w:val="18"/>
                <w:lang w:val="es-ES"/>
              </w:rPr>
              <w:t>Este reglamento complementa las susodichas leyes nº1015/97 y nº3783/09, en aras de dictar la normatividad de carácter administrativo que deben observar las Entidades Cooperativas, con el fin de evitar, detectar y reportar operaciones de lavado de dinero y financiamiento del terrorismo</w:t>
            </w:r>
          </w:p>
        </w:tc>
        <w:tc>
          <w:tcPr>
            <w:tcW w:w="455" w:type="pct"/>
            <w:tcBorders>
              <w:top w:val="single" w:sz="4" w:space="0" w:color="auto"/>
              <w:left w:val="nil"/>
              <w:bottom w:val="single" w:sz="4" w:space="0" w:color="auto"/>
              <w:right w:val="single" w:sz="4" w:space="0" w:color="auto"/>
            </w:tcBorders>
            <w:shd w:val="clear" w:color="auto" w:fill="FFFFFF" w:themeFill="background1"/>
            <w:noWrap/>
          </w:tcPr>
          <w:p w14:paraId="6F75ADD9" w14:textId="23948909" w:rsidR="00F403C6" w:rsidRPr="00F403C6" w:rsidRDefault="00F403C6" w:rsidP="009F151E">
            <w:pPr>
              <w:jc w:val="center"/>
              <w:rPr>
                <w:rFonts w:ascii="Arial" w:hAnsi="Arial" w:cs="Arial"/>
                <w:sz w:val="18"/>
                <w:szCs w:val="18"/>
                <w:lang w:val="es-ES"/>
              </w:rPr>
            </w:pPr>
            <w:r w:rsidRPr="00F403C6">
              <w:rPr>
                <w:rFonts w:ascii="Arial" w:hAnsi="Arial" w:cs="Arial"/>
                <w:sz w:val="18"/>
                <w:szCs w:val="18"/>
                <w:lang w:val="es-ES"/>
              </w:rPr>
              <w:t>2011</w:t>
            </w:r>
          </w:p>
        </w:tc>
      </w:tr>
      <w:tr w:rsidR="00F403C6" w:rsidRPr="00F403C6" w14:paraId="30656404" w14:textId="77777777" w:rsidTr="00F572A7">
        <w:trPr>
          <w:trHeight w:val="440"/>
          <w:jc w:val="center"/>
        </w:trPr>
        <w:tc>
          <w:tcPr>
            <w:tcW w:w="1051" w:type="pct"/>
            <w:vMerge/>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E68D91B" w14:textId="72C21C50" w:rsidR="00F403C6" w:rsidRPr="00F403C6" w:rsidRDefault="00F403C6" w:rsidP="008B4B9A">
            <w:pPr>
              <w:rPr>
                <w:rFonts w:ascii="Arial" w:hAnsi="Arial" w:cs="Arial"/>
                <w:color w:val="000000"/>
                <w:sz w:val="18"/>
                <w:szCs w:val="18"/>
                <w:lang w:val="es-ES" w:eastAsia="es-CL"/>
              </w:rPr>
            </w:pPr>
          </w:p>
        </w:tc>
        <w:tc>
          <w:tcPr>
            <w:tcW w:w="1995" w:type="pct"/>
            <w:tcBorders>
              <w:top w:val="single" w:sz="4" w:space="0" w:color="auto"/>
              <w:left w:val="single" w:sz="4" w:space="0" w:color="auto"/>
              <w:bottom w:val="single" w:sz="4" w:space="0" w:color="auto"/>
              <w:right w:val="single" w:sz="4" w:space="0" w:color="auto"/>
            </w:tcBorders>
            <w:shd w:val="clear" w:color="auto" w:fill="FFFFFF" w:themeFill="background1"/>
          </w:tcPr>
          <w:p w14:paraId="475DE43C" w14:textId="3F03D243" w:rsidR="00F403C6" w:rsidRPr="00F403C6" w:rsidRDefault="00511F8D" w:rsidP="008B4B9A">
            <w:pPr>
              <w:rPr>
                <w:rFonts w:ascii="Arial" w:hAnsi="Arial" w:cs="Arial"/>
                <w:color w:val="000000"/>
                <w:sz w:val="18"/>
                <w:szCs w:val="18"/>
                <w:lang w:val="es-ES" w:eastAsia="es-CL"/>
              </w:rPr>
            </w:pPr>
            <w:hyperlink r:id="rId42" w:history="1">
              <w:r w:rsidR="00F403C6" w:rsidRPr="00F403C6">
                <w:rPr>
                  <w:rStyle w:val="Hyperlink"/>
                  <w:rFonts w:ascii="Arial" w:hAnsi="Arial" w:cs="Arial"/>
                  <w:sz w:val="18"/>
                  <w:szCs w:val="18"/>
                  <w:lang w:val="es-ES"/>
                </w:rPr>
                <w:t>Resolución 26/2009 de SEPRELAD, que aprueba el Reglamento de Prevención de Lavado de Dinero para las Compañías de Seguro</w:t>
              </w:r>
            </w:hyperlink>
          </w:p>
        </w:tc>
        <w:tc>
          <w:tcPr>
            <w:tcW w:w="1499" w:type="pct"/>
            <w:tcBorders>
              <w:top w:val="single" w:sz="4" w:space="0" w:color="auto"/>
              <w:left w:val="nil"/>
              <w:bottom w:val="single" w:sz="4" w:space="0" w:color="auto"/>
              <w:right w:val="single" w:sz="4" w:space="0" w:color="auto"/>
            </w:tcBorders>
            <w:shd w:val="clear" w:color="auto" w:fill="FFFFFF" w:themeFill="background1"/>
            <w:noWrap/>
          </w:tcPr>
          <w:p w14:paraId="78099C33" w14:textId="0E6447CA" w:rsidR="00F403C6" w:rsidRPr="00F403C6" w:rsidRDefault="00F403C6" w:rsidP="008B4B9A">
            <w:pPr>
              <w:rPr>
                <w:rFonts w:ascii="Arial" w:hAnsi="Arial" w:cs="Arial"/>
                <w:color w:val="000000"/>
                <w:sz w:val="18"/>
                <w:szCs w:val="18"/>
                <w:lang w:val="es-ES" w:eastAsia="es-CL"/>
              </w:rPr>
            </w:pPr>
            <w:r w:rsidRPr="00F403C6">
              <w:rPr>
                <w:rFonts w:ascii="Arial" w:hAnsi="Arial" w:cs="Arial"/>
                <w:color w:val="000000"/>
                <w:sz w:val="18"/>
                <w:szCs w:val="18"/>
                <w:lang w:val="es-ES" w:eastAsia="es-CL"/>
              </w:rPr>
              <w:t>Este reglamento regula el régimen de prevención del Lavado de Activos para Compañías de Seguros, incluyendo Formularios de identificación de persona física y jurídica, así como de reporte de operaciones sospechosas</w:t>
            </w:r>
          </w:p>
        </w:tc>
        <w:tc>
          <w:tcPr>
            <w:tcW w:w="455" w:type="pct"/>
            <w:tcBorders>
              <w:top w:val="single" w:sz="4" w:space="0" w:color="auto"/>
              <w:left w:val="nil"/>
              <w:bottom w:val="single" w:sz="4" w:space="0" w:color="auto"/>
              <w:right w:val="single" w:sz="4" w:space="0" w:color="auto"/>
            </w:tcBorders>
            <w:shd w:val="clear" w:color="auto" w:fill="FFFFFF" w:themeFill="background1"/>
            <w:noWrap/>
          </w:tcPr>
          <w:p w14:paraId="23BA3888" w14:textId="4A96ECDA" w:rsidR="00F403C6" w:rsidRPr="00F403C6" w:rsidRDefault="00F403C6" w:rsidP="009F151E">
            <w:pPr>
              <w:jc w:val="center"/>
              <w:rPr>
                <w:rFonts w:ascii="Arial" w:hAnsi="Arial" w:cs="Arial"/>
                <w:color w:val="000000"/>
                <w:sz w:val="18"/>
                <w:szCs w:val="18"/>
                <w:lang w:val="es-ES" w:eastAsia="es-CL"/>
              </w:rPr>
            </w:pPr>
            <w:r w:rsidRPr="00F403C6">
              <w:rPr>
                <w:rFonts w:ascii="Arial" w:hAnsi="Arial" w:cs="Arial"/>
                <w:color w:val="000000"/>
                <w:sz w:val="18"/>
                <w:szCs w:val="18"/>
                <w:lang w:val="es-ES" w:eastAsia="es-CL"/>
              </w:rPr>
              <w:t>2009</w:t>
            </w:r>
          </w:p>
        </w:tc>
      </w:tr>
    </w:tbl>
    <w:p w14:paraId="1EA1A2CC" w14:textId="77777777" w:rsidR="00AD79AE" w:rsidRPr="00E112EA" w:rsidRDefault="00AD79AE" w:rsidP="00BF4C3A">
      <w:pPr>
        <w:spacing w:before="120"/>
        <w:rPr>
          <w:rFonts w:ascii="Arial" w:hAnsi="Arial" w:cs="Arial"/>
          <w:lang w:val="es-ES"/>
        </w:rPr>
      </w:pPr>
    </w:p>
    <w:sectPr w:rsidR="00AD79AE" w:rsidRPr="00E112EA" w:rsidSect="00544ACD">
      <w:headerReference w:type="even" r:id="rId43"/>
      <w:headerReference w:type="default" r:id="rId44"/>
      <w:footerReference w:type="even" r:id="rId45"/>
      <w:footerReference w:type="default" r:id="rId46"/>
      <w:headerReference w:type="first" r:id="rId47"/>
      <w:footerReference w:type="first" r:id="rId48"/>
      <w:pgSz w:w="15840" w:h="12240" w:orient="landscape"/>
      <w:pgMar w:top="1440" w:right="153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DD1C4" w14:textId="77777777" w:rsidR="00DE6091" w:rsidRDefault="00DE6091" w:rsidP="00220407">
      <w:r>
        <w:separator/>
      </w:r>
    </w:p>
  </w:endnote>
  <w:endnote w:type="continuationSeparator" w:id="0">
    <w:p w14:paraId="2FC85A80" w14:textId="77777777" w:rsidR="00DE6091" w:rsidRDefault="00DE6091" w:rsidP="00220407">
      <w:r>
        <w:continuationSeparator/>
      </w:r>
    </w:p>
  </w:endnote>
  <w:endnote w:type="continuationNotice" w:id="1">
    <w:p w14:paraId="4B90AE92" w14:textId="77777777" w:rsidR="00DE6091" w:rsidRDefault="00DE60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Frutiger 57Cn">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2628" w14:textId="77777777" w:rsidR="00511F8D" w:rsidRDefault="00511F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386CF" w14:textId="77777777" w:rsidR="00046B2D" w:rsidRDefault="00046B2D">
    <w:pPr>
      <w:pStyle w:val="Footer"/>
      <w:jc w:val="center"/>
    </w:pPr>
  </w:p>
  <w:p w14:paraId="2D175E82" w14:textId="77777777" w:rsidR="00046B2D" w:rsidRDefault="00046B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AA71E3" w14:textId="77777777" w:rsidR="00511F8D" w:rsidRDefault="00511F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46FC6" w14:textId="77777777" w:rsidR="00DE6091" w:rsidRDefault="00DE6091" w:rsidP="00220407">
      <w:r>
        <w:separator/>
      </w:r>
    </w:p>
  </w:footnote>
  <w:footnote w:type="continuationSeparator" w:id="0">
    <w:p w14:paraId="2733CC58" w14:textId="77777777" w:rsidR="00DE6091" w:rsidRDefault="00DE6091" w:rsidP="00220407">
      <w:r>
        <w:continuationSeparator/>
      </w:r>
    </w:p>
  </w:footnote>
  <w:footnote w:type="continuationNotice" w:id="1">
    <w:p w14:paraId="05E01A2F" w14:textId="77777777" w:rsidR="00DE6091" w:rsidRDefault="00DE60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B71373" w14:textId="77777777" w:rsidR="00511F8D" w:rsidRDefault="00511F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rPr>
      <w:id w:val="-1573960521"/>
      <w:docPartObj>
        <w:docPartGallery w:val="Page Numbers (Top of Page)"/>
        <w:docPartUnique/>
      </w:docPartObj>
    </w:sdtPr>
    <w:sdtEndPr>
      <w:rPr>
        <w:sz w:val="22"/>
        <w:szCs w:val="22"/>
        <w:highlight w:val="yellow"/>
      </w:rPr>
    </w:sdtEndPr>
    <w:sdtContent>
      <w:p w14:paraId="71C8342F" w14:textId="63A65AE4" w:rsidR="00544ACD" w:rsidRPr="007C135F" w:rsidRDefault="00447E8B" w:rsidP="00544ACD">
        <w:pPr>
          <w:pStyle w:val="Header"/>
          <w:jc w:val="right"/>
          <w:rPr>
            <w:rFonts w:ascii="Arial" w:hAnsi="Arial" w:cs="Arial"/>
            <w:lang w:val="pt-BR"/>
          </w:rPr>
        </w:pPr>
        <w:r w:rsidRPr="00447E8B">
          <w:rPr>
            <w:rFonts w:ascii="Arial" w:hAnsi="Arial" w:cs="Arial"/>
            <w:lang w:val="pt-BR"/>
          </w:rPr>
          <w:t xml:space="preserve">Enlace electrónico </w:t>
        </w:r>
        <w:r w:rsidR="00544ACD" w:rsidRPr="007C135F">
          <w:rPr>
            <w:rFonts w:ascii="Arial" w:hAnsi="Arial" w:cs="Arial"/>
            <w:lang w:val="pt-BR"/>
          </w:rPr>
          <w:t>– PR-L1161</w:t>
        </w:r>
      </w:p>
      <w:p w14:paraId="2886E670" w14:textId="77777777" w:rsidR="00544ACD" w:rsidRPr="007C135F" w:rsidRDefault="00544ACD" w:rsidP="00544ACD">
        <w:pPr>
          <w:pStyle w:val="Header"/>
          <w:jc w:val="right"/>
          <w:rPr>
            <w:rFonts w:ascii="Arial" w:hAnsi="Arial" w:cs="Arial"/>
            <w:lang w:val="pt-BR"/>
          </w:rPr>
        </w:pPr>
        <w:r w:rsidRPr="007C135F">
          <w:rPr>
            <w:rFonts w:ascii="Arial" w:hAnsi="Arial" w:cs="Arial"/>
            <w:lang w:val="pt-BR"/>
          </w:rPr>
          <w:t xml:space="preserve">Página </w:t>
        </w:r>
        <w:r w:rsidRPr="007C135F">
          <w:rPr>
            <w:rFonts w:ascii="Arial" w:hAnsi="Arial" w:cs="Arial"/>
          </w:rPr>
          <w:fldChar w:fldCharType="begin"/>
        </w:r>
        <w:r w:rsidRPr="007C135F">
          <w:rPr>
            <w:rFonts w:ascii="Arial" w:hAnsi="Arial" w:cs="Arial"/>
            <w:lang w:val="pt-BR"/>
          </w:rPr>
          <w:instrText xml:space="preserve"> PAGE </w:instrText>
        </w:r>
        <w:r w:rsidRPr="007C135F">
          <w:rPr>
            <w:rFonts w:ascii="Arial" w:hAnsi="Arial" w:cs="Arial"/>
          </w:rPr>
          <w:fldChar w:fldCharType="separate"/>
        </w:r>
        <w:r w:rsidRPr="00544ACD">
          <w:rPr>
            <w:rFonts w:ascii="Arial" w:hAnsi="Arial" w:cs="Arial"/>
            <w:lang w:val="pt-BR"/>
          </w:rPr>
          <w:t>1</w:t>
        </w:r>
        <w:r w:rsidRPr="007C135F">
          <w:rPr>
            <w:rFonts w:ascii="Arial" w:hAnsi="Arial" w:cs="Arial"/>
          </w:rPr>
          <w:fldChar w:fldCharType="end"/>
        </w:r>
        <w:r w:rsidRPr="007C135F">
          <w:rPr>
            <w:rFonts w:ascii="Arial" w:hAnsi="Arial" w:cs="Arial"/>
            <w:lang w:val="pt-BR"/>
          </w:rPr>
          <w:t xml:space="preserve"> de </w:t>
        </w:r>
        <w:r w:rsidRPr="007C135F">
          <w:rPr>
            <w:rFonts w:ascii="Arial" w:hAnsi="Arial" w:cs="Arial"/>
          </w:rPr>
          <w:fldChar w:fldCharType="begin"/>
        </w:r>
        <w:r w:rsidRPr="007C135F">
          <w:rPr>
            <w:rFonts w:ascii="Arial" w:hAnsi="Arial" w:cs="Arial"/>
            <w:lang w:val="pt-BR"/>
          </w:rPr>
          <w:instrText xml:space="preserve"> NUMPAGES  </w:instrText>
        </w:r>
        <w:r w:rsidRPr="007C135F">
          <w:rPr>
            <w:rFonts w:ascii="Arial" w:hAnsi="Arial" w:cs="Arial"/>
          </w:rPr>
          <w:fldChar w:fldCharType="separate"/>
        </w:r>
        <w:r w:rsidRPr="00544ACD">
          <w:rPr>
            <w:rFonts w:ascii="Arial" w:hAnsi="Arial" w:cs="Arial"/>
            <w:lang w:val="pt-BR"/>
          </w:rPr>
          <w:t>1</w:t>
        </w:r>
        <w:r w:rsidRPr="007C135F">
          <w:rPr>
            <w:rFonts w:ascii="Arial" w:hAnsi="Arial" w:cs="Arial"/>
          </w:rPr>
          <w:fldChar w:fldCharType="end"/>
        </w:r>
      </w:p>
      <w:p w14:paraId="6D3AA10B" w14:textId="450BD3C6" w:rsidR="00046B2D" w:rsidRPr="0025492E" w:rsidRDefault="00511F8D" w:rsidP="00AC1F5E">
        <w:pPr>
          <w:pStyle w:val="Header"/>
          <w:jc w:val="right"/>
          <w:rPr>
            <w:rFonts w:ascii="Arial" w:hAnsi="Arial" w:cs="Arial"/>
            <w:sz w:val="22"/>
            <w:szCs w:val="22"/>
            <w:lang w:val="pt-BR"/>
          </w:rPr>
        </w:pPr>
      </w:p>
    </w:sdtContent>
  </w:sdt>
  <w:p w14:paraId="7D4103CD" w14:textId="77777777" w:rsidR="00046B2D" w:rsidRPr="001E0AE7" w:rsidRDefault="00046B2D" w:rsidP="00220407">
    <w:pPr>
      <w:pStyle w:val="Header"/>
      <w:jc w:val="right"/>
      <w:rPr>
        <w:lang w:val="pt-B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49E92" w14:textId="77777777" w:rsidR="00511F8D" w:rsidRDefault="00511F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851D1"/>
    <w:multiLevelType w:val="hybridMultilevel"/>
    <w:tmpl w:val="76E23E3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063258CD"/>
    <w:multiLevelType w:val="hybridMultilevel"/>
    <w:tmpl w:val="AC80582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15:restartNumberingAfterBreak="0">
    <w:nsid w:val="1D0B561B"/>
    <w:multiLevelType w:val="hybridMultilevel"/>
    <w:tmpl w:val="36585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2A6E03"/>
    <w:multiLevelType w:val="hybridMultilevel"/>
    <w:tmpl w:val="4D541B60"/>
    <w:lvl w:ilvl="0" w:tplc="C5A015D8">
      <w:numFmt w:val="bullet"/>
      <w:lvlText w:val="-"/>
      <w:lvlJc w:val="left"/>
      <w:pPr>
        <w:ind w:left="720" w:hanging="360"/>
      </w:pPr>
      <w:rPr>
        <w:rFonts w:ascii="Palatino Linotype" w:eastAsia="Times New Roman" w:hAnsi="Palatino Linotyp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3E2F32"/>
    <w:multiLevelType w:val="hybridMultilevel"/>
    <w:tmpl w:val="EEBEB196"/>
    <w:lvl w:ilvl="0" w:tplc="EA88FB3A">
      <w:start w:val="1"/>
      <w:numFmt w:val="decimal"/>
      <w:lvlText w:val="%1."/>
      <w:lvlJc w:val="left"/>
      <w:pPr>
        <w:ind w:left="85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4878B9"/>
    <w:multiLevelType w:val="hybridMultilevel"/>
    <w:tmpl w:val="405208AA"/>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start w:val="1"/>
      <w:numFmt w:val="bullet"/>
      <w:lvlText w:val=""/>
      <w:lvlJc w:val="left"/>
      <w:pPr>
        <w:ind w:left="2160" w:hanging="360"/>
      </w:pPr>
      <w:rPr>
        <w:rFonts w:ascii="Wingdings" w:hAnsi="Wingdings" w:hint="default"/>
      </w:rPr>
    </w:lvl>
    <w:lvl w:ilvl="3" w:tplc="340A0001">
      <w:start w:val="1"/>
      <w:numFmt w:val="bullet"/>
      <w:lvlText w:val=""/>
      <w:lvlJc w:val="left"/>
      <w:pPr>
        <w:ind w:left="2880" w:hanging="360"/>
      </w:pPr>
      <w:rPr>
        <w:rFonts w:ascii="Symbol" w:hAnsi="Symbol" w:hint="default"/>
      </w:rPr>
    </w:lvl>
    <w:lvl w:ilvl="4" w:tplc="340A0003">
      <w:start w:val="1"/>
      <w:numFmt w:val="bullet"/>
      <w:lvlText w:val="o"/>
      <w:lvlJc w:val="left"/>
      <w:pPr>
        <w:ind w:left="3600" w:hanging="360"/>
      </w:pPr>
      <w:rPr>
        <w:rFonts w:ascii="Courier New" w:hAnsi="Courier New" w:cs="Courier New" w:hint="default"/>
      </w:rPr>
    </w:lvl>
    <w:lvl w:ilvl="5" w:tplc="340A0005">
      <w:start w:val="1"/>
      <w:numFmt w:val="bullet"/>
      <w:lvlText w:val=""/>
      <w:lvlJc w:val="left"/>
      <w:pPr>
        <w:ind w:left="4320" w:hanging="360"/>
      </w:pPr>
      <w:rPr>
        <w:rFonts w:ascii="Wingdings" w:hAnsi="Wingdings" w:hint="default"/>
      </w:rPr>
    </w:lvl>
    <w:lvl w:ilvl="6" w:tplc="340A0001">
      <w:start w:val="1"/>
      <w:numFmt w:val="bullet"/>
      <w:lvlText w:val=""/>
      <w:lvlJc w:val="left"/>
      <w:pPr>
        <w:ind w:left="5040" w:hanging="360"/>
      </w:pPr>
      <w:rPr>
        <w:rFonts w:ascii="Symbol" w:hAnsi="Symbol" w:hint="default"/>
      </w:rPr>
    </w:lvl>
    <w:lvl w:ilvl="7" w:tplc="340A0003">
      <w:start w:val="1"/>
      <w:numFmt w:val="bullet"/>
      <w:lvlText w:val="o"/>
      <w:lvlJc w:val="left"/>
      <w:pPr>
        <w:ind w:left="5760" w:hanging="360"/>
      </w:pPr>
      <w:rPr>
        <w:rFonts w:ascii="Courier New" w:hAnsi="Courier New" w:cs="Courier New" w:hint="default"/>
      </w:rPr>
    </w:lvl>
    <w:lvl w:ilvl="8" w:tplc="340A0005">
      <w:start w:val="1"/>
      <w:numFmt w:val="bullet"/>
      <w:lvlText w:val=""/>
      <w:lvlJc w:val="left"/>
      <w:pPr>
        <w:ind w:left="6480" w:hanging="360"/>
      </w:pPr>
      <w:rPr>
        <w:rFonts w:ascii="Wingdings" w:hAnsi="Wingdings" w:hint="default"/>
      </w:rPr>
    </w:lvl>
  </w:abstractNum>
  <w:abstractNum w:abstractNumId="6" w15:restartNumberingAfterBreak="0">
    <w:nsid w:val="61067A51"/>
    <w:multiLevelType w:val="hybridMultilevel"/>
    <w:tmpl w:val="AA88A206"/>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num w:numId="1">
    <w:abstractNumId w:val="3"/>
  </w:num>
  <w:num w:numId="2">
    <w:abstractNumId w:val="6"/>
  </w:num>
  <w:num w:numId="3">
    <w:abstractNumId w:val="0"/>
  </w:num>
  <w:num w:numId="4">
    <w:abstractNumId w:val="2"/>
  </w:num>
  <w:num w:numId="5">
    <w:abstractNumId w:val="4"/>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drawingGridHorizontalSpacing w:val="100"/>
  <w:displayHorizontalDrawingGridEvery w:val="2"/>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06C"/>
    <w:rsid w:val="000022B0"/>
    <w:rsid w:val="00007899"/>
    <w:rsid w:val="0001262D"/>
    <w:rsid w:val="000205A2"/>
    <w:rsid w:val="000344C9"/>
    <w:rsid w:val="0004407A"/>
    <w:rsid w:val="0004523F"/>
    <w:rsid w:val="00046B2D"/>
    <w:rsid w:val="0007129D"/>
    <w:rsid w:val="00071B0B"/>
    <w:rsid w:val="000A7D9A"/>
    <w:rsid w:val="000B598D"/>
    <w:rsid w:val="000B6C11"/>
    <w:rsid w:val="000C7590"/>
    <w:rsid w:val="000D04F2"/>
    <w:rsid w:val="000D199C"/>
    <w:rsid w:val="000D67A6"/>
    <w:rsid w:val="000D770B"/>
    <w:rsid w:val="000D7904"/>
    <w:rsid w:val="000E0010"/>
    <w:rsid w:val="000E107B"/>
    <w:rsid w:val="000E2299"/>
    <w:rsid w:val="000E4428"/>
    <w:rsid w:val="001009B8"/>
    <w:rsid w:val="001028AC"/>
    <w:rsid w:val="0010635D"/>
    <w:rsid w:val="00112D5D"/>
    <w:rsid w:val="001248E3"/>
    <w:rsid w:val="00136D55"/>
    <w:rsid w:val="00144C50"/>
    <w:rsid w:val="00152947"/>
    <w:rsid w:val="00157D1C"/>
    <w:rsid w:val="00161998"/>
    <w:rsid w:val="00165CE3"/>
    <w:rsid w:val="00194607"/>
    <w:rsid w:val="001A05A5"/>
    <w:rsid w:val="001B3CF4"/>
    <w:rsid w:val="001B710E"/>
    <w:rsid w:val="001B759F"/>
    <w:rsid w:val="001C6BF1"/>
    <w:rsid w:val="001D02B5"/>
    <w:rsid w:val="001D3E5A"/>
    <w:rsid w:val="001D699C"/>
    <w:rsid w:val="001E0AE7"/>
    <w:rsid w:val="001E7475"/>
    <w:rsid w:val="001F6B9A"/>
    <w:rsid w:val="00201EC5"/>
    <w:rsid w:val="00202917"/>
    <w:rsid w:val="002029EC"/>
    <w:rsid w:val="0020548F"/>
    <w:rsid w:val="00215F6C"/>
    <w:rsid w:val="00216446"/>
    <w:rsid w:val="00220407"/>
    <w:rsid w:val="00226A67"/>
    <w:rsid w:val="00233989"/>
    <w:rsid w:val="00236329"/>
    <w:rsid w:val="0023744C"/>
    <w:rsid w:val="00252025"/>
    <w:rsid w:val="0025492E"/>
    <w:rsid w:val="002627D1"/>
    <w:rsid w:val="00262B8A"/>
    <w:rsid w:val="00270CFA"/>
    <w:rsid w:val="002723C5"/>
    <w:rsid w:val="00276E26"/>
    <w:rsid w:val="002920AD"/>
    <w:rsid w:val="002935C9"/>
    <w:rsid w:val="00295104"/>
    <w:rsid w:val="002968E1"/>
    <w:rsid w:val="002A22B3"/>
    <w:rsid w:val="002A2B03"/>
    <w:rsid w:val="002B1CBB"/>
    <w:rsid w:val="002B656E"/>
    <w:rsid w:val="002C08AB"/>
    <w:rsid w:val="002C5917"/>
    <w:rsid w:val="002D4F1A"/>
    <w:rsid w:val="002D572C"/>
    <w:rsid w:val="00301E87"/>
    <w:rsid w:val="00316FDE"/>
    <w:rsid w:val="00324FD2"/>
    <w:rsid w:val="00325CA8"/>
    <w:rsid w:val="00331F5A"/>
    <w:rsid w:val="003355ED"/>
    <w:rsid w:val="003427B9"/>
    <w:rsid w:val="0035140C"/>
    <w:rsid w:val="003628B1"/>
    <w:rsid w:val="003744A9"/>
    <w:rsid w:val="003750D3"/>
    <w:rsid w:val="003752AB"/>
    <w:rsid w:val="003775F8"/>
    <w:rsid w:val="00383AE0"/>
    <w:rsid w:val="003879F3"/>
    <w:rsid w:val="003A1883"/>
    <w:rsid w:val="003A2B03"/>
    <w:rsid w:val="003B4EFA"/>
    <w:rsid w:val="003C06F9"/>
    <w:rsid w:val="003C306C"/>
    <w:rsid w:val="003D50BD"/>
    <w:rsid w:val="003D5932"/>
    <w:rsid w:val="003D62A7"/>
    <w:rsid w:val="003E2B5B"/>
    <w:rsid w:val="003E45D6"/>
    <w:rsid w:val="003F1BED"/>
    <w:rsid w:val="00402F02"/>
    <w:rsid w:val="004042D2"/>
    <w:rsid w:val="0040536C"/>
    <w:rsid w:val="0040630D"/>
    <w:rsid w:val="0041669C"/>
    <w:rsid w:val="00417AC0"/>
    <w:rsid w:val="00420415"/>
    <w:rsid w:val="00421648"/>
    <w:rsid w:val="00433BE7"/>
    <w:rsid w:val="0043513A"/>
    <w:rsid w:val="0043634E"/>
    <w:rsid w:val="00447E8B"/>
    <w:rsid w:val="00450A94"/>
    <w:rsid w:val="00452340"/>
    <w:rsid w:val="00452CD6"/>
    <w:rsid w:val="004615E4"/>
    <w:rsid w:val="00465344"/>
    <w:rsid w:val="00477B92"/>
    <w:rsid w:val="0048506F"/>
    <w:rsid w:val="004B336E"/>
    <w:rsid w:val="004B7137"/>
    <w:rsid w:val="004C3550"/>
    <w:rsid w:val="004C6A97"/>
    <w:rsid w:val="004D7FA8"/>
    <w:rsid w:val="00503376"/>
    <w:rsid w:val="00510CEE"/>
    <w:rsid w:val="00511F8D"/>
    <w:rsid w:val="005150CE"/>
    <w:rsid w:val="00516507"/>
    <w:rsid w:val="00522632"/>
    <w:rsid w:val="00524E26"/>
    <w:rsid w:val="0052735E"/>
    <w:rsid w:val="0053154C"/>
    <w:rsid w:val="00535CAB"/>
    <w:rsid w:val="00540C72"/>
    <w:rsid w:val="00542275"/>
    <w:rsid w:val="00544ACD"/>
    <w:rsid w:val="005543F8"/>
    <w:rsid w:val="00554616"/>
    <w:rsid w:val="00563692"/>
    <w:rsid w:val="00565DF8"/>
    <w:rsid w:val="005672C8"/>
    <w:rsid w:val="00576690"/>
    <w:rsid w:val="005A6AFD"/>
    <w:rsid w:val="005B2DF8"/>
    <w:rsid w:val="005C2438"/>
    <w:rsid w:val="005C5006"/>
    <w:rsid w:val="005C5EEA"/>
    <w:rsid w:val="005C6E43"/>
    <w:rsid w:val="005D27D1"/>
    <w:rsid w:val="005E11C6"/>
    <w:rsid w:val="005E487E"/>
    <w:rsid w:val="005E6196"/>
    <w:rsid w:val="00611D6C"/>
    <w:rsid w:val="006273F9"/>
    <w:rsid w:val="00630200"/>
    <w:rsid w:val="00656309"/>
    <w:rsid w:val="006619A4"/>
    <w:rsid w:val="0066449D"/>
    <w:rsid w:val="00670EFB"/>
    <w:rsid w:val="00676C82"/>
    <w:rsid w:val="006841A7"/>
    <w:rsid w:val="006A413A"/>
    <w:rsid w:val="006A46B1"/>
    <w:rsid w:val="006A4E26"/>
    <w:rsid w:val="006A6966"/>
    <w:rsid w:val="006C0888"/>
    <w:rsid w:val="006C2841"/>
    <w:rsid w:val="006D17A2"/>
    <w:rsid w:val="006D26A5"/>
    <w:rsid w:val="006E0673"/>
    <w:rsid w:val="006E252C"/>
    <w:rsid w:val="006F26AA"/>
    <w:rsid w:val="006F33D0"/>
    <w:rsid w:val="006F5DAE"/>
    <w:rsid w:val="006F6CDA"/>
    <w:rsid w:val="00704481"/>
    <w:rsid w:val="0072271C"/>
    <w:rsid w:val="00731B2D"/>
    <w:rsid w:val="00735FCC"/>
    <w:rsid w:val="00736C9D"/>
    <w:rsid w:val="00745763"/>
    <w:rsid w:val="00745788"/>
    <w:rsid w:val="00756152"/>
    <w:rsid w:val="00777935"/>
    <w:rsid w:val="007874D5"/>
    <w:rsid w:val="007B2CB9"/>
    <w:rsid w:val="007D0E1D"/>
    <w:rsid w:val="007D475E"/>
    <w:rsid w:val="007D7A67"/>
    <w:rsid w:val="007E1288"/>
    <w:rsid w:val="007E2699"/>
    <w:rsid w:val="007F15B9"/>
    <w:rsid w:val="007F4E42"/>
    <w:rsid w:val="007F7842"/>
    <w:rsid w:val="008166EA"/>
    <w:rsid w:val="008170C9"/>
    <w:rsid w:val="0083366D"/>
    <w:rsid w:val="00835888"/>
    <w:rsid w:val="0085505A"/>
    <w:rsid w:val="0087416F"/>
    <w:rsid w:val="0088108B"/>
    <w:rsid w:val="00883FF9"/>
    <w:rsid w:val="00886F29"/>
    <w:rsid w:val="00896173"/>
    <w:rsid w:val="008B4B9A"/>
    <w:rsid w:val="008C0E78"/>
    <w:rsid w:val="008D5A40"/>
    <w:rsid w:val="008D7993"/>
    <w:rsid w:val="008E5178"/>
    <w:rsid w:val="00900771"/>
    <w:rsid w:val="00917D45"/>
    <w:rsid w:val="00921C07"/>
    <w:rsid w:val="009270BD"/>
    <w:rsid w:val="00932BAB"/>
    <w:rsid w:val="00933FFD"/>
    <w:rsid w:val="009356B4"/>
    <w:rsid w:val="0096045A"/>
    <w:rsid w:val="00965750"/>
    <w:rsid w:val="00976D7B"/>
    <w:rsid w:val="00977B4E"/>
    <w:rsid w:val="00986653"/>
    <w:rsid w:val="00987C05"/>
    <w:rsid w:val="009A300B"/>
    <w:rsid w:val="009C2461"/>
    <w:rsid w:val="009C2706"/>
    <w:rsid w:val="009C694C"/>
    <w:rsid w:val="009D6CD8"/>
    <w:rsid w:val="009E2D34"/>
    <w:rsid w:val="009E4E5B"/>
    <w:rsid w:val="009E6CE3"/>
    <w:rsid w:val="009E7245"/>
    <w:rsid w:val="009F151E"/>
    <w:rsid w:val="009F54E7"/>
    <w:rsid w:val="00A04816"/>
    <w:rsid w:val="00A178D6"/>
    <w:rsid w:val="00A22B97"/>
    <w:rsid w:val="00A3390F"/>
    <w:rsid w:val="00A42118"/>
    <w:rsid w:val="00A44E60"/>
    <w:rsid w:val="00A45EF9"/>
    <w:rsid w:val="00A645D1"/>
    <w:rsid w:val="00A744E6"/>
    <w:rsid w:val="00A82356"/>
    <w:rsid w:val="00A928BB"/>
    <w:rsid w:val="00A94226"/>
    <w:rsid w:val="00AB3348"/>
    <w:rsid w:val="00AC1F5E"/>
    <w:rsid w:val="00AC4C97"/>
    <w:rsid w:val="00AC7AA9"/>
    <w:rsid w:val="00AD79AE"/>
    <w:rsid w:val="00AE0ABD"/>
    <w:rsid w:val="00AE6E31"/>
    <w:rsid w:val="00AF4786"/>
    <w:rsid w:val="00B32641"/>
    <w:rsid w:val="00B4080C"/>
    <w:rsid w:val="00B519F0"/>
    <w:rsid w:val="00B53BB6"/>
    <w:rsid w:val="00B547BE"/>
    <w:rsid w:val="00B7183C"/>
    <w:rsid w:val="00B73798"/>
    <w:rsid w:val="00B85251"/>
    <w:rsid w:val="00B96567"/>
    <w:rsid w:val="00BC3E2F"/>
    <w:rsid w:val="00BD381C"/>
    <w:rsid w:val="00BD6BD5"/>
    <w:rsid w:val="00BE5ADC"/>
    <w:rsid w:val="00BE6C64"/>
    <w:rsid w:val="00BE753A"/>
    <w:rsid w:val="00BF4C3A"/>
    <w:rsid w:val="00BF66EE"/>
    <w:rsid w:val="00C05976"/>
    <w:rsid w:val="00C34647"/>
    <w:rsid w:val="00C51F58"/>
    <w:rsid w:val="00C60D12"/>
    <w:rsid w:val="00C673C9"/>
    <w:rsid w:val="00C746D9"/>
    <w:rsid w:val="00C74C01"/>
    <w:rsid w:val="00C80474"/>
    <w:rsid w:val="00C807EF"/>
    <w:rsid w:val="00C93D6D"/>
    <w:rsid w:val="00C95022"/>
    <w:rsid w:val="00CA32CF"/>
    <w:rsid w:val="00CB0160"/>
    <w:rsid w:val="00CB7AEB"/>
    <w:rsid w:val="00CC2690"/>
    <w:rsid w:val="00CC3743"/>
    <w:rsid w:val="00CC3777"/>
    <w:rsid w:val="00CD097E"/>
    <w:rsid w:val="00CD3368"/>
    <w:rsid w:val="00CD55C6"/>
    <w:rsid w:val="00CF12AA"/>
    <w:rsid w:val="00D000FD"/>
    <w:rsid w:val="00D032D6"/>
    <w:rsid w:val="00D052CD"/>
    <w:rsid w:val="00D1070F"/>
    <w:rsid w:val="00D24790"/>
    <w:rsid w:val="00D369B1"/>
    <w:rsid w:val="00D45DAD"/>
    <w:rsid w:val="00D52055"/>
    <w:rsid w:val="00D523FC"/>
    <w:rsid w:val="00D67A73"/>
    <w:rsid w:val="00D7555B"/>
    <w:rsid w:val="00D770C3"/>
    <w:rsid w:val="00D961DD"/>
    <w:rsid w:val="00DA5A76"/>
    <w:rsid w:val="00DB01F7"/>
    <w:rsid w:val="00DB480C"/>
    <w:rsid w:val="00DC14B0"/>
    <w:rsid w:val="00DD7698"/>
    <w:rsid w:val="00DE3601"/>
    <w:rsid w:val="00DE6091"/>
    <w:rsid w:val="00DF20BC"/>
    <w:rsid w:val="00DF398B"/>
    <w:rsid w:val="00E02A58"/>
    <w:rsid w:val="00E0678B"/>
    <w:rsid w:val="00E1023C"/>
    <w:rsid w:val="00E112EA"/>
    <w:rsid w:val="00E14035"/>
    <w:rsid w:val="00E150A3"/>
    <w:rsid w:val="00E1615A"/>
    <w:rsid w:val="00E27498"/>
    <w:rsid w:val="00E35C2C"/>
    <w:rsid w:val="00E36893"/>
    <w:rsid w:val="00E45E88"/>
    <w:rsid w:val="00E52B65"/>
    <w:rsid w:val="00E726F0"/>
    <w:rsid w:val="00E7480B"/>
    <w:rsid w:val="00E81091"/>
    <w:rsid w:val="00E81672"/>
    <w:rsid w:val="00E8658D"/>
    <w:rsid w:val="00E9495A"/>
    <w:rsid w:val="00E976F3"/>
    <w:rsid w:val="00EA5FF3"/>
    <w:rsid w:val="00EB263E"/>
    <w:rsid w:val="00EC5C91"/>
    <w:rsid w:val="00EC6D18"/>
    <w:rsid w:val="00EC7870"/>
    <w:rsid w:val="00ED2D04"/>
    <w:rsid w:val="00ED734B"/>
    <w:rsid w:val="00EF0C77"/>
    <w:rsid w:val="00F032CA"/>
    <w:rsid w:val="00F06944"/>
    <w:rsid w:val="00F10580"/>
    <w:rsid w:val="00F13DB8"/>
    <w:rsid w:val="00F151D5"/>
    <w:rsid w:val="00F23FA3"/>
    <w:rsid w:val="00F26654"/>
    <w:rsid w:val="00F3149C"/>
    <w:rsid w:val="00F403C6"/>
    <w:rsid w:val="00F40A99"/>
    <w:rsid w:val="00F417DF"/>
    <w:rsid w:val="00F464AE"/>
    <w:rsid w:val="00F46A9C"/>
    <w:rsid w:val="00F51F92"/>
    <w:rsid w:val="00F572A7"/>
    <w:rsid w:val="00F5761A"/>
    <w:rsid w:val="00F668C1"/>
    <w:rsid w:val="00F672A5"/>
    <w:rsid w:val="00F67B55"/>
    <w:rsid w:val="00F705A3"/>
    <w:rsid w:val="00F75A20"/>
    <w:rsid w:val="00F75E77"/>
    <w:rsid w:val="00F82C3B"/>
    <w:rsid w:val="00F951CB"/>
    <w:rsid w:val="00FA3B1D"/>
    <w:rsid w:val="00FC02CF"/>
    <w:rsid w:val="00FC3B4B"/>
    <w:rsid w:val="00FC46D1"/>
    <w:rsid w:val="00FD0BB4"/>
    <w:rsid w:val="00FE1464"/>
    <w:rsid w:val="00FE5714"/>
    <w:rsid w:val="00FE6B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6C6309B7"/>
  <w15:docId w15:val="{BE760061-6E10-4CDC-BBC5-D3FEE82CC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3B1D"/>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C306C"/>
    <w:pPr>
      <w:keepNext/>
      <w:spacing w:after="120"/>
      <w:outlineLvl w:val="0"/>
    </w:pPr>
    <w:rPr>
      <w:rFonts w:ascii="Palatino Linotype" w:hAnsi="Palatino Linotype"/>
      <w:sz w:val="24"/>
    </w:rPr>
  </w:style>
  <w:style w:type="paragraph" w:styleId="Heading2">
    <w:name w:val="heading 2"/>
    <w:basedOn w:val="Normal"/>
    <w:next w:val="Normal"/>
    <w:link w:val="Heading2Char"/>
    <w:qFormat/>
    <w:rsid w:val="003C306C"/>
    <w:pPr>
      <w:keepNext/>
      <w:spacing w:before="120" w:after="120"/>
      <w:jc w:val="center"/>
      <w:outlineLvl w:val="1"/>
    </w:pPr>
    <w:rPr>
      <w:rFonts w:ascii="Palatino Linotype" w:hAnsi="Palatino Linotype"/>
      <w:b/>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306C"/>
    <w:rPr>
      <w:rFonts w:ascii="Palatino Linotype" w:eastAsia="Times New Roman" w:hAnsi="Palatino Linotype" w:cs="Times New Roman"/>
      <w:sz w:val="24"/>
      <w:szCs w:val="20"/>
    </w:rPr>
  </w:style>
  <w:style w:type="character" w:customStyle="1" w:styleId="Heading2Char">
    <w:name w:val="Heading 2 Char"/>
    <w:basedOn w:val="DefaultParagraphFont"/>
    <w:link w:val="Heading2"/>
    <w:rsid w:val="003C306C"/>
    <w:rPr>
      <w:rFonts w:ascii="Palatino Linotype" w:eastAsia="Times New Roman" w:hAnsi="Palatino Linotype" w:cs="Times New Roman"/>
      <w:b/>
      <w:iCs/>
    </w:rPr>
  </w:style>
  <w:style w:type="paragraph" w:styleId="BodyText3">
    <w:name w:val="Body Text 3"/>
    <w:basedOn w:val="Normal"/>
    <w:link w:val="BodyText3Char"/>
    <w:semiHidden/>
    <w:rsid w:val="003C306C"/>
    <w:rPr>
      <w:rFonts w:ascii="Palatino Linotype" w:hAnsi="Palatino Linotype"/>
      <w:sz w:val="22"/>
    </w:rPr>
  </w:style>
  <w:style w:type="character" w:customStyle="1" w:styleId="BodyText3Char">
    <w:name w:val="Body Text 3 Char"/>
    <w:basedOn w:val="DefaultParagraphFont"/>
    <w:link w:val="BodyText3"/>
    <w:semiHidden/>
    <w:rsid w:val="003C306C"/>
    <w:rPr>
      <w:rFonts w:ascii="Palatino Linotype" w:eastAsia="Times New Roman" w:hAnsi="Palatino Linotype" w:cs="Times New Roman"/>
      <w:szCs w:val="20"/>
    </w:rPr>
  </w:style>
  <w:style w:type="paragraph" w:styleId="Header">
    <w:name w:val="header"/>
    <w:basedOn w:val="Normal"/>
    <w:link w:val="HeaderChar"/>
    <w:uiPriority w:val="99"/>
    <w:unhideWhenUsed/>
    <w:rsid w:val="00220407"/>
    <w:pPr>
      <w:tabs>
        <w:tab w:val="center" w:pos="4680"/>
        <w:tab w:val="right" w:pos="9360"/>
      </w:tabs>
    </w:pPr>
  </w:style>
  <w:style w:type="character" w:customStyle="1" w:styleId="HeaderChar">
    <w:name w:val="Header Char"/>
    <w:basedOn w:val="DefaultParagraphFont"/>
    <w:link w:val="Header"/>
    <w:uiPriority w:val="99"/>
    <w:rsid w:val="00220407"/>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20407"/>
    <w:pPr>
      <w:tabs>
        <w:tab w:val="center" w:pos="4680"/>
        <w:tab w:val="right" w:pos="9360"/>
      </w:tabs>
    </w:pPr>
  </w:style>
  <w:style w:type="character" w:customStyle="1" w:styleId="FooterChar">
    <w:name w:val="Footer Char"/>
    <w:basedOn w:val="DefaultParagraphFont"/>
    <w:link w:val="Footer"/>
    <w:uiPriority w:val="99"/>
    <w:rsid w:val="00220407"/>
    <w:rPr>
      <w:rFonts w:ascii="Times New Roman" w:eastAsia="Times New Roman" w:hAnsi="Times New Roman" w:cs="Times New Roman"/>
      <w:sz w:val="20"/>
      <w:szCs w:val="20"/>
    </w:rPr>
  </w:style>
  <w:style w:type="character" w:styleId="Hyperlink">
    <w:name w:val="Hyperlink"/>
    <w:basedOn w:val="DefaultParagraphFont"/>
    <w:rsid w:val="00883FF9"/>
    <w:rPr>
      <w:color w:val="0000FF"/>
      <w:u w:val="single"/>
    </w:rPr>
  </w:style>
  <w:style w:type="paragraph" w:styleId="ListParagraph">
    <w:name w:val="List Paragraph"/>
    <w:basedOn w:val="Normal"/>
    <w:uiPriority w:val="34"/>
    <w:qFormat/>
    <w:rsid w:val="00883FF9"/>
    <w:pPr>
      <w:ind w:left="720"/>
      <w:contextualSpacing/>
    </w:pPr>
  </w:style>
  <w:style w:type="character" w:styleId="FollowedHyperlink">
    <w:name w:val="FollowedHyperlink"/>
    <w:basedOn w:val="DefaultParagraphFont"/>
    <w:uiPriority w:val="99"/>
    <w:semiHidden/>
    <w:unhideWhenUsed/>
    <w:rsid w:val="00535CAB"/>
    <w:rPr>
      <w:color w:val="800080" w:themeColor="followedHyperlink"/>
      <w:u w:val="single"/>
    </w:rPr>
  </w:style>
  <w:style w:type="paragraph" w:customStyle="1" w:styleId="Paragraph">
    <w:name w:val="Paragraph"/>
    <w:basedOn w:val="BodyTextIndent"/>
    <w:link w:val="ParagraphChar"/>
    <w:rsid w:val="00965750"/>
    <w:pPr>
      <w:tabs>
        <w:tab w:val="num" w:pos="720"/>
      </w:tabs>
      <w:spacing w:before="120"/>
      <w:ind w:left="720" w:hanging="720"/>
      <w:jc w:val="both"/>
      <w:outlineLvl w:val="1"/>
    </w:pPr>
    <w:rPr>
      <w:sz w:val="24"/>
    </w:rPr>
  </w:style>
  <w:style w:type="character" w:customStyle="1" w:styleId="ParagraphChar">
    <w:name w:val="Paragraph Char"/>
    <w:basedOn w:val="BodyTextIndentChar"/>
    <w:link w:val="Paragraph"/>
    <w:rsid w:val="00965750"/>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965750"/>
    <w:pPr>
      <w:spacing w:after="120"/>
      <w:ind w:left="360"/>
    </w:pPr>
  </w:style>
  <w:style w:type="character" w:customStyle="1" w:styleId="BodyTextIndentChar">
    <w:name w:val="Body Text Indent Char"/>
    <w:basedOn w:val="DefaultParagraphFont"/>
    <w:link w:val="BodyTextIndent"/>
    <w:uiPriority w:val="99"/>
    <w:semiHidden/>
    <w:rsid w:val="00965750"/>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BD6BD5"/>
    <w:rPr>
      <w:rFonts w:ascii="Tahoma" w:hAnsi="Tahoma" w:cs="Tahoma"/>
      <w:sz w:val="16"/>
      <w:szCs w:val="16"/>
    </w:rPr>
  </w:style>
  <w:style w:type="character" w:customStyle="1" w:styleId="BalloonTextChar">
    <w:name w:val="Balloon Text Char"/>
    <w:basedOn w:val="DefaultParagraphFont"/>
    <w:link w:val="BalloonText"/>
    <w:uiPriority w:val="99"/>
    <w:semiHidden/>
    <w:rsid w:val="00BD6BD5"/>
    <w:rPr>
      <w:rFonts w:ascii="Tahoma" w:eastAsia="Times New Roman" w:hAnsi="Tahoma" w:cs="Tahoma"/>
      <w:sz w:val="16"/>
      <w:szCs w:val="16"/>
    </w:rPr>
  </w:style>
  <w:style w:type="paragraph" w:customStyle="1" w:styleId="Pa1">
    <w:name w:val="Pa1"/>
    <w:basedOn w:val="Normal"/>
    <w:next w:val="Normal"/>
    <w:uiPriority w:val="99"/>
    <w:rsid w:val="00576690"/>
    <w:pPr>
      <w:autoSpaceDE w:val="0"/>
      <w:autoSpaceDN w:val="0"/>
      <w:adjustRightInd w:val="0"/>
      <w:spacing w:line="241" w:lineRule="atLeast"/>
    </w:pPr>
    <w:rPr>
      <w:rFonts w:ascii="Frutiger 57Cn" w:eastAsiaTheme="minorHAnsi" w:hAnsi="Frutiger 57Cn" w:cstheme="minorBidi"/>
      <w:sz w:val="24"/>
      <w:szCs w:val="24"/>
      <w:lang w:val="es-CL"/>
    </w:rPr>
  </w:style>
  <w:style w:type="character" w:styleId="CommentReference">
    <w:name w:val="annotation reference"/>
    <w:basedOn w:val="DefaultParagraphFont"/>
    <w:uiPriority w:val="99"/>
    <w:semiHidden/>
    <w:unhideWhenUsed/>
    <w:rsid w:val="00F51F92"/>
    <w:rPr>
      <w:sz w:val="16"/>
      <w:szCs w:val="16"/>
    </w:rPr>
  </w:style>
  <w:style w:type="paragraph" w:styleId="CommentText">
    <w:name w:val="annotation text"/>
    <w:basedOn w:val="Normal"/>
    <w:link w:val="CommentTextChar"/>
    <w:uiPriority w:val="99"/>
    <w:semiHidden/>
    <w:unhideWhenUsed/>
    <w:rsid w:val="00F51F92"/>
  </w:style>
  <w:style w:type="character" w:customStyle="1" w:styleId="CommentTextChar">
    <w:name w:val="Comment Text Char"/>
    <w:basedOn w:val="DefaultParagraphFont"/>
    <w:link w:val="CommentText"/>
    <w:uiPriority w:val="99"/>
    <w:semiHidden/>
    <w:rsid w:val="00F51F9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51F92"/>
    <w:rPr>
      <w:b/>
      <w:bCs/>
    </w:rPr>
  </w:style>
  <w:style w:type="character" w:customStyle="1" w:styleId="CommentSubjectChar">
    <w:name w:val="Comment Subject Char"/>
    <w:basedOn w:val="CommentTextChar"/>
    <w:link w:val="CommentSubject"/>
    <w:uiPriority w:val="99"/>
    <w:semiHidden/>
    <w:rsid w:val="00F51F92"/>
    <w:rPr>
      <w:rFonts w:ascii="Times New Roman" w:eastAsia="Times New Roman" w:hAnsi="Times New Roman" w:cs="Times New Roman"/>
      <w:b/>
      <w:bCs/>
      <w:sz w:val="20"/>
      <w:szCs w:val="20"/>
    </w:rPr>
  </w:style>
  <w:style w:type="paragraph" w:styleId="FootnoteText">
    <w:name w:val="footnote text"/>
    <w:aliases w:val="fn,Texto de rodapé,nota_rodapé,nota de rodapé,ADB,foottextfra,footnote,F,Texto nota pie Car Car,FOOTNOTES,single space,footnote text,Footnote Text Char Char,texto de nota al pie,Nota a pie/Bibliog,foottextf,Geneva 9,Font: Geneva 9,Boston "/>
    <w:basedOn w:val="Normal"/>
    <w:link w:val="FootnoteTextChar"/>
    <w:uiPriority w:val="99"/>
    <w:unhideWhenUsed/>
    <w:qFormat/>
    <w:rsid w:val="006F26AA"/>
    <w:pPr>
      <w:keepNext/>
      <w:keepLines/>
      <w:spacing w:after="120"/>
      <w:ind w:left="288" w:hanging="288"/>
      <w:jc w:val="both"/>
    </w:pPr>
    <w:rPr>
      <w:spacing w:val="-3"/>
    </w:rPr>
  </w:style>
  <w:style w:type="character" w:customStyle="1" w:styleId="FootnoteTextChar">
    <w:name w:val="Footnote Text Char"/>
    <w:aliases w:val="fn Char,Texto de rodapé Char,nota_rodapé Char,nota de rodapé Char,ADB Char,foottextfra Char,footnote Char,F Char,Texto nota pie Car Car Char,FOOTNOTES Char,single space Char,footnote text Char,Footnote Text Char Char Char,Boston  Char"/>
    <w:basedOn w:val="DefaultParagraphFont"/>
    <w:link w:val="FootnoteText"/>
    <w:uiPriority w:val="99"/>
    <w:rsid w:val="006F26AA"/>
    <w:rPr>
      <w:rFonts w:ascii="Times New Roman" w:eastAsia="Times New Roman" w:hAnsi="Times New Roman" w:cs="Times New Roman"/>
      <w:spacing w:val="-3"/>
      <w:sz w:val="20"/>
      <w:szCs w:val="20"/>
    </w:rPr>
  </w:style>
  <w:style w:type="character" w:styleId="FootnoteReference">
    <w:name w:val="footnote reference"/>
    <w:basedOn w:val="DefaultParagraphFont"/>
    <w:uiPriority w:val="99"/>
    <w:semiHidden/>
    <w:unhideWhenUsed/>
    <w:rsid w:val="00F417DF"/>
    <w:rPr>
      <w:vertAlign w:val="superscript"/>
    </w:rPr>
  </w:style>
  <w:style w:type="character" w:styleId="UnresolvedMention">
    <w:name w:val="Unresolved Mention"/>
    <w:basedOn w:val="DefaultParagraphFont"/>
    <w:uiPriority w:val="99"/>
    <w:semiHidden/>
    <w:unhideWhenUsed/>
    <w:rsid w:val="00F266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81731">
      <w:bodyDiv w:val="1"/>
      <w:marLeft w:val="0"/>
      <w:marRight w:val="0"/>
      <w:marTop w:val="0"/>
      <w:marBottom w:val="0"/>
      <w:divBdr>
        <w:top w:val="none" w:sz="0" w:space="0" w:color="auto"/>
        <w:left w:val="none" w:sz="0" w:space="0" w:color="auto"/>
        <w:bottom w:val="none" w:sz="0" w:space="0" w:color="auto"/>
        <w:right w:val="none" w:sz="0" w:space="0" w:color="auto"/>
      </w:divBdr>
    </w:div>
    <w:div w:id="665472590">
      <w:bodyDiv w:val="1"/>
      <w:marLeft w:val="0"/>
      <w:marRight w:val="0"/>
      <w:marTop w:val="0"/>
      <w:marBottom w:val="0"/>
      <w:divBdr>
        <w:top w:val="none" w:sz="0" w:space="0" w:color="auto"/>
        <w:left w:val="none" w:sz="0" w:space="0" w:color="auto"/>
        <w:bottom w:val="none" w:sz="0" w:space="0" w:color="auto"/>
        <w:right w:val="none" w:sz="0" w:space="0" w:color="auto"/>
      </w:divBdr>
    </w:div>
    <w:div w:id="199819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s://index.baselgovernance.org/" TargetMode="External"/><Relationship Id="rId26" Type="http://schemas.openxmlformats.org/officeDocument/2006/relationships/hyperlink" Target="https://publications.iadb.org/en/publication/digital-technologies-transparency-public-investment-new-tools-empower-citizens-and" TargetMode="External"/><Relationship Id="rId39" Type="http://schemas.openxmlformats.org/officeDocument/2006/relationships/hyperlink" Target="https://www.todoleyes.com/13a5bd1686e8d8f70a8890e664c9007a" TargetMode="External"/><Relationship Id="rId3" Type="http://schemas.openxmlformats.org/officeDocument/2006/relationships/customXml" Target="../customXml/item3.xml"/><Relationship Id="rId21" Type="http://schemas.openxmlformats.org/officeDocument/2006/relationships/hyperlink" Target="http://idbdocs.iadb.org/wsdocs/getDocument.aspx?DOCNUM=EZSHARE-1130845229-1" TargetMode="External"/><Relationship Id="rId34" Type="http://schemas.openxmlformats.org/officeDocument/2006/relationships/hyperlink" Target="https://www.oecd.org/cleangovbiz/49693613.pdf" TargetMode="External"/><Relationship Id="rId42" Type="http://schemas.openxmlformats.org/officeDocument/2006/relationships/hyperlink" Target="http://mail.seprelad.gov.py/biblioteca/4-resoluciones/52-resolucion-n-262009"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rti-rating.org/" TargetMode="External"/><Relationship Id="rId25" Type="http://schemas.openxmlformats.org/officeDocument/2006/relationships/hyperlink" Target="https://publications.iadb.org/es/paraguay-rutas-para-el-desarrollo" TargetMode="External"/><Relationship Id="rId33" Type="http://schemas.openxmlformats.org/officeDocument/2006/relationships/hyperlink" Target="https://www.imf.org/external/pubs/ft/scr/2016/cr16117.pdf" TargetMode="External"/><Relationship Id="rId38" Type="http://schemas.openxmlformats.org/officeDocument/2006/relationships/hyperlink" Target="http://www.seprelad.gov.py/descargar/ley_n_5895_2017.pdf" TargetMode="External"/><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opendatabarometer.org/?_year=2017&amp;indicator=ODB" TargetMode="External"/><Relationship Id="rId20" Type="http://schemas.openxmlformats.org/officeDocument/2006/relationships/hyperlink" Target="https://idbg.sharepoint.com/:w:/r/teams/EZ-PR-LON/PR-L1161/_layouts/15/Doc.aspx?sourcedoc=%7B0F896BDD-DB87-4575-927B-72A79414F7C8%7D&amp;file=InformeBrechasGAFIParaguay.doc&amp;action=default&amp;mobileredirect=true" TargetMode="External"/><Relationship Id="rId29" Type="http://schemas.openxmlformats.org/officeDocument/2006/relationships/hyperlink" Target="http://documents.worldbank.org/curated/en/827731530819395899/pdf/Paraguay-SCD-06292018.pdf" TargetMode="External"/><Relationship Id="rId41" Type="http://schemas.openxmlformats.org/officeDocument/2006/relationships/hyperlink" Target="http://mail.seprelad.gov.py/biblioteca/4-resoluciones/98-3702011-deroga-resolucion-y-aprueba-entidades-sujetas-a-supervision-incoop"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idbdocs.iadb.org/wsdocs/getDocument.aspx?DOCNUM=EZSHARE-1130845229-4" TargetMode="External"/><Relationship Id="rId32" Type="http://schemas.openxmlformats.org/officeDocument/2006/relationships/hyperlink" Target="http://ricg.org/download.php?len=es&amp;id=668&amp;nbre=Publicaci%F3n%20Diagn%F3stico%20Datos%20Abiertos%20en%20Compras%20P%FAblicas.pdf&amp;ti=application/pdf&amp;tc=Contenidos" TargetMode="External"/><Relationship Id="rId37" Type="http://schemas.openxmlformats.org/officeDocument/2006/relationships/hyperlink" Target="http://www.cep.org.py/images/documentos/DECRETO-9043.pdf" TargetMode="External"/><Relationship Id="rId40" Type="http://schemas.openxmlformats.org/officeDocument/2006/relationships/hyperlink" Target="http://www.hacienda.gov.py/normativa/Decreto%206.495-2016%20por%20el%20cual%20se%20complementa%20y%20ajusta%20el%20marco%20regulatorio%20del%20SNIP.pdf" TargetMode="External"/><Relationship Id="rId45"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info.worldbank.org/governance/wgi/" TargetMode="External"/><Relationship Id="rId23" Type="http://schemas.openxmlformats.org/officeDocument/2006/relationships/hyperlink" Target="http://idbdocs.iadb.org/wsdocs/getDocument.aspx?DOCNUM=EZSHARE-1130845229-3" TargetMode="External"/><Relationship Id="rId28" Type="http://schemas.openxmlformats.org/officeDocument/2006/relationships/hyperlink" Target="https://read.oecd-ilibrary.org/governance/estudios-de-la-ocde-sobre-gobernanza-publica-paraguay_9789264304017-es" TargetMode="External"/><Relationship Id="rId36" Type="http://schemas.openxmlformats.org/officeDocument/2006/relationships/hyperlink" Target="http://www.hacienda.gov.py/pgn-2019/archivos/LEY/LEY.pdf" TargetMode="External"/><Relationship Id="rId49"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www.internationalbudget.org/open-budget-survey/" TargetMode="External"/><Relationship Id="rId31" Type="http://schemas.openxmlformats.org/officeDocument/2006/relationships/hyperlink" Target="http://documents.worldbank.org/curated/en/934221490839269505/pdf/PLR-Paraguay-Feb-27-2017-Final-03062017.pdf" TargetMode="External"/><Relationship Id="rId44"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www.stp.gov.py/pnd/wp-content/uploads/2014/12/pnd2030.pdf" TargetMode="External"/><Relationship Id="rId22" Type="http://schemas.openxmlformats.org/officeDocument/2006/relationships/hyperlink" Target="http://idbdocs.iadb.org/wsdocs/getDocument.aspx?DOCNUM=EZSHARE-1130845229-2" TargetMode="External"/><Relationship Id="rId27" Type="http://schemas.openxmlformats.org/officeDocument/2006/relationships/hyperlink" Target="https://publications.iadb.org/es/un-nuevo-impulso-al-fortalecimiento-de-la-gobernanza-de-las-empresas-publicas-en-paraguay" TargetMode="External"/><Relationship Id="rId30" Type="http://schemas.openxmlformats.org/officeDocument/2006/relationships/hyperlink" Target="http://www.oas.org/es/sla/dlc/mesicic/paises-rondas.html?c=Paraguay&amp;r=6" TargetMode="External"/><Relationship Id="rId35" Type="http://schemas.openxmlformats.org/officeDocument/2006/relationships/hyperlink" Target="https://www.gafilat.org/index.php/es/biblioteca-virtual/miembros/paraguay/evaluaciones-mutuas-13/217-paraguay-3era-ronda-2008/file" TargetMode="External"/><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EAC144B5690EB408DB63879C0EA8156" ma:contentTypeVersion="224" ma:contentTypeDescription="A content type to manage public (operations) IDB documents" ma:contentTypeScope="" ma:versionID="813a03a3edb6dab7b6a6645342fc088d">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Paraguay</TermName>
          <TermId xmlns="http://schemas.microsoft.com/office/infopath/2007/PartnerControls">50282442-27e7-4526-9d04-55bf5da33a10</TermId>
        </TermInfo>
      </Terms>
    </ic46d7e087fd4a108fb86518ca413cc6>
    <IDBDocs_x0020_Number xmlns="cdc7663a-08f0-4737-9e8c-148ce897a09c" xsi:nil="true"/>
    <Division_x0020_or_x0020_Unit xmlns="cdc7663a-08f0-4737-9e8c-148ce897a09c">IFD/ICS</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Hoffman, Nathalie Alexandra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TRANSPARENCY AND ANTI-CORRUPTION</TermName>
          <TermId xmlns="http://schemas.microsoft.com/office/infopath/2007/PartnerControls">8051693f-16ea-43a4-8415-419f5c18c146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24</Value>
      <Value>191</Value>
      <Value>36</Value>
      <Value>1</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PR-L1161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EZSHARE-127113952-47</_dlc_DocId>
    <_dlc_DocIdUrl xmlns="cdc7663a-08f0-4737-9e8c-148ce897a09c">
      <Url>https://idbg.sharepoint.com/teams/EZ-PR-LON/PR-L1161/_layouts/15/DocIdRedir.aspx?ID=EZSHARE-127113952-47</Url>
      <Description>EZSHARE-127113952-47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FE2D97-406F-4288-9012-C819C8A17F77}">
  <ds:schemaRefs>
    <ds:schemaRef ds:uri="http://schemas.microsoft.com/sharepoint/events"/>
  </ds:schemaRefs>
</ds:datastoreItem>
</file>

<file path=customXml/itemProps2.xml><?xml version="1.0" encoding="utf-8"?>
<ds:datastoreItem xmlns:ds="http://schemas.openxmlformats.org/officeDocument/2006/customXml" ds:itemID="{D92E3D4A-AD2D-492C-AB2A-3AB9B0E0D8F6}">
  <ds:schemaRefs>
    <ds:schemaRef ds:uri="http://schemas.microsoft.com/sharepoint/v3/contenttype/forms"/>
  </ds:schemaRefs>
</ds:datastoreItem>
</file>

<file path=customXml/itemProps3.xml><?xml version="1.0" encoding="utf-8"?>
<ds:datastoreItem xmlns:ds="http://schemas.openxmlformats.org/officeDocument/2006/customXml" ds:itemID="{FCA5592E-ADA9-4889-BEE0-A54BFCBBEEFA}"/>
</file>

<file path=customXml/itemProps4.xml><?xml version="1.0" encoding="utf-8"?>
<ds:datastoreItem xmlns:ds="http://schemas.openxmlformats.org/officeDocument/2006/customXml" ds:itemID="{D3FF7624-A2F9-4673-B132-2B24BA05F3BA}"/>
</file>

<file path=customXml/itemProps5.xml><?xml version="1.0" encoding="utf-8"?>
<ds:datastoreItem xmlns:ds="http://schemas.openxmlformats.org/officeDocument/2006/customXml" ds:itemID="{8148C09C-8042-4851-928F-AEA5AD777154}">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472BFA01-7A13-460D-B3F0-5E4D3BB0CA9C}"/>
</file>

<file path=customXml/itemProps7.xml><?xml version="1.0" encoding="utf-8"?>
<ds:datastoreItem xmlns:ds="http://schemas.openxmlformats.org/officeDocument/2006/customXml" ds:itemID="{EC2FB236-EF44-4F3F-99E5-F076A3C4C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1797</Words>
  <Characters>10243</Characters>
  <Application>Microsoft Office Word</Application>
  <DocSecurity>4</DocSecurity>
  <Lines>85</Lines>
  <Paragraphs>24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12016</CharactersWithSpaces>
  <SharedDoc>false</SharedDoc>
  <HLinks>
    <vt:vector size="240" baseType="variant">
      <vt:variant>
        <vt:i4>5046364</vt:i4>
      </vt:variant>
      <vt:variant>
        <vt:i4>117</vt:i4>
      </vt:variant>
      <vt:variant>
        <vt:i4>0</vt:i4>
      </vt:variant>
      <vt:variant>
        <vt:i4>5</vt:i4>
      </vt:variant>
      <vt:variant>
        <vt:lpwstr>http://mail.seprelad.gov.py/biblioteca/4-resoluciones/52-resolucion-n-262009</vt:lpwstr>
      </vt:variant>
      <vt:variant>
        <vt:lpwstr/>
      </vt:variant>
      <vt:variant>
        <vt:i4>3538982</vt:i4>
      </vt:variant>
      <vt:variant>
        <vt:i4>114</vt:i4>
      </vt:variant>
      <vt:variant>
        <vt:i4>0</vt:i4>
      </vt:variant>
      <vt:variant>
        <vt:i4>5</vt:i4>
      </vt:variant>
      <vt:variant>
        <vt:lpwstr>http://mail.seprelad.gov.py/biblioteca/4-resoluciones/98-3702011-deroga-resolucion-y-aprueba-entidades-sujetas-a-supervision-incoop</vt:lpwstr>
      </vt:variant>
      <vt:variant>
        <vt:lpwstr/>
      </vt:variant>
      <vt:variant>
        <vt:i4>5374028</vt:i4>
      </vt:variant>
      <vt:variant>
        <vt:i4>111</vt:i4>
      </vt:variant>
      <vt:variant>
        <vt:i4>0</vt:i4>
      </vt:variant>
      <vt:variant>
        <vt:i4>5</vt:i4>
      </vt:variant>
      <vt:variant>
        <vt:lpwstr>http://www.hacienda.gov.py/normativa/Decreto 6.495-2016 por el cual se complementa y ajusta el marco regulatorio del SNIP.pdf</vt:lpwstr>
      </vt:variant>
      <vt:variant>
        <vt:lpwstr/>
      </vt:variant>
      <vt:variant>
        <vt:i4>7340130</vt:i4>
      </vt:variant>
      <vt:variant>
        <vt:i4>108</vt:i4>
      </vt:variant>
      <vt:variant>
        <vt:i4>0</vt:i4>
      </vt:variant>
      <vt:variant>
        <vt:i4>5</vt:i4>
      </vt:variant>
      <vt:variant>
        <vt:lpwstr>https://www.todoleyes.com/13a5bd1686e8d8f70a8890e664c9007a</vt:lpwstr>
      </vt:variant>
      <vt:variant>
        <vt:lpwstr/>
      </vt:variant>
      <vt:variant>
        <vt:i4>6291482</vt:i4>
      </vt:variant>
      <vt:variant>
        <vt:i4>105</vt:i4>
      </vt:variant>
      <vt:variant>
        <vt:i4>0</vt:i4>
      </vt:variant>
      <vt:variant>
        <vt:i4>5</vt:i4>
      </vt:variant>
      <vt:variant>
        <vt:lpwstr>http://www.seprelad.gov.py/descargar/ley_n_5895_2017.pdf</vt:lpwstr>
      </vt:variant>
      <vt:variant>
        <vt:lpwstr/>
      </vt:variant>
      <vt:variant>
        <vt:i4>589902</vt:i4>
      </vt:variant>
      <vt:variant>
        <vt:i4>102</vt:i4>
      </vt:variant>
      <vt:variant>
        <vt:i4>0</vt:i4>
      </vt:variant>
      <vt:variant>
        <vt:i4>5</vt:i4>
      </vt:variant>
      <vt:variant>
        <vt:lpwstr>http://www.cep.org.py/images/documentos/DECRETO-9043.pdf</vt:lpwstr>
      </vt:variant>
      <vt:variant>
        <vt:lpwstr/>
      </vt:variant>
      <vt:variant>
        <vt:i4>786452</vt:i4>
      </vt:variant>
      <vt:variant>
        <vt:i4>99</vt:i4>
      </vt:variant>
      <vt:variant>
        <vt:i4>0</vt:i4>
      </vt:variant>
      <vt:variant>
        <vt:i4>5</vt:i4>
      </vt:variant>
      <vt:variant>
        <vt:lpwstr>http://www.hacienda.gov.py/pgn-2019/archivos/LEY/LEY.pdf</vt:lpwstr>
      </vt:variant>
      <vt:variant>
        <vt:lpwstr/>
      </vt:variant>
      <vt:variant>
        <vt:i4>7209086</vt:i4>
      </vt:variant>
      <vt:variant>
        <vt:i4>96</vt:i4>
      </vt:variant>
      <vt:variant>
        <vt:i4>0</vt:i4>
      </vt:variant>
      <vt:variant>
        <vt:i4>5</vt:i4>
      </vt:variant>
      <vt:variant>
        <vt:lpwstr>http://idbdocs.iadb.org/wsdocs/getDocument.aspx?DOCNUM=EZSHARE-127113952-7</vt:lpwstr>
      </vt:variant>
      <vt:variant>
        <vt:lpwstr/>
      </vt:variant>
      <vt:variant>
        <vt:i4>4259870</vt:i4>
      </vt:variant>
      <vt:variant>
        <vt:i4>93</vt:i4>
      </vt:variant>
      <vt:variant>
        <vt:i4>0</vt:i4>
      </vt:variant>
      <vt:variant>
        <vt:i4>5</vt:i4>
      </vt:variant>
      <vt:variant>
        <vt:lpwstr>https://academic.oup.com/jfr/article-abstract/2/1/79/2357877?redirectedFrom=fulltext</vt:lpwstr>
      </vt:variant>
      <vt:variant>
        <vt:lpwstr/>
      </vt:variant>
      <vt:variant>
        <vt:i4>7143550</vt:i4>
      </vt:variant>
      <vt:variant>
        <vt:i4>90</vt:i4>
      </vt:variant>
      <vt:variant>
        <vt:i4>0</vt:i4>
      </vt:variant>
      <vt:variant>
        <vt:i4>5</vt:i4>
      </vt:variant>
      <vt:variant>
        <vt:lpwstr>http://idbdocs.iadb.org/wsdocs/getDocument.aspx?DOCNUM=EZSHARE-127113952-4</vt:lpwstr>
      </vt:variant>
      <vt:variant>
        <vt:lpwstr/>
      </vt:variant>
      <vt:variant>
        <vt:i4>7274622</vt:i4>
      </vt:variant>
      <vt:variant>
        <vt:i4>87</vt:i4>
      </vt:variant>
      <vt:variant>
        <vt:i4>0</vt:i4>
      </vt:variant>
      <vt:variant>
        <vt:i4>5</vt:i4>
      </vt:variant>
      <vt:variant>
        <vt:lpwstr>http://idbdocs.iadb.org/wsdocs/getDocument.aspx?DOCNUM=EZSHARE-127113952-6</vt:lpwstr>
      </vt:variant>
      <vt:variant>
        <vt:lpwstr/>
      </vt:variant>
      <vt:variant>
        <vt:i4>6357118</vt:i4>
      </vt:variant>
      <vt:variant>
        <vt:i4>84</vt:i4>
      </vt:variant>
      <vt:variant>
        <vt:i4>0</vt:i4>
      </vt:variant>
      <vt:variant>
        <vt:i4>5</vt:i4>
      </vt:variant>
      <vt:variant>
        <vt:lpwstr>http://idbdocs.iadb.org/wsdocs/getDocument.aspx?DOCNUM=EZSHARE-127113952-8</vt:lpwstr>
      </vt:variant>
      <vt:variant>
        <vt:lpwstr/>
      </vt:variant>
      <vt:variant>
        <vt:i4>6291582</vt:i4>
      </vt:variant>
      <vt:variant>
        <vt:i4>81</vt:i4>
      </vt:variant>
      <vt:variant>
        <vt:i4>0</vt:i4>
      </vt:variant>
      <vt:variant>
        <vt:i4>5</vt:i4>
      </vt:variant>
      <vt:variant>
        <vt:lpwstr>http://idbdocs.iadb.org/wsdocs/getDocument.aspx?DOCNUM=EZSHARE-127113952-9</vt:lpwstr>
      </vt:variant>
      <vt:variant>
        <vt:lpwstr/>
      </vt:variant>
      <vt:variant>
        <vt:i4>6684771</vt:i4>
      </vt:variant>
      <vt:variant>
        <vt:i4>78</vt:i4>
      </vt:variant>
      <vt:variant>
        <vt:i4>0</vt:i4>
      </vt:variant>
      <vt:variant>
        <vt:i4>5</vt:i4>
      </vt:variant>
      <vt:variant>
        <vt:lpwstr>https://www.imf.org/external/pubs/ft/wp/wp97139.pdf</vt:lpwstr>
      </vt:variant>
      <vt:variant>
        <vt:lpwstr/>
      </vt:variant>
      <vt:variant>
        <vt:i4>2883683</vt:i4>
      </vt:variant>
      <vt:variant>
        <vt:i4>75</vt:i4>
      </vt:variant>
      <vt:variant>
        <vt:i4>0</vt:i4>
      </vt:variant>
      <vt:variant>
        <vt:i4>5</vt:i4>
      </vt:variant>
      <vt:variant>
        <vt:lpwstr>http://homepage.ntu.edu.tw/~kslin/macro2009/Mauro 1995.pdf</vt:lpwstr>
      </vt:variant>
      <vt:variant>
        <vt:lpwstr/>
      </vt:variant>
      <vt:variant>
        <vt:i4>4784131</vt:i4>
      </vt:variant>
      <vt:variant>
        <vt:i4>72</vt:i4>
      </vt:variant>
      <vt:variant>
        <vt:i4>0</vt:i4>
      </vt:variant>
      <vt:variant>
        <vt:i4>5</vt:i4>
      </vt:variant>
      <vt:variant>
        <vt:lpwstr>http://documents.worldbank.org/curated/en/281701468251373866/pdf/WPS5348.pdf</vt:lpwstr>
      </vt:variant>
      <vt:variant>
        <vt:lpwstr/>
      </vt:variant>
      <vt:variant>
        <vt:i4>7995462</vt:i4>
      </vt:variant>
      <vt:variant>
        <vt:i4>69</vt:i4>
      </vt:variant>
      <vt:variant>
        <vt:i4>0</vt:i4>
      </vt:variant>
      <vt:variant>
        <vt:i4>5</vt:i4>
      </vt:variant>
      <vt:variant>
        <vt:lpwstr>http://www.liberlex.com/archivos/SCP_PG.pdf</vt:lpwstr>
      </vt:variant>
      <vt:variant>
        <vt:lpwstr/>
      </vt:variant>
      <vt:variant>
        <vt:i4>589877</vt:i4>
      </vt:variant>
      <vt:variant>
        <vt:i4>66</vt:i4>
      </vt:variant>
      <vt:variant>
        <vt:i4>0</vt:i4>
      </vt:variant>
      <vt:variant>
        <vt:i4>5</vt:i4>
      </vt:variant>
      <vt:variant>
        <vt:lpwstr>https://www.researchgate.net/publication/283812145_Institutions_Transparency_and_Economic_Growth</vt:lpwstr>
      </vt:variant>
      <vt:variant>
        <vt:lpwstr/>
      </vt:variant>
      <vt:variant>
        <vt:i4>7340091</vt:i4>
      </vt:variant>
      <vt:variant>
        <vt:i4>63</vt:i4>
      </vt:variant>
      <vt:variant>
        <vt:i4>0</vt:i4>
      </vt:variant>
      <vt:variant>
        <vt:i4>5</vt:i4>
      </vt:variant>
      <vt:variant>
        <vt:lpwstr>https://www.gafilat.org/index.php/es/biblioteca-virtual/miembros/paraguay/evaluaciones-mutuas-13/217-paraguay-3era-ronda-2008/file</vt:lpwstr>
      </vt:variant>
      <vt:variant>
        <vt:lpwstr/>
      </vt:variant>
      <vt:variant>
        <vt:i4>1310736</vt:i4>
      </vt:variant>
      <vt:variant>
        <vt:i4>60</vt:i4>
      </vt:variant>
      <vt:variant>
        <vt:i4>0</vt:i4>
      </vt:variant>
      <vt:variant>
        <vt:i4>5</vt:i4>
      </vt:variant>
      <vt:variant>
        <vt:lpwstr>https://www.oecd.org/cleangovbiz/49693613.pdf</vt:lpwstr>
      </vt:variant>
      <vt:variant>
        <vt:lpwstr/>
      </vt:variant>
      <vt:variant>
        <vt:i4>1179723</vt:i4>
      </vt:variant>
      <vt:variant>
        <vt:i4>57</vt:i4>
      </vt:variant>
      <vt:variant>
        <vt:i4>0</vt:i4>
      </vt:variant>
      <vt:variant>
        <vt:i4>5</vt:i4>
      </vt:variant>
      <vt:variant>
        <vt:lpwstr>https://www.imf.org/external/pubs/ft/scr/2016/cr16117.pdf</vt:lpwstr>
      </vt:variant>
      <vt:variant>
        <vt:lpwstr/>
      </vt:variant>
      <vt:variant>
        <vt:i4>1572890</vt:i4>
      </vt:variant>
      <vt:variant>
        <vt:i4>54</vt:i4>
      </vt:variant>
      <vt:variant>
        <vt:i4>0</vt:i4>
      </vt:variant>
      <vt:variant>
        <vt:i4>5</vt:i4>
      </vt:variant>
      <vt:variant>
        <vt:lpwstr>http://ricg.org/download.php?len=es&amp;id=668&amp;nbre=Publicaci%F3n%20Diagn%F3stico%20Datos%20Abiertos%20en%20Compras%20P%FAblicas.pdf&amp;ti=application/pdf&amp;tc=Contenidos</vt:lpwstr>
      </vt:variant>
      <vt:variant>
        <vt:lpwstr/>
      </vt:variant>
      <vt:variant>
        <vt:i4>1507403</vt:i4>
      </vt:variant>
      <vt:variant>
        <vt:i4>51</vt:i4>
      </vt:variant>
      <vt:variant>
        <vt:i4>0</vt:i4>
      </vt:variant>
      <vt:variant>
        <vt:i4>5</vt:i4>
      </vt:variant>
      <vt:variant>
        <vt:lpwstr>http://documents.worldbank.org/curated/en/934221490839269505/pdf/PLR-Paraguay-Feb-27-2017-Final-03062017.pdf</vt:lpwstr>
      </vt:variant>
      <vt:variant>
        <vt:lpwstr/>
      </vt:variant>
      <vt:variant>
        <vt:i4>6881386</vt:i4>
      </vt:variant>
      <vt:variant>
        <vt:i4>48</vt:i4>
      </vt:variant>
      <vt:variant>
        <vt:i4>0</vt:i4>
      </vt:variant>
      <vt:variant>
        <vt:i4>5</vt:i4>
      </vt:variant>
      <vt:variant>
        <vt:lpwstr>http://www.oas.org/es/sla/dlc/mesicic/paises-rondas.html?c=Paraguay&amp;r=6</vt:lpwstr>
      </vt:variant>
      <vt:variant>
        <vt:lpwstr/>
      </vt:variant>
      <vt:variant>
        <vt:i4>2752611</vt:i4>
      </vt:variant>
      <vt:variant>
        <vt:i4>45</vt:i4>
      </vt:variant>
      <vt:variant>
        <vt:i4>0</vt:i4>
      </vt:variant>
      <vt:variant>
        <vt:i4>5</vt:i4>
      </vt:variant>
      <vt:variant>
        <vt:lpwstr>http://documents.worldbank.org/curated/en/827731530819395899/pdf/Paraguay-SCD-06292018.pdf</vt:lpwstr>
      </vt:variant>
      <vt:variant>
        <vt:lpwstr/>
      </vt:variant>
      <vt:variant>
        <vt:i4>3997785</vt:i4>
      </vt:variant>
      <vt:variant>
        <vt:i4>42</vt:i4>
      </vt:variant>
      <vt:variant>
        <vt:i4>0</vt:i4>
      </vt:variant>
      <vt:variant>
        <vt:i4>5</vt:i4>
      </vt:variant>
      <vt:variant>
        <vt:lpwstr>https://read.oecd-ilibrary.org/governance/estudios-de-la-ocde-sobre-gobernanza-publica-paraguay_9789264304017-es</vt:lpwstr>
      </vt:variant>
      <vt:variant>
        <vt:lpwstr>page1</vt:lpwstr>
      </vt:variant>
      <vt:variant>
        <vt:i4>2162723</vt:i4>
      </vt:variant>
      <vt:variant>
        <vt:i4>39</vt:i4>
      </vt:variant>
      <vt:variant>
        <vt:i4>0</vt:i4>
      </vt:variant>
      <vt:variant>
        <vt:i4>5</vt:i4>
      </vt:variant>
      <vt:variant>
        <vt:lpwstr>https://publications.iadb.org/es/un-nuevo-impulso-al-fortalecimiento-de-la-gobernanza-de-las-empresas-publicas-en-paraguay</vt:lpwstr>
      </vt:variant>
      <vt:variant>
        <vt:lpwstr/>
      </vt:variant>
      <vt:variant>
        <vt:i4>4128872</vt:i4>
      </vt:variant>
      <vt:variant>
        <vt:i4>36</vt:i4>
      </vt:variant>
      <vt:variant>
        <vt:i4>0</vt:i4>
      </vt:variant>
      <vt:variant>
        <vt:i4>5</vt:i4>
      </vt:variant>
      <vt:variant>
        <vt:lpwstr>https://publications.iadb.org/en/publication/digital-technologies-transparency-public-investment-new-tools-empower-citizens-and</vt:lpwstr>
      </vt:variant>
      <vt:variant>
        <vt:lpwstr/>
      </vt:variant>
      <vt:variant>
        <vt:i4>2293870</vt:i4>
      </vt:variant>
      <vt:variant>
        <vt:i4>33</vt:i4>
      </vt:variant>
      <vt:variant>
        <vt:i4>0</vt:i4>
      </vt:variant>
      <vt:variant>
        <vt:i4>5</vt:i4>
      </vt:variant>
      <vt:variant>
        <vt:lpwstr>https://publications.iadb.org/es/paraguay-rutas-para-el-desarrollo</vt:lpwstr>
      </vt:variant>
      <vt:variant>
        <vt:lpwstr/>
      </vt:variant>
      <vt:variant>
        <vt:i4>7667816</vt:i4>
      </vt:variant>
      <vt:variant>
        <vt:i4>30</vt:i4>
      </vt:variant>
      <vt:variant>
        <vt:i4>0</vt:i4>
      </vt:variant>
      <vt:variant>
        <vt:i4>5</vt:i4>
      </vt:variant>
      <vt:variant>
        <vt:lpwstr>http://idbdocs.iadb.org/wsdocs/getDocument.aspx?DOCNUM=EZSHARE-1130845229-4</vt:lpwstr>
      </vt:variant>
      <vt:variant>
        <vt:lpwstr/>
      </vt:variant>
      <vt:variant>
        <vt:i4>7667816</vt:i4>
      </vt:variant>
      <vt:variant>
        <vt:i4>27</vt:i4>
      </vt:variant>
      <vt:variant>
        <vt:i4>0</vt:i4>
      </vt:variant>
      <vt:variant>
        <vt:i4>5</vt:i4>
      </vt:variant>
      <vt:variant>
        <vt:lpwstr>http://idbdocs.iadb.org/wsdocs/getDocument.aspx?DOCNUM=EZSHARE-1130845229-3</vt:lpwstr>
      </vt:variant>
      <vt:variant>
        <vt:lpwstr/>
      </vt:variant>
      <vt:variant>
        <vt:i4>7667816</vt:i4>
      </vt:variant>
      <vt:variant>
        <vt:i4>24</vt:i4>
      </vt:variant>
      <vt:variant>
        <vt:i4>0</vt:i4>
      </vt:variant>
      <vt:variant>
        <vt:i4>5</vt:i4>
      </vt:variant>
      <vt:variant>
        <vt:lpwstr>http://idbdocs.iadb.org/wsdocs/getDocument.aspx?DOCNUM=EZSHARE-1130845229-2</vt:lpwstr>
      </vt:variant>
      <vt:variant>
        <vt:lpwstr/>
      </vt:variant>
      <vt:variant>
        <vt:i4>7667816</vt:i4>
      </vt:variant>
      <vt:variant>
        <vt:i4>21</vt:i4>
      </vt:variant>
      <vt:variant>
        <vt:i4>0</vt:i4>
      </vt:variant>
      <vt:variant>
        <vt:i4>5</vt:i4>
      </vt:variant>
      <vt:variant>
        <vt:lpwstr>http://idbdocs.iadb.org/wsdocs/getDocument.aspx?DOCNUM=EZSHARE-1130845229-1</vt:lpwstr>
      </vt:variant>
      <vt:variant>
        <vt:lpwstr/>
      </vt:variant>
      <vt:variant>
        <vt:i4>6029437</vt:i4>
      </vt:variant>
      <vt:variant>
        <vt:i4>18</vt:i4>
      </vt:variant>
      <vt:variant>
        <vt:i4>0</vt:i4>
      </vt:variant>
      <vt:variant>
        <vt:i4>5</vt:i4>
      </vt:variant>
      <vt:variant>
        <vt:lpwstr>https://idbg.sharepoint.com/:w:/r/teams/EZ-PR-LON/PR-L1161/_layouts/15/Doc.aspx?sourcedoc=%7B0F896BDD-DB87-4575-927B-72A79414F7C8%7D&amp;file=InformeBrechasGAFIParaguay.doc&amp;action=default&amp;mobileredirect=true</vt:lpwstr>
      </vt:variant>
      <vt:variant>
        <vt:lpwstr/>
      </vt:variant>
      <vt:variant>
        <vt:i4>7143534</vt:i4>
      </vt:variant>
      <vt:variant>
        <vt:i4>15</vt:i4>
      </vt:variant>
      <vt:variant>
        <vt:i4>0</vt:i4>
      </vt:variant>
      <vt:variant>
        <vt:i4>5</vt:i4>
      </vt:variant>
      <vt:variant>
        <vt:lpwstr>https://www.internationalbudget.org/open-budget-survey/</vt:lpwstr>
      </vt:variant>
      <vt:variant>
        <vt:lpwstr/>
      </vt:variant>
      <vt:variant>
        <vt:i4>2228271</vt:i4>
      </vt:variant>
      <vt:variant>
        <vt:i4>12</vt:i4>
      </vt:variant>
      <vt:variant>
        <vt:i4>0</vt:i4>
      </vt:variant>
      <vt:variant>
        <vt:i4>5</vt:i4>
      </vt:variant>
      <vt:variant>
        <vt:lpwstr>https://index.baselgovernance.org/</vt:lpwstr>
      </vt:variant>
      <vt:variant>
        <vt:lpwstr/>
      </vt:variant>
      <vt:variant>
        <vt:i4>7733359</vt:i4>
      </vt:variant>
      <vt:variant>
        <vt:i4>9</vt:i4>
      </vt:variant>
      <vt:variant>
        <vt:i4>0</vt:i4>
      </vt:variant>
      <vt:variant>
        <vt:i4>5</vt:i4>
      </vt:variant>
      <vt:variant>
        <vt:lpwstr>https://www.rti-rating.org/</vt:lpwstr>
      </vt:variant>
      <vt:variant>
        <vt:lpwstr/>
      </vt:variant>
      <vt:variant>
        <vt:i4>5177395</vt:i4>
      </vt:variant>
      <vt:variant>
        <vt:i4>6</vt:i4>
      </vt:variant>
      <vt:variant>
        <vt:i4>0</vt:i4>
      </vt:variant>
      <vt:variant>
        <vt:i4>5</vt:i4>
      </vt:variant>
      <vt:variant>
        <vt:lpwstr>https://opendatabarometer.org/?_year=2017&amp;indicator=ODB</vt:lpwstr>
      </vt:variant>
      <vt:variant>
        <vt:lpwstr/>
      </vt:variant>
      <vt:variant>
        <vt:i4>7929906</vt:i4>
      </vt:variant>
      <vt:variant>
        <vt:i4>3</vt:i4>
      </vt:variant>
      <vt:variant>
        <vt:i4>0</vt:i4>
      </vt:variant>
      <vt:variant>
        <vt:i4>5</vt:i4>
      </vt:variant>
      <vt:variant>
        <vt:lpwstr>http://info.worldbank.org/governance/wgi/</vt:lpwstr>
      </vt:variant>
      <vt:variant>
        <vt:lpwstr>reports</vt:lpwstr>
      </vt:variant>
      <vt:variant>
        <vt:i4>6029389</vt:i4>
      </vt:variant>
      <vt:variant>
        <vt:i4>0</vt:i4>
      </vt:variant>
      <vt:variant>
        <vt:i4>0</vt:i4>
      </vt:variant>
      <vt:variant>
        <vt:i4>5</vt:i4>
      </vt:variant>
      <vt:variant>
        <vt:lpwstr>http://www.stp.gov.py/pnd/wp-content/uploads/2014/12/pnd2030.pdf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IADB</dc:creator>
  <cp:keywords/>
  <cp:lastModifiedBy>Hoffman, Nathalie Alexandra</cp:lastModifiedBy>
  <cp:revision>2</cp:revision>
  <cp:lastPrinted>2019-03-22T00:25:00Z</cp:lastPrinted>
  <dcterms:created xsi:type="dcterms:W3CDTF">2019-07-17T19:19:00Z</dcterms:created>
  <dcterms:modified xsi:type="dcterms:W3CDTF">2019-07-17T19:19:00Z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191;#TRANSPARENCY AND ANTI-CORRUPTION|8051693f-16ea-43a4-8415-419f5c18c146</vt:lpwstr>
  </property>
  <property fmtid="{D5CDD505-2E9C-101B-9397-08002B2CF9AE}" pid="7" name="Fund IDB">
    <vt:lpwstr/>
  </property>
  <property fmtid="{D5CDD505-2E9C-101B-9397-08002B2CF9AE}" pid="8" name="Country">
    <vt:lpwstr>24;#Paraguay|50282442-27e7-4526-9d04-55bf5da33a10</vt:lpwstr>
  </property>
  <property fmtid="{D5CDD505-2E9C-101B-9397-08002B2CF9AE}" pid="9" name="Sector IDB">
    <vt:lpwstr>36;#REFORM / MODERNIZATION OF THE STATE|c8fda4a7-691a-4c65-b227-9825197b5cd2</vt:lpwstr>
  </property>
  <property fmtid="{D5CDD505-2E9C-101B-9397-08002B2CF9AE}" pid="10" name="Function Operations IDB">
    <vt:lpwstr>1;#Project Preparation, Planning and Design|29ca0c72-1fc4-435f-a09c-28585cb5eac9</vt:lpwstr>
  </property>
  <property fmtid="{D5CDD505-2E9C-101B-9397-08002B2CF9AE}" pid="11" name="_dlc_DocIdItemGuid">
    <vt:lpwstr>1d1bad21-94d2-4bf6-9cd3-98eca3805881</vt:lpwstr>
  </property>
  <property fmtid="{D5CDD505-2E9C-101B-9397-08002B2CF9AE}" pid="12" name="AuthorIds_UIVersion_513">
    <vt:lpwstr>101</vt:lpwstr>
  </property>
  <property fmtid="{D5CDD505-2E9C-101B-9397-08002B2CF9AE}" pid="13" name="Disclosure Activity">
    <vt:lpwstr>Loan Proposal</vt:lpwstr>
  </property>
  <property fmtid="{D5CDD505-2E9C-101B-9397-08002B2CF9AE}" pid="14" name="ContentTypeId">
    <vt:lpwstr>0x0101001A458A224826124E8B45B1D613300CFC00EEAC144B5690EB408DB63879C0EA8156</vt:lpwstr>
  </property>
</Properties>
</file>