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7D2DE" w14:textId="634F6252" w:rsidR="005B3C28" w:rsidRPr="00C25BE5" w:rsidRDefault="177DA22B" w:rsidP="177DA22B">
      <w:pPr>
        <w:spacing w:after="0" w:line="240" w:lineRule="auto"/>
        <w:jc w:val="center"/>
        <w:rPr>
          <w:rFonts w:ascii="Arial" w:eastAsia="Arial" w:hAnsi="Arial" w:cs="Arial"/>
          <w:b/>
          <w:bCs/>
          <w:smallCaps/>
          <w:sz w:val="20"/>
          <w:szCs w:val="20"/>
        </w:rPr>
      </w:pPr>
      <w:r w:rsidRPr="00C25BE5">
        <w:rPr>
          <w:rFonts w:ascii="Arial" w:eastAsia="Arial" w:hAnsi="Arial" w:cs="Arial"/>
          <w:b/>
          <w:bCs/>
          <w:smallCaps/>
          <w:sz w:val="20"/>
          <w:szCs w:val="20"/>
        </w:rPr>
        <w:t xml:space="preserve">Matriz de Medios de Verificación </w:t>
      </w:r>
    </w:p>
    <w:p w14:paraId="4E1193A5" w14:textId="77777777" w:rsidR="00C51BD0" w:rsidRPr="00C25BE5" w:rsidRDefault="00C51BD0" w:rsidP="003F0CAD">
      <w:pPr>
        <w:spacing w:after="0" w:line="240" w:lineRule="auto"/>
        <w:jc w:val="center"/>
        <w:rPr>
          <w:rFonts w:ascii="Arial" w:hAnsi="Arial" w:cs="Arial"/>
          <w:sz w:val="20"/>
          <w:szCs w:val="20"/>
          <w:lang w:val="es-ES_tradnl"/>
        </w:rPr>
      </w:pPr>
    </w:p>
    <w:tbl>
      <w:tblPr>
        <w:tblW w:w="1260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3960"/>
        <w:gridCol w:w="3870"/>
        <w:gridCol w:w="2340"/>
      </w:tblGrid>
      <w:tr w:rsidR="009C2C1A" w:rsidRPr="00C25BE5" w14:paraId="0E9B4F80" w14:textId="77777777" w:rsidTr="008B25BB">
        <w:trPr>
          <w:tblHeader/>
        </w:trPr>
        <w:tc>
          <w:tcPr>
            <w:tcW w:w="2430" w:type="dxa"/>
            <w:tcBorders>
              <w:top w:val="single" w:sz="4" w:space="0" w:color="auto"/>
            </w:tcBorders>
            <w:shd w:val="clear" w:color="auto" w:fill="BFBFBF" w:themeFill="background1" w:themeFillShade="BF"/>
            <w:vAlign w:val="center"/>
          </w:tcPr>
          <w:p w14:paraId="135A0AAB" w14:textId="77777777" w:rsidR="009C2C1A" w:rsidRPr="00C25BE5" w:rsidRDefault="177DA22B" w:rsidP="00534530">
            <w:pPr>
              <w:spacing w:after="0" w:line="240" w:lineRule="auto"/>
              <w:jc w:val="center"/>
              <w:rPr>
                <w:rFonts w:ascii="Arial" w:eastAsia="Arial" w:hAnsi="Arial" w:cs="Arial"/>
                <w:b/>
                <w:bCs/>
                <w:smallCaps/>
                <w:sz w:val="20"/>
                <w:szCs w:val="20"/>
              </w:rPr>
            </w:pPr>
            <w:r w:rsidRPr="00C25BE5">
              <w:rPr>
                <w:rFonts w:ascii="Arial" w:eastAsia="Arial" w:hAnsi="Arial" w:cs="Arial"/>
                <w:b/>
                <w:bCs/>
                <w:sz w:val="20"/>
                <w:szCs w:val="20"/>
              </w:rPr>
              <w:t>Objetivo</w:t>
            </w:r>
          </w:p>
        </w:tc>
        <w:tc>
          <w:tcPr>
            <w:tcW w:w="3960" w:type="dxa"/>
            <w:tcBorders>
              <w:top w:val="single" w:sz="4" w:space="0" w:color="auto"/>
            </w:tcBorders>
            <w:shd w:val="clear" w:color="auto" w:fill="BFBFBF" w:themeFill="background1" w:themeFillShade="BF"/>
            <w:vAlign w:val="center"/>
          </w:tcPr>
          <w:p w14:paraId="005800EA" w14:textId="77777777" w:rsidR="009C2C1A" w:rsidRPr="00C25BE5" w:rsidRDefault="177DA22B" w:rsidP="00534530">
            <w:pPr>
              <w:spacing w:after="0" w:line="240" w:lineRule="auto"/>
              <w:jc w:val="center"/>
              <w:rPr>
                <w:rFonts w:ascii="Arial" w:eastAsia="Arial" w:hAnsi="Arial" w:cs="Arial"/>
                <w:b/>
                <w:bCs/>
                <w:sz w:val="20"/>
                <w:szCs w:val="20"/>
              </w:rPr>
            </w:pPr>
            <w:r w:rsidRPr="00C25BE5">
              <w:rPr>
                <w:rFonts w:ascii="Arial" w:eastAsia="Arial" w:hAnsi="Arial" w:cs="Arial"/>
                <w:b/>
                <w:bCs/>
                <w:sz w:val="20"/>
                <w:szCs w:val="20"/>
              </w:rPr>
              <w:t>Acciones de Política</w:t>
            </w:r>
          </w:p>
          <w:p w14:paraId="4B27CCBA" w14:textId="77777777" w:rsidR="009C2C1A" w:rsidRPr="00C25BE5" w:rsidRDefault="177DA22B" w:rsidP="00534530">
            <w:pPr>
              <w:spacing w:after="0" w:line="240" w:lineRule="auto"/>
              <w:jc w:val="center"/>
              <w:rPr>
                <w:rFonts w:ascii="Arial" w:eastAsia="Arial" w:hAnsi="Arial" w:cs="Arial"/>
                <w:b/>
                <w:bCs/>
                <w:sz w:val="20"/>
                <w:szCs w:val="20"/>
              </w:rPr>
            </w:pPr>
            <w:r w:rsidRPr="00C25BE5">
              <w:rPr>
                <w:rFonts w:ascii="Arial" w:eastAsia="Arial" w:hAnsi="Arial" w:cs="Arial"/>
                <w:b/>
                <w:bCs/>
                <w:sz w:val="20"/>
                <w:szCs w:val="20"/>
              </w:rPr>
              <w:t>(Programático I)</w:t>
            </w:r>
          </w:p>
        </w:tc>
        <w:tc>
          <w:tcPr>
            <w:tcW w:w="3870" w:type="dxa"/>
            <w:tcBorders>
              <w:top w:val="single" w:sz="4" w:space="0" w:color="auto"/>
            </w:tcBorders>
            <w:shd w:val="clear" w:color="auto" w:fill="BFBFBF" w:themeFill="background1" w:themeFillShade="BF"/>
            <w:vAlign w:val="center"/>
          </w:tcPr>
          <w:p w14:paraId="50E5CC7E" w14:textId="77777777" w:rsidR="009C2C1A" w:rsidRPr="00C25BE5" w:rsidRDefault="177DA22B" w:rsidP="00534530">
            <w:pPr>
              <w:spacing w:after="0" w:line="240" w:lineRule="auto"/>
              <w:jc w:val="center"/>
              <w:rPr>
                <w:rFonts w:ascii="Arial" w:eastAsia="Arial" w:hAnsi="Arial" w:cs="Arial"/>
                <w:b/>
                <w:bCs/>
                <w:sz w:val="20"/>
                <w:szCs w:val="20"/>
              </w:rPr>
            </w:pPr>
            <w:r w:rsidRPr="00C25BE5">
              <w:rPr>
                <w:rFonts w:ascii="Arial" w:eastAsia="Arial" w:hAnsi="Arial" w:cs="Arial"/>
                <w:b/>
                <w:bCs/>
                <w:sz w:val="20"/>
                <w:szCs w:val="20"/>
              </w:rPr>
              <w:t>Medios de Verificación</w:t>
            </w:r>
          </w:p>
        </w:tc>
        <w:tc>
          <w:tcPr>
            <w:tcW w:w="2340" w:type="dxa"/>
            <w:tcBorders>
              <w:top w:val="single" w:sz="4" w:space="0" w:color="auto"/>
            </w:tcBorders>
            <w:shd w:val="clear" w:color="auto" w:fill="BFBFBF" w:themeFill="background1" w:themeFillShade="BF"/>
            <w:vAlign w:val="center"/>
          </w:tcPr>
          <w:p w14:paraId="1AE2EC98" w14:textId="77777777" w:rsidR="009C2C1A" w:rsidRPr="00C25BE5" w:rsidRDefault="177DA22B" w:rsidP="00534530">
            <w:pPr>
              <w:spacing w:after="0" w:line="240" w:lineRule="auto"/>
              <w:jc w:val="center"/>
              <w:rPr>
                <w:rFonts w:ascii="Arial" w:eastAsia="Arial" w:hAnsi="Arial" w:cs="Arial"/>
                <w:b/>
                <w:bCs/>
                <w:sz w:val="20"/>
                <w:szCs w:val="20"/>
              </w:rPr>
            </w:pPr>
            <w:r w:rsidRPr="00C25BE5">
              <w:rPr>
                <w:rFonts w:ascii="Arial" w:eastAsia="Arial" w:hAnsi="Arial" w:cs="Arial"/>
                <w:b/>
                <w:bCs/>
                <w:sz w:val="20"/>
                <w:szCs w:val="20"/>
              </w:rPr>
              <w:t>Responsable</w:t>
            </w:r>
          </w:p>
        </w:tc>
      </w:tr>
      <w:tr w:rsidR="004037E7" w:rsidRPr="00C25BE5" w14:paraId="42ECD271" w14:textId="77777777" w:rsidTr="005F5061">
        <w:trPr>
          <w:trHeight w:val="314"/>
        </w:trPr>
        <w:tc>
          <w:tcPr>
            <w:tcW w:w="12600" w:type="dxa"/>
            <w:gridSpan w:val="4"/>
            <w:shd w:val="clear" w:color="auto" w:fill="D9D9D9" w:themeFill="background1" w:themeFillShade="D9"/>
            <w:vAlign w:val="center"/>
          </w:tcPr>
          <w:p w14:paraId="77459187" w14:textId="716E4B76" w:rsidR="004037E7" w:rsidRPr="00C25BE5" w:rsidRDefault="177DA22B" w:rsidP="005F5061">
            <w:pPr>
              <w:spacing w:after="0" w:line="240" w:lineRule="auto"/>
              <w:rPr>
                <w:rFonts w:ascii="Arial" w:eastAsia="Arial" w:hAnsi="Arial" w:cs="Arial"/>
                <w:b/>
                <w:bCs/>
                <w:sz w:val="20"/>
                <w:szCs w:val="20"/>
              </w:rPr>
            </w:pPr>
            <w:r w:rsidRPr="00C25BE5">
              <w:rPr>
                <w:rFonts w:ascii="Arial" w:eastAsia="Arial" w:hAnsi="Arial" w:cs="Arial"/>
                <w:b/>
                <w:bCs/>
                <w:sz w:val="20"/>
                <w:szCs w:val="20"/>
              </w:rPr>
              <w:t xml:space="preserve">Componente </w:t>
            </w:r>
            <w:r w:rsidR="005C7E23">
              <w:rPr>
                <w:rFonts w:ascii="Arial" w:eastAsia="Arial" w:hAnsi="Arial" w:cs="Arial"/>
                <w:b/>
                <w:bCs/>
                <w:sz w:val="20"/>
                <w:szCs w:val="20"/>
              </w:rPr>
              <w:t xml:space="preserve">1. </w:t>
            </w:r>
            <w:r w:rsidRPr="00C25BE5">
              <w:rPr>
                <w:rFonts w:ascii="Arial" w:eastAsia="Arial" w:hAnsi="Arial" w:cs="Arial"/>
                <w:b/>
                <w:bCs/>
                <w:sz w:val="20"/>
                <w:szCs w:val="20"/>
              </w:rPr>
              <w:t xml:space="preserve"> Estabilidad macroeconómica</w:t>
            </w:r>
          </w:p>
        </w:tc>
      </w:tr>
      <w:tr w:rsidR="009C2C1A" w:rsidRPr="00C25BE5" w14:paraId="5AD40D6D" w14:textId="77777777" w:rsidTr="00B65D0D">
        <w:trPr>
          <w:trHeight w:val="710"/>
        </w:trPr>
        <w:tc>
          <w:tcPr>
            <w:tcW w:w="2430" w:type="dxa"/>
            <w:shd w:val="clear" w:color="auto" w:fill="auto"/>
            <w:vAlign w:val="center"/>
          </w:tcPr>
          <w:p w14:paraId="12521032" w14:textId="41A55E55" w:rsidR="009C2C1A" w:rsidRPr="00C25BE5" w:rsidRDefault="177DA22B" w:rsidP="00B85D7F">
            <w:pPr>
              <w:pStyle w:val="ListParagraph"/>
              <w:numPr>
                <w:ilvl w:val="0"/>
                <w:numId w:val="1"/>
              </w:numPr>
              <w:spacing w:before="40" w:after="40"/>
              <w:ind w:left="162" w:hanging="180"/>
              <w:rPr>
                <w:rFonts w:ascii="Arial" w:eastAsia="Arial" w:hAnsi="Arial" w:cs="Arial"/>
                <w:sz w:val="20"/>
                <w:lang w:val="es-ES"/>
              </w:rPr>
            </w:pPr>
            <w:r w:rsidRPr="00C25BE5">
              <w:rPr>
                <w:rFonts w:ascii="Arial" w:eastAsia="Arial" w:hAnsi="Arial" w:cs="Arial"/>
                <w:sz w:val="20"/>
                <w:lang w:val="es-ES"/>
              </w:rPr>
              <w:t>Mantener entorno macroeconómico conducente al marco de la transparencia e integridad</w:t>
            </w:r>
          </w:p>
        </w:tc>
        <w:tc>
          <w:tcPr>
            <w:tcW w:w="3960" w:type="dxa"/>
            <w:shd w:val="clear" w:color="auto" w:fill="auto"/>
            <w:vAlign w:val="center"/>
          </w:tcPr>
          <w:p w14:paraId="71440B27" w14:textId="71F293C8" w:rsidR="009C2C1A" w:rsidRPr="00C25BE5" w:rsidRDefault="004C3306" w:rsidP="00B85D7F">
            <w:pPr>
              <w:pStyle w:val="ListParagraph"/>
              <w:numPr>
                <w:ilvl w:val="1"/>
                <w:numId w:val="2"/>
              </w:numPr>
              <w:spacing w:before="40" w:after="40"/>
              <w:rPr>
                <w:rFonts w:ascii="Arial" w:eastAsia="Arial" w:hAnsi="Arial" w:cs="Arial"/>
                <w:sz w:val="20"/>
                <w:lang w:val="es-ES"/>
              </w:rPr>
            </w:pPr>
            <w:r w:rsidRPr="00C25BE5">
              <w:rPr>
                <w:rFonts w:ascii="Arial" w:eastAsia="Arial" w:hAnsi="Arial" w:cs="Arial"/>
                <w:bCs/>
                <w:sz w:val="20"/>
                <w:lang w:val="es-ES"/>
              </w:rPr>
              <w:t>Mantenimiento de un contexto macroeconómico congruente con los objetivos del programa según lo establecido en la presente Matriz de Políticas</w:t>
            </w:r>
          </w:p>
        </w:tc>
        <w:tc>
          <w:tcPr>
            <w:tcW w:w="3870" w:type="dxa"/>
            <w:shd w:val="clear" w:color="auto" w:fill="auto"/>
          </w:tcPr>
          <w:p w14:paraId="5A6CD1D3" w14:textId="58AE171B" w:rsidR="009C2C1A" w:rsidRPr="00C25BE5" w:rsidRDefault="177DA22B" w:rsidP="00B65D0D">
            <w:pPr>
              <w:pStyle w:val="ListParagraph"/>
              <w:numPr>
                <w:ilvl w:val="0"/>
                <w:numId w:val="10"/>
              </w:numPr>
              <w:spacing w:before="40" w:after="40"/>
              <w:rPr>
                <w:rFonts w:ascii="Arial" w:eastAsia="Arial" w:hAnsi="Arial" w:cs="Arial"/>
                <w:sz w:val="20"/>
                <w:lang w:val="es-ES"/>
              </w:rPr>
            </w:pPr>
            <w:r w:rsidRPr="00C25BE5">
              <w:rPr>
                <w:rFonts w:ascii="Arial" w:eastAsia="Arial" w:hAnsi="Arial" w:cs="Arial"/>
                <w:sz w:val="20"/>
                <w:lang w:val="es-ES"/>
              </w:rPr>
              <w:t xml:space="preserve">Evaluación independiente de Condiciones Macroeconómicos (IAMC por sus siglas en inglés) </w:t>
            </w:r>
            <w:r w:rsidR="00F33C56" w:rsidRPr="00C25BE5">
              <w:rPr>
                <w:rFonts w:ascii="Arial" w:eastAsia="Arial" w:hAnsi="Arial" w:cs="Arial"/>
                <w:sz w:val="20"/>
                <w:lang w:val="es-ES"/>
              </w:rPr>
              <w:t>vigente</w:t>
            </w:r>
            <w:r w:rsidR="005F5061" w:rsidRPr="005F5061">
              <w:rPr>
                <w:rFonts w:ascii="Arial" w:eastAsia="Arial" w:hAnsi="Arial" w:cs="Arial"/>
                <w:sz w:val="20"/>
                <w:lang w:val="es-ES"/>
              </w:rPr>
              <w:t xml:space="preserve"> al momento del desembolso</w:t>
            </w:r>
          </w:p>
        </w:tc>
        <w:tc>
          <w:tcPr>
            <w:tcW w:w="2340" w:type="dxa"/>
            <w:shd w:val="clear" w:color="auto" w:fill="auto"/>
            <w:vAlign w:val="center"/>
          </w:tcPr>
          <w:p w14:paraId="1BBA72D5" w14:textId="7A96CFD4" w:rsidR="009C2C1A" w:rsidRPr="00C25BE5" w:rsidRDefault="005F5061" w:rsidP="00B85D7F">
            <w:pPr>
              <w:spacing w:before="40" w:after="40" w:line="240" w:lineRule="auto"/>
              <w:rPr>
                <w:rFonts w:ascii="Arial" w:eastAsia="Arial" w:hAnsi="Arial" w:cs="Arial"/>
                <w:sz w:val="20"/>
                <w:szCs w:val="20"/>
              </w:rPr>
            </w:pPr>
            <w:r w:rsidRPr="005F5061">
              <w:rPr>
                <w:rFonts w:ascii="Arial" w:eastAsia="Arial" w:hAnsi="Arial" w:cs="Arial"/>
                <w:sz w:val="20"/>
                <w:szCs w:val="20"/>
              </w:rPr>
              <w:t>Ministerio de Hacienda (acción), BID (IAMC)</w:t>
            </w:r>
          </w:p>
        </w:tc>
      </w:tr>
      <w:tr w:rsidR="004037E7" w:rsidRPr="00C25BE5" w14:paraId="5A056B27" w14:textId="77777777" w:rsidTr="005F5061">
        <w:trPr>
          <w:trHeight w:val="323"/>
        </w:trPr>
        <w:tc>
          <w:tcPr>
            <w:tcW w:w="12600" w:type="dxa"/>
            <w:gridSpan w:val="4"/>
            <w:shd w:val="clear" w:color="auto" w:fill="D9D9D9" w:themeFill="background1" w:themeFillShade="D9"/>
            <w:vAlign w:val="center"/>
          </w:tcPr>
          <w:p w14:paraId="1413E358" w14:textId="71E83FBC" w:rsidR="004037E7" w:rsidRPr="00C25BE5" w:rsidRDefault="00F33C56" w:rsidP="00B85D7F">
            <w:pPr>
              <w:spacing w:after="0" w:line="240" w:lineRule="auto"/>
              <w:rPr>
                <w:rFonts w:ascii="Arial" w:eastAsia="Arial" w:hAnsi="Arial" w:cs="Arial"/>
                <w:b/>
                <w:bCs/>
                <w:sz w:val="20"/>
                <w:szCs w:val="20"/>
              </w:rPr>
            </w:pPr>
            <w:r w:rsidRPr="00C25BE5">
              <w:rPr>
                <w:rFonts w:ascii="Arial" w:eastAsia="Arial" w:hAnsi="Arial" w:cs="Arial"/>
                <w:b/>
                <w:bCs/>
                <w:sz w:val="20"/>
                <w:szCs w:val="20"/>
              </w:rPr>
              <w:t>Componente 2</w:t>
            </w:r>
            <w:r w:rsidR="005C7E23">
              <w:rPr>
                <w:rFonts w:ascii="Arial" w:eastAsia="Arial" w:hAnsi="Arial" w:cs="Arial"/>
                <w:b/>
                <w:bCs/>
                <w:sz w:val="20"/>
                <w:szCs w:val="20"/>
              </w:rPr>
              <w:t>.</w:t>
            </w:r>
            <w:r w:rsidRPr="00C25BE5">
              <w:rPr>
                <w:rFonts w:ascii="Arial" w:eastAsia="Arial" w:hAnsi="Arial" w:cs="Arial"/>
                <w:b/>
                <w:bCs/>
                <w:sz w:val="20"/>
                <w:szCs w:val="20"/>
              </w:rPr>
              <w:t xml:space="preserve"> Fortalecimiento del Acceso a la Información y </w:t>
            </w:r>
            <w:r w:rsidR="00F15D5C">
              <w:rPr>
                <w:rFonts w:ascii="Arial" w:eastAsia="Arial" w:hAnsi="Arial" w:cs="Arial"/>
                <w:b/>
                <w:bCs/>
                <w:sz w:val="20"/>
                <w:szCs w:val="20"/>
              </w:rPr>
              <w:t xml:space="preserve">de las Políticas </w:t>
            </w:r>
            <w:r w:rsidRPr="00C25BE5">
              <w:rPr>
                <w:rFonts w:ascii="Arial" w:eastAsia="Arial" w:hAnsi="Arial" w:cs="Arial"/>
                <w:b/>
                <w:bCs/>
                <w:sz w:val="20"/>
                <w:szCs w:val="20"/>
              </w:rPr>
              <w:t>de Gobierno Abierto</w:t>
            </w:r>
          </w:p>
        </w:tc>
      </w:tr>
      <w:tr w:rsidR="00F33C56" w:rsidRPr="00C25BE5" w14:paraId="5C22DFD2" w14:textId="77777777" w:rsidTr="008B25BB">
        <w:tc>
          <w:tcPr>
            <w:tcW w:w="2430" w:type="dxa"/>
            <w:vMerge w:val="restart"/>
            <w:shd w:val="clear" w:color="auto" w:fill="auto"/>
            <w:vAlign w:val="center"/>
          </w:tcPr>
          <w:p w14:paraId="1CEC9C40" w14:textId="56132604" w:rsidR="00F33C56" w:rsidRPr="00C25BE5" w:rsidRDefault="00023769" w:rsidP="00023769">
            <w:pPr>
              <w:pStyle w:val="ListParagraph"/>
              <w:numPr>
                <w:ilvl w:val="0"/>
                <w:numId w:val="16"/>
              </w:numPr>
              <w:spacing w:before="40" w:after="40"/>
              <w:ind w:left="168" w:hanging="168"/>
              <w:rPr>
                <w:rFonts w:ascii="Arial" w:eastAsia="Arial" w:hAnsi="Arial" w:cs="Arial"/>
                <w:sz w:val="20"/>
                <w:lang w:val="es-ES_tradnl"/>
              </w:rPr>
            </w:pPr>
            <w:r>
              <w:rPr>
                <w:rFonts w:ascii="Arial" w:hAnsi="Arial" w:cs="Arial"/>
                <w:sz w:val="20"/>
                <w:lang w:val="es-ES_tradnl"/>
              </w:rPr>
              <w:t>C</w:t>
            </w:r>
            <w:r w:rsidR="008F7740" w:rsidRPr="008F7740">
              <w:rPr>
                <w:rFonts w:ascii="Arial" w:hAnsi="Arial" w:cs="Arial"/>
                <w:sz w:val="20"/>
                <w:lang w:val="es-ES_tradnl"/>
              </w:rPr>
              <w:t xml:space="preserve">ontribuir a una mayor eficacia del acceso a la información pública, por parte de ciudadanos y actores económicos </w:t>
            </w:r>
          </w:p>
        </w:tc>
        <w:tc>
          <w:tcPr>
            <w:tcW w:w="3960" w:type="dxa"/>
            <w:shd w:val="clear" w:color="auto" w:fill="auto"/>
            <w:vAlign w:val="center"/>
          </w:tcPr>
          <w:p w14:paraId="0A60ED0C" w14:textId="2E9DE323" w:rsidR="00F33C56" w:rsidRPr="00C25BE5" w:rsidRDefault="00F33C56" w:rsidP="009A2B1B">
            <w:pPr>
              <w:pStyle w:val="ListParagraph"/>
              <w:numPr>
                <w:ilvl w:val="1"/>
                <w:numId w:val="18"/>
              </w:numPr>
              <w:spacing w:before="40" w:after="40"/>
              <w:rPr>
                <w:rFonts w:ascii="Arial" w:eastAsia="Arial" w:hAnsi="Arial" w:cs="Arial"/>
                <w:sz w:val="20"/>
                <w:lang w:val="es-ES_tradnl"/>
              </w:rPr>
            </w:pPr>
            <w:r w:rsidRPr="00C25BE5">
              <w:rPr>
                <w:rFonts w:ascii="Arial" w:eastAsia="Arial" w:hAnsi="Arial" w:cs="Arial"/>
                <w:sz w:val="20"/>
                <w:lang w:val="es-ES_tradnl"/>
              </w:rPr>
              <w:t>Adopción del Cuarto Plan de Acción de Gobierno Abierto a ser presentado ante la Alianza para el Gobierno Abierto</w:t>
            </w:r>
          </w:p>
        </w:tc>
        <w:tc>
          <w:tcPr>
            <w:tcW w:w="3870" w:type="dxa"/>
            <w:shd w:val="clear" w:color="auto" w:fill="auto"/>
            <w:vAlign w:val="center"/>
          </w:tcPr>
          <w:p w14:paraId="43729F0E" w14:textId="7A6E5943" w:rsidR="00F33C56" w:rsidRPr="00C25BE5" w:rsidRDefault="00735F3B" w:rsidP="00B85D7F">
            <w:pPr>
              <w:pStyle w:val="ListParagraph"/>
              <w:numPr>
                <w:ilvl w:val="0"/>
                <w:numId w:val="11"/>
              </w:numPr>
              <w:spacing w:before="40" w:after="40"/>
              <w:rPr>
                <w:rFonts w:ascii="Arial" w:eastAsia="Arial" w:hAnsi="Arial" w:cs="Arial"/>
                <w:sz w:val="20"/>
                <w:lang w:val="es-ES"/>
              </w:rPr>
            </w:pPr>
            <w:r>
              <w:rPr>
                <w:rFonts w:ascii="Arial" w:eastAsia="Arial" w:hAnsi="Arial" w:cs="Arial"/>
                <w:sz w:val="20"/>
                <w:lang w:val="es-ES"/>
              </w:rPr>
              <w:t xml:space="preserve">Copia del </w:t>
            </w:r>
            <w:r w:rsidR="00A23086">
              <w:rPr>
                <w:rFonts w:ascii="Arial" w:eastAsia="Arial" w:hAnsi="Arial" w:cs="Arial"/>
                <w:sz w:val="20"/>
                <w:lang w:val="es-ES"/>
              </w:rPr>
              <w:t>Decreto 1341/2019</w:t>
            </w:r>
            <w:r>
              <w:rPr>
                <w:rFonts w:ascii="Arial" w:eastAsia="Arial" w:hAnsi="Arial" w:cs="Arial"/>
                <w:sz w:val="20"/>
                <w:lang w:val="es-ES"/>
              </w:rPr>
              <w:t>,</w:t>
            </w:r>
            <w:r w:rsidR="00A23086">
              <w:rPr>
                <w:rFonts w:ascii="Arial" w:eastAsia="Arial" w:hAnsi="Arial" w:cs="Arial"/>
                <w:sz w:val="20"/>
                <w:lang w:val="es-ES"/>
              </w:rPr>
              <w:t xml:space="preserve"> p</w:t>
            </w:r>
            <w:r w:rsidR="00064C0D" w:rsidRPr="00C25BE5">
              <w:rPr>
                <w:rFonts w:ascii="Arial" w:eastAsia="Arial" w:hAnsi="Arial" w:cs="Arial"/>
                <w:sz w:val="20"/>
                <w:lang w:val="es-ES"/>
              </w:rPr>
              <w:t>ublicado</w:t>
            </w:r>
            <w:r w:rsidR="00C40AF1" w:rsidRPr="00C25BE5">
              <w:rPr>
                <w:rFonts w:ascii="Arial" w:eastAsia="Arial" w:hAnsi="Arial" w:cs="Arial"/>
                <w:sz w:val="20"/>
                <w:lang w:val="es-ES"/>
              </w:rPr>
              <w:t xml:space="preserve"> en la Gaceta Oficial de la República del Paraguay</w:t>
            </w:r>
            <w:r>
              <w:rPr>
                <w:rFonts w:ascii="Arial" w:eastAsia="Arial" w:hAnsi="Arial" w:cs="Arial"/>
                <w:sz w:val="20"/>
                <w:lang w:val="es-ES"/>
              </w:rPr>
              <w:t xml:space="preserve">, adoptando el </w:t>
            </w:r>
            <w:r w:rsidRPr="00C25BE5">
              <w:rPr>
                <w:rFonts w:ascii="Arial" w:eastAsia="Arial" w:hAnsi="Arial" w:cs="Arial"/>
                <w:sz w:val="20"/>
                <w:lang w:val="es-ES_tradnl"/>
              </w:rPr>
              <w:t>Cuarto Plan de Acción de Gobierno Abierto a ser presentado ante la Alianza para el Gobierno Abierto</w:t>
            </w:r>
          </w:p>
        </w:tc>
        <w:tc>
          <w:tcPr>
            <w:tcW w:w="2340" w:type="dxa"/>
            <w:shd w:val="clear" w:color="auto" w:fill="auto"/>
            <w:vAlign w:val="center"/>
          </w:tcPr>
          <w:p w14:paraId="1F4CB0AF" w14:textId="7980B136" w:rsidR="00F33C56" w:rsidRPr="00C25BE5" w:rsidRDefault="00064C0D" w:rsidP="00B85D7F">
            <w:pPr>
              <w:spacing w:before="40" w:after="40" w:line="240" w:lineRule="auto"/>
              <w:rPr>
                <w:rFonts w:ascii="Arial" w:eastAsia="Arial" w:hAnsi="Arial" w:cs="Arial"/>
                <w:sz w:val="20"/>
                <w:szCs w:val="20"/>
                <w:lang w:val="es-ES_tradnl"/>
              </w:rPr>
            </w:pPr>
            <w:r w:rsidRPr="00C25BE5">
              <w:rPr>
                <w:rFonts w:ascii="Arial" w:eastAsia="Arial" w:hAnsi="Arial" w:cs="Arial"/>
                <w:sz w:val="20"/>
                <w:szCs w:val="20"/>
              </w:rPr>
              <w:t xml:space="preserve">Dirección </w:t>
            </w:r>
            <w:r w:rsidR="00A23086">
              <w:rPr>
                <w:rFonts w:ascii="Arial" w:eastAsia="Arial" w:hAnsi="Arial" w:cs="Arial"/>
                <w:sz w:val="20"/>
                <w:szCs w:val="20"/>
              </w:rPr>
              <w:t xml:space="preserve">General </w:t>
            </w:r>
            <w:r w:rsidRPr="00C25BE5">
              <w:rPr>
                <w:rFonts w:ascii="Arial" w:eastAsia="Arial" w:hAnsi="Arial" w:cs="Arial"/>
                <w:sz w:val="20"/>
                <w:szCs w:val="20"/>
              </w:rPr>
              <w:t>de Gobierno Abierto,</w:t>
            </w:r>
            <w:r w:rsidR="00CC36CE">
              <w:rPr>
                <w:rFonts w:ascii="Arial" w:eastAsia="Arial" w:hAnsi="Arial" w:cs="Arial"/>
                <w:sz w:val="20"/>
                <w:szCs w:val="20"/>
              </w:rPr>
              <w:t xml:space="preserve"> </w:t>
            </w:r>
            <w:r w:rsidRPr="00C25BE5">
              <w:rPr>
                <w:rFonts w:ascii="Arial" w:eastAsia="Arial" w:hAnsi="Arial" w:cs="Arial"/>
                <w:sz w:val="20"/>
                <w:szCs w:val="20"/>
              </w:rPr>
              <w:t>Secre</w:t>
            </w:r>
            <w:r w:rsidRPr="00C25BE5">
              <w:rPr>
                <w:rFonts w:ascii="Arial" w:eastAsia="Arial" w:hAnsi="Arial" w:cs="Arial"/>
                <w:sz w:val="20"/>
                <w:szCs w:val="20"/>
                <w:lang w:val="es-ES_tradnl"/>
              </w:rPr>
              <w:t>t</w:t>
            </w:r>
            <w:r w:rsidR="00C25BE5" w:rsidRPr="00C25BE5">
              <w:rPr>
                <w:rFonts w:ascii="Arial" w:eastAsia="Arial" w:hAnsi="Arial" w:cs="Arial"/>
                <w:sz w:val="20"/>
                <w:szCs w:val="20"/>
                <w:lang w:val="es-ES_tradnl"/>
              </w:rPr>
              <w:t>a</w:t>
            </w:r>
            <w:r w:rsidRPr="00C25BE5">
              <w:rPr>
                <w:rFonts w:ascii="Arial" w:eastAsia="Arial" w:hAnsi="Arial" w:cs="Arial"/>
                <w:sz w:val="20"/>
                <w:szCs w:val="20"/>
                <w:lang w:val="es-ES_tradnl"/>
              </w:rPr>
              <w:t>ría Técnica de Planificación</w:t>
            </w:r>
            <w:r w:rsidR="00A23086">
              <w:rPr>
                <w:rFonts w:ascii="Arial" w:eastAsia="Arial" w:hAnsi="Arial" w:cs="Arial"/>
                <w:sz w:val="20"/>
                <w:szCs w:val="20"/>
                <w:lang w:val="es-ES_tradnl"/>
              </w:rPr>
              <w:t xml:space="preserve"> del Desarrollo Económico y Social</w:t>
            </w:r>
          </w:p>
        </w:tc>
      </w:tr>
      <w:tr w:rsidR="00F33C56" w:rsidRPr="00C25BE5" w14:paraId="4695D194" w14:textId="77777777" w:rsidTr="008B25BB">
        <w:trPr>
          <w:trHeight w:val="350"/>
        </w:trPr>
        <w:tc>
          <w:tcPr>
            <w:tcW w:w="2430" w:type="dxa"/>
            <w:vMerge/>
            <w:shd w:val="clear" w:color="auto" w:fill="auto"/>
            <w:vAlign w:val="center"/>
          </w:tcPr>
          <w:p w14:paraId="40F1689C" w14:textId="77777777" w:rsidR="00F33C56" w:rsidRPr="00C25BE5" w:rsidRDefault="00F33C56" w:rsidP="00B85D7F">
            <w:pPr>
              <w:spacing w:before="40" w:after="40" w:line="240" w:lineRule="auto"/>
              <w:rPr>
                <w:rFonts w:ascii="Arial" w:hAnsi="Arial" w:cs="Arial"/>
                <w:sz w:val="20"/>
                <w:szCs w:val="20"/>
              </w:rPr>
            </w:pPr>
          </w:p>
        </w:tc>
        <w:tc>
          <w:tcPr>
            <w:tcW w:w="3960" w:type="dxa"/>
            <w:shd w:val="clear" w:color="auto" w:fill="auto"/>
            <w:vAlign w:val="center"/>
          </w:tcPr>
          <w:p w14:paraId="0847030A" w14:textId="5F334C82" w:rsidR="00F33C56" w:rsidRPr="00C25BE5" w:rsidRDefault="00F33C56" w:rsidP="009A2B1B">
            <w:pPr>
              <w:pStyle w:val="ListParagraph"/>
              <w:numPr>
                <w:ilvl w:val="1"/>
                <w:numId w:val="18"/>
              </w:numPr>
              <w:spacing w:before="40" w:after="40"/>
              <w:rPr>
                <w:rFonts w:ascii="Arial" w:eastAsia="Arial" w:hAnsi="Arial" w:cs="Arial"/>
                <w:sz w:val="20"/>
                <w:lang w:val="es-ES_tradnl"/>
              </w:rPr>
            </w:pPr>
            <w:r w:rsidRPr="00C25BE5">
              <w:rPr>
                <w:rFonts w:ascii="Arial" w:eastAsia="Arial" w:hAnsi="Arial" w:cs="Arial"/>
                <w:sz w:val="20"/>
                <w:lang w:val="es-ES_tradnl"/>
              </w:rPr>
              <w:t>Adopción de un Reglamento de Acceso a la Información Pública para tramitar solicitudes de acceso a la información obrante en el Ministerio de Hacienda</w:t>
            </w:r>
          </w:p>
        </w:tc>
        <w:tc>
          <w:tcPr>
            <w:tcW w:w="3870" w:type="dxa"/>
            <w:tcBorders>
              <w:bottom w:val="single" w:sz="4" w:space="0" w:color="auto"/>
            </w:tcBorders>
            <w:shd w:val="clear" w:color="auto" w:fill="auto"/>
            <w:vAlign w:val="center"/>
          </w:tcPr>
          <w:p w14:paraId="274C4C5C" w14:textId="77D47014" w:rsidR="00F33C56" w:rsidRPr="00C25BE5" w:rsidRDefault="00A23086" w:rsidP="00B85D7F">
            <w:pPr>
              <w:pStyle w:val="ListParagraph"/>
              <w:numPr>
                <w:ilvl w:val="0"/>
                <w:numId w:val="11"/>
              </w:numPr>
              <w:spacing w:before="40" w:after="40"/>
              <w:rPr>
                <w:rFonts w:ascii="Arial" w:eastAsia="Arial" w:hAnsi="Arial" w:cs="Arial"/>
                <w:sz w:val="20"/>
                <w:lang w:val="es-ES"/>
              </w:rPr>
            </w:pPr>
            <w:r>
              <w:rPr>
                <w:rFonts w:ascii="Arial" w:eastAsia="Arial" w:hAnsi="Arial" w:cs="Arial"/>
                <w:sz w:val="20"/>
                <w:lang w:val="es-ES"/>
              </w:rPr>
              <w:t>Nota</w:t>
            </w:r>
            <w:r w:rsidR="0078669D">
              <w:rPr>
                <w:rFonts w:ascii="Arial" w:eastAsia="Arial" w:hAnsi="Arial" w:cs="Arial"/>
                <w:sz w:val="20"/>
                <w:lang w:val="es-ES"/>
              </w:rPr>
              <w:t xml:space="preserve"> </w:t>
            </w:r>
            <w:r w:rsidR="00CA7F79">
              <w:rPr>
                <w:rFonts w:ascii="Arial" w:eastAsia="Arial" w:hAnsi="Arial" w:cs="Arial"/>
                <w:sz w:val="20"/>
                <w:lang w:val="es-ES"/>
              </w:rPr>
              <w:t xml:space="preserve">del Ministerio de Hacienda </w:t>
            </w:r>
            <w:r w:rsidR="0078669D">
              <w:rPr>
                <w:rFonts w:ascii="Arial" w:eastAsia="Arial" w:hAnsi="Arial" w:cs="Arial"/>
                <w:sz w:val="20"/>
                <w:lang w:val="es-ES"/>
              </w:rPr>
              <w:t>adjuntando</w:t>
            </w:r>
            <w:r w:rsidR="00735F3B">
              <w:rPr>
                <w:rFonts w:ascii="Arial" w:eastAsia="Arial" w:hAnsi="Arial" w:cs="Arial"/>
                <w:sz w:val="20"/>
                <w:lang w:val="es-ES"/>
              </w:rPr>
              <w:t xml:space="preserve"> copia de</w:t>
            </w:r>
            <w:r w:rsidR="0078669D">
              <w:rPr>
                <w:rFonts w:ascii="Arial" w:eastAsia="Arial" w:hAnsi="Arial" w:cs="Arial"/>
                <w:sz w:val="20"/>
                <w:lang w:val="es-ES"/>
              </w:rPr>
              <w:t xml:space="preserve"> la Resolución </w:t>
            </w:r>
            <w:r w:rsidR="00030C91">
              <w:rPr>
                <w:rFonts w:ascii="Arial" w:eastAsia="Arial" w:hAnsi="Arial" w:cs="Arial"/>
                <w:sz w:val="20"/>
                <w:lang w:val="es-ES"/>
              </w:rPr>
              <w:t xml:space="preserve">MH Nro. 38/2019 </w:t>
            </w:r>
            <w:r w:rsidR="00735F3B">
              <w:rPr>
                <w:rFonts w:ascii="Arial" w:eastAsia="Arial" w:hAnsi="Arial" w:cs="Arial"/>
                <w:sz w:val="20"/>
                <w:lang w:val="es-ES"/>
              </w:rPr>
              <w:t xml:space="preserve">adoptando </w:t>
            </w:r>
            <w:r w:rsidR="00735F3B" w:rsidRPr="00C25BE5">
              <w:rPr>
                <w:rFonts w:ascii="Arial" w:eastAsia="Arial" w:hAnsi="Arial" w:cs="Arial"/>
                <w:sz w:val="20"/>
                <w:lang w:val="es-ES_tradnl"/>
              </w:rPr>
              <w:t>un Reglamento de Acceso a la Información Pública para tramitar solicitudes de acceso a la información obrante en el Ministerio de Hacienda</w:t>
            </w:r>
          </w:p>
        </w:tc>
        <w:tc>
          <w:tcPr>
            <w:tcW w:w="2340" w:type="dxa"/>
            <w:tcBorders>
              <w:bottom w:val="single" w:sz="4" w:space="0" w:color="auto"/>
            </w:tcBorders>
            <w:shd w:val="clear" w:color="auto" w:fill="auto"/>
            <w:vAlign w:val="center"/>
          </w:tcPr>
          <w:p w14:paraId="351A21F7" w14:textId="5835662D" w:rsidR="00F33C56" w:rsidRPr="00C25BE5" w:rsidRDefault="00DD50BD" w:rsidP="00B85D7F">
            <w:pPr>
              <w:spacing w:before="40" w:after="40" w:line="240" w:lineRule="auto"/>
              <w:rPr>
                <w:rFonts w:ascii="Arial" w:eastAsia="Arial" w:hAnsi="Arial" w:cs="Arial"/>
                <w:sz w:val="20"/>
                <w:szCs w:val="20"/>
              </w:rPr>
            </w:pPr>
            <w:r>
              <w:rPr>
                <w:rFonts w:ascii="Arial" w:eastAsia="Arial" w:hAnsi="Arial" w:cs="Arial"/>
                <w:sz w:val="20"/>
                <w:szCs w:val="20"/>
              </w:rPr>
              <w:t xml:space="preserve">Dirección </w:t>
            </w:r>
            <w:r w:rsidR="00064C0D" w:rsidRPr="00C25BE5">
              <w:rPr>
                <w:rFonts w:ascii="Arial" w:eastAsia="Arial" w:hAnsi="Arial" w:cs="Arial"/>
                <w:sz w:val="20"/>
                <w:szCs w:val="20"/>
              </w:rPr>
              <w:t>Anticorrupción, Ministerio Hacienda</w:t>
            </w:r>
            <w:r w:rsidR="00F33C56" w:rsidRPr="00C25BE5">
              <w:rPr>
                <w:rFonts w:ascii="Arial" w:eastAsia="Arial" w:hAnsi="Arial" w:cs="Arial"/>
                <w:sz w:val="20"/>
                <w:szCs w:val="20"/>
              </w:rPr>
              <w:t xml:space="preserve"> </w:t>
            </w:r>
            <w:r w:rsidR="00F33C56" w:rsidRPr="00C25BE5">
              <w:rPr>
                <w:rFonts w:ascii="Arial" w:eastAsia="Arial" w:hAnsi="Arial" w:cs="Arial"/>
                <w:vanish/>
                <w:sz w:val="20"/>
                <w:szCs w:val="20"/>
              </w:rPr>
              <w:t>Ministerio de Modernización</w:t>
            </w:r>
          </w:p>
        </w:tc>
      </w:tr>
      <w:tr w:rsidR="00F33C56" w:rsidRPr="00C25BE5" w14:paraId="2AB7E82E" w14:textId="77777777" w:rsidTr="005F5061">
        <w:trPr>
          <w:trHeight w:val="1115"/>
        </w:trPr>
        <w:tc>
          <w:tcPr>
            <w:tcW w:w="2430" w:type="dxa"/>
            <w:vMerge/>
            <w:shd w:val="clear" w:color="auto" w:fill="auto"/>
            <w:vAlign w:val="center"/>
          </w:tcPr>
          <w:p w14:paraId="7C95F43A" w14:textId="77777777" w:rsidR="00F33C56" w:rsidRPr="00C25BE5" w:rsidRDefault="00F33C56" w:rsidP="00B85D7F">
            <w:pPr>
              <w:spacing w:after="0" w:line="240" w:lineRule="auto"/>
              <w:rPr>
                <w:rFonts w:ascii="Arial" w:hAnsi="Arial" w:cs="Arial"/>
                <w:sz w:val="20"/>
                <w:szCs w:val="20"/>
              </w:rPr>
            </w:pPr>
          </w:p>
        </w:tc>
        <w:tc>
          <w:tcPr>
            <w:tcW w:w="3960" w:type="dxa"/>
            <w:shd w:val="clear" w:color="auto" w:fill="auto"/>
            <w:vAlign w:val="center"/>
          </w:tcPr>
          <w:p w14:paraId="4C00EFDF" w14:textId="77777777" w:rsidR="00F33C56" w:rsidRDefault="00F33C56" w:rsidP="00B65D0D">
            <w:pPr>
              <w:pStyle w:val="ListParagraph"/>
              <w:numPr>
                <w:ilvl w:val="1"/>
                <w:numId w:val="18"/>
              </w:numPr>
              <w:rPr>
                <w:rFonts w:ascii="Arial" w:eastAsia="Arial" w:hAnsi="Arial" w:cs="Arial"/>
                <w:sz w:val="20"/>
                <w:lang w:val="es-CO"/>
              </w:rPr>
            </w:pPr>
            <w:r w:rsidRPr="00C25BE5">
              <w:rPr>
                <w:rFonts w:ascii="Arial" w:eastAsia="Arial" w:hAnsi="Arial" w:cs="Arial"/>
                <w:sz w:val="20"/>
                <w:lang w:val="es-CO"/>
              </w:rPr>
              <w:t>Adopción de un Manual de Rendición de Cuentas para organismos del Poder Ejecutivo</w:t>
            </w:r>
          </w:p>
          <w:p w14:paraId="1FC750A1" w14:textId="4095C059" w:rsidR="005F5061" w:rsidRPr="00B65D0D" w:rsidRDefault="005F5061" w:rsidP="005F5061">
            <w:pPr>
              <w:pStyle w:val="ListParagraph"/>
              <w:ind w:left="360"/>
              <w:rPr>
                <w:rFonts w:ascii="Arial" w:eastAsia="Arial" w:hAnsi="Arial" w:cs="Arial"/>
                <w:sz w:val="20"/>
                <w:lang w:val="es-CO"/>
              </w:rPr>
            </w:pPr>
          </w:p>
        </w:tc>
        <w:tc>
          <w:tcPr>
            <w:tcW w:w="3870" w:type="dxa"/>
            <w:shd w:val="clear" w:color="auto" w:fill="auto"/>
          </w:tcPr>
          <w:p w14:paraId="3C6CF832" w14:textId="3BA7AB7B" w:rsidR="005F5061" w:rsidRPr="005F5061" w:rsidRDefault="00735F3B" w:rsidP="005F5061">
            <w:pPr>
              <w:pStyle w:val="ListParagraph"/>
              <w:numPr>
                <w:ilvl w:val="0"/>
                <w:numId w:val="11"/>
              </w:numPr>
              <w:spacing w:before="40" w:after="40"/>
              <w:rPr>
                <w:rFonts w:ascii="Arial" w:eastAsia="Arial" w:hAnsi="Arial" w:cs="Arial"/>
                <w:sz w:val="20"/>
                <w:lang w:val="es-ES"/>
              </w:rPr>
            </w:pPr>
            <w:r>
              <w:rPr>
                <w:rFonts w:ascii="Arial" w:eastAsia="Arial" w:hAnsi="Arial" w:cs="Arial"/>
                <w:sz w:val="20"/>
                <w:lang w:val="es-ES"/>
              </w:rPr>
              <w:t xml:space="preserve">Copia del </w:t>
            </w:r>
            <w:r w:rsidR="00927D1D">
              <w:rPr>
                <w:rFonts w:ascii="Arial" w:eastAsia="Arial" w:hAnsi="Arial" w:cs="Arial"/>
                <w:sz w:val="20"/>
                <w:lang w:val="es-ES"/>
              </w:rPr>
              <w:t>Decreto</w:t>
            </w:r>
            <w:r w:rsidR="00402BF4">
              <w:rPr>
                <w:rFonts w:ascii="Arial" w:eastAsia="Arial" w:hAnsi="Arial" w:cs="Arial"/>
                <w:sz w:val="20"/>
                <w:lang w:val="es-ES"/>
              </w:rPr>
              <w:t xml:space="preserve"> </w:t>
            </w:r>
            <w:r w:rsidR="00927D1D">
              <w:rPr>
                <w:rFonts w:ascii="Arial" w:eastAsia="Arial" w:hAnsi="Arial" w:cs="Arial"/>
                <w:sz w:val="20"/>
                <w:lang w:val="es-ES"/>
              </w:rPr>
              <w:t xml:space="preserve">publicado </w:t>
            </w:r>
            <w:r w:rsidR="00C25BE5" w:rsidRPr="00C25BE5">
              <w:rPr>
                <w:rFonts w:ascii="Arial" w:eastAsia="Arial" w:hAnsi="Arial" w:cs="Arial"/>
                <w:sz w:val="20"/>
                <w:lang w:val="es-ES"/>
              </w:rPr>
              <w:t>en la Gaceta Oficial de la República del Paraguay</w:t>
            </w:r>
            <w:r>
              <w:rPr>
                <w:rFonts w:ascii="Arial" w:eastAsia="Arial" w:hAnsi="Arial" w:cs="Arial"/>
                <w:sz w:val="20"/>
                <w:lang w:val="es-ES"/>
              </w:rPr>
              <w:t xml:space="preserve">, adoptando </w:t>
            </w:r>
            <w:r w:rsidRPr="00C25BE5">
              <w:rPr>
                <w:rFonts w:ascii="Arial" w:eastAsia="Arial" w:hAnsi="Arial" w:cs="Arial"/>
                <w:sz w:val="20"/>
                <w:lang w:val="es-CO"/>
              </w:rPr>
              <w:t>un Manual de Rendición de Cuentas para organismos del Poder Ejecutivo</w:t>
            </w:r>
          </w:p>
        </w:tc>
        <w:tc>
          <w:tcPr>
            <w:tcW w:w="2340" w:type="dxa"/>
            <w:shd w:val="clear" w:color="auto" w:fill="auto"/>
            <w:vAlign w:val="center"/>
          </w:tcPr>
          <w:p w14:paraId="6DC85A9B" w14:textId="77777777" w:rsidR="008B25BB" w:rsidRDefault="00064C0D" w:rsidP="00B85D7F">
            <w:pPr>
              <w:spacing w:before="40" w:after="40" w:line="240" w:lineRule="auto"/>
              <w:rPr>
                <w:rFonts w:ascii="Arial" w:eastAsia="Arial" w:hAnsi="Arial" w:cs="Arial"/>
                <w:sz w:val="20"/>
                <w:szCs w:val="20"/>
              </w:rPr>
            </w:pPr>
            <w:r w:rsidRPr="00C25BE5">
              <w:rPr>
                <w:rFonts w:ascii="Arial" w:eastAsia="Arial" w:hAnsi="Arial" w:cs="Arial"/>
                <w:sz w:val="20"/>
                <w:szCs w:val="20"/>
              </w:rPr>
              <w:t>Secretaría Nacional Anticorrupción</w:t>
            </w:r>
            <w:r w:rsidR="00030C91">
              <w:rPr>
                <w:rFonts w:ascii="Arial" w:eastAsia="Arial" w:hAnsi="Arial" w:cs="Arial"/>
                <w:sz w:val="20"/>
                <w:szCs w:val="20"/>
              </w:rPr>
              <w:t xml:space="preserve"> (</w:t>
            </w:r>
            <w:r w:rsidRPr="00C25BE5">
              <w:rPr>
                <w:rFonts w:ascii="Arial" w:eastAsia="Arial" w:hAnsi="Arial" w:cs="Arial"/>
                <w:sz w:val="20"/>
                <w:szCs w:val="20"/>
              </w:rPr>
              <w:t>SENAC</w:t>
            </w:r>
            <w:r w:rsidR="00030C91">
              <w:rPr>
                <w:rFonts w:ascii="Arial" w:eastAsia="Arial" w:hAnsi="Arial" w:cs="Arial"/>
                <w:sz w:val="20"/>
                <w:szCs w:val="20"/>
              </w:rPr>
              <w:t>)</w:t>
            </w:r>
          </w:p>
          <w:p w14:paraId="1E407AE8" w14:textId="557E6A7F" w:rsidR="005F5061" w:rsidRPr="00B65D0D" w:rsidRDefault="005F5061" w:rsidP="00B85D7F">
            <w:pPr>
              <w:spacing w:before="40" w:after="40" w:line="240" w:lineRule="auto"/>
              <w:rPr>
                <w:rFonts w:ascii="Arial" w:eastAsia="Arial" w:hAnsi="Arial" w:cs="Arial"/>
                <w:sz w:val="20"/>
                <w:szCs w:val="20"/>
              </w:rPr>
            </w:pPr>
          </w:p>
        </w:tc>
      </w:tr>
      <w:tr w:rsidR="004037E7" w:rsidRPr="005F5061" w14:paraId="6C090C41" w14:textId="77777777" w:rsidTr="005F5061">
        <w:trPr>
          <w:trHeight w:val="368"/>
        </w:trPr>
        <w:tc>
          <w:tcPr>
            <w:tcW w:w="12600" w:type="dxa"/>
            <w:gridSpan w:val="4"/>
            <w:shd w:val="clear" w:color="auto" w:fill="D9D9D9" w:themeFill="background1" w:themeFillShade="D9"/>
            <w:vAlign w:val="center"/>
          </w:tcPr>
          <w:p w14:paraId="16C3AE79" w14:textId="3F4C27FA" w:rsidR="004037E7" w:rsidRPr="00C25BE5" w:rsidRDefault="00B85D7F" w:rsidP="005F5061">
            <w:pPr>
              <w:spacing w:after="0" w:line="240" w:lineRule="auto"/>
              <w:rPr>
                <w:rFonts w:ascii="Arial" w:eastAsia="Arial" w:hAnsi="Arial" w:cs="Arial"/>
                <w:b/>
                <w:bCs/>
                <w:sz w:val="20"/>
                <w:szCs w:val="20"/>
              </w:rPr>
            </w:pPr>
            <w:r w:rsidRPr="00C25BE5">
              <w:rPr>
                <w:rFonts w:ascii="Arial" w:eastAsia="Arial" w:hAnsi="Arial" w:cs="Arial"/>
                <w:b/>
                <w:bCs/>
                <w:sz w:val="20"/>
                <w:szCs w:val="20"/>
              </w:rPr>
              <w:t xml:space="preserve">Componente </w:t>
            </w:r>
            <w:r w:rsidR="005C7E23">
              <w:rPr>
                <w:rFonts w:ascii="Arial" w:eastAsia="Arial" w:hAnsi="Arial" w:cs="Arial"/>
                <w:b/>
                <w:bCs/>
                <w:sz w:val="20"/>
                <w:szCs w:val="20"/>
              </w:rPr>
              <w:t>3.</w:t>
            </w:r>
            <w:r w:rsidRPr="00C25BE5">
              <w:rPr>
                <w:rFonts w:ascii="Arial" w:eastAsia="Arial" w:hAnsi="Arial" w:cs="Arial"/>
                <w:b/>
                <w:bCs/>
                <w:sz w:val="20"/>
                <w:szCs w:val="20"/>
              </w:rPr>
              <w:t xml:space="preserve"> Fortalecimiento de la Transparencia del Uso de Recursos Públicos</w:t>
            </w:r>
          </w:p>
        </w:tc>
      </w:tr>
      <w:tr w:rsidR="00B85D7F" w:rsidRPr="00C25BE5" w14:paraId="472F6F27" w14:textId="77777777" w:rsidTr="005F5061">
        <w:trPr>
          <w:trHeight w:val="413"/>
        </w:trPr>
        <w:tc>
          <w:tcPr>
            <w:tcW w:w="2430" w:type="dxa"/>
            <w:vMerge w:val="restart"/>
            <w:shd w:val="clear" w:color="auto" w:fill="auto"/>
            <w:vAlign w:val="center"/>
          </w:tcPr>
          <w:p w14:paraId="32281193" w14:textId="14094D80" w:rsidR="00B85D7F" w:rsidRPr="00C25BE5" w:rsidRDefault="006015D7" w:rsidP="009A2B1B">
            <w:pPr>
              <w:pStyle w:val="ListParagraph"/>
              <w:numPr>
                <w:ilvl w:val="0"/>
                <w:numId w:val="18"/>
              </w:numPr>
              <w:spacing w:before="40" w:after="40"/>
              <w:ind w:left="162" w:hanging="180"/>
              <w:rPr>
                <w:rFonts w:ascii="Arial" w:eastAsia="Arial" w:hAnsi="Arial" w:cs="Arial"/>
                <w:sz w:val="20"/>
                <w:lang w:val="es-ES"/>
              </w:rPr>
            </w:pPr>
            <w:r>
              <w:rPr>
                <w:rFonts w:ascii="Arial" w:eastAsia="Arial" w:hAnsi="Arial" w:cs="Arial"/>
                <w:bCs/>
                <w:sz w:val="20"/>
                <w:lang w:val="es-ES"/>
              </w:rPr>
              <w:t>F</w:t>
            </w:r>
            <w:r w:rsidR="006B308C" w:rsidRPr="006B308C">
              <w:rPr>
                <w:rFonts w:ascii="Arial" w:eastAsia="Arial" w:hAnsi="Arial" w:cs="Arial"/>
                <w:bCs/>
                <w:sz w:val="20"/>
                <w:lang w:val="es-ES"/>
              </w:rPr>
              <w:t xml:space="preserve">ortalecer la eficiencia en la gestión de los recursos públicos, con énfasis en los proyectos de inversión pública y de las compras y contrataciones de bienes y servicios </w:t>
            </w:r>
          </w:p>
        </w:tc>
        <w:tc>
          <w:tcPr>
            <w:tcW w:w="3960" w:type="dxa"/>
            <w:shd w:val="clear" w:color="auto" w:fill="auto"/>
          </w:tcPr>
          <w:p w14:paraId="48107EDE" w14:textId="5E7E7ACC" w:rsidR="00B85D7F" w:rsidRPr="00C25BE5" w:rsidRDefault="00B85D7F" w:rsidP="00B85D7F">
            <w:pPr>
              <w:pStyle w:val="ListParagraph"/>
              <w:numPr>
                <w:ilvl w:val="1"/>
                <w:numId w:val="17"/>
              </w:numPr>
              <w:spacing w:before="40" w:after="40"/>
              <w:rPr>
                <w:rFonts w:ascii="Arial" w:eastAsia="Arial" w:hAnsi="Arial" w:cs="Arial"/>
                <w:sz w:val="20"/>
                <w:lang w:val="es-ES"/>
              </w:rPr>
            </w:pPr>
            <w:r w:rsidRPr="00C25BE5">
              <w:rPr>
                <w:rFonts w:ascii="Arial" w:hAnsi="Arial" w:cs="Arial"/>
                <w:sz w:val="20"/>
                <w:lang w:val="es-ES_tradnl"/>
              </w:rPr>
              <w:t xml:space="preserve">Incorporación de la obligatoriedad de informar periódicamente a la Dirección del Sistema de Inversión Pública de los Organismos y Entidades del Estado (OEE) que ejecuten proyectos acerca del avance físico-financiero comprometido en su Plan de Ejecución Plurianual (PEP) </w:t>
            </w:r>
          </w:p>
        </w:tc>
        <w:tc>
          <w:tcPr>
            <w:tcW w:w="3870" w:type="dxa"/>
            <w:shd w:val="clear" w:color="auto" w:fill="auto"/>
          </w:tcPr>
          <w:p w14:paraId="3BDFF845" w14:textId="4ED6D387" w:rsidR="00B85D7F" w:rsidRPr="00C25BE5" w:rsidRDefault="00D80087" w:rsidP="002605EA">
            <w:pPr>
              <w:pStyle w:val="ListParagraph"/>
              <w:numPr>
                <w:ilvl w:val="0"/>
                <w:numId w:val="12"/>
              </w:numPr>
              <w:spacing w:before="40" w:after="40"/>
              <w:rPr>
                <w:rFonts w:ascii="Arial" w:eastAsia="Arial" w:hAnsi="Arial" w:cs="Arial"/>
                <w:sz w:val="20"/>
                <w:lang w:val="es-ES"/>
              </w:rPr>
            </w:pPr>
            <w:r>
              <w:rPr>
                <w:rFonts w:ascii="Arial" w:eastAsia="Arial" w:hAnsi="Arial" w:cs="Arial"/>
                <w:sz w:val="20"/>
                <w:lang w:val="es-ES"/>
              </w:rPr>
              <w:t xml:space="preserve">Artículo 63 </w:t>
            </w:r>
            <w:r w:rsidR="00735F3B">
              <w:rPr>
                <w:rFonts w:ascii="Arial" w:eastAsia="Arial" w:hAnsi="Arial" w:cs="Arial"/>
                <w:sz w:val="20"/>
                <w:lang w:val="es-ES"/>
              </w:rPr>
              <w:t xml:space="preserve">de la </w:t>
            </w:r>
            <w:r w:rsidR="00705832">
              <w:rPr>
                <w:rFonts w:ascii="Arial" w:eastAsia="Arial" w:hAnsi="Arial" w:cs="Arial"/>
                <w:sz w:val="20"/>
                <w:lang w:val="es-ES"/>
              </w:rPr>
              <w:t xml:space="preserve">Ley No. 6258 de Presupuesto General de la Nación </w:t>
            </w:r>
            <w:r w:rsidR="00B85D7F" w:rsidRPr="00C25BE5">
              <w:rPr>
                <w:rFonts w:ascii="Arial" w:eastAsia="Arial" w:hAnsi="Arial" w:cs="Arial"/>
                <w:sz w:val="20"/>
                <w:lang w:val="es-ES"/>
              </w:rPr>
              <w:t>2019</w:t>
            </w:r>
            <w:r w:rsidR="00330C2C">
              <w:rPr>
                <w:rFonts w:ascii="Arial" w:eastAsia="Arial" w:hAnsi="Arial" w:cs="Arial"/>
                <w:sz w:val="20"/>
                <w:lang w:val="es-ES"/>
              </w:rPr>
              <w:t xml:space="preserve">, publicada </w:t>
            </w:r>
            <w:r w:rsidR="00B85D7F" w:rsidRPr="00C25BE5">
              <w:rPr>
                <w:rFonts w:ascii="Arial" w:eastAsia="Arial" w:hAnsi="Arial" w:cs="Arial"/>
                <w:sz w:val="20"/>
                <w:lang w:val="es-ES"/>
              </w:rPr>
              <w:t>en la Gaceta Oficial de la República del Paraguay</w:t>
            </w:r>
          </w:p>
        </w:tc>
        <w:tc>
          <w:tcPr>
            <w:tcW w:w="2340" w:type="dxa"/>
            <w:shd w:val="clear" w:color="auto" w:fill="auto"/>
            <w:vAlign w:val="center"/>
          </w:tcPr>
          <w:p w14:paraId="1A443EF1" w14:textId="2E0F98DF" w:rsidR="00B85D7F" w:rsidRPr="00C25BE5" w:rsidRDefault="00064C0D" w:rsidP="00B85D7F">
            <w:pPr>
              <w:spacing w:before="40" w:after="40" w:line="240" w:lineRule="auto"/>
              <w:rPr>
                <w:rFonts w:ascii="Arial" w:eastAsia="Arial" w:hAnsi="Arial" w:cs="Arial"/>
                <w:sz w:val="20"/>
                <w:szCs w:val="20"/>
              </w:rPr>
            </w:pPr>
            <w:r w:rsidRPr="00C25BE5">
              <w:rPr>
                <w:rFonts w:ascii="Arial" w:eastAsia="Arial" w:hAnsi="Arial" w:cs="Arial"/>
                <w:sz w:val="20"/>
                <w:szCs w:val="20"/>
              </w:rPr>
              <w:t xml:space="preserve">Dirección </w:t>
            </w:r>
            <w:r w:rsidR="00330C2C">
              <w:rPr>
                <w:rFonts w:ascii="Arial" w:eastAsia="Arial" w:hAnsi="Arial" w:cs="Arial"/>
                <w:sz w:val="20"/>
                <w:szCs w:val="20"/>
              </w:rPr>
              <w:t xml:space="preserve">General de </w:t>
            </w:r>
            <w:r w:rsidRPr="00C25BE5">
              <w:rPr>
                <w:rFonts w:ascii="Arial" w:eastAsia="Arial" w:hAnsi="Arial" w:cs="Arial"/>
                <w:sz w:val="20"/>
                <w:szCs w:val="20"/>
              </w:rPr>
              <w:t>Presupuesto, Ministerio de Hacienda</w:t>
            </w:r>
            <w:r w:rsidR="00B85D7F" w:rsidRPr="00C25BE5">
              <w:rPr>
                <w:rFonts w:ascii="Arial" w:eastAsia="Arial" w:hAnsi="Arial" w:cs="Arial"/>
                <w:vanish/>
                <w:sz w:val="20"/>
                <w:szCs w:val="20"/>
              </w:rPr>
              <w:t>Ministerio de Modernización</w:t>
            </w:r>
          </w:p>
        </w:tc>
      </w:tr>
      <w:tr w:rsidR="00B85D7F" w:rsidRPr="00C25BE5" w14:paraId="3EFBE390" w14:textId="77777777" w:rsidTr="00B65D0D">
        <w:trPr>
          <w:trHeight w:val="1196"/>
        </w:trPr>
        <w:tc>
          <w:tcPr>
            <w:tcW w:w="2430" w:type="dxa"/>
            <w:vMerge/>
            <w:shd w:val="clear" w:color="auto" w:fill="auto"/>
            <w:vAlign w:val="center"/>
          </w:tcPr>
          <w:p w14:paraId="01C80F93" w14:textId="77777777" w:rsidR="00B85D7F" w:rsidRPr="00C25BE5" w:rsidRDefault="00B85D7F" w:rsidP="00B85D7F">
            <w:pPr>
              <w:spacing w:before="40" w:after="40" w:line="240" w:lineRule="auto"/>
              <w:rPr>
                <w:rFonts w:ascii="Arial" w:hAnsi="Arial" w:cs="Arial"/>
                <w:sz w:val="20"/>
                <w:szCs w:val="20"/>
              </w:rPr>
            </w:pPr>
          </w:p>
        </w:tc>
        <w:tc>
          <w:tcPr>
            <w:tcW w:w="3960" w:type="dxa"/>
            <w:shd w:val="clear" w:color="auto" w:fill="auto"/>
          </w:tcPr>
          <w:p w14:paraId="60DBADD6" w14:textId="0AD3A236" w:rsidR="00DE1D6B" w:rsidRPr="00C25BE5" w:rsidRDefault="00B85D7F" w:rsidP="002605EA">
            <w:pPr>
              <w:pStyle w:val="ListParagraph"/>
              <w:numPr>
                <w:ilvl w:val="1"/>
                <w:numId w:val="17"/>
              </w:numPr>
              <w:spacing w:after="40"/>
              <w:rPr>
                <w:rFonts w:ascii="Arial" w:hAnsi="Arial" w:cs="Arial"/>
                <w:sz w:val="20"/>
                <w:lang w:val="es-ES_tradnl"/>
              </w:rPr>
            </w:pPr>
            <w:r w:rsidRPr="00C25BE5">
              <w:rPr>
                <w:rFonts w:ascii="Arial" w:hAnsi="Arial" w:cs="Arial"/>
                <w:sz w:val="20"/>
                <w:lang w:val="es-ES_tradnl"/>
              </w:rPr>
              <w:t>Adopción de un módulo de Pliego</w:t>
            </w:r>
            <w:r w:rsidR="00DE1D6B" w:rsidRPr="00C25BE5">
              <w:rPr>
                <w:rFonts w:ascii="Arial" w:hAnsi="Arial" w:cs="Arial"/>
                <w:sz w:val="20"/>
                <w:lang w:val="es-ES_tradnl"/>
              </w:rPr>
              <w:t xml:space="preserve"> </w:t>
            </w:r>
            <w:r w:rsidRPr="00C25BE5">
              <w:rPr>
                <w:rFonts w:ascii="Arial" w:hAnsi="Arial" w:cs="Arial"/>
                <w:sz w:val="20"/>
                <w:lang w:val="es-ES_tradnl"/>
              </w:rPr>
              <w:t>Electrónico para la generación de los pliegos de bases y condiciones en los procesos de compras públicas de bienes</w:t>
            </w:r>
          </w:p>
          <w:p w14:paraId="6AD94807" w14:textId="5E9ADCD0" w:rsidR="00DE1D6B" w:rsidRPr="00C25BE5" w:rsidRDefault="00DE1D6B" w:rsidP="00B85D7F">
            <w:pPr>
              <w:spacing w:before="40" w:after="40" w:line="240" w:lineRule="auto"/>
              <w:rPr>
                <w:rFonts w:ascii="Arial" w:eastAsia="Arial" w:hAnsi="Arial" w:cs="Arial"/>
                <w:sz w:val="20"/>
                <w:szCs w:val="20"/>
                <w:lang w:val="es-CO"/>
              </w:rPr>
            </w:pPr>
          </w:p>
        </w:tc>
        <w:tc>
          <w:tcPr>
            <w:tcW w:w="3870" w:type="dxa"/>
            <w:shd w:val="clear" w:color="auto" w:fill="FFFFFF" w:themeFill="background1"/>
          </w:tcPr>
          <w:p w14:paraId="09F02A9B" w14:textId="55A7BE6F" w:rsidR="00B85D7F" w:rsidRPr="00B65D0D" w:rsidRDefault="00D154EA" w:rsidP="00B65D0D">
            <w:pPr>
              <w:pStyle w:val="ListParagraph"/>
              <w:numPr>
                <w:ilvl w:val="0"/>
                <w:numId w:val="12"/>
              </w:numPr>
              <w:rPr>
                <w:rFonts w:ascii="Arial" w:eastAsia="Arial" w:hAnsi="Arial" w:cs="Arial"/>
                <w:sz w:val="20"/>
                <w:lang w:val="es-ES"/>
              </w:rPr>
            </w:pPr>
            <w:r w:rsidRPr="004D4F99">
              <w:rPr>
                <w:rFonts w:ascii="Arial" w:eastAsia="Arial" w:hAnsi="Arial" w:cs="Arial"/>
                <w:sz w:val="20"/>
                <w:lang w:val="es-ES"/>
              </w:rPr>
              <w:t xml:space="preserve">Nota </w:t>
            </w:r>
            <w:r w:rsidR="00CA7F79" w:rsidRPr="004D4F99">
              <w:rPr>
                <w:rFonts w:ascii="Arial" w:eastAsia="Arial" w:hAnsi="Arial" w:cs="Arial"/>
                <w:sz w:val="20"/>
                <w:lang w:val="es-ES"/>
              </w:rPr>
              <w:t xml:space="preserve">del Ministerio de Hacienda </w:t>
            </w:r>
            <w:r w:rsidRPr="004D4F99">
              <w:rPr>
                <w:rFonts w:ascii="Arial" w:eastAsia="Arial" w:hAnsi="Arial" w:cs="Arial"/>
                <w:sz w:val="20"/>
                <w:lang w:val="es-ES"/>
              </w:rPr>
              <w:t xml:space="preserve">adjuntando la </w:t>
            </w:r>
            <w:r w:rsidR="00B42924" w:rsidRPr="004D4F99">
              <w:rPr>
                <w:rFonts w:ascii="Arial" w:eastAsia="Arial" w:hAnsi="Arial" w:cs="Arial"/>
                <w:sz w:val="20"/>
                <w:lang w:val="es-ES"/>
              </w:rPr>
              <w:t xml:space="preserve">Resolución </w:t>
            </w:r>
            <w:r w:rsidR="00CC39AB" w:rsidRPr="004D4F99">
              <w:rPr>
                <w:rFonts w:ascii="Arial" w:eastAsia="Arial" w:hAnsi="Arial" w:cs="Arial"/>
                <w:sz w:val="20"/>
                <w:lang w:val="es-ES"/>
              </w:rPr>
              <w:t xml:space="preserve">DNCP </w:t>
            </w:r>
            <w:r w:rsidR="00735F3B" w:rsidRPr="004D4F99">
              <w:rPr>
                <w:rFonts w:ascii="Arial" w:eastAsia="Arial" w:hAnsi="Arial" w:cs="Arial"/>
                <w:sz w:val="20"/>
                <w:lang w:val="es-ES"/>
              </w:rPr>
              <w:t xml:space="preserve">adoptando </w:t>
            </w:r>
            <w:r w:rsidR="00735F3B" w:rsidRPr="004D4F99">
              <w:rPr>
                <w:rFonts w:ascii="Arial" w:hAnsi="Arial" w:cs="Arial"/>
                <w:sz w:val="20"/>
                <w:lang w:val="es-ES_tradnl"/>
              </w:rPr>
              <w:t>un módulo de Pliego Electrónico para la generación de los pliegos de bases y condiciones en los procesos de compras públicas de bienes</w:t>
            </w:r>
          </w:p>
        </w:tc>
        <w:tc>
          <w:tcPr>
            <w:tcW w:w="2340" w:type="dxa"/>
            <w:shd w:val="clear" w:color="auto" w:fill="auto"/>
            <w:vAlign w:val="center"/>
          </w:tcPr>
          <w:p w14:paraId="5D9F2FDC" w14:textId="5CB2A193" w:rsidR="00B85D7F" w:rsidRPr="00C25BE5" w:rsidRDefault="00C25BE5" w:rsidP="00B85D7F">
            <w:pPr>
              <w:spacing w:before="40" w:after="40" w:line="240" w:lineRule="auto"/>
              <w:rPr>
                <w:rFonts w:ascii="Arial" w:eastAsia="Arial" w:hAnsi="Arial" w:cs="Arial"/>
                <w:sz w:val="20"/>
                <w:szCs w:val="20"/>
              </w:rPr>
            </w:pPr>
            <w:r w:rsidRPr="00C25BE5">
              <w:rPr>
                <w:rFonts w:ascii="Arial" w:eastAsia="Arial" w:hAnsi="Arial" w:cs="Arial"/>
                <w:sz w:val="20"/>
                <w:szCs w:val="20"/>
              </w:rPr>
              <w:t>Dirección Nacional de Compras Públicas</w:t>
            </w:r>
            <w:r w:rsidRPr="00C25BE5">
              <w:rPr>
                <w:rFonts w:ascii="Arial" w:eastAsia="Arial" w:hAnsi="Arial" w:cs="Arial"/>
                <w:vanish/>
                <w:sz w:val="20"/>
                <w:szCs w:val="20"/>
              </w:rPr>
              <w:t xml:space="preserve"> </w:t>
            </w:r>
            <w:r w:rsidRPr="00C25BE5">
              <w:rPr>
                <w:rFonts w:ascii="Arial" w:eastAsia="Arial" w:hAnsi="Arial" w:cs="Arial"/>
                <w:sz w:val="20"/>
                <w:szCs w:val="20"/>
              </w:rPr>
              <w:t xml:space="preserve"> (DNCP)</w:t>
            </w:r>
          </w:p>
        </w:tc>
      </w:tr>
      <w:tr w:rsidR="00B85D7F" w:rsidRPr="00C25BE5" w14:paraId="084DCCD2" w14:textId="77777777" w:rsidTr="008B25BB">
        <w:trPr>
          <w:trHeight w:val="47"/>
        </w:trPr>
        <w:tc>
          <w:tcPr>
            <w:tcW w:w="2430" w:type="dxa"/>
            <w:vMerge/>
            <w:shd w:val="clear" w:color="auto" w:fill="auto"/>
            <w:vAlign w:val="center"/>
          </w:tcPr>
          <w:p w14:paraId="6055E094" w14:textId="77777777" w:rsidR="00B85D7F" w:rsidRPr="00C25BE5" w:rsidRDefault="00B85D7F" w:rsidP="00B85D7F">
            <w:pPr>
              <w:spacing w:after="0" w:line="240" w:lineRule="auto"/>
              <w:rPr>
                <w:rFonts w:ascii="Arial" w:hAnsi="Arial" w:cs="Arial"/>
                <w:sz w:val="20"/>
                <w:szCs w:val="20"/>
              </w:rPr>
            </w:pPr>
          </w:p>
        </w:tc>
        <w:tc>
          <w:tcPr>
            <w:tcW w:w="3960" w:type="dxa"/>
            <w:shd w:val="clear" w:color="auto" w:fill="auto"/>
          </w:tcPr>
          <w:p w14:paraId="599582BA" w14:textId="75467F67" w:rsidR="00B85D7F" w:rsidRPr="00C25BE5" w:rsidRDefault="00B85D7F" w:rsidP="002605EA">
            <w:pPr>
              <w:pStyle w:val="ListParagraph"/>
              <w:numPr>
                <w:ilvl w:val="1"/>
                <w:numId w:val="17"/>
              </w:numPr>
              <w:spacing w:after="40"/>
              <w:rPr>
                <w:rFonts w:ascii="Arial" w:hAnsi="Arial" w:cs="Arial"/>
                <w:sz w:val="20"/>
                <w:lang w:val="es-ES_tradnl"/>
              </w:rPr>
            </w:pPr>
            <w:r w:rsidRPr="00C25BE5">
              <w:rPr>
                <w:rFonts w:ascii="Arial" w:hAnsi="Arial" w:cs="Arial"/>
                <w:sz w:val="20"/>
                <w:lang w:val="es-ES_tradnl"/>
              </w:rPr>
              <w:t>Adopción de un Sistema de Seguimiento de Contratos del Sistema de Información de Contrataciones Públicas (SICP) obligatorio para las entidades contratantes del Poder Ejecutivo regidas por la Ley de Contrataciones Públicas.</w:t>
            </w:r>
          </w:p>
        </w:tc>
        <w:tc>
          <w:tcPr>
            <w:tcW w:w="3870" w:type="dxa"/>
            <w:shd w:val="clear" w:color="auto" w:fill="auto"/>
            <w:vAlign w:val="center"/>
          </w:tcPr>
          <w:p w14:paraId="3CD710FE" w14:textId="7E2F4214" w:rsidR="00B85D7F" w:rsidRPr="005F5061" w:rsidRDefault="00D154EA" w:rsidP="005F5061">
            <w:pPr>
              <w:pStyle w:val="ListParagraph"/>
              <w:numPr>
                <w:ilvl w:val="0"/>
                <w:numId w:val="12"/>
              </w:numPr>
              <w:spacing w:before="40" w:after="40"/>
              <w:rPr>
                <w:rFonts w:ascii="Arial" w:eastAsia="Arial" w:hAnsi="Arial" w:cs="Arial"/>
                <w:sz w:val="20"/>
                <w:lang w:val="es-ES"/>
              </w:rPr>
            </w:pPr>
            <w:r>
              <w:rPr>
                <w:rFonts w:ascii="Arial" w:eastAsia="Arial" w:hAnsi="Arial" w:cs="Arial"/>
                <w:sz w:val="20"/>
                <w:lang w:val="es-ES"/>
              </w:rPr>
              <w:t xml:space="preserve">Nota </w:t>
            </w:r>
            <w:r w:rsidR="00CA7F79">
              <w:rPr>
                <w:rFonts w:ascii="Arial" w:eastAsia="Arial" w:hAnsi="Arial" w:cs="Arial"/>
                <w:sz w:val="20"/>
                <w:lang w:val="es-ES"/>
              </w:rPr>
              <w:t xml:space="preserve">del Ministerio de Hacienda </w:t>
            </w:r>
            <w:r>
              <w:rPr>
                <w:rFonts w:ascii="Arial" w:eastAsia="Arial" w:hAnsi="Arial" w:cs="Arial"/>
                <w:sz w:val="20"/>
                <w:lang w:val="es-ES"/>
              </w:rPr>
              <w:t xml:space="preserve">adjuntando la Resolución DNCP </w:t>
            </w:r>
            <w:r w:rsidR="00735F3B">
              <w:rPr>
                <w:rFonts w:ascii="Arial" w:eastAsia="Arial" w:hAnsi="Arial" w:cs="Arial"/>
                <w:sz w:val="20"/>
                <w:lang w:val="es-ES"/>
              </w:rPr>
              <w:t xml:space="preserve">adoptando un </w:t>
            </w:r>
            <w:r w:rsidR="00735F3B" w:rsidRPr="00C25BE5">
              <w:rPr>
                <w:rFonts w:ascii="Arial" w:hAnsi="Arial" w:cs="Arial"/>
                <w:sz w:val="20"/>
                <w:lang w:val="es-ES_tradnl"/>
              </w:rPr>
              <w:t>Sistema de Seguimiento de Contratos del Sistema de Información de Contrataciones Públicas (SICP) obligatorio para las entidades contratantes del Poder Ejecutivo regidas por la Ley de Contrataciones Públicas</w:t>
            </w:r>
          </w:p>
        </w:tc>
        <w:tc>
          <w:tcPr>
            <w:tcW w:w="2340" w:type="dxa"/>
            <w:shd w:val="clear" w:color="auto" w:fill="auto"/>
            <w:vAlign w:val="center"/>
          </w:tcPr>
          <w:p w14:paraId="21B3C308" w14:textId="706489A8" w:rsidR="00B85D7F" w:rsidRPr="00C25BE5" w:rsidRDefault="00C25BE5" w:rsidP="00B85D7F">
            <w:pPr>
              <w:spacing w:before="40" w:after="40" w:line="240" w:lineRule="auto"/>
              <w:rPr>
                <w:rFonts w:ascii="Arial" w:eastAsia="Arial" w:hAnsi="Arial" w:cs="Arial"/>
                <w:sz w:val="20"/>
                <w:szCs w:val="20"/>
              </w:rPr>
            </w:pPr>
            <w:r w:rsidRPr="00C25BE5">
              <w:rPr>
                <w:rFonts w:ascii="Arial" w:eastAsia="Arial" w:hAnsi="Arial" w:cs="Arial"/>
                <w:sz w:val="20"/>
                <w:szCs w:val="20"/>
              </w:rPr>
              <w:t>Dirección Nacional de Compras Públicas</w:t>
            </w:r>
            <w:r w:rsidRPr="00C25BE5">
              <w:rPr>
                <w:rFonts w:ascii="Arial" w:eastAsia="Arial" w:hAnsi="Arial" w:cs="Arial"/>
                <w:vanish/>
                <w:sz w:val="20"/>
                <w:szCs w:val="20"/>
              </w:rPr>
              <w:t xml:space="preserve"> </w:t>
            </w:r>
            <w:r w:rsidRPr="00C25BE5">
              <w:rPr>
                <w:rFonts w:ascii="Arial" w:eastAsia="Arial" w:hAnsi="Arial" w:cs="Arial"/>
                <w:sz w:val="20"/>
                <w:szCs w:val="20"/>
              </w:rPr>
              <w:t xml:space="preserve"> (DNCP)</w:t>
            </w:r>
            <w:r w:rsidR="00B85D7F" w:rsidRPr="00C25BE5">
              <w:rPr>
                <w:rFonts w:ascii="Arial" w:eastAsia="Arial" w:hAnsi="Arial" w:cs="Arial"/>
                <w:vanish/>
                <w:sz w:val="20"/>
                <w:szCs w:val="20"/>
              </w:rPr>
              <w:t>Ministerio de Modernización</w:t>
            </w:r>
          </w:p>
        </w:tc>
      </w:tr>
      <w:tr w:rsidR="00B85D7F" w:rsidRPr="00C25BE5" w14:paraId="492F9E84" w14:textId="77777777" w:rsidTr="002605EA">
        <w:trPr>
          <w:trHeight w:val="47"/>
        </w:trPr>
        <w:tc>
          <w:tcPr>
            <w:tcW w:w="2430" w:type="dxa"/>
            <w:vMerge/>
            <w:shd w:val="clear" w:color="auto" w:fill="auto"/>
            <w:vAlign w:val="center"/>
          </w:tcPr>
          <w:p w14:paraId="1BA877B9" w14:textId="77777777" w:rsidR="00B85D7F" w:rsidRPr="00C25BE5" w:rsidRDefault="00B85D7F" w:rsidP="00B85D7F">
            <w:pPr>
              <w:spacing w:after="0" w:line="240" w:lineRule="auto"/>
              <w:rPr>
                <w:rFonts w:ascii="Arial" w:hAnsi="Arial" w:cs="Arial"/>
                <w:sz w:val="20"/>
                <w:szCs w:val="20"/>
              </w:rPr>
            </w:pPr>
          </w:p>
        </w:tc>
        <w:tc>
          <w:tcPr>
            <w:tcW w:w="3960" w:type="dxa"/>
            <w:shd w:val="clear" w:color="auto" w:fill="auto"/>
          </w:tcPr>
          <w:p w14:paraId="2905B52C" w14:textId="461D947D" w:rsidR="00DE1D6B" w:rsidRPr="00C25BE5" w:rsidRDefault="00473D8B" w:rsidP="00DE1D6B">
            <w:pPr>
              <w:pStyle w:val="ListParagraph"/>
              <w:numPr>
                <w:ilvl w:val="1"/>
                <w:numId w:val="17"/>
              </w:numPr>
              <w:rPr>
                <w:rStyle w:val="normaltextrun1"/>
                <w:rFonts w:ascii="Arial" w:hAnsi="Arial" w:cs="Arial"/>
                <w:sz w:val="20"/>
                <w:lang w:val="es-ES_tradnl"/>
              </w:rPr>
            </w:pPr>
            <w:r w:rsidRPr="002605EA">
              <w:rPr>
                <w:lang w:val="es-ES_tradnl"/>
              </w:rPr>
              <w:t xml:space="preserve"> </w:t>
            </w:r>
            <w:r w:rsidRPr="00473D8B">
              <w:rPr>
                <w:rFonts w:ascii="Arial" w:hAnsi="Arial" w:cs="Arial"/>
                <w:sz w:val="20"/>
                <w:lang w:val="es-ES_tradnl"/>
              </w:rPr>
              <w:t>Adopción de un sistema de transparencia y rendición de cuentas que disponga publicar el presupuesto en formatos accesibles y lenguajes entendibles para los ciudadanos (presupuesto ciudadano)</w:t>
            </w:r>
          </w:p>
        </w:tc>
        <w:tc>
          <w:tcPr>
            <w:tcW w:w="3870" w:type="dxa"/>
            <w:shd w:val="clear" w:color="auto" w:fill="auto"/>
          </w:tcPr>
          <w:p w14:paraId="5B041EF7" w14:textId="378F12BC" w:rsidR="00DE1D6B" w:rsidRPr="005F5061" w:rsidRDefault="0013570B" w:rsidP="005F5061">
            <w:pPr>
              <w:pStyle w:val="ListParagraph"/>
              <w:numPr>
                <w:ilvl w:val="0"/>
                <w:numId w:val="12"/>
              </w:numPr>
              <w:spacing w:before="40" w:after="40"/>
              <w:rPr>
                <w:rFonts w:ascii="Arial" w:eastAsia="Arial" w:hAnsi="Arial" w:cs="Arial"/>
                <w:sz w:val="20"/>
                <w:lang w:val="es-ES"/>
              </w:rPr>
            </w:pPr>
            <w:r>
              <w:rPr>
                <w:rFonts w:ascii="Arial" w:eastAsia="Arial" w:hAnsi="Arial" w:cs="Arial"/>
                <w:sz w:val="20"/>
                <w:lang w:val="es-ES_tradnl"/>
              </w:rPr>
              <w:t xml:space="preserve">Nota </w:t>
            </w:r>
            <w:r w:rsidR="00CA7F79">
              <w:rPr>
                <w:rFonts w:ascii="Arial" w:eastAsia="Arial" w:hAnsi="Arial" w:cs="Arial"/>
                <w:sz w:val="20"/>
                <w:lang w:val="es-ES_tradnl"/>
              </w:rPr>
              <w:t xml:space="preserve">del Ministerio de Hacienda </w:t>
            </w:r>
            <w:r>
              <w:rPr>
                <w:rFonts w:ascii="Arial" w:eastAsia="Arial" w:hAnsi="Arial" w:cs="Arial"/>
                <w:sz w:val="20"/>
                <w:lang w:val="es-ES_tradnl"/>
              </w:rPr>
              <w:t xml:space="preserve">adjuntando la Resolución del Ministerio de Hacienda </w:t>
            </w:r>
            <w:r w:rsidR="00735F3B">
              <w:rPr>
                <w:rFonts w:ascii="Arial" w:eastAsia="Arial" w:hAnsi="Arial" w:cs="Arial"/>
                <w:sz w:val="20"/>
                <w:lang w:val="es-ES_tradnl"/>
              </w:rPr>
              <w:t xml:space="preserve">relacionado con </w:t>
            </w:r>
            <w:r w:rsidR="00735F3B" w:rsidRPr="00C25BE5">
              <w:rPr>
                <w:rFonts w:ascii="Arial" w:hAnsi="Arial" w:cs="Arial"/>
                <w:sz w:val="20"/>
                <w:lang w:val="es-ES_tradnl"/>
              </w:rPr>
              <w:t>un régimen de transparencia y rendición de cuentas del presupuesto a través del presupuesto ciudadano</w:t>
            </w:r>
          </w:p>
        </w:tc>
        <w:tc>
          <w:tcPr>
            <w:tcW w:w="2340" w:type="dxa"/>
            <w:shd w:val="clear" w:color="auto" w:fill="auto"/>
            <w:vAlign w:val="center"/>
          </w:tcPr>
          <w:p w14:paraId="4824DC98" w14:textId="0BB5F5AD" w:rsidR="00B85D7F" w:rsidRPr="00C25BE5" w:rsidRDefault="00064C0D" w:rsidP="00B85D7F">
            <w:pPr>
              <w:spacing w:before="40" w:after="40" w:line="240" w:lineRule="auto"/>
              <w:rPr>
                <w:rFonts w:ascii="Arial" w:eastAsia="Arial" w:hAnsi="Arial" w:cs="Arial"/>
                <w:sz w:val="20"/>
                <w:szCs w:val="20"/>
              </w:rPr>
            </w:pPr>
            <w:r w:rsidRPr="00C25BE5">
              <w:rPr>
                <w:rFonts w:ascii="Arial" w:eastAsia="Arial" w:hAnsi="Arial" w:cs="Arial"/>
                <w:sz w:val="20"/>
                <w:szCs w:val="20"/>
              </w:rPr>
              <w:t xml:space="preserve">Dirección </w:t>
            </w:r>
            <w:r w:rsidR="0013570B">
              <w:rPr>
                <w:rFonts w:ascii="Arial" w:eastAsia="Arial" w:hAnsi="Arial" w:cs="Arial"/>
                <w:sz w:val="20"/>
                <w:szCs w:val="20"/>
              </w:rPr>
              <w:t xml:space="preserve">General de </w:t>
            </w:r>
            <w:r w:rsidRPr="00C25BE5">
              <w:rPr>
                <w:rFonts w:ascii="Arial" w:eastAsia="Arial" w:hAnsi="Arial" w:cs="Arial"/>
                <w:sz w:val="20"/>
                <w:szCs w:val="20"/>
              </w:rPr>
              <w:t>Presupuesto, Ministerio de Hacienda</w:t>
            </w:r>
          </w:p>
        </w:tc>
      </w:tr>
      <w:tr w:rsidR="00801201" w:rsidRPr="00C25BE5" w14:paraId="3276CE4C" w14:textId="77777777" w:rsidTr="005F5061">
        <w:trPr>
          <w:trHeight w:val="341"/>
        </w:trPr>
        <w:tc>
          <w:tcPr>
            <w:tcW w:w="12600" w:type="dxa"/>
            <w:gridSpan w:val="4"/>
            <w:shd w:val="clear" w:color="auto" w:fill="D9D9D9" w:themeFill="background1" w:themeFillShade="D9"/>
            <w:vAlign w:val="center"/>
          </w:tcPr>
          <w:p w14:paraId="2BB74FA2" w14:textId="276BF53F" w:rsidR="00801201" w:rsidRPr="00C25BE5" w:rsidRDefault="177DA22B" w:rsidP="00B85D7F">
            <w:pPr>
              <w:spacing w:after="0" w:line="240" w:lineRule="auto"/>
              <w:rPr>
                <w:rFonts w:ascii="Arial" w:eastAsia="Arial" w:hAnsi="Arial" w:cs="Arial"/>
                <w:b/>
                <w:bCs/>
                <w:sz w:val="20"/>
                <w:szCs w:val="20"/>
              </w:rPr>
            </w:pPr>
            <w:r w:rsidRPr="00C25BE5">
              <w:rPr>
                <w:rFonts w:ascii="Arial" w:eastAsia="Arial" w:hAnsi="Arial" w:cs="Arial"/>
                <w:b/>
                <w:bCs/>
                <w:sz w:val="20"/>
                <w:szCs w:val="20"/>
              </w:rPr>
              <w:t xml:space="preserve">Componente </w:t>
            </w:r>
            <w:r w:rsidR="005C7E23">
              <w:rPr>
                <w:rFonts w:ascii="Arial" w:eastAsia="Arial" w:hAnsi="Arial" w:cs="Arial"/>
                <w:b/>
                <w:bCs/>
                <w:sz w:val="20"/>
                <w:szCs w:val="20"/>
              </w:rPr>
              <w:t>4.</w:t>
            </w:r>
            <w:r w:rsidRPr="00C25BE5">
              <w:rPr>
                <w:rFonts w:ascii="Arial" w:eastAsia="Arial" w:hAnsi="Arial" w:cs="Arial"/>
                <w:b/>
                <w:bCs/>
                <w:sz w:val="20"/>
                <w:szCs w:val="20"/>
              </w:rPr>
              <w:t xml:space="preserve"> Fortalecimiento de la transparencia financiera</w:t>
            </w:r>
          </w:p>
        </w:tc>
      </w:tr>
      <w:tr w:rsidR="00C25BE5" w:rsidRPr="00C25BE5" w14:paraId="0E8C84EA" w14:textId="77777777" w:rsidTr="008B25BB">
        <w:tc>
          <w:tcPr>
            <w:tcW w:w="2430" w:type="dxa"/>
            <w:vMerge w:val="restart"/>
            <w:shd w:val="clear" w:color="auto" w:fill="auto"/>
            <w:vAlign w:val="center"/>
          </w:tcPr>
          <w:p w14:paraId="11ABA7B9" w14:textId="042F888B" w:rsidR="00C25BE5" w:rsidRPr="00C25BE5" w:rsidRDefault="00023769" w:rsidP="00064C0D">
            <w:pPr>
              <w:pStyle w:val="ListParagraph"/>
              <w:numPr>
                <w:ilvl w:val="0"/>
                <w:numId w:val="17"/>
              </w:numPr>
              <w:spacing w:before="40" w:after="40"/>
              <w:ind w:left="228" w:hanging="228"/>
              <w:rPr>
                <w:rFonts w:ascii="Arial" w:hAnsi="Arial" w:cs="Arial"/>
                <w:sz w:val="20"/>
                <w:lang w:val="es-ES_tradnl"/>
              </w:rPr>
            </w:pPr>
            <w:r>
              <w:rPr>
                <w:rFonts w:ascii="Arial" w:hAnsi="Arial" w:cs="Arial"/>
                <w:bCs/>
                <w:sz w:val="20"/>
                <w:lang w:val="es-ES_tradnl"/>
              </w:rPr>
              <w:t>I</w:t>
            </w:r>
            <w:r w:rsidR="002F2AC6" w:rsidRPr="002F2AC6">
              <w:rPr>
                <w:rFonts w:ascii="Arial" w:hAnsi="Arial" w:cs="Arial"/>
                <w:bCs/>
                <w:sz w:val="20"/>
                <w:lang w:val="es-ES_tradnl"/>
              </w:rPr>
              <w:t xml:space="preserve">ncrementar la eficacia en la </w:t>
            </w:r>
            <w:r w:rsidR="002F2AC6" w:rsidRPr="002F2AC6">
              <w:rPr>
                <w:rFonts w:ascii="Arial" w:hAnsi="Arial" w:cs="Arial"/>
                <w:bCs/>
                <w:sz w:val="20"/>
                <w:lang w:val="es-ES_tradnl"/>
              </w:rPr>
              <w:lastRenderedPageBreak/>
              <w:t xml:space="preserve">supervisión financiera y reducir los costos de transacción, con base a la adopción de medidas alineadas con las recomendaciones del GAFI </w:t>
            </w:r>
          </w:p>
        </w:tc>
        <w:tc>
          <w:tcPr>
            <w:tcW w:w="3960" w:type="dxa"/>
            <w:shd w:val="clear" w:color="auto" w:fill="auto"/>
          </w:tcPr>
          <w:p w14:paraId="014E1776" w14:textId="3C36B792" w:rsidR="00C25BE5" w:rsidRPr="00B65D0D" w:rsidRDefault="00C25BE5" w:rsidP="00B65D0D">
            <w:pPr>
              <w:pStyle w:val="ListParagraph"/>
              <w:numPr>
                <w:ilvl w:val="1"/>
                <w:numId w:val="14"/>
              </w:numPr>
              <w:spacing w:before="40" w:after="40"/>
              <w:ind w:left="336"/>
              <w:rPr>
                <w:rFonts w:ascii="Arial" w:eastAsia="Arial" w:hAnsi="Arial" w:cs="Arial"/>
                <w:sz w:val="20"/>
                <w:lang w:val="es-ES"/>
              </w:rPr>
            </w:pPr>
            <w:r w:rsidRPr="00B65D0D">
              <w:rPr>
                <w:rFonts w:ascii="Arial" w:hAnsi="Arial" w:cs="Arial"/>
                <w:sz w:val="20"/>
                <w:lang w:val="es-ES_tradnl"/>
              </w:rPr>
              <w:lastRenderedPageBreak/>
              <w:t xml:space="preserve">Elaboración de un Anteproyecto de Ley para actualizar el Sistema de Prevención y Mitigación de Riesgos </w:t>
            </w:r>
            <w:r w:rsidRPr="00B65D0D">
              <w:rPr>
                <w:rFonts w:ascii="Arial" w:hAnsi="Arial" w:cs="Arial"/>
                <w:sz w:val="20"/>
                <w:lang w:val="es-ES_tradnl"/>
              </w:rPr>
              <w:lastRenderedPageBreak/>
              <w:t xml:space="preserve">de realización de actos destinados al lavado de activos </w:t>
            </w:r>
          </w:p>
        </w:tc>
        <w:tc>
          <w:tcPr>
            <w:tcW w:w="3870" w:type="dxa"/>
            <w:shd w:val="clear" w:color="auto" w:fill="auto"/>
            <w:vAlign w:val="center"/>
          </w:tcPr>
          <w:p w14:paraId="2BE6C6A3" w14:textId="5FC9274F" w:rsidR="00C25BE5" w:rsidRPr="005F5061" w:rsidRDefault="002C20C9" w:rsidP="005F5061">
            <w:pPr>
              <w:pStyle w:val="ListParagraph"/>
              <w:numPr>
                <w:ilvl w:val="1"/>
                <w:numId w:val="19"/>
              </w:numPr>
              <w:spacing w:before="40" w:after="40"/>
              <w:rPr>
                <w:rFonts w:ascii="Arial" w:eastAsia="Arial" w:hAnsi="Arial" w:cs="Arial"/>
                <w:sz w:val="20"/>
                <w:lang w:val="es-ES"/>
              </w:rPr>
            </w:pPr>
            <w:r w:rsidRPr="00023769">
              <w:rPr>
                <w:rFonts w:ascii="Arial" w:eastAsia="Arial" w:hAnsi="Arial" w:cs="Arial"/>
                <w:sz w:val="20"/>
                <w:lang w:val="es-ES"/>
              </w:rPr>
              <w:lastRenderedPageBreak/>
              <w:t xml:space="preserve">Nota </w:t>
            </w:r>
            <w:r w:rsidR="00CA7F79" w:rsidRPr="00023769">
              <w:rPr>
                <w:rFonts w:ascii="Arial" w:eastAsia="Arial" w:hAnsi="Arial" w:cs="Arial"/>
                <w:sz w:val="20"/>
                <w:lang w:val="es-ES"/>
              </w:rPr>
              <w:t xml:space="preserve">del Ministerio de Hacienda </w:t>
            </w:r>
            <w:r w:rsidRPr="00023769">
              <w:rPr>
                <w:rFonts w:ascii="Arial" w:eastAsia="Arial" w:hAnsi="Arial" w:cs="Arial"/>
                <w:sz w:val="20"/>
                <w:lang w:val="es-ES"/>
              </w:rPr>
              <w:t xml:space="preserve">adjuntando </w:t>
            </w:r>
            <w:r w:rsidR="00BE4668" w:rsidRPr="00023769">
              <w:rPr>
                <w:rFonts w:ascii="Arial" w:eastAsia="Arial" w:hAnsi="Arial" w:cs="Arial"/>
                <w:sz w:val="20"/>
                <w:lang w:val="es-ES"/>
              </w:rPr>
              <w:t xml:space="preserve">Anteproyecto de Ley </w:t>
            </w:r>
            <w:r w:rsidR="00735F3B" w:rsidRPr="00023769">
              <w:rPr>
                <w:rFonts w:ascii="Arial" w:hAnsi="Arial" w:cs="Arial"/>
                <w:sz w:val="20"/>
                <w:lang w:val="es-ES_tradnl"/>
              </w:rPr>
              <w:t xml:space="preserve">para actualizar el Sistema de </w:t>
            </w:r>
            <w:r w:rsidR="00735F3B" w:rsidRPr="00023769">
              <w:rPr>
                <w:rFonts w:ascii="Arial" w:hAnsi="Arial" w:cs="Arial"/>
                <w:sz w:val="20"/>
                <w:lang w:val="es-ES_tradnl"/>
              </w:rPr>
              <w:lastRenderedPageBreak/>
              <w:t>Prevención y Mitigación de Riesgos de realización de actos destinados al lavado de activos</w:t>
            </w:r>
            <w:r w:rsidR="00C25BE5" w:rsidRPr="005F5061">
              <w:rPr>
                <w:rFonts w:ascii="Arial" w:eastAsia="Arial" w:hAnsi="Arial" w:cs="Arial"/>
                <w:sz w:val="20"/>
                <w:lang w:val="es-ES_tradnl"/>
              </w:rPr>
              <w:t xml:space="preserve"> </w:t>
            </w:r>
          </w:p>
        </w:tc>
        <w:tc>
          <w:tcPr>
            <w:tcW w:w="2340" w:type="dxa"/>
            <w:shd w:val="clear" w:color="auto" w:fill="auto"/>
            <w:vAlign w:val="center"/>
          </w:tcPr>
          <w:p w14:paraId="4F5F1A9B" w14:textId="174B6F03" w:rsidR="00C25BE5" w:rsidRPr="00C25BE5" w:rsidRDefault="00C25BE5" w:rsidP="00064C0D">
            <w:pPr>
              <w:spacing w:before="40" w:after="40" w:line="240" w:lineRule="auto"/>
              <w:rPr>
                <w:rFonts w:ascii="Arial" w:eastAsia="Arial" w:hAnsi="Arial" w:cs="Arial"/>
                <w:sz w:val="20"/>
                <w:szCs w:val="20"/>
              </w:rPr>
            </w:pPr>
            <w:r w:rsidRPr="00C25BE5">
              <w:rPr>
                <w:rFonts w:ascii="Arial" w:eastAsia="Arial" w:hAnsi="Arial" w:cs="Arial"/>
                <w:sz w:val="20"/>
                <w:szCs w:val="20"/>
              </w:rPr>
              <w:lastRenderedPageBreak/>
              <w:t>SEPRELAD</w:t>
            </w:r>
          </w:p>
        </w:tc>
      </w:tr>
      <w:tr w:rsidR="00C25BE5" w:rsidRPr="00C25BE5" w14:paraId="348529EA" w14:textId="77777777" w:rsidTr="008B25BB">
        <w:tc>
          <w:tcPr>
            <w:tcW w:w="2430" w:type="dxa"/>
            <w:vMerge/>
            <w:shd w:val="clear" w:color="auto" w:fill="auto"/>
            <w:vAlign w:val="center"/>
          </w:tcPr>
          <w:p w14:paraId="3FD3C3A6" w14:textId="77777777" w:rsidR="00C25BE5" w:rsidRPr="00C25BE5" w:rsidRDefault="00C25BE5" w:rsidP="00064C0D">
            <w:pPr>
              <w:spacing w:after="0" w:line="240" w:lineRule="auto"/>
              <w:rPr>
                <w:rFonts w:ascii="Arial" w:hAnsi="Arial" w:cs="Arial"/>
                <w:sz w:val="20"/>
                <w:szCs w:val="20"/>
              </w:rPr>
            </w:pPr>
          </w:p>
        </w:tc>
        <w:tc>
          <w:tcPr>
            <w:tcW w:w="3960" w:type="dxa"/>
            <w:shd w:val="clear" w:color="auto" w:fill="auto"/>
          </w:tcPr>
          <w:p w14:paraId="3A058B73" w14:textId="14D776BF" w:rsidR="00C25BE5" w:rsidRPr="00023769" w:rsidRDefault="00C25BE5" w:rsidP="00023769">
            <w:pPr>
              <w:pStyle w:val="ListParagraph"/>
              <w:numPr>
                <w:ilvl w:val="1"/>
                <w:numId w:val="19"/>
              </w:numPr>
              <w:spacing w:after="40"/>
              <w:rPr>
                <w:rFonts w:ascii="Arial" w:eastAsia="Calibri" w:hAnsi="Arial" w:cs="Arial"/>
                <w:sz w:val="20"/>
                <w:lang w:val="es-ES_tradnl"/>
              </w:rPr>
            </w:pPr>
            <w:r w:rsidRPr="00023769">
              <w:rPr>
                <w:rFonts w:ascii="Arial" w:hAnsi="Arial" w:cs="Arial"/>
                <w:sz w:val="20"/>
                <w:lang w:val="es-ES_tradnl"/>
              </w:rPr>
              <w:t>Elab</w:t>
            </w:r>
            <w:bookmarkStart w:id="0" w:name="_GoBack"/>
            <w:bookmarkEnd w:id="0"/>
            <w:r w:rsidRPr="00023769">
              <w:rPr>
                <w:rFonts w:ascii="Arial" w:hAnsi="Arial" w:cs="Arial"/>
                <w:sz w:val="20"/>
                <w:lang w:val="es-ES_tradnl"/>
              </w:rPr>
              <w:t>oración de un Anteproyecto de Ley para la adopción de un régimen legal de identificación y registro de beneficiarios finales en cumplimiento de las Recomendaciones 24 y 25 del GAFI</w:t>
            </w:r>
          </w:p>
        </w:tc>
        <w:tc>
          <w:tcPr>
            <w:tcW w:w="3870" w:type="dxa"/>
            <w:shd w:val="clear" w:color="auto" w:fill="auto"/>
            <w:vAlign w:val="center"/>
          </w:tcPr>
          <w:p w14:paraId="01C393F2" w14:textId="707E5E93" w:rsidR="00C25BE5" w:rsidRPr="005F5061" w:rsidRDefault="002836C4" w:rsidP="005F5061">
            <w:pPr>
              <w:pStyle w:val="ListParagraph"/>
              <w:numPr>
                <w:ilvl w:val="1"/>
                <w:numId w:val="14"/>
              </w:numPr>
              <w:spacing w:before="40" w:after="40"/>
              <w:ind w:left="339" w:hanging="339"/>
              <w:rPr>
                <w:rFonts w:ascii="Arial" w:eastAsia="Arial" w:hAnsi="Arial" w:cs="Arial"/>
                <w:sz w:val="20"/>
                <w:lang w:val="es-ES"/>
              </w:rPr>
            </w:pPr>
            <w:r w:rsidRPr="00023769">
              <w:rPr>
                <w:rFonts w:ascii="Arial" w:eastAsia="Arial" w:hAnsi="Arial" w:cs="Arial"/>
                <w:sz w:val="20"/>
                <w:lang w:val="es-ES"/>
              </w:rPr>
              <w:t xml:space="preserve">Nota </w:t>
            </w:r>
            <w:r w:rsidR="00CA7F79" w:rsidRPr="00023769">
              <w:rPr>
                <w:rFonts w:ascii="Arial" w:eastAsia="Arial" w:hAnsi="Arial" w:cs="Arial"/>
                <w:sz w:val="20"/>
                <w:lang w:val="es-ES"/>
              </w:rPr>
              <w:t xml:space="preserve">del Ministerio de Hacienda </w:t>
            </w:r>
            <w:r w:rsidRPr="00023769">
              <w:rPr>
                <w:rFonts w:ascii="Arial" w:eastAsia="Arial" w:hAnsi="Arial" w:cs="Arial"/>
                <w:sz w:val="20"/>
                <w:lang w:val="es-ES"/>
              </w:rPr>
              <w:t>adjuntando Anteproyecto de Ley</w:t>
            </w:r>
            <w:r w:rsidR="00735F3B" w:rsidRPr="00023769">
              <w:rPr>
                <w:rFonts w:ascii="Arial" w:eastAsia="Arial" w:hAnsi="Arial" w:cs="Arial"/>
                <w:sz w:val="20"/>
                <w:lang w:val="es-ES"/>
              </w:rPr>
              <w:t xml:space="preserve"> </w:t>
            </w:r>
            <w:r w:rsidR="00735F3B" w:rsidRPr="00023769">
              <w:rPr>
                <w:rFonts w:ascii="Arial" w:hAnsi="Arial" w:cs="Arial"/>
                <w:sz w:val="20"/>
                <w:lang w:val="es-ES_tradnl"/>
              </w:rPr>
              <w:t>para la adopción de un régimen legal de identificación y registro de beneficiarios finales en cumplimiento de las Recomendaciones 24 y 25 del GAFI</w:t>
            </w:r>
            <w:r w:rsidR="00DD3E0F" w:rsidRPr="005F5061">
              <w:rPr>
                <w:rFonts w:ascii="Arial" w:eastAsia="Arial" w:hAnsi="Arial" w:cs="Arial"/>
                <w:sz w:val="20"/>
                <w:lang w:val="es-ES_tradnl"/>
              </w:rPr>
              <w:t xml:space="preserve"> </w:t>
            </w:r>
          </w:p>
        </w:tc>
        <w:tc>
          <w:tcPr>
            <w:tcW w:w="2340" w:type="dxa"/>
            <w:shd w:val="clear" w:color="auto" w:fill="auto"/>
            <w:vAlign w:val="center"/>
          </w:tcPr>
          <w:p w14:paraId="470F643C" w14:textId="2A363EF4" w:rsidR="00C25BE5" w:rsidRPr="00C25BE5" w:rsidRDefault="00C25BE5" w:rsidP="00064C0D">
            <w:pPr>
              <w:spacing w:before="40" w:after="40" w:line="240" w:lineRule="auto"/>
              <w:rPr>
                <w:rFonts w:ascii="Arial" w:eastAsia="Arial" w:hAnsi="Arial" w:cs="Arial"/>
                <w:sz w:val="20"/>
                <w:szCs w:val="20"/>
              </w:rPr>
            </w:pPr>
            <w:r w:rsidRPr="00C25BE5">
              <w:rPr>
                <w:rFonts w:ascii="Arial" w:eastAsia="Arial" w:hAnsi="Arial" w:cs="Arial"/>
                <w:sz w:val="20"/>
                <w:szCs w:val="20"/>
              </w:rPr>
              <w:t>SEPRELAD</w:t>
            </w:r>
          </w:p>
        </w:tc>
      </w:tr>
      <w:tr w:rsidR="00C25BE5" w:rsidRPr="00C25BE5" w14:paraId="3473BC3B" w14:textId="77777777" w:rsidTr="002605EA">
        <w:tc>
          <w:tcPr>
            <w:tcW w:w="2430" w:type="dxa"/>
            <w:vMerge/>
            <w:shd w:val="clear" w:color="auto" w:fill="auto"/>
            <w:vAlign w:val="center"/>
          </w:tcPr>
          <w:p w14:paraId="73A5D7DD" w14:textId="77777777" w:rsidR="00C25BE5" w:rsidRPr="00C25BE5" w:rsidRDefault="00C25BE5" w:rsidP="00064C0D">
            <w:pPr>
              <w:spacing w:after="0" w:line="240" w:lineRule="auto"/>
              <w:rPr>
                <w:rFonts w:ascii="Arial" w:hAnsi="Arial" w:cs="Arial"/>
                <w:sz w:val="20"/>
                <w:szCs w:val="20"/>
              </w:rPr>
            </w:pPr>
          </w:p>
        </w:tc>
        <w:tc>
          <w:tcPr>
            <w:tcW w:w="3960" w:type="dxa"/>
            <w:shd w:val="clear" w:color="auto" w:fill="auto"/>
          </w:tcPr>
          <w:p w14:paraId="3C571BAB" w14:textId="563B8D97" w:rsidR="00C25BE5" w:rsidRPr="00023769" w:rsidRDefault="00096014" w:rsidP="00023769">
            <w:pPr>
              <w:pStyle w:val="ListParagraph"/>
              <w:numPr>
                <w:ilvl w:val="1"/>
                <w:numId w:val="14"/>
              </w:numPr>
              <w:spacing w:after="40"/>
              <w:ind w:left="336" w:hanging="336"/>
              <w:rPr>
                <w:rFonts w:ascii="Arial" w:eastAsia="Arial" w:hAnsi="Arial" w:cs="Arial"/>
                <w:sz w:val="20"/>
                <w:lang w:val="es-ES"/>
              </w:rPr>
            </w:pPr>
            <w:r w:rsidRPr="00023769">
              <w:rPr>
                <w:rFonts w:ascii="Arial" w:hAnsi="Arial" w:cs="Arial"/>
                <w:sz w:val="20"/>
                <w:lang w:val="es-ES_tradnl"/>
              </w:rPr>
              <w:t xml:space="preserve">Elaboración </w:t>
            </w:r>
            <w:r w:rsidR="00C25BE5" w:rsidRPr="00023769">
              <w:rPr>
                <w:rFonts w:ascii="Arial" w:hAnsi="Arial" w:cs="Arial"/>
                <w:sz w:val="20"/>
                <w:lang w:val="es-ES_tradnl"/>
              </w:rPr>
              <w:t xml:space="preserve">de </w:t>
            </w:r>
            <w:r w:rsidR="00165E71" w:rsidRPr="00023769">
              <w:rPr>
                <w:rFonts w:ascii="Arial" w:hAnsi="Arial" w:cs="Arial"/>
                <w:sz w:val="20"/>
                <w:lang w:val="es-ES_tradnl"/>
              </w:rPr>
              <w:t xml:space="preserve">un proyecto de </w:t>
            </w:r>
            <w:r w:rsidR="00C175E7" w:rsidRPr="00023769">
              <w:rPr>
                <w:rFonts w:ascii="Arial" w:hAnsi="Arial" w:cs="Arial"/>
                <w:sz w:val="20"/>
                <w:lang w:val="es-ES_tradnl"/>
              </w:rPr>
              <w:t xml:space="preserve">Resolución </w:t>
            </w:r>
            <w:r w:rsidR="00C25BE5" w:rsidRPr="00023769">
              <w:rPr>
                <w:rFonts w:ascii="Arial" w:hAnsi="Arial" w:cs="Arial"/>
                <w:sz w:val="20"/>
                <w:lang w:val="es-ES_tradnl"/>
              </w:rPr>
              <w:t>dirigido a la identificación y gestión de riesgos de clientes o beneficiarios finales que sean Personas Expuestas Políticamente (PEPs), en cumplimiento de las Recomendaciones 12 y 22 del GAFI</w:t>
            </w:r>
          </w:p>
        </w:tc>
        <w:tc>
          <w:tcPr>
            <w:tcW w:w="3870" w:type="dxa"/>
            <w:shd w:val="clear" w:color="auto" w:fill="auto"/>
            <w:vAlign w:val="center"/>
          </w:tcPr>
          <w:p w14:paraId="74CD35A0" w14:textId="133B0D06" w:rsidR="00C25BE5" w:rsidRPr="005F5061" w:rsidRDefault="001018B0" w:rsidP="005F5061">
            <w:pPr>
              <w:pStyle w:val="ListParagraph"/>
              <w:numPr>
                <w:ilvl w:val="1"/>
                <w:numId w:val="19"/>
              </w:numPr>
              <w:spacing w:before="40" w:after="40"/>
              <w:rPr>
                <w:rFonts w:ascii="Arial" w:eastAsia="Arial" w:hAnsi="Arial" w:cs="Arial"/>
                <w:sz w:val="20"/>
                <w:lang w:val="es-ES"/>
              </w:rPr>
            </w:pPr>
            <w:r w:rsidRPr="00023769">
              <w:rPr>
                <w:rFonts w:ascii="Arial" w:eastAsia="Arial" w:hAnsi="Arial" w:cs="Arial"/>
                <w:sz w:val="20"/>
                <w:lang w:val="es-ES"/>
              </w:rPr>
              <w:t>Nota</w:t>
            </w:r>
            <w:r w:rsidR="00CA7F79" w:rsidRPr="00023769">
              <w:rPr>
                <w:rFonts w:ascii="Arial" w:eastAsia="Arial" w:hAnsi="Arial" w:cs="Arial"/>
                <w:sz w:val="20"/>
                <w:lang w:val="es-ES"/>
              </w:rPr>
              <w:t xml:space="preserve"> del Ministerio de Hacienda</w:t>
            </w:r>
            <w:r w:rsidRPr="00023769">
              <w:rPr>
                <w:rFonts w:ascii="Arial" w:eastAsia="Arial" w:hAnsi="Arial" w:cs="Arial"/>
                <w:sz w:val="20"/>
                <w:lang w:val="es-ES"/>
              </w:rPr>
              <w:t xml:space="preserve"> adjuntando</w:t>
            </w:r>
            <w:r w:rsidR="00AB2221" w:rsidRPr="00023769">
              <w:rPr>
                <w:rFonts w:ascii="Arial" w:eastAsia="Arial" w:hAnsi="Arial" w:cs="Arial"/>
                <w:sz w:val="20"/>
                <w:lang w:val="es-ES"/>
              </w:rPr>
              <w:t xml:space="preserve"> Resolución SEPRELAD </w:t>
            </w:r>
            <w:r w:rsidR="00735F3B" w:rsidRPr="00023769">
              <w:rPr>
                <w:rFonts w:ascii="Arial" w:hAnsi="Arial" w:cs="Arial"/>
                <w:sz w:val="20"/>
                <w:lang w:val="es-ES_tradnl"/>
              </w:rPr>
              <w:t>dirigido a la identificación y gestión de riesgos de clientes o beneficiarios finales que sean PEPs, en cumplimiento de las Recomendaciones 12 y 22 del GAFI</w:t>
            </w:r>
            <w:r w:rsidR="00DD3E0F" w:rsidRPr="005F5061">
              <w:rPr>
                <w:rFonts w:ascii="Arial" w:eastAsia="Arial" w:hAnsi="Arial" w:cs="Arial"/>
                <w:sz w:val="20"/>
                <w:lang w:val="es-ES_tradnl"/>
              </w:rPr>
              <w:t xml:space="preserve"> </w:t>
            </w:r>
          </w:p>
        </w:tc>
        <w:tc>
          <w:tcPr>
            <w:tcW w:w="2340" w:type="dxa"/>
            <w:shd w:val="clear" w:color="auto" w:fill="auto"/>
            <w:vAlign w:val="center"/>
          </w:tcPr>
          <w:p w14:paraId="7F8F3867" w14:textId="439E96B1" w:rsidR="00C25BE5" w:rsidRPr="00C25BE5" w:rsidRDefault="00C25BE5" w:rsidP="00064C0D">
            <w:pPr>
              <w:spacing w:before="40" w:after="40" w:line="240" w:lineRule="auto"/>
              <w:rPr>
                <w:rFonts w:ascii="Arial" w:eastAsia="Arial" w:hAnsi="Arial" w:cs="Arial"/>
                <w:sz w:val="20"/>
                <w:szCs w:val="20"/>
              </w:rPr>
            </w:pPr>
            <w:r w:rsidRPr="00C25BE5">
              <w:rPr>
                <w:rFonts w:ascii="Arial" w:eastAsia="Arial" w:hAnsi="Arial" w:cs="Arial"/>
                <w:sz w:val="20"/>
                <w:szCs w:val="20"/>
              </w:rPr>
              <w:t>SEPRELAD</w:t>
            </w:r>
          </w:p>
        </w:tc>
      </w:tr>
      <w:tr w:rsidR="00C25BE5" w:rsidRPr="005760D8" w14:paraId="0A1FA4CC" w14:textId="77777777" w:rsidTr="002605EA">
        <w:tc>
          <w:tcPr>
            <w:tcW w:w="2430" w:type="dxa"/>
            <w:vMerge/>
            <w:shd w:val="clear" w:color="auto" w:fill="auto"/>
            <w:vAlign w:val="center"/>
          </w:tcPr>
          <w:p w14:paraId="5709042A" w14:textId="77777777" w:rsidR="00C25BE5" w:rsidRPr="00C25BE5" w:rsidRDefault="00C25BE5" w:rsidP="00064C0D">
            <w:pPr>
              <w:spacing w:after="0" w:line="240" w:lineRule="auto"/>
              <w:rPr>
                <w:rFonts w:ascii="Arial" w:hAnsi="Arial" w:cs="Arial"/>
                <w:sz w:val="20"/>
                <w:szCs w:val="20"/>
              </w:rPr>
            </w:pPr>
          </w:p>
        </w:tc>
        <w:tc>
          <w:tcPr>
            <w:tcW w:w="3960" w:type="dxa"/>
            <w:shd w:val="clear" w:color="auto" w:fill="auto"/>
          </w:tcPr>
          <w:p w14:paraId="0FF1AC35" w14:textId="621B0D35" w:rsidR="00C25BE5" w:rsidRPr="00023769" w:rsidRDefault="00C25BE5" w:rsidP="00023769">
            <w:pPr>
              <w:pStyle w:val="ListParagraph"/>
              <w:numPr>
                <w:ilvl w:val="1"/>
                <w:numId w:val="19"/>
              </w:numPr>
              <w:spacing w:after="40"/>
              <w:rPr>
                <w:rFonts w:ascii="Arial" w:eastAsia="Arial" w:hAnsi="Arial" w:cs="Arial"/>
                <w:sz w:val="20"/>
                <w:lang w:val="es-ES"/>
              </w:rPr>
            </w:pPr>
            <w:r w:rsidRPr="00023769">
              <w:rPr>
                <w:rFonts w:ascii="Arial" w:hAnsi="Arial" w:cs="Arial"/>
                <w:sz w:val="20"/>
                <w:lang w:val="es-ES_tradnl"/>
              </w:rPr>
              <w:t xml:space="preserve">Creación de un Consejo de Supervisores de Sujetos Obligados, componentes del Sistema </w:t>
            </w:r>
            <w:r w:rsidR="008B25BB" w:rsidRPr="00023769">
              <w:rPr>
                <w:rFonts w:ascii="Arial" w:hAnsi="Arial" w:cs="Arial"/>
                <w:sz w:val="20"/>
                <w:lang w:val="es-ES_tradnl"/>
              </w:rPr>
              <w:t>Anti</w:t>
            </w:r>
            <w:r w:rsidR="008B25BB" w:rsidRPr="00023769">
              <w:rPr>
                <w:rFonts w:ascii="Arial" w:hAnsi="Arial" w:cs="Arial"/>
                <w:sz w:val="20"/>
                <w:lang w:val="es-ES_tradnl"/>
              </w:rPr>
              <w:noBreakHyphen/>
              <w:t>Lavado</w:t>
            </w:r>
            <w:r w:rsidRPr="00023769">
              <w:rPr>
                <w:rFonts w:ascii="Arial" w:hAnsi="Arial" w:cs="Arial"/>
                <w:sz w:val="20"/>
                <w:lang w:val="es-ES_tradnl"/>
              </w:rPr>
              <w:t xml:space="preserve"> de activos (ALD)/Contra el Financiamiento del Terrorismo (CFT) /Contra el Financiamiento para la Proliferación de Armas de Destrucción Masiva del Paraguay (CFP) (Consejo de Supervisores) con el objetivo de fortalecer el ejercicio de las mejores prácticas internacionales en la materia, y velar por la efectividad de las mismas</w:t>
            </w:r>
          </w:p>
        </w:tc>
        <w:tc>
          <w:tcPr>
            <w:tcW w:w="3870" w:type="dxa"/>
            <w:shd w:val="clear" w:color="auto" w:fill="auto"/>
          </w:tcPr>
          <w:p w14:paraId="456824C7" w14:textId="6538E8E1" w:rsidR="00C25BE5" w:rsidRPr="00023769" w:rsidRDefault="00735F3B" w:rsidP="00023769">
            <w:pPr>
              <w:pStyle w:val="ListParagraph"/>
              <w:numPr>
                <w:ilvl w:val="1"/>
                <w:numId w:val="14"/>
              </w:numPr>
              <w:spacing w:after="40"/>
              <w:ind w:left="339" w:hanging="339"/>
              <w:rPr>
                <w:rFonts w:ascii="Arial" w:eastAsia="Arial" w:hAnsi="Arial" w:cs="Arial"/>
                <w:sz w:val="20"/>
                <w:lang w:val="es-ES_tradnl"/>
              </w:rPr>
            </w:pPr>
            <w:r w:rsidRPr="00023769">
              <w:rPr>
                <w:rFonts w:ascii="Arial" w:eastAsia="Arial" w:hAnsi="Arial" w:cs="Arial"/>
                <w:sz w:val="20"/>
                <w:lang w:val="es-ES_tradnl"/>
              </w:rPr>
              <w:t xml:space="preserve">Copia del </w:t>
            </w:r>
            <w:r w:rsidR="001018B0" w:rsidRPr="00023769">
              <w:rPr>
                <w:rFonts w:ascii="Arial" w:eastAsia="Arial" w:hAnsi="Arial" w:cs="Arial"/>
                <w:sz w:val="20"/>
                <w:lang w:val="es-ES_tradnl"/>
              </w:rPr>
              <w:t>Decreto 1548/2019 p</w:t>
            </w:r>
            <w:r w:rsidR="00C25BE5" w:rsidRPr="00023769">
              <w:rPr>
                <w:rFonts w:ascii="Arial" w:eastAsia="Arial" w:hAnsi="Arial" w:cs="Arial"/>
                <w:sz w:val="20"/>
                <w:lang w:val="es-ES_tradnl"/>
              </w:rPr>
              <w:t>ublicado en la Gaceta Oficial de la República del Paraguay</w:t>
            </w:r>
          </w:p>
        </w:tc>
        <w:tc>
          <w:tcPr>
            <w:tcW w:w="2340" w:type="dxa"/>
            <w:shd w:val="clear" w:color="auto" w:fill="auto"/>
            <w:vAlign w:val="center"/>
          </w:tcPr>
          <w:p w14:paraId="4757B09F" w14:textId="68578BEF" w:rsidR="00C25BE5" w:rsidRPr="005760D8" w:rsidRDefault="00C25BE5" w:rsidP="00064C0D">
            <w:pPr>
              <w:spacing w:before="40" w:after="40" w:line="240" w:lineRule="auto"/>
              <w:rPr>
                <w:rFonts w:ascii="Arial" w:eastAsia="Arial" w:hAnsi="Arial" w:cs="Arial"/>
                <w:sz w:val="20"/>
                <w:szCs w:val="20"/>
              </w:rPr>
            </w:pPr>
            <w:r w:rsidRPr="00C25BE5">
              <w:rPr>
                <w:rFonts w:ascii="Arial" w:eastAsia="Arial" w:hAnsi="Arial" w:cs="Arial"/>
                <w:sz w:val="20"/>
                <w:szCs w:val="20"/>
              </w:rPr>
              <w:t>SEPRELAD</w:t>
            </w:r>
          </w:p>
        </w:tc>
      </w:tr>
    </w:tbl>
    <w:p w14:paraId="1D0CEB51" w14:textId="77777777" w:rsidR="0084375C" w:rsidRPr="005760D8" w:rsidRDefault="0084375C" w:rsidP="00B15305">
      <w:pPr>
        <w:rPr>
          <w:rFonts w:ascii="Arial" w:hAnsi="Arial" w:cs="Arial"/>
          <w:sz w:val="20"/>
          <w:szCs w:val="20"/>
        </w:rPr>
      </w:pPr>
    </w:p>
    <w:sectPr w:rsidR="0084375C" w:rsidRPr="005760D8" w:rsidSect="008B25BB">
      <w:headerReference w:type="even" r:id="rId14"/>
      <w:headerReference w:type="default" r:id="rId15"/>
      <w:pgSz w:w="15840" w:h="12240" w:orient="landscape" w:code="1"/>
      <w:pgMar w:top="1440" w:right="153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5D5B0B" w14:textId="77777777" w:rsidR="00CA25DD" w:rsidRDefault="00CA25DD">
      <w:pPr>
        <w:spacing w:after="0" w:line="240" w:lineRule="auto"/>
      </w:pPr>
      <w:r>
        <w:separator/>
      </w:r>
    </w:p>
  </w:endnote>
  <w:endnote w:type="continuationSeparator" w:id="0">
    <w:p w14:paraId="3B27260C" w14:textId="77777777" w:rsidR="00CA25DD" w:rsidRDefault="00CA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B7054E" w14:textId="77777777" w:rsidR="00CA25DD" w:rsidRDefault="00CA25DD">
      <w:pPr>
        <w:spacing w:after="0" w:line="240" w:lineRule="auto"/>
      </w:pPr>
      <w:r>
        <w:separator/>
      </w:r>
    </w:p>
  </w:footnote>
  <w:footnote w:type="continuationSeparator" w:id="0">
    <w:p w14:paraId="180BC877" w14:textId="77777777" w:rsidR="00CA25DD" w:rsidRDefault="00CA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F36FF" w14:textId="77777777" w:rsidR="00B65D0D" w:rsidRPr="00A23086" w:rsidRDefault="00B65D0D" w:rsidP="00B65D0D">
    <w:pPr>
      <w:pStyle w:val="Header"/>
      <w:jc w:val="right"/>
      <w:rPr>
        <w:rFonts w:ascii="Arial" w:eastAsia="Arial" w:hAnsi="Arial" w:cs="Arial"/>
        <w:sz w:val="18"/>
        <w:szCs w:val="18"/>
        <w:lang w:val="es-ES_tradnl"/>
      </w:rPr>
    </w:pPr>
    <w:r w:rsidRPr="177DA22B">
      <w:rPr>
        <w:rFonts w:ascii="Arial" w:eastAsia="Arial" w:hAnsi="Arial" w:cs="Arial"/>
        <w:sz w:val="18"/>
        <w:szCs w:val="18"/>
      </w:rPr>
      <w:t xml:space="preserve">Matriz de Medios de Verificación – </w:t>
    </w:r>
    <w:r>
      <w:rPr>
        <w:rFonts w:ascii="Arial" w:eastAsia="Arial" w:hAnsi="Arial" w:cs="Arial"/>
        <w:sz w:val="18"/>
        <w:szCs w:val="18"/>
      </w:rPr>
      <w:t>P</w:t>
    </w:r>
    <w:r w:rsidRPr="177DA22B">
      <w:rPr>
        <w:rFonts w:ascii="Arial" w:eastAsia="Arial" w:hAnsi="Arial" w:cs="Arial"/>
        <w:sz w:val="18"/>
        <w:szCs w:val="18"/>
      </w:rPr>
      <w:t>R-L1</w:t>
    </w:r>
    <w:r>
      <w:rPr>
        <w:rFonts w:ascii="Arial" w:eastAsia="Arial" w:hAnsi="Arial" w:cs="Arial"/>
        <w:sz w:val="18"/>
        <w:szCs w:val="18"/>
      </w:rPr>
      <w:t>161</w:t>
    </w:r>
  </w:p>
  <w:p w14:paraId="7A5D7D01" w14:textId="1B729043" w:rsidR="00727F22" w:rsidRPr="00EA64B4" w:rsidRDefault="177DA22B" w:rsidP="00B65D0D">
    <w:pPr>
      <w:pStyle w:val="Header"/>
      <w:jc w:val="right"/>
      <w:rPr>
        <w:rFonts w:ascii="Arial" w:eastAsia="Arial" w:hAnsi="Arial" w:cs="Arial"/>
        <w:sz w:val="18"/>
        <w:szCs w:val="18"/>
        <w:lang w:val="pt-BR"/>
      </w:rPr>
    </w:pPr>
    <w:r w:rsidRPr="177DA22B">
      <w:rPr>
        <w:rFonts w:ascii="Arial" w:eastAsia="Arial" w:hAnsi="Arial" w:cs="Arial"/>
        <w:sz w:val="18"/>
        <w:szCs w:val="18"/>
        <w:lang w:val="pt-BR"/>
      </w:rPr>
      <w:t xml:space="preserve">Página </w:t>
    </w:r>
    <w:r w:rsidR="00727F22" w:rsidRPr="177DA22B">
      <w:rPr>
        <w:rFonts w:ascii="Arial" w:eastAsia="Arial" w:hAnsi="Arial" w:cs="Arial"/>
        <w:noProof/>
        <w:sz w:val="18"/>
        <w:szCs w:val="18"/>
        <w:lang w:val="pt-BR"/>
      </w:rPr>
      <w:fldChar w:fldCharType="begin"/>
    </w:r>
    <w:r w:rsidR="00727F22" w:rsidRPr="177DA22B">
      <w:rPr>
        <w:rFonts w:ascii="Arial" w:eastAsia="Arial" w:hAnsi="Arial" w:cs="Arial"/>
        <w:noProof/>
        <w:sz w:val="18"/>
        <w:szCs w:val="18"/>
        <w:lang w:val="pt-BR"/>
      </w:rPr>
      <w:instrText xml:space="preserve"> PAGE </w:instrText>
    </w:r>
    <w:r w:rsidR="00727F22" w:rsidRPr="177DA22B">
      <w:rPr>
        <w:rFonts w:ascii="Arial" w:eastAsia="Arial" w:hAnsi="Arial" w:cs="Arial"/>
        <w:noProof/>
        <w:sz w:val="18"/>
        <w:szCs w:val="18"/>
        <w:lang w:val="pt-BR"/>
      </w:rPr>
      <w:fldChar w:fldCharType="separate"/>
    </w:r>
    <w:r w:rsidRPr="177DA22B">
      <w:rPr>
        <w:rFonts w:ascii="Arial" w:eastAsia="Arial" w:hAnsi="Arial" w:cs="Arial"/>
        <w:noProof/>
        <w:sz w:val="18"/>
        <w:szCs w:val="18"/>
        <w:lang w:val="pt-BR"/>
      </w:rPr>
      <w:t>4</w:t>
    </w:r>
    <w:r w:rsidR="00727F22" w:rsidRPr="177DA22B">
      <w:rPr>
        <w:rFonts w:ascii="Arial" w:eastAsia="Arial" w:hAnsi="Arial" w:cs="Arial"/>
        <w:noProof/>
        <w:sz w:val="18"/>
        <w:szCs w:val="18"/>
        <w:lang w:val="pt-BR"/>
      </w:rPr>
      <w:fldChar w:fldCharType="end"/>
    </w:r>
    <w:r w:rsidRPr="177DA22B">
      <w:rPr>
        <w:rFonts w:ascii="Arial" w:eastAsia="Arial" w:hAnsi="Arial" w:cs="Arial"/>
        <w:sz w:val="18"/>
        <w:szCs w:val="18"/>
        <w:lang w:val="pt-BR"/>
      </w:rPr>
      <w:t xml:space="preserve"> de </w:t>
    </w:r>
    <w:r w:rsidR="00727F22" w:rsidRPr="177DA22B">
      <w:rPr>
        <w:rFonts w:ascii="Arial" w:eastAsia="Arial" w:hAnsi="Arial" w:cs="Arial"/>
        <w:noProof/>
        <w:sz w:val="18"/>
        <w:szCs w:val="18"/>
        <w:lang w:val="pt-BR"/>
      </w:rPr>
      <w:fldChar w:fldCharType="begin"/>
    </w:r>
    <w:r w:rsidR="00727F22" w:rsidRPr="177DA22B">
      <w:rPr>
        <w:rFonts w:ascii="Arial" w:eastAsia="Arial" w:hAnsi="Arial" w:cs="Arial"/>
        <w:noProof/>
        <w:sz w:val="18"/>
        <w:szCs w:val="18"/>
        <w:lang w:val="pt-BR"/>
      </w:rPr>
      <w:instrText xml:space="preserve"> NUMPAGES  </w:instrText>
    </w:r>
    <w:r w:rsidR="00727F22" w:rsidRPr="177DA22B">
      <w:rPr>
        <w:rFonts w:ascii="Arial" w:eastAsia="Arial" w:hAnsi="Arial" w:cs="Arial"/>
        <w:noProof/>
        <w:sz w:val="18"/>
        <w:szCs w:val="18"/>
        <w:lang w:val="pt-BR"/>
      </w:rPr>
      <w:fldChar w:fldCharType="separate"/>
    </w:r>
    <w:r w:rsidRPr="177DA22B">
      <w:rPr>
        <w:rFonts w:ascii="Arial" w:eastAsia="Arial" w:hAnsi="Arial" w:cs="Arial"/>
        <w:noProof/>
        <w:sz w:val="18"/>
        <w:szCs w:val="18"/>
        <w:lang w:val="pt-BR"/>
      </w:rPr>
      <w:t>5</w:t>
    </w:r>
    <w:r w:rsidR="00727F22" w:rsidRPr="177DA22B">
      <w:rPr>
        <w:rFonts w:ascii="Arial" w:eastAsia="Arial" w:hAnsi="Arial" w:cs="Arial"/>
        <w:noProof/>
        <w:sz w:val="18"/>
        <w:szCs w:val="18"/>
        <w:lang w:val="pt-BR"/>
      </w:rPr>
      <w:fldChar w:fldCharType="end"/>
    </w:r>
  </w:p>
  <w:p w14:paraId="6F9199C1" w14:textId="77777777" w:rsidR="00C577B5" w:rsidRDefault="00C577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74B23A" w14:textId="77777777" w:rsidR="00B65D0D" w:rsidRPr="00A23086" w:rsidRDefault="00B65D0D" w:rsidP="00B65D0D">
    <w:pPr>
      <w:pStyle w:val="Header"/>
      <w:jc w:val="right"/>
      <w:rPr>
        <w:rFonts w:ascii="Arial" w:eastAsia="Arial" w:hAnsi="Arial" w:cs="Arial"/>
        <w:sz w:val="18"/>
        <w:szCs w:val="18"/>
        <w:lang w:val="es-ES_tradnl"/>
      </w:rPr>
    </w:pPr>
    <w:r w:rsidRPr="177DA22B">
      <w:rPr>
        <w:rFonts w:ascii="Arial" w:eastAsia="Arial" w:hAnsi="Arial" w:cs="Arial"/>
        <w:sz w:val="18"/>
        <w:szCs w:val="18"/>
      </w:rPr>
      <w:t xml:space="preserve">Matriz de Medios de Verificación – </w:t>
    </w:r>
    <w:r>
      <w:rPr>
        <w:rFonts w:ascii="Arial" w:eastAsia="Arial" w:hAnsi="Arial" w:cs="Arial"/>
        <w:sz w:val="18"/>
        <w:szCs w:val="18"/>
      </w:rPr>
      <w:t>P</w:t>
    </w:r>
    <w:r w:rsidRPr="177DA22B">
      <w:rPr>
        <w:rFonts w:ascii="Arial" w:eastAsia="Arial" w:hAnsi="Arial" w:cs="Arial"/>
        <w:sz w:val="18"/>
        <w:szCs w:val="18"/>
      </w:rPr>
      <w:t>R-L1</w:t>
    </w:r>
    <w:r>
      <w:rPr>
        <w:rFonts w:ascii="Arial" w:eastAsia="Arial" w:hAnsi="Arial" w:cs="Arial"/>
        <w:sz w:val="18"/>
        <w:szCs w:val="18"/>
      </w:rPr>
      <w:t>161</w:t>
    </w:r>
  </w:p>
  <w:p w14:paraId="6AE64B63" w14:textId="77777777" w:rsidR="00B65D0D" w:rsidRPr="00EA64B4" w:rsidRDefault="00B65D0D" w:rsidP="00B65D0D">
    <w:pPr>
      <w:pStyle w:val="Header"/>
      <w:jc w:val="right"/>
      <w:rPr>
        <w:rFonts w:ascii="Arial" w:eastAsia="Arial" w:hAnsi="Arial" w:cs="Arial"/>
        <w:sz w:val="18"/>
        <w:szCs w:val="18"/>
        <w:lang w:val="pt-BR"/>
      </w:rPr>
    </w:pPr>
    <w:r w:rsidRPr="177DA22B">
      <w:rPr>
        <w:rFonts w:ascii="Arial" w:eastAsia="Arial" w:hAnsi="Arial" w:cs="Arial"/>
        <w:sz w:val="18"/>
        <w:szCs w:val="18"/>
        <w:lang w:val="pt-BR"/>
      </w:rPr>
      <w:t xml:space="preserve">Página </w:t>
    </w:r>
    <w:r w:rsidRPr="177DA22B">
      <w:rPr>
        <w:rFonts w:ascii="Arial" w:eastAsia="Arial" w:hAnsi="Arial" w:cs="Arial"/>
        <w:noProof/>
        <w:sz w:val="18"/>
        <w:szCs w:val="18"/>
        <w:lang w:val="pt-BR"/>
      </w:rPr>
      <w:fldChar w:fldCharType="begin"/>
    </w:r>
    <w:r w:rsidRPr="177DA22B">
      <w:rPr>
        <w:rFonts w:ascii="Arial" w:eastAsia="Arial" w:hAnsi="Arial" w:cs="Arial"/>
        <w:noProof/>
        <w:sz w:val="18"/>
        <w:szCs w:val="18"/>
        <w:lang w:val="pt-BR"/>
      </w:rPr>
      <w:instrText xml:space="preserve"> PAGE </w:instrText>
    </w:r>
    <w:r w:rsidRPr="177DA22B">
      <w:rPr>
        <w:rFonts w:ascii="Arial" w:eastAsia="Arial" w:hAnsi="Arial" w:cs="Arial"/>
        <w:noProof/>
        <w:sz w:val="18"/>
        <w:szCs w:val="18"/>
        <w:lang w:val="pt-BR"/>
      </w:rPr>
      <w:fldChar w:fldCharType="separate"/>
    </w:r>
    <w:r>
      <w:rPr>
        <w:rFonts w:ascii="Arial" w:eastAsia="Arial" w:hAnsi="Arial" w:cs="Arial"/>
        <w:noProof/>
        <w:sz w:val="18"/>
        <w:szCs w:val="18"/>
        <w:lang w:val="pt-BR"/>
      </w:rPr>
      <w:t>2</w:t>
    </w:r>
    <w:r w:rsidRPr="177DA22B">
      <w:rPr>
        <w:rFonts w:ascii="Arial" w:eastAsia="Arial" w:hAnsi="Arial" w:cs="Arial"/>
        <w:noProof/>
        <w:sz w:val="18"/>
        <w:szCs w:val="18"/>
        <w:lang w:val="pt-BR"/>
      </w:rPr>
      <w:fldChar w:fldCharType="end"/>
    </w:r>
    <w:r w:rsidRPr="177DA22B">
      <w:rPr>
        <w:rFonts w:ascii="Arial" w:eastAsia="Arial" w:hAnsi="Arial" w:cs="Arial"/>
        <w:sz w:val="18"/>
        <w:szCs w:val="18"/>
        <w:lang w:val="pt-BR"/>
      </w:rPr>
      <w:t xml:space="preserve"> de </w:t>
    </w:r>
    <w:r w:rsidRPr="177DA22B">
      <w:rPr>
        <w:rFonts w:ascii="Arial" w:eastAsia="Arial" w:hAnsi="Arial" w:cs="Arial"/>
        <w:noProof/>
        <w:sz w:val="18"/>
        <w:szCs w:val="18"/>
        <w:lang w:val="pt-BR"/>
      </w:rPr>
      <w:fldChar w:fldCharType="begin"/>
    </w:r>
    <w:r w:rsidRPr="177DA22B">
      <w:rPr>
        <w:rFonts w:ascii="Arial" w:eastAsia="Arial" w:hAnsi="Arial" w:cs="Arial"/>
        <w:noProof/>
        <w:sz w:val="18"/>
        <w:szCs w:val="18"/>
        <w:lang w:val="pt-BR"/>
      </w:rPr>
      <w:instrText xml:space="preserve"> NUMPAGES  </w:instrText>
    </w:r>
    <w:r w:rsidRPr="177DA22B">
      <w:rPr>
        <w:rFonts w:ascii="Arial" w:eastAsia="Arial" w:hAnsi="Arial" w:cs="Arial"/>
        <w:noProof/>
        <w:sz w:val="18"/>
        <w:szCs w:val="18"/>
        <w:lang w:val="pt-BR"/>
      </w:rPr>
      <w:fldChar w:fldCharType="separate"/>
    </w:r>
    <w:r>
      <w:rPr>
        <w:rFonts w:ascii="Arial" w:eastAsia="Arial" w:hAnsi="Arial" w:cs="Arial"/>
        <w:noProof/>
        <w:sz w:val="18"/>
        <w:szCs w:val="18"/>
        <w:lang w:val="pt-BR"/>
      </w:rPr>
      <w:t>4</w:t>
    </w:r>
    <w:r w:rsidRPr="177DA22B">
      <w:rPr>
        <w:rFonts w:ascii="Arial" w:eastAsia="Arial" w:hAnsi="Arial" w:cs="Arial"/>
        <w:noProof/>
        <w:sz w:val="18"/>
        <w:szCs w:val="18"/>
        <w:lang w:val="pt-BR"/>
      </w:rPr>
      <w:fldChar w:fldCharType="end"/>
    </w:r>
  </w:p>
  <w:p w14:paraId="1092FF82" w14:textId="77777777" w:rsidR="00D0148C" w:rsidRPr="00A23086" w:rsidRDefault="00D0148C">
    <w:pPr>
      <w:pStyle w:val="Header"/>
      <w:rPr>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540C8"/>
    <w:multiLevelType w:val="multilevel"/>
    <w:tmpl w:val="6BAE88DE"/>
    <w:lvl w:ilvl="0">
      <w:start w:val="1"/>
      <w:numFmt w:val="decimal"/>
      <w:lvlText w:val="%1"/>
      <w:lvlJc w:val="left"/>
      <w:pPr>
        <w:ind w:left="396" w:hanging="396"/>
      </w:pPr>
      <w:rPr>
        <w:rFonts w:hint="default"/>
      </w:rPr>
    </w:lvl>
    <w:lvl w:ilvl="1">
      <w:start w:val="2"/>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727211D"/>
    <w:multiLevelType w:val="multilevel"/>
    <w:tmpl w:val="FCFAC2B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F932278"/>
    <w:multiLevelType w:val="hybridMultilevel"/>
    <w:tmpl w:val="955ECE88"/>
    <w:lvl w:ilvl="0" w:tplc="79EA97CA">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2130689A"/>
    <w:multiLevelType w:val="multilevel"/>
    <w:tmpl w:val="EC063C56"/>
    <w:lvl w:ilvl="0">
      <w:start w:val="2"/>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70F21F7"/>
    <w:multiLevelType w:val="hybridMultilevel"/>
    <w:tmpl w:val="6736DC3C"/>
    <w:lvl w:ilvl="0" w:tplc="C3FE92A6">
      <w:start w:val="1"/>
      <w:numFmt w:val="decimal"/>
      <w:lvlText w:val="3.%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15:restartNumberingAfterBreak="0">
    <w:nsid w:val="2D90375D"/>
    <w:multiLevelType w:val="hybridMultilevel"/>
    <w:tmpl w:val="7738105A"/>
    <w:lvl w:ilvl="0" w:tplc="2EEECBA0">
      <w:start w:val="1"/>
      <w:numFmt w:val="decimal"/>
      <w:lvlText w:val="2.%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6" w15:restartNumberingAfterBreak="0">
    <w:nsid w:val="2F615CE9"/>
    <w:multiLevelType w:val="hybridMultilevel"/>
    <w:tmpl w:val="6A743C14"/>
    <w:lvl w:ilvl="0" w:tplc="595238B8">
      <w:start w:val="1"/>
      <w:numFmt w:val="decimal"/>
      <w:lvlText w:val="2.%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15:restartNumberingAfterBreak="0">
    <w:nsid w:val="3F56137C"/>
    <w:multiLevelType w:val="multilevel"/>
    <w:tmpl w:val="040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5DA709B"/>
    <w:multiLevelType w:val="multilevel"/>
    <w:tmpl w:val="8CCE65EA"/>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60E3910"/>
    <w:multiLevelType w:val="multilevel"/>
    <w:tmpl w:val="055E3484"/>
    <w:lvl w:ilvl="0">
      <w:start w:val="3"/>
      <w:numFmt w:val="decimal"/>
      <w:lvlText w:val="%1."/>
      <w:lvlJc w:val="left"/>
      <w:pPr>
        <w:ind w:left="360" w:hanging="360"/>
      </w:pPr>
      <w:rPr>
        <w:rFonts w:eastAsia="Calibri"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0" w15:restartNumberingAfterBreak="0">
    <w:nsid w:val="46A90679"/>
    <w:multiLevelType w:val="multilevel"/>
    <w:tmpl w:val="E086326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A794D0E"/>
    <w:multiLevelType w:val="hybridMultilevel"/>
    <w:tmpl w:val="B01CCD30"/>
    <w:lvl w:ilvl="0" w:tplc="C3FE92A6">
      <w:start w:val="1"/>
      <w:numFmt w:val="decimal"/>
      <w:lvlText w:val="3.%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5A0417E9"/>
    <w:multiLevelType w:val="multilevel"/>
    <w:tmpl w:val="8CCE65EA"/>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C4B73DD"/>
    <w:multiLevelType w:val="hybridMultilevel"/>
    <w:tmpl w:val="55A054E0"/>
    <w:lvl w:ilvl="0" w:tplc="2EEECBA0">
      <w:start w:val="1"/>
      <w:numFmt w:val="decimal"/>
      <w:lvlText w:val="2.%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AC25F1D"/>
    <w:multiLevelType w:val="multilevel"/>
    <w:tmpl w:val="8CCE65EA"/>
    <w:lvl w:ilvl="0">
      <w:start w:val="1"/>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003678A"/>
    <w:multiLevelType w:val="multilevel"/>
    <w:tmpl w:val="F234444A"/>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1DF38DE"/>
    <w:multiLevelType w:val="hybridMultilevel"/>
    <w:tmpl w:val="CD1E9006"/>
    <w:lvl w:ilvl="0" w:tplc="E57A0130">
      <w:start w:val="1"/>
      <w:numFmt w:val="decimal"/>
      <w:lvlText w:val="1.%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15:restartNumberingAfterBreak="0">
    <w:nsid w:val="743C7335"/>
    <w:multiLevelType w:val="multilevel"/>
    <w:tmpl w:val="C996FD8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7"/>
  </w:num>
  <w:num w:numId="2">
    <w:abstractNumId w:val="8"/>
  </w:num>
  <w:num w:numId="3">
    <w:abstractNumId w:val="14"/>
  </w:num>
  <w:num w:numId="4">
    <w:abstractNumId w:val="0"/>
  </w:num>
  <w:num w:numId="5">
    <w:abstractNumId w:val="12"/>
  </w:num>
  <w:num w:numId="6">
    <w:abstractNumId w:val="5"/>
  </w:num>
  <w:num w:numId="7">
    <w:abstractNumId w:val="11"/>
  </w:num>
  <w:num w:numId="8">
    <w:abstractNumId w:val="13"/>
  </w:num>
  <w:num w:numId="9">
    <w:abstractNumId w:val="2"/>
  </w:num>
  <w:num w:numId="10">
    <w:abstractNumId w:val="16"/>
  </w:num>
  <w:num w:numId="11">
    <w:abstractNumId w:val="6"/>
  </w:num>
  <w:num w:numId="12">
    <w:abstractNumId w:val="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7"/>
  </w:num>
  <w:num w:numId="16">
    <w:abstractNumId w:val="1"/>
  </w:num>
  <w:num w:numId="17">
    <w:abstractNumId w:val="9"/>
  </w:num>
  <w:num w:numId="18">
    <w:abstractNumId w:val="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proofState w:spelling="clean" w:grammar="clean"/>
  <w:revisionView w:markup="0"/>
  <w:defaultTabStop w:val="720"/>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28"/>
    <w:rsid w:val="00006F17"/>
    <w:rsid w:val="00014A72"/>
    <w:rsid w:val="00023769"/>
    <w:rsid w:val="000272E5"/>
    <w:rsid w:val="00027D15"/>
    <w:rsid w:val="00030C91"/>
    <w:rsid w:val="00031344"/>
    <w:rsid w:val="00032569"/>
    <w:rsid w:val="00033DCB"/>
    <w:rsid w:val="0003426D"/>
    <w:rsid w:val="00041C76"/>
    <w:rsid w:val="0004483F"/>
    <w:rsid w:val="00045F2C"/>
    <w:rsid w:val="0005114C"/>
    <w:rsid w:val="00051B01"/>
    <w:rsid w:val="00054185"/>
    <w:rsid w:val="00064C0D"/>
    <w:rsid w:val="0006573C"/>
    <w:rsid w:val="00067D62"/>
    <w:rsid w:val="000703B6"/>
    <w:rsid w:val="00071CE1"/>
    <w:rsid w:val="0007292B"/>
    <w:rsid w:val="00072B30"/>
    <w:rsid w:val="00081A33"/>
    <w:rsid w:val="00083629"/>
    <w:rsid w:val="0008458B"/>
    <w:rsid w:val="00087B8D"/>
    <w:rsid w:val="00094306"/>
    <w:rsid w:val="00096014"/>
    <w:rsid w:val="000A0BF5"/>
    <w:rsid w:val="000A1480"/>
    <w:rsid w:val="000A38D9"/>
    <w:rsid w:val="000A6B03"/>
    <w:rsid w:val="000B5748"/>
    <w:rsid w:val="000C0898"/>
    <w:rsid w:val="000C29ED"/>
    <w:rsid w:val="000C714C"/>
    <w:rsid w:val="000D4DFB"/>
    <w:rsid w:val="00100426"/>
    <w:rsid w:val="00101380"/>
    <w:rsid w:val="001018B0"/>
    <w:rsid w:val="00111D7C"/>
    <w:rsid w:val="00112581"/>
    <w:rsid w:val="001217BB"/>
    <w:rsid w:val="00123645"/>
    <w:rsid w:val="001236AA"/>
    <w:rsid w:val="00123DE5"/>
    <w:rsid w:val="0013570B"/>
    <w:rsid w:val="001440E1"/>
    <w:rsid w:val="001441F8"/>
    <w:rsid w:val="00144EA5"/>
    <w:rsid w:val="0014749F"/>
    <w:rsid w:val="001500A8"/>
    <w:rsid w:val="00150192"/>
    <w:rsid w:val="00160ED1"/>
    <w:rsid w:val="00165E71"/>
    <w:rsid w:val="001707DE"/>
    <w:rsid w:val="00171900"/>
    <w:rsid w:val="001737D3"/>
    <w:rsid w:val="00174251"/>
    <w:rsid w:val="00175F28"/>
    <w:rsid w:val="00177F14"/>
    <w:rsid w:val="0018038E"/>
    <w:rsid w:val="00182062"/>
    <w:rsid w:val="0018480D"/>
    <w:rsid w:val="001907B9"/>
    <w:rsid w:val="00190A30"/>
    <w:rsid w:val="0019113E"/>
    <w:rsid w:val="0019121C"/>
    <w:rsid w:val="00197214"/>
    <w:rsid w:val="00197FC1"/>
    <w:rsid w:val="001A0D1E"/>
    <w:rsid w:val="001A4C6A"/>
    <w:rsid w:val="001A58E0"/>
    <w:rsid w:val="001A70CC"/>
    <w:rsid w:val="001A71B3"/>
    <w:rsid w:val="001B0FC0"/>
    <w:rsid w:val="001B23FE"/>
    <w:rsid w:val="001B738A"/>
    <w:rsid w:val="001C0067"/>
    <w:rsid w:val="001C1CD1"/>
    <w:rsid w:val="001C2901"/>
    <w:rsid w:val="001C37CD"/>
    <w:rsid w:val="001C6133"/>
    <w:rsid w:val="001C6DCE"/>
    <w:rsid w:val="001D3773"/>
    <w:rsid w:val="001F25AE"/>
    <w:rsid w:val="001F2AB3"/>
    <w:rsid w:val="00205227"/>
    <w:rsid w:val="002070A9"/>
    <w:rsid w:val="00207CC6"/>
    <w:rsid w:val="00210E7A"/>
    <w:rsid w:val="00211561"/>
    <w:rsid w:val="0021519F"/>
    <w:rsid w:val="002231B2"/>
    <w:rsid w:val="00224C85"/>
    <w:rsid w:val="002272EC"/>
    <w:rsid w:val="00233AEC"/>
    <w:rsid w:val="00236694"/>
    <w:rsid w:val="00244BFC"/>
    <w:rsid w:val="00252649"/>
    <w:rsid w:val="00252AE8"/>
    <w:rsid w:val="00257925"/>
    <w:rsid w:val="002605EA"/>
    <w:rsid w:val="002632BD"/>
    <w:rsid w:val="00267032"/>
    <w:rsid w:val="00270839"/>
    <w:rsid w:val="00280645"/>
    <w:rsid w:val="00282A0E"/>
    <w:rsid w:val="002836C4"/>
    <w:rsid w:val="0029397C"/>
    <w:rsid w:val="00293EBE"/>
    <w:rsid w:val="00296C44"/>
    <w:rsid w:val="002A0088"/>
    <w:rsid w:val="002B1A33"/>
    <w:rsid w:val="002B328A"/>
    <w:rsid w:val="002B4622"/>
    <w:rsid w:val="002C1834"/>
    <w:rsid w:val="002C1920"/>
    <w:rsid w:val="002C20C9"/>
    <w:rsid w:val="002D1BE9"/>
    <w:rsid w:val="002D2997"/>
    <w:rsid w:val="002D4C98"/>
    <w:rsid w:val="002E1860"/>
    <w:rsid w:val="002E2480"/>
    <w:rsid w:val="002E579B"/>
    <w:rsid w:val="002E7DC2"/>
    <w:rsid w:val="002F1BBB"/>
    <w:rsid w:val="002F2AC6"/>
    <w:rsid w:val="002F6CA7"/>
    <w:rsid w:val="0030141D"/>
    <w:rsid w:val="00301A49"/>
    <w:rsid w:val="00302EAD"/>
    <w:rsid w:val="00303521"/>
    <w:rsid w:val="00310563"/>
    <w:rsid w:val="00310882"/>
    <w:rsid w:val="00315306"/>
    <w:rsid w:val="003173C8"/>
    <w:rsid w:val="0031788E"/>
    <w:rsid w:val="00317DD3"/>
    <w:rsid w:val="00323D10"/>
    <w:rsid w:val="0032486B"/>
    <w:rsid w:val="00330C2C"/>
    <w:rsid w:val="003317C5"/>
    <w:rsid w:val="00334E51"/>
    <w:rsid w:val="00336863"/>
    <w:rsid w:val="003410D1"/>
    <w:rsid w:val="003458BB"/>
    <w:rsid w:val="003464B3"/>
    <w:rsid w:val="00352759"/>
    <w:rsid w:val="0035645C"/>
    <w:rsid w:val="003573B3"/>
    <w:rsid w:val="00357687"/>
    <w:rsid w:val="00362F76"/>
    <w:rsid w:val="0036494D"/>
    <w:rsid w:val="00366883"/>
    <w:rsid w:val="00371082"/>
    <w:rsid w:val="00372160"/>
    <w:rsid w:val="00373BDC"/>
    <w:rsid w:val="00376429"/>
    <w:rsid w:val="00376BE3"/>
    <w:rsid w:val="00385381"/>
    <w:rsid w:val="003A0579"/>
    <w:rsid w:val="003A0C9D"/>
    <w:rsid w:val="003A2DC8"/>
    <w:rsid w:val="003A3D8A"/>
    <w:rsid w:val="003A4F68"/>
    <w:rsid w:val="003B2F94"/>
    <w:rsid w:val="003B6654"/>
    <w:rsid w:val="003B7171"/>
    <w:rsid w:val="003C05B5"/>
    <w:rsid w:val="003C0BA6"/>
    <w:rsid w:val="003C6796"/>
    <w:rsid w:val="003E56C1"/>
    <w:rsid w:val="003E5B73"/>
    <w:rsid w:val="003E77C4"/>
    <w:rsid w:val="003F06CB"/>
    <w:rsid w:val="003F0CAD"/>
    <w:rsid w:val="003F7049"/>
    <w:rsid w:val="00401D0C"/>
    <w:rsid w:val="00402BF4"/>
    <w:rsid w:val="004037E7"/>
    <w:rsid w:val="004049E4"/>
    <w:rsid w:val="00407C05"/>
    <w:rsid w:val="00407FD7"/>
    <w:rsid w:val="0041481E"/>
    <w:rsid w:val="00414EBC"/>
    <w:rsid w:val="0041719C"/>
    <w:rsid w:val="00422479"/>
    <w:rsid w:val="00423367"/>
    <w:rsid w:val="00426564"/>
    <w:rsid w:val="00431E4E"/>
    <w:rsid w:val="00433529"/>
    <w:rsid w:val="00433F52"/>
    <w:rsid w:val="00443BA5"/>
    <w:rsid w:val="00444F77"/>
    <w:rsid w:val="00450E0D"/>
    <w:rsid w:val="00453B1C"/>
    <w:rsid w:val="00464141"/>
    <w:rsid w:val="004702EF"/>
    <w:rsid w:val="00471E5A"/>
    <w:rsid w:val="00473D8B"/>
    <w:rsid w:val="0047401E"/>
    <w:rsid w:val="004778E8"/>
    <w:rsid w:val="00477C55"/>
    <w:rsid w:val="00480C06"/>
    <w:rsid w:val="00486BC5"/>
    <w:rsid w:val="00487699"/>
    <w:rsid w:val="00492A38"/>
    <w:rsid w:val="004943AF"/>
    <w:rsid w:val="004A6D1F"/>
    <w:rsid w:val="004B73B4"/>
    <w:rsid w:val="004C23EA"/>
    <w:rsid w:val="004C250B"/>
    <w:rsid w:val="004C3306"/>
    <w:rsid w:val="004C5543"/>
    <w:rsid w:val="004D0B90"/>
    <w:rsid w:val="004D1A6C"/>
    <w:rsid w:val="004D1C90"/>
    <w:rsid w:val="004D35CD"/>
    <w:rsid w:val="004D4A5D"/>
    <w:rsid w:val="004D4F99"/>
    <w:rsid w:val="004D51D2"/>
    <w:rsid w:val="004E0FA1"/>
    <w:rsid w:val="004F2179"/>
    <w:rsid w:val="004F2E73"/>
    <w:rsid w:val="004F5230"/>
    <w:rsid w:val="004F65C9"/>
    <w:rsid w:val="00502C5B"/>
    <w:rsid w:val="00504D88"/>
    <w:rsid w:val="00507A38"/>
    <w:rsid w:val="005165B5"/>
    <w:rsid w:val="0052282A"/>
    <w:rsid w:val="00530CF8"/>
    <w:rsid w:val="00531F52"/>
    <w:rsid w:val="00534530"/>
    <w:rsid w:val="0054753E"/>
    <w:rsid w:val="00551433"/>
    <w:rsid w:val="0055452B"/>
    <w:rsid w:val="00556369"/>
    <w:rsid w:val="00557AC3"/>
    <w:rsid w:val="00560675"/>
    <w:rsid w:val="00563F49"/>
    <w:rsid w:val="0056781D"/>
    <w:rsid w:val="0057301E"/>
    <w:rsid w:val="005760D8"/>
    <w:rsid w:val="005766D1"/>
    <w:rsid w:val="00576A02"/>
    <w:rsid w:val="005831C5"/>
    <w:rsid w:val="0058371A"/>
    <w:rsid w:val="0058390A"/>
    <w:rsid w:val="005851FD"/>
    <w:rsid w:val="005951E8"/>
    <w:rsid w:val="00595B6C"/>
    <w:rsid w:val="005A0282"/>
    <w:rsid w:val="005A37FE"/>
    <w:rsid w:val="005B1F9E"/>
    <w:rsid w:val="005B2798"/>
    <w:rsid w:val="005B3C28"/>
    <w:rsid w:val="005B656E"/>
    <w:rsid w:val="005C26B1"/>
    <w:rsid w:val="005C48BB"/>
    <w:rsid w:val="005C68E2"/>
    <w:rsid w:val="005C7E23"/>
    <w:rsid w:val="005D5823"/>
    <w:rsid w:val="005D6BFE"/>
    <w:rsid w:val="005E5DA0"/>
    <w:rsid w:val="005F5061"/>
    <w:rsid w:val="005F69CE"/>
    <w:rsid w:val="006015D7"/>
    <w:rsid w:val="006048D2"/>
    <w:rsid w:val="00605441"/>
    <w:rsid w:val="00614E59"/>
    <w:rsid w:val="006158E2"/>
    <w:rsid w:val="00617F01"/>
    <w:rsid w:val="0062145F"/>
    <w:rsid w:val="0062411A"/>
    <w:rsid w:val="006252AB"/>
    <w:rsid w:val="00626466"/>
    <w:rsid w:val="00627E84"/>
    <w:rsid w:val="00631FEB"/>
    <w:rsid w:val="00633DF2"/>
    <w:rsid w:val="00637167"/>
    <w:rsid w:val="006415D3"/>
    <w:rsid w:val="00641BE2"/>
    <w:rsid w:val="0064491E"/>
    <w:rsid w:val="00645DAE"/>
    <w:rsid w:val="006471C6"/>
    <w:rsid w:val="00653010"/>
    <w:rsid w:val="00655F63"/>
    <w:rsid w:val="00661E40"/>
    <w:rsid w:val="0066291D"/>
    <w:rsid w:val="00667AB3"/>
    <w:rsid w:val="00671664"/>
    <w:rsid w:val="00674473"/>
    <w:rsid w:val="006759BF"/>
    <w:rsid w:val="006772EC"/>
    <w:rsid w:val="00681ADB"/>
    <w:rsid w:val="00684EF0"/>
    <w:rsid w:val="00692179"/>
    <w:rsid w:val="00697CE1"/>
    <w:rsid w:val="006A2E2C"/>
    <w:rsid w:val="006A39AC"/>
    <w:rsid w:val="006A6DEE"/>
    <w:rsid w:val="006B308C"/>
    <w:rsid w:val="006B43A8"/>
    <w:rsid w:val="006B7B7A"/>
    <w:rsid w:val="006C04D1"/>
    <w:rsid w:val="006C2BB8"/>
    <w:rsid w:val="006C5AA0"/>
    <w:rsid w:val="006D2C5E"/>
    <w:rsid w:val="006D62C6"/>
    <w:rsid w:val="006D72E5"/>
    <w:rsid w:val="006F3045"/>
    <w:rsid w:val="006F75C6"/>
    <w:rsid w:val="00701ABF"/>
    <w:rsid w:val="007026A9"/>
    <w:rsid w:val="00702DA7"/>
    <w:rsid w:val="00705209"/>
    <w:rsid w:val="00705832"/>
    <w:rsid w:val="0070598F"/>
    <w:rsid w:val="00705CCF"/>
    <w:rsid w:val="00707540"/>
    <w:rsid w:val="00711636"/>
    <w:rsid w:val="00715E9A"/>
    <w:rsid w:val="007172EC"/>
    <w:rsid w:val="00727F22"/>
    <w:rsid w:val="00730D23"/>
    <w:rsid w:val="00735F3B"/>
    <w:rsid w:val="00740F30"/>
    <w:rsid w:val="00750F2B"/>
    <w:rsid w:val="00755AD0"/>
    <w:rsid w:val="00760635"/>
    <w:rsid w:val="00763AE2"/>
    <w:rsid w:val="00766927"/>
    <w:rsid w:val="00767E5A"/>
    <w:rsid w:val="00771188"/>
    <w:rsid w:val="007761A2"/>
    <w:rsid w:val="0078017F"/>
    <w:rsid w:val="00781612"/>
    <w:rsid w:val="007818CC"/>
    <w:rsid w:val="007836A1"/>
    <w:rsid w:val="00783701"/>
    <w:rsid w:val="0078669D"/>
    <w:rsid w:val="00786BDB"/>
    <w:rsid w:val="0079159D"/>
    <w:rsid w:val="00791D02"/>
    <w:rsid w:val="007928C6"/>
    <w:rsid w:val="00792B5C"/>
    <w:rsid w:val="00793C64"/>
    <w:rsid w:val="007964C8"/>
    <w:rsid w:val="007A43F5"/>
    <w:rsid w:val="007A4839"/>
    <w:rsid w:val="007A4C76"/>
    <w:rsid w:val="007A7816"/>
    <w:rsid w:val="007A7BAF"/>
    <w:rsid w:val="007B0860"/>
    <w:rsid w:val="007B0EFF"/>
    <w:rsid w:val="007B3560"/>
    <w:rsid w:val="007C06A6"/>
    <w:rsid w:val="007C4267"/>
    <w:rsid w:val="007D36EB"/>
    <w:rsid w:val="007D4D69"/>
    <w:rsid w:val="007E048A"/>
    <w:rsid w:val="007E68CF"/>
    <w:rsid w:val="007F2557"/>
    <w:rsid w:val="007F29D0"/>
    <w:rsid w:val="007F794E"/>
    <w:rsid w:val="00801201"/>
    <w:rsid w:val="0080364C"/>
    <w:rsid w:val="0080414A"/>
    <w:rsid w:val="00811786"/>
    <w:rsid w:val="008124D4"/>
    <w:rsid w:val="008225B2"/>
    <w:rsid w:val="0082281B"/>
    <w:rsid w:val="008273A2"/>
    <w:rsid w:val="00832B26"/>
    <w:rsid w:val="008331AD"/>
    <w:rsid w:val="00833372"/>
    <w:rsid w:val="00834F85"/>
    <w:rsid w:val="008363F2"/>
    <w:rsid w:val="0084251D"/>
    <w:rsid w:val="008428FF"/>
    <w:rsid w:val="0084375C"/>
    <w:rsid w:val="008451C3"/>
    <w:rsid w:val="0085090E"/>
    <w:rsid w:val="00852F0A"/>
    <w:rsid w:val="0085442E"/>
    <w:rsid w:val="008546C2"/>
    <w:rsid w:val="0086001E"/>
    <w:rsid w:val="008606F0"/>
    <w:rsid w:val="00866152"/>
    <w:rsid w:val="00874A39"/>
    <w:rsid w:val="00884498"/>
    <w:rsid w:val="00887F72"/>
    <w:rsid w:val="00890A4A"/>
    <w:rsid w:val="0089331C"/>
    <w:rsid w:val="008951FE"/>
    <w:rsid w:val="008A21C4"/>
    <w:rsid w:val="008A61B1"/>
    <w:rsid w:val="008A67A5"/>
    <w:rsid w:val="008B0D08"/>
    <w:rsid w:val="008B24F6"/>
    <w:rsid w:val="008B25BB"/>
    <w:rsid w:val="008C0785"/>
    <w:rsid w:val="008C34F8"/>
    <w:rsid w:val="008C6AA8"/>
    <w:rsid w:val="008D7109"/>
    <w:rsid w:val="008D7369"/>
    <w:rsid w:val="008E077D"/>
    <w:rsid w:val="008E2186"/>
    <w:rsid w:val="008E7497"/>
    <w:rsid w:val="008F4AAC"/>
    <w:rsid w:val="008F7740"/>
    <w:rsid w:val="009022EC"/>
    <w:rsid w:val="00906666"/>
    <w:rsid w:val="0091228C"/>
    <w:rsid w:val="0091292D"/>
    <w:rsid w:val="00913081"/>
    <w:rsid w:val="0091390A"/>
    <w:rsid w:val="00913B61"/>
    <w:rsid w:val="009149CD"/>
    <w:rsid w:val="00923770"/>
    <w:rsid w:val="00924DB4"/>
    <w:rsid w:val="00924E0E"/>
    <w:rsid w:val="00927D1D"/>
    <w:rsid w:val="009304EA"/>
    <w:rsid w:val="00934CD0"/>
    <w:rsid w:val="00936207"/>
    <w:rsid w:val="0093660B"/>
    <w:rsid w:val="00945047"/>
    <w:rsid w:val="009466A5"/>
    <w:rsid w:val="00952A35"/>
    <w:rsid w:val="00953F66"/>
    <w:rsid w:val="0096267D"/>
    <w:rsid w:val="009679F6"/>
    <w:rsid w:val="00973A21"/>
    <w:rsid w:val="00974B08"/>
    <w:rsid w:val="0097749A"/>
    <w:rsid w:val="00977AA3"/>
    <w:rsid w:val="009825FE"/>
    <w:rsid w:val="009864B8"/>
    <w:rsid w:val="009905A3"/>
    <w:rsid w:val="00991197"/>
    <w:rsid w:val="00992E3E"/>
    <w:rsid w:val="009A1D70"/>
    <w:rsid w:val="009A2111"/>
    <w:rsid w:val="009A2B1B"/>
    <w:rsid w:val="009A7123"/>
    <w:rsid w:val="009B0FAF"/>
    <w:rsid w:val="009B113E"/>
    <w:rsid w:val="009B7ED4"/>
    <w:rsid w:val="009C1E25"/>
    <w:rsid w:val="009C2C1A"/>
    <w:rsid w:val="009C3F32"/>
    <w:rsid w:val="009D26D4"/>
    <w:rsid w:val="009D3EFF"/>
    <w:rsid w:val="009D41B7"/>
    <w:rsid w:val="009D7220"/>
    <w:rsid w:val="009D7C75"/>
    <w:rsid w:val="009E2580"/>
    <w:rsid w:val="009E59E7"/>
    <w:rsid w:val="009E7ABF"/>
    <w:rsid w:val="009F1A2E"/>
    <w:rsid w:val="009F2859"/>
    <w:rsid w:val="009F5D4E"/>
    <w:rsid w:val="00A0027D"/>
    <w:rsid w:val="00A0144C"/>
    <w:rsid w:val="00A014B1"/>
    <w:rsid w:val="00A03F4D"/>
    <w:rsid w:val="00A06827"/>
    <w:rsid w:val="00A12738"/>
    <w:rsid w:val="00A23086"/>
    <w:rsid w:val="00A27025"/>
    <w:rsid w:val="00A27D27"/>
    <w:rsid w:val="00A27D8E"/>
    <w:rsid w:val="00A32685"/>
    <w:rsid w:val="00A327B0"/>
    <w:rsid w:val="00A3303E"/>
    <w:rsid w:val="00A33D34"/>
    <w:rsid w:val="00A34554"/>
    <w:rsid w:val="00A35B22"/>
    <w:rsid w:val="00A3708C"/>
    <w:rsid w:val="00A3748E"/>
    <w:rsid w:val="00A43791"/>
    <w:rsid w:val="00A52DBD"/>
    <w:rsid w:val="00A545C0"/>
    <w:rsid w:val="00A6464E"/>
    <w:rsid w:val="00A663BF"/>
    <w:rsid w:val="00A73C70"/>
    <w:rsid w:val="00A80BEA"/>
    <w:rsid w:val="00A841DF"/>
    <w:rsid w:val="00A9654B"/>
    <w:rsid w:val="00AA298E"/>
    <w:rsid w:val="00AA6330"/>
    <w:rsid w:val="00AA73EC"/>
    <w:rsid w:val="00AA7492"/>
    <w:rsid w:val="00AA786A"/>
    <w:rsid w:val="00AB2221"/>
    <w:rsid w:val="00AB37DD"/>
    <w:rsid w:val="00AB3B09"/>
    <w:rsid w:val="00AB5888"/>
    <w:rsid w:val="00AB62E1"/>
    <w:rsid w:val="00AB7984"/>
    <w:rsid w:val="00AC33DF"/>
    <w:rsid w:val="00AC39C3"/>
    <w:rsid w:val="00AC443C"/>
    <w:rsid w:val="00AC51E2"/>
    <w:rsid w:val="00AC7030"/>
    <w:rsid w:val="00AD24AD"/>
    <w:rsid w:val="00AD5619"/>
    <w:rsid w:val="00AD56A9"/>
    <w:rsid w:val="00AE290A"/>
    <w:rsid w:val="00AE4151"/>
    <w:rsid w:val="00AE4F0B"/>
    <w:rsid w:val="00AE7195"/>
    <w:rsid w:val="00AF161C"/>
    <w:rsid w:val="00AF1D5A"/>
    <w:rsid w:val="00AF2226"/>
    <w:rsid w:val="00AF5ABA"/>
    <w:rsid w:val="00AF7882"/>
    <w:rsid w:val="00AF7E0F"/>
    <w:rsid w:val="00B15166"/>
    <w:rsid w:val="00B15305"/>
    <w:rsid w:val="00B167B3"/>
    <w:rsid w:val="00B268E6"/>
    <w:rsid w:val="00B27AC5"/>
    <w:rsid w:val="00B321C5"/>
    <w:rsid w:val="00B35466"/>
    <w:rsid w:val="00B42924"/>
    <w:rsid w:val="00B44653"/>
    <w:rsid w:val="00B46C71"/>
    <w:rsid w:val="00B502C6"/>
    <w:rsid w:val="00B50536"/>
    <w:rsid w:val="00B5263F"/>
    <w:rsid w:val="00B548E7"/>
    <w:rsid w:val="00B55E2C"/>
    <w:rsid w:val="00B61C03"/>
    <w:rsid w:val="00B65AD6"/>
    <w:rsid w:val="00B65D0D"/>
    <w:rsid w:val="00B7709E"/>
    <w:rsid w:val="00B8124D"/>
    <w:rsid w:val="00B81FFB"/>
    <w:rsid w:val="00B85D7F"/>
    <w:rsid w:val="00B96022"/>
    <w:rsid w:val="00B97D10"/>
    <w:rsid w:val="00BA6336"/>
    <w:rsid w:val="00BB73DB"/>
    <w:rsid w:val="00BC1F9A"/>
    <w:rsid w:val="00BC4404"/>
    <w:rsid w:val="00BC5771"/>
    <w:rsid w:val="00BC7391"/>
    <w:rsid w:val="00BD18AB"/>
    <w:rsid w:val="00BE4668"/>
    <w:rsid w:val="00BE7868"/>
    <w:rsid w:val="00BF03FB"/>
    <w:rsid w:val="00BF3CCA"/>
    <w:rsid w:val="00BF5388"/>
    <w:rsid w:val="00C00702"/>
    <w:rsid w:val="00C00C0F"/>
    <w:rsid w:val="00C00E71"/>
    <w:rsid w:val="00C032F2"/>
    <w:rsid w:val="00C07081"/>
    <w:rsid w:val="00C1069A"/>
    <w:rsid w:val="00C117DF"/>
    <w:rsid w:val="00C11DB5"/>
    <w:rsid w:val="00C16211"/>
    <w:rsid w:val="00C16E6B"/>
    <w:rsid w:val="00C17176"/>
    <w:rsid w:val="00C175E7"/>
    <w:rsid w:val="00C25BE5"/>
    <w:rsid w:val="00C320EA"/>
    <w:rsid w:val="00C32160"/>
    <w:rsid w:val="00C33BDA"/>
    <w:rsid w:val="00C36DA1"/>
    <w:rsid w:val="00C40AF1"/>
    <w:rsid w:val="00C40D1F"/>
    <w:rsid w:val="00C51BD0"/>
    <w:rsid w:val="00C51EFD"/>
    <w:rsid w:val="00C577B5"/>
    <w:rsid w:val="00C626ED"/>
    <w:rsid w:val="00C710F1"/>
    <w:rsid w:val="00C758FC"/>
    <w:rsid w:val="00C763CF"/>
    <w:rsid w:val="00C8133A"/>
    <w:rsid w:val="00C92AC8"/>
    <w:rsid w:val="00CA25DD"/>
    <w:rsid w:val="00CA7F79"/>
    <w:rsid w:val="00CB3418"/>
    <w:rsid w:val="00CB52DC"/>
    <w:rsid w:val="00CC36CE"/>
    <w:rsid w:val="00CC39AB"/>
    <w:rsid w:val="00CC6F49"/>
    <w:rsid w:val="00CC71EB"/>
    <w:rsid w:val="00CD3A4D"/>
    <w:rsid w:val="00CD6F68"/>
    <w:rsid w:val="00CE29D7"/>
    <w:rsid w:val="00CE508E"/>
    <w:rsid w:val="00CE590C"/>
    <w:rsid w:val="00CE5E9F"/>
    <w:rsid w:val="00CF2E0F"/>
    <w:rsid w:val="00CF3974"/>
    <w:rsid w:val="00CF4293"/>
    <w:rsid w:val="00CF4783"/>
    <w:rsid w:val="00CF6571"/>
    <w:rsid w:val="00D0148C"/>
    <w:rsid w:val="00D026E0"/>
    <w:rsid w:val="00D02D4D"/>
    <w:rsid w:val="00D10F42"/>
    <w:rsid w:val="00D112AB"/>
    <w:rsid w:val="00D1216E"/>
    <w:rsid w:val="00D154EA"/>
    <w:rsid w:val="00D24F85"/>
    <w:rsid w:val="00D271CD"/>
    <w:rsid w:val="00D35DAD"/>
    <w:rsid w:val="00D41BB0"/>
    <w:rsid w:val="00D43E2F"/>
    <w:rsid w:val="00D449C1"/>
    <w:rsid w:val="00D44CEE"/>
    <w:rsid w:val="00D46AB8"/>
    <w:rsid w:val="00D55C07"/>
    <w:rsid w:val="00D56AA0"/>
    <w:rsid w:val="00D613B3"/>
    <w:rsid w:val="00D65D6C"/>
    <w:rsid w:val="00D704DF"/>
    <w:rsid w:val="00D70900"/>
    <w:rsid w:val="00D71A7B"/>
    <w:rsid w:val="00D71E10"/>
    <w:rsid w:val="00D74562"/>
    <w:rsid w:val="00D75DD5"/>
    <w:rsid w:val="00D77CA3"/>
    <w:rsid w:val="00D80087"/>
    <w:rsid w:val="00D81928"/>
    <w:rsid w:val="00D826B4"/>
    <w:rsid w:val="00D8290A"/>
    <w:rsid w:val="00D95425"/>
    <w:rsid w:val="00DA0899"/>
    <w:rsid w:val="00DA0BD0"/>
    <w:rsid w:val="00DA73AB"/>
    <w:rsid w:val="00DA7E98"/>
    <w:rsid w:val="00DB0490"/>
    <w:rsid w:val="00DC010B"/>
    <w:rsid w:val="00DC435F"/>
    <w:rsid w:val="00DD1B9F"/>
    <w:rsid w:val="00DD28D4"/>
    <w:rsid w:val="00DD3E0F"/>
    <w:rsid w:val="00DD50BD"/>
    <w:rsid w:val="00DE1D6B"/>
    <w:rsid w:val="00DF014F"/>
    <w:rsid w:val="00DF095F"/>
    <w:rsid w:val="00DF5C40"/>
    <w:rsid w:val="00E015E0"/>
    <w:rsid w:val="00E018A1"/>
    <w:rsid w:val="00E0423A"/>
    <w:rsid w:val="00E04B0B"/>
    <w:rsid w:val="00E106B5"/>
    <w:rsid w:val="00E1389B"/>
    <w:rsid w:val="00E15C95"/>
    <w:rsid w:val="00E212FD"/>
    <w:rsid w:val="00E22D6E"/>
    <w:rsid w:val="00E25439"/>
    <w:rsid w:val="00E26F68"/>
    <w:rsid w:val="00E37CF0"/>
    <w:rsid w:val="00E47BAF"/>
    <w:rsid w:val="00E51EDB"/>
    <w:rsid w:val="00E52C62"/>
    <w:rsid w:val="00E62347"/>
    <w:rsid w:val="00E6249F"/>
    <w:rsid w:val="00E63011"/>
    <w:rsid w:val="00E6303F"/>
    <w:rsid w:val="00E63D58"/>
    <w:rsid w:val="00E71DEF"/>
    <w:rsid w:val="00E75171"/>
    <w:rsid w:val="00E75496"/>
    <w:rsid w:val="00E75C32"/>
    <w:rsid w:val="00E76CD7"/>
    <w:rsid w:val="00E83986"/>
    <w:rsid w:val="00E9034B"/>
    <w:rsid w:val="00E924BB"/>
    <w:rsid w:val="00E96B42"/>
    <w:rsid w:val="00EA022D"/>
    <w:rsid w:val="00EA337A"/>
    <w:rsid w:val="00EA56B9"/>
    <w:rsid w:val="00EA7976"/>
    <w:rsid w:val="00EB08CE"/>
    <w:rsid w:val="00EB2D1A"/>
    <w:rsid w:val="00EB634D"/>
    <w:rsid w:val="00EB7326"/>
    <w:rsid w:val="00EC20D2"/>
    <w:rsid w:val="00EC2C79"/>
    <w:rsid w:val="00EC7BDC"/>
    <w:rsid w:val="00ED69C4"/>
    <w:rsid w:val="00EE04D1"/>
    <w:rsid w:val="00EE2052"/>
    <w:rsid w:val="00EE3327"/>
    <w:rsid w:val="00EE6984"/>
    <w:rsid w:val="00EE71BC"/>
    <w:rsid w:val="00F00D6B"/>
    <w:rsid w:val="00F04E5F"/>
    <w:rsid w:val="00F14336"/>
    <w:rsid w:val="00F15D3E"/>
    <w:rsid w:val="00F15D5C"/>
    <w:rsid w:val="00F2015E"/>
    <w:rsid w:val="00F262D1"/>
    <w:rsid w:val="00F27162"/>
    <w:rsid w:val="00F27F97"/>
    <w:rsid w:val="00F33C56"/>
    <w:rsid w:val="00F36FBA"/>
    <w:rsid w:val="00F42636"/>
    <w:rsid w:val="00F4267A"/>
    <w:rsid w:val="00F547BA"/>
    <w:rsid w:val="00F54910"/>
    <w:rsid w:val="00F604EF"/>
    <w:rsid w:val="00F6626E"/>
    <w:rsid w:val="00F755C8"/>
    <w:rsid w:val="00F774B7"/>
    <w:rsid w:val="00F83C63"/>
    <w:rsid w:val="00F930CF"/>
    <w:rsid w:val="00F93FB5"/>
    <w:rsid w:val="00F94841"/>
    <w:rsid w:val="00F97B02"/>
    <w:rsid w:val="00FA1663"/>
    <w:rsid w:val="00FA5BF3"/>
    <w:rsid w:val="00FA7EB0"/>
    <w:rsid w:val="00FB0A68"/>
    <w:rsid w:val="00FB0EFD"/>
    <w:rsid w:val="00FB34E0"/>
    <w:rsid w:val="00FB4A3D"/>
    <w:rsid w:val="00FC05FA"/>
    <w:rsid w:val="00FC2257"/>
    <w:rsid w:val="00FC2F3D"/>
    <w:rsid w:val="00FC3706"/>
    <w:rsid w:val="00FD526A"/>
    <w:rsid w:val="00FD53B2"/>
    <w:rsid w:val="00FE1078"/>
    <w:rsid w:val="00FE175E"/>
    <w:rsid w:val="00FE476A"/>
    <w:rsid w:val="00FE614F"/>
    <w:rsid w:val="00FF271E"/>
    <w:rsid w:val="00FF65F2"/>
    <w:rsid w:val="00FF6C99"/>
    <w:rsid w:val="177DA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AB9B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3C28"/>
    <w:pPr>
      <w:spacing w:after="200" w:line="276" w:lineRule="auto"/>
    </w:pPr>
    <w:rPr>
      <w:sz w:val="22"/>
      <w:szCs w:val="22"/>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B3C28"/>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5B3C28"/>
    <w:pPr>
      <w:spacing w:after="0" w:line="240" w:lineRule="auto"/>
      <w:ind w:left="720"/>
      <w:contextualSpacing/>
    </w:pPr>
    <w:rPr>
      <w:rFonts w:ascii="Times New Roman" w:eastAsia="Times New Roman" w:hAnsi="Times New Roman"/>
      <w:sz w:val="24"/>
      <w:szCs w:val="20"/>
      <w:lang w:val="en-US"/>
    </w:rPr>
  </w:style>
  <w:style w:type="character" w:customStyle="1" w:styleId="ListParagraphChar">
    <w:name w:val="List Paragraph Char"/>
    <w:link w:val="ListParagraph"/>
    <w:uiPriority w:val="34"/>
    <w:rsid w:val="005B3C28"/>
    <w:rPr>
      <w:rFonts w:ascii="Times New Roman" w:eastAsia="Times New Roman" w:hAnsi="Times New Roman" w:cs="Times New Roman"/>
      <w:sz w:val="24"/>
      <w:szCs w:val="20"/>
    </w:rPr>
  </w:style>
  <w:style w:type="character" w:styleId="Hyperlink">
    <w:name w:val="Hyperlink"/>
    <w:rsid w:val="005B3C28"/>
    <w:rPr>
      <w:color w:val="0000FF"/>
      <w:u w:val="single"/>
    </w:rPr>
  </w:style>
  <w:style w:type="paragraph" w:styleId="Header">
    <w:name w:val="header"/>
    <w:basedOn w:val="Normal"/>
    <w:link w:val="HeaderChar"/>
    <w:uiPriority w:val="99"/>
    <w:unhideWhenUsed/>
    <w:rsid w:val="005B3C28"/>
    <w:pPr>
      <w:tabs>
        <w:tab w:val="center" w:pos="4680"/>
        <w:tab w:val="right" w:pos="9360"/>
      </w:tabs>
      <w:spacing w:after="0" w:line="240" w:lineRule="auto"/>
    </w:pPr>
  </w:style>
  <w:style w:type="character" w:customStyle="1" w:styleId="HeaderChar">
    <w:name w:val="Header Char"/>
    <w:link w:val="Header"/>
    <w:uiPriority w:val="99"/>
    <w:rsid w:val="005B3C28"/>
    <w:rPr>
      <w:lang w:val="es-ES"/>
    </w:rPr>
  </w:style>
  <w:style w:type="paragraph" w:styleId="BalloonText">
    <w:name w:val="Balloon Text"/>
    <w:basedOn w:val="Normal"/>
    <w:link w:val="BalloonTextChar"/>
    <w:uiPriority w:val="99"/>
    <w:semiHidden/>
    <w:unhideWhenUsed/>
    <w:rsid w:val="00E52C6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E52C62"/>
    <w:rPr>
      <w:rFonts w:ascii="Tahoma" w:hAnsi="Tahoma" w:cs="Tahoma"/>
      <w:sz w:val="16"/>
      <w:szCs w:val="16"/>
      <w:lang w:val="es-ES"/>
    </w:rPr>
  </w:style>
  <w:style w:type="paragraph" w:styleId="FootnoteText">
    <w:name w:val="footnote text"/>
    <w:aliases w:val="fn,Texto de rodapé,nota_rodapé,nota de rodapé,ADB,foottextfra,footnote,F,Texto nota pie Car Car,FOOTNOTES,single space,footnote text,Footnote Text Char Char,texto de nota al pie,Nota a pie/Bibliog,foottextf,Geneva 9,Font: Geneva 9,Boston "/>
    <w:basedOn w:val="Normal"/>
    <w:link w:val="FootnoteTextChar"/>
    <w:uiPriority w:val="99"/>
    <w:unhideWhenUsed/>
    <w:qFormat/>
    <w:rsid w:val="00F42636"/>
    <w:pPr>
      <w:spacing w:after="0" w:line="240" w:lineRule="auto"/>
    </w:pPr>
    <w:rPr>
      <w:sz w:val="20"/>
      <w:szCs w:val="20"/>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Boston  Char"/>
    <w:link w:val="FootnoteText"/>
    <w:uiPriority w:val="99"/>
    <w:rsid w:val="00F42636"/>
    <w:rPr>
      <w:sz w:val="20"/>
      <w:szCs w:val="20"/>
      <w:lang w:val="es-ES"/>
    </w:rPr>
  </w:style>
  <w:style w:type="character" w:styleId="FootnoteReference">
    <w:name w:val="footnote reference"/>
    <w:aliases w:val="16 Point,Superscript 6 Point,ftref,Ref,de nota al pie,referencia nota al pie,titulo 2,Ref. de nota al pie.,Fußnotenzeichen DISS,Ref. de nota al pie EDEP,pie pddes,FC,Footnote Reference Number,Footnote Reference_LVL6,fr,SUPERS"/>
    <w:uiPriority w:val="99"/>
    <w:unhideWhenUsed/>
    <w:qFormat/>
    <w:rsid w:val="00F42636"/>
    <w:rPr>
      <w:vertAlign w:val="superscript"/>
    </w:rPr>
  </w:style>
  <w:style w:type="paragraph" w:styleId="Footer">
    <w:name w:val="footer"/>
    <w:basedOn w:val="Normal"/>
    <w:link w:val="FooterChar"/>
    <w:uiPriority w:val="99"/>
    <w:unhideWhenUsed/>
    <w:rsid w:val="00112581"/>
    <w:pPr>
      <w:tabs>
        <w:tab w:val="center" w:pos="4513"/>
        <w:tab w:val="right" w:pos="9026"/>
      </w:tabs>
      <w:spacing w:after="0" w:line="240" w:lineRule="auto"/>
    </w:pPr>
  </w:style>
  <w:style w:type="character" w:customStyle="1" w:styleId="FooterChar">
    <w:name w:val="Footer Char"/>
    <w:link w:val="Footer"/>
    <w:uiPriority w:val="99"/>
    <w:rsid w:val="00112581"/>
    <w:rPr>
      <w:lang w:val="es-ES"/>
    </w:rPr>
  </w:style>
  <w:style w:type="character" w:styleId="CommentReference">
    <w:name w:val="annotation reference"/>
    <w:uiPriority w:val="99"/>
    <w:semiHidden/>
    <w:unhideWhenUsed/>
    <w:rsid w:val="00BD18AB"/>
    <w:rPr>
      <w:sz w:val="16"/>
      <w:szCs w:val="16"/>
    </w:rPr>
  </w:style>
  <w:style w:type="paragraph" w:styleId="CommentText">
    <w:name w:val="annotation text"/>
    <w:basedOn w:val="Normal"/>
    <w:link w:val="CommentTextChar"/>
    <w:uiPriority w:val="99"/>
    <w:unhideWhenUsed/>
    <w:rsid w:val="00BD18AB"/>
    <w:pPr>
      <w:spacing w:line="240" w:lineRule="auto"/>
    </w:pPr>
    <w:rPr>
      <w:sz w:val="20"/>
      <w:szCs w:val="20"/>
    </w:rPr>
  </w:style>
  <w:style w:type="character" w:customStyle="1" w:styleId="CommentTextChar">
    <w:name w:val="Comment Text Char"/>
    <w:link w:val="CommentText"/>
    <w:uiPriority w:val="99"/>
    <w:rsid w:val="00BD18AB"/>
    <w:rPr>
      <w:sz w:val="20"/>
      <w:szCs w:val="20"/>
      <w:lang w:val="es-ES"/>
    </w:rPr>
  </w:style>
  <w:style w:type="paragraph" w:styleId="CommentSubject">
    <w:name w:val="annotation subject"/>
    <w:basedOn w:val="CommentText"/>
    <w:next w:val="CommentText"/>
    <w:link w:val="CommentSubjectChar"/>
    <w:uiPriority w:val="99"/>
    <w:semiHidden/>
    <w:unhideWhenUsed/>
    <w:rsid w:val="00BD18AB"/>
    <w:rPr>
      <w:b/>
      <w:bCs/>
    </w:rPr>
  </w:style>
  <w:style w:type="character" w:customStyle="1" w:styleId="CommentSubjectChar">
    <w:name w:val="Comment Subject Char"/>
    <w:link w:val="CommentSubject"/>
    <w:uiPriority w:val="99"/>
    <w:semiHidden/>
    <w:rsid w:val="00BD18AB"/>
    <w:rPr>
      <w:b/>
      <w:bCs/>
      <w:sz w:val="20"/>
      <w:szCs w:val="20"/>
      <w:lang w:val="es-ES"/>
    </w:rPr>
  </w:style>
  <w:style w:type="paragraph" w:styleId="PlainText">
    <w:name w:val="Plain Text"/>
    <w:basedOn w:val="Normal"/>
    <w:link w:val="PlainTextChar"/>
    <w:uiPriority w:val="99"/>
    <w:unhideWhenUsed/>
    <w:rsid w:val="00BC1F9A"/>
    <w:pPr>
      <w:spacing w:after="0" w:line="240" w:lineRule="auto"/>
    </w:pPr>
  </w:style>
  <w:style w:type="character" w:customStyle="1" w:styleId="PlainTextChar">
    <w:name w:val="Plain Text Char"/>
    <w:link w:val="PlainText"/>
    <w:uiPriority w:val="99"/>
    <w:rsid w:val="00BC1F9A"/>
    <w:rPr>
      <w:rFonts w:ascii="Calibri" w:hAnsi="Calibri" w:cs="Times New Roman"/>
      <w:lang w:val="es-ES"/>
    </w:rPr>
  </w:style>
  <w:style w:type="paragraph" w:styleId="Revision">
    <w:name w:val="Revision"/>
    <w:hidden/>
    <w:uiPriority w:val="99"/>
    <w:semiHidden/>
    <w:rsid w:val="000C29ED"/>
    <w:rPr>
      <w:sz w:val="22"/>
      <w:szCs w:val="22"/>
      <w:lang w:val="es-ES"/>
    </w:rPr>
  </w:style>
  <w:style w:type="paragraph" w:customStyle="1" w:styleId="Default">
    <w:name w:val="Default"/>
    <w:rsid w:val="00595B6C"/>
    <w:pPr>
      <w:autoSpaceDE w:val="0"/>
      <w:autoSpaceDN w:val="0"/>
      <w:adjustRightInd w:val="0"/>
    </w:pPr>
    <w:rPr>
      <w:rFonts w:ascii="Verdana" w:hAnsi="Verdana" w:cs="Verdana"/>
      <w:color w:val="000000"/>
      <w:sz w:val="24"/>
      <w:szCs w:val="24"/>
      <w:lang w:val="es-ES"/>
    </w:rPr>
  </w:style>
  <w:style w:type="character" w:customStyle="1" w:styleId="apple-converted-space">
    <w:name w:val="apple-converted-space"/>
    <w:basedOn w:val="DefaultParagraphFont"/>
    <w:rsid w:val="00144EA5"/>
  </w:style>
  <w:style w:type="character" w:styleId="UnresolvedMention">
    <w:name w:val="Unresolved Mention"/>
    <w:basedOn w:val="DefaultParagraphFont"/>
    <w:uiPriority w:val="99"/>
    <w:semiHidden/>
    <w:unhideWhenUsed/>
    <w:rsid w:val="00C40AF1"/>
    <w:rPr>
      <w:color w:val="605E5C"/>
      <w:shd w:val="clear" w:color="auto" w:fill="E1DFDD"/>
    </w:rPr>
  </w:style>
  <w:style w:type="character" w:customStyle="1" w:styleId="normaltextrun1">
    <w:name w:val="normaltextrun1"/>
    <w:basedOn w:val="DefaultParagraphFont"/>
    <w:rsid w:val="00B85D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447931">
      <w:bodyDiv w:val="1"/>
      <w:marLeft w:val="0"/>
      <w:marRight w:val="0"/>
      <w:marTop w:val="0"/>
      <w:marBottom w:val="0"/>
      <w:divBdr>
        <w:top w:val="none" w:sz="0" w:space="0" w:color="auto"/>
        <w:left w:val="none" w:sz="0" w:space="0" w:color="auto"/>
        <w:bottom w:val="none" w:sz="0" w:space="0" w:color="auto"/>
        <w:right w:val="none" w:sz="0" w:space="0" w:color="auto"/>
      </w:divBdr>
    </w:div>
    <w:div w:id="933128050">
      <w:bodyDiv w:val="1"/>
      <w:marLeft w:val="0"/>
      <w:marRight w:val="0"/>
      <w:marTop w:val="0"/>
      <w:marBottom w:val="0"/>
      <w:divBdr>
        <w:top w:val="none" w:sz="0" w:space="0" w:color="auto"/>
        <w:left w:val="none" w:sz="0" w:space="0" w:color="auto"/>
        <w:bottom w:val="none" w:sz="0" w:space="0" w:color="auto"/>
        <w:right w:val="none" w:sz="0" w:space="0" w:color="auto"/>
      </w:divBdr>
    </w:div>
    <w:div w:id="957374004">
      <w:bodyDiv w:val="1"/>
      <w:marLeft w:val="0"/>
      <w:marRight w:val="0"/>
      <w:marTop w:val="0"/>
      <w:marBottom w:val="0"/>
      <w:divBdr>
        <w:top w:val="none" w:sz="0" w:space="0" w:color="auto"/>
        <w:left w:val="none" w:sz="0" w:space="0" w:color="auto"/>
        <w:bottom w:val="none" w:sz="0" w:space="0" w:color="auto"/>
        <w:right w:val="none" w:sz="0" w:space="0" w:color="auto"/>
      </w:divBdr>
    </w:div>
    <w:div w:id="1142768962">
      <w:bodyDiv w:val="1"/>
      <w:marLeft w:val="0"/>
      <w:marRight w:val="0"/>
      <w:marTop w:val="0"/>
      <w:marBottom w:val="0"/>
      <w:divBdr>
        <w:top w:val="none" w:sz="0" w:space="0" w:color="auto"/>
        <w:left w:val="none" w:sz="0" w:space="0" w:color="auto"/>
        <w:bottom w:val="none" w:sz="0" w:space="0" w:color="auto"/>
        <w:right w:val="none" w:sz="0" w:space="0" w:color="auto"/>
      </w:divBdr>
    </w:div>
    <w:div w:id="1873346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ustomXml" Target="../customXml/item8.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1" Type="http://schemas.openxmlformats.org/officeDocument/2006/relationships/webSettings" Target="webSettings.xml"/><Relationship Id="rId6" Type="http://schemas.openxmlformats.org/officeDocument/2006/relationships/customXml" Target="../customXml/item6.xml"/><Relationship Id="rId15" Type="http://schemas.openxmlformats.org/officeDocument/2006/relationships/header" Target="header2.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C91AE0CB95B9F04CA1704B12E0F6C94E" ma:contentTypeVersion="224" ma:contentTypeDescription="The base project type from which other project content types inherit their information." ma:contentTypeScope="" ma:versionID="61acfab12610b5d175d7ef210cc9eb1d">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TRANSPARENCY AND ANTI-CORRUPTION</TermName>
          <TermId xmlns="http://schemas.microsoft.com/office/infopath/2007/PartnerControls">8051693f-16ea-43a4-8415-419f5c18c146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Value>
      <Value>191</Value>
      <Value>36</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PR-L1161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EZSHARE-127113952-56</_dlc_DocId>
    <_dlc_DocIdUrl xmlns="cdc7663a-08f0-4737-9e8c-148ce897a09c">
      <Url>https://idbg.sharepoint.com/teams/EZ-PR-LON/PR-L1161/_layouts/15/DocIdRedir.aspx?ID=EZSHARE-127113952-56</Url>
      <Description>EZSHARE-127113952-56</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EAC144B5690EB408DB63879C0EA8156" ma:contentTypeVersion="224" ma:contentTypeDescription="A content type to manage public (operations) IDB documents" ma:contentTypeScope="" ma:versionID="813a03a3edb6dab7b6a6645342fc088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AE437E-8CF9-417B-A0D7-205581F40360}"/>
</file>

<file path=customXml/itemProps2.xml><?xml version="1.0" encoding="utf-8"?>
<ds:datastoreItem xmlns:ds="http://schemas.openxmlformats.org/officeDocument/2006/customXml" ds:itemID="{1CB89F7F-1B23-431A-92D4-04F0E64C657E}"/>
</file>

<file path=customXml/itemProps3.xml><?xml version="1.0" encoding="utf-8"?>
<ds:datastoreItem xmlns:ds="http://schemas.openxmlformats.org/officeDocument/2006/customXml" ds:itemID="{A6F4297D-85D4-41CD-B6D7-788D0D38729C}">
  <ds:schemaRefs>
    <ds:schemaRef ds:uri="http://schemas.microsoft.com/sharepoint/events"/>
  </ds:schemaRefs>
</ds:datastoreItem>
</file>

<file path=customXml/itemProps4.xml><?xml version="1.0" encoding="utf-8"?>
<ds:datastoreItem xmlns:ds="http://schemas.openxmlformats.org/officeDocument/2006/customXml" ds:itemID="{DB59FB80-8A68-4563-A104-22D723673045}">
  <ds:schemaRefs>
    <ds:schemaRef ds:uri="http://schemas.microsoft.com/sharepoint/v3/contenttype/forms"/>
  </ds:schemaRefs>
</ds:datastoreItem>
</file>

<file path=customXml/itemProps5.xml><?xml version="1.0" encoding="utf-8"?>
<ds:datastoreItem xmlns:ds="http://schemas.openxmlformats.org/officeDocument/2006/customXml" ds:itemID="{DE5C161A-9C6C-430A-9A48-B7C75119F770}">
  <ds:schemaRefs>
    <ds:schemaRef ds:uri="http://schemas.microsoft.com/sharepoint/v3/contenttype/forms/url"/>
  </ds:schemaRefs>
</ds:datastoreItem>
</file>

<file path=customXml/itemProps6.xml><?xml version="1.0" encoding="utf-8"?>
<ds:datastoreItem xmlns:ds="http://schemas.openxmlformats.org/officeDocument/2006/customXml" ds:itemID="{6AD0B1DE-5FD4-4AF3-B779-7825D80D6F38}">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1AD5D8C8-DE63-4187-B51D-F206463A9B8E}">
  <ds:schemaRefs>
    <ds:schemaRef ds:uri="http://schemas.openxmlformats.org/officeDocument/2006/bibliography"/>
  </ds:schemaRefs>
</ds:datastoreItem>
</file>

<file path=customXml/itemProps8.xml><?xml version="1.0" encoding="utf-8"?>
<ds:datastoreItem xmlns:ds="http://schemas.openxmlformats.org/officeDocument/2006/customXml" ds:itemID="{83EC0D2C-0CB7-42D3-8C6F-2CEC43C64484}"/>
</file>

<file path=docProps/app.xml><?xml version="1.0" encoding="utf-8"?>
<Properties xmlns="http://schemas.openxmlformats.org/officeDocument/2006/extended-properties" xmlns:vt="http://schemas.openxmlformats.org/officeDocument/2006/docPropsVTypes">
  <Template>Normal.dotm</Template>
  <TotalTime>0</TotalTime>
  <Pages>3</Pages>
  <Words>910</Words>
  <Characters>5190</Characters>
  <Application>Microsoft Office Word</Application>
  <DocSecurity>4</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2019-08-15T15:28:00Z</dcterms:created>
  <dcterms:modified xsi:type="dcterms:W3CDTF">2019-08-15T15:28:00Z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ub-Sector">
    <vt:lpwstr>191;#TRANSPARENCY AND ANTI-CORRUPTION|8051693f-16ea-43a4-8415-419f5c18c146</vt:lpwstr>
  </property>
  <property fmtid="{D5CDD505-2E9C-101B-9397-08002B2CF9AE}" pid="6" name="Series Operations IDB">
    <vt:lpwstr/>
  </property>
  <property fmtid="{D5CDD505-2E9C-101B-9397-08002B2CF9AE}" pid="7" name="Country">
    <vt:lpwstr>24;#Paraguay|50282442-27e7-4526-9d04-55bf5da33a10</vt:lpwstr>
  </property>
  <property fmtid="{D5CDD505-2E9C-101B-9397-08002B2CF9AE}" pid="8" name="Fund IDB">
    <vt:lpwstr/>
  </property>
  <property fmtid="{D5CDD505-2E9C-101B-9397-08002B2CF9AE}" pid="10" name="Sector IDB">
    <vt:lpwstr>36;#REFORM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_dlc_DocIdItemGuid">
    <vt:lpwstr>a3b42b1e-6183-4d9c-85b4-8f96b14a944d</vt:lpwstr>
  </property>
  <property fmtid="{D5CDD505-2E9C-101B-9397-08002B2CF9AE}" pid="13" name="Disclosure Activity">
    <vt:lpwstr>Loan Proposal</vt:lpwstr>
  </property>
  <property fmtid="{D5CDD505-2E9C-101B-9397-08002B2CF9AE}" pid="14" name="ContentTypeId">
    <vt:lpwstr>0x0101001A458A224826124E8B45B1D613300CFC00EEAC144B5690EB408DB63879C0EA8156</vt:lpwstr>
  </property>
</Properties>
</file>