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word/intelligence2.xml" ContentType="application/vnd.ms-office.intelligence2+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F744C" w:rsidR="0095711B" w:rsidP="000956FB" w:rsidRDefault="00124040" w14:paraId="3BBAB1B5" w14:textId="0A8A25A1">
      <w:pPr>
        <w:spacing w:before="120" w:after="120" w:line="240" w:lineRule="auto"/>
        <w:jc w:val="center"/>
        <w:rPr>
          <w:rFonts w:ascii="Arial" w:hAnsi="Arial" w:eastAsia="Arial" w:cs="Arial"/>
          <w:b/>
          <w:bCs/>
          <w:sz w:val="24"/>
          <w:szCs w:val="24"/>
        </w:rPr>
      </w:pPr>
      <w:r w:rsidRPr="26B9D784">
        <w:rPr>
          <w:rFonts w:ascii="Arial" w:hAnsi="Arial" w:eastAsia="Arial" w:cs="Arial"/>
          <w:b/>
          <w:bCs/>
          <w:sz w:val="24"/>
          <w:szCs w:val="24"/>
          <w:lang w:val="fr-FR"/>
        </w:rPr>
        <w:t>T</w:t>
      </w:r>
      <w:r w:rsidR="000956FB">
        <w:rPr>
          <w:rFonts w:ascii="Arial" w:hAnsi="Arial" w:eastAsia="Arial" w:cs="Arial"/>
          <w:b/>
          <w:bCs/>
          <w:sz w:val="24"/>
          <w:szCs w:val="24"/>
          <w:lang w:val="fr-FR"/>
        </w:rPr>
        <w:t xml:space="preserve">echnical </w:t>
      </w:r>
      <w:r w:rsidRPr="26B9D784">
        <w:rPr>
          <w:rFonts w:ascii="Arial" w:hAnsi="Arial" w:eastAsia="Arial" w:cs="Arial"/>
          <w:b/>
          <w:bCs/>
          <w:sz w:val="24"/>
          <w:szCs w:val="24"/>
          <w:lang w:val="fr-FR"/>
        </w:rPr>
        <w:t>C</w:t>
      </w:r>
      <w:r w:rsidR="000956FB">
        <w:rPr>
          <w:rFonts w:ascii="Arial" w:hAnsi="Arial" w:eastAsia="Arial" w:cs="Arial"/>
          <w:b/>
          <w:bCs/>
          <w:sz w:val="24"/>
          <w:szCs w:val="24"/>
          <w:lang w:val="fr-FR"/>
        </w:rPr>
        <w:t>ooperation</w:t>
      </w:r>
      <w:r w:rsidRPr="26B9D784" w:rsidR="00340BC1">
        <w:rPr>
          <w:rFonts w:ascii="Arial" w:hAnsi="Arial" w:eastAsia="Arial" w:cs="Arial"/>
          <w:b/>
          <w:bCs/>
          <w:sz w:val="24"/>
          <w:szCs w:val="24"/>
          <w:lang w:val="fr-FR"/>
        </w:rPr>
        <w:t xml:space="preserve"> </w:t>
      </w:r>
      <w:r w:rsidRPr="26B9D784" w:rsidR="00017B41">
        <w:rPr>
          <w:rFonts w:ascii="Arial" w:hAnsi="Arial" w:eastAsia="Arial" w:cs="Arial"/>
          <w:b/>
          <w:bCs/>
          <w:sz w:val="24"/>
          <w:szCs w:val="24"/>
          <w:lang w:val="fr-FR"/>
        </w:rPr>
        <w:t>Document</w:t>
      </w:r>
    </w:p>
    <w:p w:rsidRPr="000F744C" w:rsidR="0095711B" w:rsidP="54260729" w:rsidRDefault="54260729" w14:paraId="3BBAB1BB" w14:textId="77777777">
      <w:pPr>
        <w:pStyle w:val="ListParagraph"/>
        <w:numPr>
          <w:ilvl w:val="0"/>
          <w:numId w:val="6"/>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8550" w:type="dxa"/>
        <w:tblInd w:w="265"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690"/>
        <w:gridCol w:w="4860"/>
      </w:tblGrid>
      <w:tr w:rsidRPr="00B811D8" w:rsidR="009F33FF" w:rsidTr="3E0DA1CB" w14:paraId="3BBAB1BE" w14:textId="77777777">
        <w:tc>
          <w:tcPr>
            <w:tcW w:w="3690" w:type="dxa"/>
          </w:tcPr>
          <w:p w:rsidRPr="000F744C" w:rsidR="009F33FF" w:rsidP="54260729" w:rsidRDefault="54260729" w14:paraId="3BBAB1BC" w14:textId="77777777">
            <w:pPr>
              <w:pStyle w:val="ListParagraph"/>
              <w:numPr>
                <w:ilvl w:val="0"/>
                <w:numId w:val="3"/>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4860"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BRAZIL</w:t>
                </w:r>
              </w:p>
            </w:tc>
          </w:sdtContent>
        </w:sdt>
      </w:tr>
      <w:tr w:rsidRPr="00B811D8" w:rsidR="009F33FF" w:rsidTr="3E0DA1CB" w14:paraId="3BBAB1C1" w14:textId="77777777">
        <w:tc>
          <w:tcPr>
            <w:tcW w:w="3690" w:type="dxa"/>
          </w:tcPr>
          <w:p w:rsidRPr="000F744C" w:rsidR="009F33FF" w:rsidP="54260729" w:rsidRDefault="54260729" w14:paraId="3BBAB1BF" w14:textId="77777777">
            <w:pPr>
              <w:pStyle w:val="ListParagraph"/>
              <w:numPr>
                <w:ilvl w:val="0"/>
                <w:numId w:val="3"/>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4860" w:type="dxa"/>
              </w:tcPr>
              <w:p w:rsidRPr="007D58B6" w:rsidR="009F33FF" w:rsidP="0028247E" w:rsidRDefault="0028247E" w14:paraId="3BBAB1C0" w14:textId="7A017364">
                <w:pPr>
                  <w:spacing w:after="60"/>
                  <w:rPr>
                    <w:rFonts w:ascii="Arial" w:hAnsi="Arial" w:cs="Arial"/>
                    <w:sz w:val="18"/>
                    <w:szCs w:val="18"/>
                  </w:rPr>
                </w:pPr>
                <w:r>
                  <w:rPr>
                    <w:rFonts w:ascii="Arial" w:hAnsi="Arial" w:cs="Arial"/>
                    <w:sz w:val="18"/>
                    <w:szCs w:val="18"/>
                  </w:rPr>
                  <w:t>State Government of Pará: Structuring the Payment for Environmental Services Program under the Amazônia Agora Plan (ParáPSA1)</w:t>
                </w:r>
              </w:p>
            </w:tc>
          </w:sdtContent>
        </w:sdt>
      </w:tr>
      <w:tr w:rsidRPr="00B811D8" w:rsidR="009F33FF" w:rsidTr="3E0DA1CB" w14:paraId="3BBAB1C4" w14:textId="77777777">
        <w:trPr>
          <w:trHeight w:val="263"/>
        </w:trPr>
        <w:tc>
          <w:tcPr>
            <w:tcW w:w="3690" w:type="dxa"/>
          </w:tcPr>
          <w:p w:rsidRPr="000F744C" w:rsidR="009F33FF" w:rsidP="54260729" w:rsidRDefault="54260729" w14:paraId="3BBAB1C2" w14:textId="77777777">
            <w:pPr>
              <w:pStyle w:val="ListParagraph"/>
              <w:numPr>
                <w:ilvl w:val="0"/>
                <w:numId w:val="3"/>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4860" w:type="dxa"/>
          </w:tcPr>
          <w:p w:rsidRPr="00B811D8" w:rsidR="009F33FF" w:rsidP="00EC6CAF" w:rsidRDefault="00EC0618" w14:paraId="3BBAB1C3" w14:textId="74F09155">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BR-T1516</w:t>
                </w:r>
              </w:sdtContent>
            </w:sdt>
          </w:p>
        </w:tc>
      </w:tr>
      <w:tr w:rsidRPr="00B811D8" w:rsidR="009F33FF" w:rsidTr="3E0DA1CB" w14:paraId="3BBAB1C7" w14:textId="77777777">
        <w:trPr>
          <w:trHeight w:val="288"/>
        </w:trPr>
        <w:tc>
          <w:tcPr>
            <w:tcW w:w="3690" w:type="dxa"/>
          </w:tcPr>
          <w:p w:rsidRPr="000F744C" w:rsidR="009F33FF" w:rsidP="26B9D784" w:rsidRDefault="00E85797" w14:paraId="3BBAB1C5"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4860" w:type="dxa"/>
          </w:tcPr>
          <w:p w:rsidRPr="000956FB" w:rsidR="00B83CCE" w:rsidP="006B44EA" w:rsidRDefault="00EC0618" w14:paraId="3BBAB1C6" w14:textId="6FBF1412">
            <w:pPr>
              <w:spacing w:after="60"/>
              <w:ind w:right="-111"/>
              <w:rPr>
                <w:rFonts w:ascii="Arial" w:hAnsi="Arial" w:eastAsia="Arial" w:cs="Arial"/>
                <w:sz w:val="18"/>
                <w:szCs w:val="18"/>
              </w:rPr>
            </w:pPr>
            <w:sdt>
              <w:sdtPr>
                <w:rPr>
                  <w:rFonts w:ascii="Arial" w:hAnsi="Arial" w:cs="Arial"/>
                  <w:sz w:val="18"/>
                  <w:szCs w:val="18"/>
                </w:rPr>
                <w:alias w:val="TEAM_MEMBER"/>
                <w:tag w:val="TEAM_MEMBER"/>
                <w:id w:val="1460236816"/>
                <w:lock w:val="sdtLocked"/>
                <w:placeholder>
                  <w:docPart w:val="340553074E0848D2AE8D6AF27714379D"/>
                </w:placeholder>
              </w:sdtPr>
              <w:sdtEndPr/>
              <w:sdtContent>
                <w:r w:rsidRPr="3E0DA1CB" w:rsidR="00664574">
                  <w:rPr>
                    <w:rFonts w:ascii="Arial" w:hAnsi="Arial" w:cs="Arial"/>
                    <w:sz w:val="18"/>
                    <w:szCs w:val="18"/>
                  </w:rPr>
                  <w:t xml:space="preserve">Brakarz, Barbara (CSD/CCS) Team Leader; Cavazzoni Lima, Rafael (IFD/CMF) Alternate Team Leader; Hincapie Salazar, Daniel (ORP/REM) Alternate Team Leader; Ana Champloni (CSD/CCS); Ashton, Cristina (SCL/GDI); Blandin Andino, Lourdes Gabriela (CSD/CCS); Caicedo Sierra, Miguel Felipe (ORP/GCM); Damiani Marti, Octavio Jorge (CSD/RND); De Assis Bueno, Fabia Maria (VPC/FMP); De Freitas Severino, Ligia (CSC/CBR); Gomez, Juan Carlos (CSD/CCS); Hintze, Luis Hernando (CSD/RND); Jorge Salgado, Carlos Gustavo (IFD/CMF); Juan Francisco Martinez Cotrino (CSD/CCS); Maria Cristina Mac Dowell (IFD/FMM); Orlando Lima (IFD/CMF); Patricia Gutierrez Mesones (CSD/CCS); Robert, Carolyn (CAN/CAN); Roberta Felix (CSC/CBR); Salazar, David Agustin (VPC/FMP); Sara Carias (CSD/CCS); Verissimo Da Silva, Carolina (LEG/SGO); Visconti, Gloria (CSD/CCS); Watson, Gregory (CSD/CCS) </w:t>
                </w:r>
              </w:sdtContent>
            </w:sdt>
          </w:p>
        </w:tc>
      </w:tr>
      <w:tr w:rsidRPr="002D7FB5" w:rsidR="00E85797" w:rsidTr="3E0DA1CB" w14:paraId="3BBAB1CA" w14:textId="77777777">
        <w:tc>
          <w:tcPr>
            <w:tcW w:w="3690" w:type="dxa"/>
          </w:tcPr>
          <w:p w:rsidRPr="000F744C" w:rsidR="00E85797" w:rsidP="26B9D784" w:rsidRDefault="00B811D8" w14:paraId="3BBAB1C8" w14:textId="77777777">
            <w:pPr>
              <w:pStyle w:val="ListParagraph"/>
              <w:numPr>
                <w:ilvl w:val="0"/>
                <w:numId w:val="3"/>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4860"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Client Support</w:t>
                </w:r>
              </w:p>
            </w:tc>
          </w:sdtContent>
        </w:sdt>
      </w:tr>
      <w:tr w:rsidRPr="00B811D8" w:rsidR="00E85797" w:rsidTr="3E0DA1CB" w14:paraId="3BBAB1CD" w14:textId="77777777">
        <w:tc>
          <w:tcPr>
            <w:tcW w:w="3690" w:type="dxa"/>
          </w:tcPr>
          <w:p w:rsidRPr="000F744C" w:rsidR="00E85797" w:rsidP="26B9D784" w:rsidRDefault="00E85797" w14:paraId="3BBAB1CB" w14:textId="77777777">
            <w:pPr>
              <w:pStyle w:val="ListParagraph"/>
              <w:numPr>
                <w:ilvl w:val="0"/>
                <w:numId w:val="3"/>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4860" w:type="dxa"/>
          </w:tcPr>
          <w:p w:rsidRPr="00B811D8" w:rsidR="00E85797" w:rsidP="00EC6CAF" w:rsidRDefault="00EC0618" w14:paraId="3BBAB1CC" w14:textId="3461ACFF">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006B44EA">
              <w:rPr>
                <w:rFonts w:ascii="Arial" w:hAnsi="Arial" w:cs="Arial"/>
                <w:sz w:val="18"/>
                <w:szCs w:val="18"/>
              </w:rPr>
              <w:t>N/A</w:t>
            </w:r>
          </w:p>
        </w:tc>
      </w:tr>
      <w:tr w:rsidRPr="00B811D8" w:rsidR="009F33FF" w:rsidTr="3E0DA1CB" w14:paraId="3BBAB1D0" w14:textId="77777777">
        <w:tc>
          <w:tcPr>
            <w:tcW w:w="3690" w:type="dxa"/>
          </w:tcPr>
          <w:p w:rsidRPr="000F744C" w:rsidR="009F33FF" w:rsidP="26B9D784" w:rsidRDefault="009F33FF" w14:paraId="3BBAB1CE"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4860" w:type="dxa"/>
          </w:tcPr>
          <w:p w:rsidRPr="00B811D8" w:rsidR="009F33FF" w:rsidP="00EC6CAF" w:rsidRDefault="00EC0618"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13 Apr 2022</w:t>
                </w:r>
              </w:sdtContent>
            </w:sdt>
            <w:r w:rsidRPr="00E40AE6" w:rsidR="002E65F5">
              <w:rPr>
                <w:rFonts w:ascii="Arial" w:hAnsi="Arial" w:cs="Arial"/>
                <w:color w:val="000000" w:themeColor="text1"/>
                <w:sz w:val="18"/>
                <w:szCs w:val="18"/>
                <w:lang w:val="es-ES_tradnl"/>
              </w:rPr>
              <w:t>.</w:t>
            </w:r>
          </w:p>
        </w:tc>
      </w:tr>
      <w:tr w:rsidRPr="000A2B21" w:rsidR="009F33FF" w:rsidTr="3E0DA1CB" w14:paraId="3BBAB1D3" w14:textId="77777777">
        <w:trPr>
          <w:trHeight w:val="288"/>
        </w:trPr>
        <w:tc>
          <w:tcPr>
            <w:tcW w:w="3690" w:type="dxa"/>
          </w:tcPr>
          <w:p w:rsidRPr="000F744C" w:rsidR="009F33FF" w:rsidP="26B9D784" w:rsidRDefault="009F33FF" w14:paraId="3BBAB1D1"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4860" w:type="dxa"/>
          </w:tcPr>
          <w:p w:rsidRPr="00D1209D" w:rsidR="009F33FF" w:rsidP="00825F8B" w:rsidRDefault="0DFE657E" w14:paraId="3BBAB1D2" w14:textId="27EEFAEB">
            <w:pPr>
              <w:tabs>
                <w:tab w:val="left" w:pos="3740"/>
                <w:tab w:val="left" w:pos="4256"/>
              </w:tabs>
              <w:spacing w:after="60"/>
              <w:rPr>
                <w:rFonts w:ascii="Arial" w:hAnsi="Arial" w:eastAsia="Arial" w:cs="Arial"/>
                <w:sz w:val="18"/>
                <w:szCs w:val="18"/>
                <w:lang w:val="pt-BR"/>
              </w:rPr>
            </w:pPr>
            <w:r w:rsidRPr="182C8DE9">
              <w:rPr>
                <w:rFonts w:ascii="Arial" w:hAnsi="Arial" w:eastAsia="Arial" w:cs="Arial"/>
                <w:sz w:val="18"/>
                <w:szCs w:val="18"/>
                <w:lang w:val="pt-BR"/>
              </w:rPr>
              <w:t xml:space="preserve">Governo do Pará - </w:t>
            </w:r>
            <w:r w:rsidRPr="00D1209D">
              <w:rPr>
                <w:rFonts w:ascii="Arial" w:hAnsi="Arial" w:eastAsia="Arial" w:cs="Arial"/>
                <w:sz w:val="18"/>
                <w:szCs w:val="18"/>
                <w:lang w:val="pt-BR"/>
              </w:rPr>
              <w:t xml:space="preserve">Secretaria de Estado de Meio Ambiente e Sustentabilidade </w:t>
            </w:r>
            <w:r w:rsidRPr="182C8DE9">
              <w:rPr>
                <w:rFonts w:ascii="Arial" w:hAnsi="Arial" w:eastAsia="Arial" w:cs="Arial"/>
                <w:sz w:val="18"/>
                <w:szCs w:val="18"/>
                <w:lang w:val="pt-BR"/>
              </w:rPr>
              <w:t>(</w:t>
            </w:r>
            <w:r w:rsidRPr="00D1209D">
              <w:rPr>
                <w:rFonts w:ascii="Arial" w:hAnsi="Arial" w:eastAsia="Arial" w:cs="Arial"/>
                <w:sz w:val="18"/>
                <w:szCs w:val="18"/>
                <w:lang w:val="pt-BR"/>
              </w:rPr>
              <w:t>SEMAS/PA</w:t>
            </w:r>
            <w:r w:rsidRPr="182C8DE9">
              <w:rPr>
                <w:rFonts w:ascii="Arial" w:hAnsi="Arial" w:eastAsia="Arial" w:cs="Arial"/>
                <w:sz w:val="18"/>
                <w:szCs w:val="18"/>
                <w:lang w:val="pt-BR"/>
              </w:rPr>
              <w:t>)</w:t>
            </w:r>
          </w:p>
        </w:tc>
      </w:tr>
      <w:tr w:rsidRPr="00B811D8" w:rsidR="009F33FF" w:rsidTr="3E0DA1CB" w14:paraId="3BBAB1D6" w14:textId="77777777">
        <w:tc>
          <w:tcPr>
            <w:tcW w:w="3690" w:type="dxa"/>
          </w:tcPr>
          <w:p w:rsidRPr="000F744C" w:rsidR="009F33FF" w:rsidP="27BA3B1F" w:rsidRDefault="60B1BE29" w14:paraId="3BBAB1D4" w14:textId="77777777">
            <w:pPr>
              <w:pStyle w:val="ListParagraph"/>
              <w:numPr>
                <w:ilvl w:val="0"/>
                <w:numId w:val="3"/>
              </w:numPr>
              <w:spacing w:after="60"/>
              <w:ind w:left="180" w:hanging="180"/>
              <w:jc w:val="both"/>
              <w:rPr>
                <w:rFonts w:ascii="Arial" w:hAnsi="Arial" w:eastAsia="Arial" w:cs="Arial"/>
                <w:sz w:val="18"/>
                <w:szCs w:val="18"/>
              </w:rPr>
            </w:pPr>
            <w:bookmarkStart w:name="_Int_t3Gsgy4H" w:id="0"/>
            <w:r w:rsidRPr="27BA3B1F">
              <w:rPr>
                <w:rFonts w:ascii="Arial" w:hAnsi="Arial" w:eastAsia="Arial" w:cs="Arial"/>
                <w:sz w:val="18"/>
                <w:szCs w:val="18"/>
              </w:rPr>
              <w:t>Executing</w:t>
            </w:r>
            <w:bookmarkEnd w:id="0"/>
            <w:r w:rsidRPr="27BA3B1F">
              <w:rPr>
                <w:rFonts w:ascii="Arial" w:hAnsi="Arial" w:eastAsia="Arial" w:cs="Arial"/>
                <w:sz w:val="18"/>
                <w:szCs w:val="18"/>
              </w:rPr>
              <w:t xml:space="preserve"> Agency and contact name</w:t>
            </w:r>
            <w:r w:rsidRPr="27BA3B1F" w:rsidR="287A6696">
              <w:rPr>
                <w:rFonts w:ascii="Arial" w:hAnsi="Arial" w:eastAsia="Arial" w:cs="Arial"/>
                <w:sz w:val="18"/>
                <w:szCs w:val="18"/>
              </w:rPr>
              <w:t>:</w:t>
            </w:r>
            <w:r w:rsidRPr="27BA3B1F">
              <w:rPr>
                <w:rFonts w:ascii="Arial" w:hAnsi="Arial" w:eastAsia="Arial" w:cs="Arial"/>
                <w:sz w:val="18"/>
                <w:szCs w:val="18"/>
              </w:rPr>
              <w:t xml:space="preserve"> </w:t>
            </w:r>
          </w:p>
        </w:tc>
        <w:tc>
          <w:tcPr>
            <w:tcW w:w="4860" w:type="dxa"/>
          </w:tcPr>
          <w:p w:rsidRPr="00B811D8" w:rsidR="009F33FF" w:rsidP="000F6D52" w:rsidRDefault="00EC0618" w14:paraId="3BBAB1D5" w14:textId="05E77055">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3E0DA1CB" w14:paraId="3BBAB1D9" w14:textId="77777777">
        <w:trPr>
          <w:trHeight w:val="288"/>
        </w:trPr>
        <w:tc>
          <w:tcPr>
            <w:tcW w:w="3690" w:type="dxa"/>
          </w:tcPr>
          <w:p w:rsidRPr="000F744C" w:rsidR="00FA40C9" w:rsidP="26B9D784" w:rsidRDefault="00FA40C9" w14:paraId="3BBAB1D7"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4860"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Amazon Bioeconomy and Forest Management Fund(AMZ); OC SDP Window 3 - Sustainable Development in the Amazon(W3A)</w:t>
                </w:r>
              </w:p>
            </w:tc>
          </w:sdtContent>
        </w:sdt>
      </w:tr>
      <w:tr w:rsidRPr="00B811D8" w:rsidR="009F33FF" w:rsidTr="3E0DA1CB" w14:paraId="3BBAB1DC" w14:textId="77777777">
        <w:tc>
          <w:tcPr>
            <w:tcW w:w="3690" w:type="dxa"/>
          </w:tcPr>
          <w:p w:rsidRPr="000F744C" w:rsidR="009F33FF" w:rsidP="26B9D784" w:rsidRDefault="009F33FF" w14:paraId="3BBAB1DA"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4860" w:type="dxa"/>
              </w:tcPr>
              <w:p w:rsidRPr="00B811D8" w:rsidR="009F33FF" w:rsidP="00EC6CAF" w:rsidRDefault="0028247E" w14:paraId="3BBAB1DB" w14:textId="2A25C944">
                <w:pPr>
                  <w:spacing w:after="60"/>
                  <w:rPr>
                    <w:rFonts w:ascii="Arial" w:hAnsi="Arial" w:cs="Arial"/>
                    <w:sz w:val="18"/>
                    <w:szCs w:val="18"/>
                    <w:lang w:val="es-ES_tradnl"/>
                  </w:rPr>
                </w:pPr>
                <w:r>
                  <w:rPr>
                    <w:rFonts w:ascii="Arial"/>
                    <w:sz w:val="18"/>
                  </w:rPr>
                  <w:t>Amazon Bioeconomy and Forest Management Fund (AMZ): US$150,000.00</w:t>
                  <w:br/>
                  <w:t>OC SDP Window 3 - Sustainable Development in the Amazon (W3A): US$350,000.00</w:t>
                  <w:br/>
                  <w:t>Total: US$500,000.00</w:t>
                  <w:br/>
                  <w:t/>
                </w:r>
              </w:p>
            </w:tc>
          </w:sdtContent>
        </w:sdt>
      </w:tr>
      <w:tr w:rsidRPr="00B811D8" w:rsidR="009F33FF" w:rsidTr="3E0DA1CB" w14:paraId="3BBAB1DF" w14:textId="77777777">
        <w:tc>
          <w:tcPr>
            <w:tcW w:w="3690" w:type="dxa"/>
          </w:tcPr>
          <w:p w:rsidRPr="000F744C" w:rsidR="009F33FF" w:rsidP="26B9D784" w:rsidRDefault="009F33FF" w14:paraId="3BBAB1DD"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4860"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3E0DA1CB" w14:paraId="3BBAB1E2" w14:textId="77777777">
        <w:tc>
          <w:tcPr>
            <w:tcW w:w="3690" w:type="dxa"/>
          </w:tcPr>
          <w:p w:rsidRPr="000F744C" w:rsidR="00825F8B" w:rsidP="00825F8B" w:rsidRDefault="00825F8B" w14:paraId="3BBAB1E0" w14:textId="5BF8F152">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(Execution period):</w:t>
            </w:r>
          </w:p>
        </w:tc>
        <w:tc>
          <w:tcPr>
            <w:tcW w:w="4860" w:type="dxa"/>
          </w:tcPr>
          <w:p w:rsidRPr="00F45E82" w:rsidR="00825F8B" w:rsidP="00825F8B" w:rsidRDefault="28653642" w14:paraId="3BBAB1E1" w14:textId="024A51A5">
            <w:pPr>
              <w:tabs>
                <w:tab w:val="left" w:pos="3675"/>
              </w:tabs>
              <w:spacing w:after="60"/>
              <w:rPr>
                <w:rFonts w:ascii="Arial" w:hAnsi="Arial" w:eastAsia="Arial" w:cs="Arial"/>
                <w:sz w:val="18"/>
                <w:szCs w:val="18"/>
              </w:rPr>
            </w:pPr>
            <w:r w:rsidRPr="27BA3B1F">
              <w:rPr>
                <w:rFonts w:ascii="Arial" w:hAnsi="Arial" w:eastAsia="Arial" w:cs="Arial"/>
                <w:sz w:val="18"/>
                <w:szCs w:val="18"/>
              </w:rPr>
              <w:t>24 months</w:t>
            </w:r>
          </w:p>
        </w:tc>
      </w:tr>
      <w:tr w:rsidRPr="00B811D8" w:rsidR="00825F8B" w:rsidTr="3E0DA1CB" w14:paraId="3BBAB1E5" w14:textId="77777777">
        <w:tc>
          <w:tcPr>
            <w:tcW w:w="3690" w:type="dxa"/>
          </w:tcPr>
          <w:p w:rsidRPr="000F744C" w:rsidR="00825F8B" w:rsidP="00825F8B" w:rsidRDefault="00825F8B" w14:paraId="3BBAB1E3" w14:textId="4F4BDB48">
            <w:pPr>
              <w:pStyle w:val="ListParagraph"/>
              <w:numPr>
                <w:ilvl w:val="0"/>
                <w:numId w:val="3"/>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4860" w:type="dxa"/>
          </w:tcPr>
          <w:p w:rsidRPr="00B811D8" w:rsidR="00825F8B" w:rsidP="00825F8B" w:rsidRDefault="00C43412" w14:paraId="3BBAB1E4" w14:textId="4959623E">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August 1st, 2022</w:t>
            </w:r>
          </w:p>
        </w:tc>
      </w:tr>
      <w:tr w:rsidRPr="00B811D8" w:rsidR="00825F8B" w:rsidTr="3E0DA1CB" w14:paraId="3BBAB1E8" w14:textId="77777777">
        <w:tc>
          <w:tcPr>
            <w:tcW w:w="3690" w:type="dxa"/>
          </w:tcPr>
          <w:p w:rsidRPr="000F744C" w:rsidR="00825F8B" w:rsidP="00825F8B" w:rsidRDefault="00825F8B" w14:paraId="3BBAB1E6" w14:textId="4C78BE9A">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4860" w:type="dxa"/>
          </w:tcPr>
          <w:p w:rsidRPr="00B811D8" w:rsidR="00825F8B" w:rsidP="00825F8B" w:rsidRDefault="00C43412" w14:paraId="3BBAB1E7" w14:textId="3CD8B509">
            <w:pPr>
              <w:tabs>
                <w:tab w:val="left" w:pos="3536"/>
                <w:tab w:val="left" w:pos="4900"/>
              </w:tabs>
              <w:spacing w:after="60"/>
              <w:rPr>
                <w:rFonts w:ascii="Arial" w:hAnsi="Arial" w:eastAsia="Arial" w:cs="Arial"/>
                <w:sz w:val="18"/>
                <w:szCs w:val="18"/>
                <w:lang w:val="es-ES"/>
              </w:rPr>
            </w:pPr>
            <w:r>
              <w:rPr>
                <w:rFonts w:ascii="Arial" w:hAnsi="Arial" w:eastAsia="Arial" w:cs="Arial"/>
                <w:sz w:val="18"/>
                <w:szCs w:val="18"/>
                <w:lang w:val="es-ES"/>
              </w:rPr>
              <w:t>Firms and Individual Consultants</w:t>
            </w:r>
          </w:p>
        </w:tc>
      </w:tr>
      <w:tr w:rsidRPr="00B811D8" w:rsidR="009F33FF" w:rsidTr="3E0DA1CB" w14:paraId="3BBAB1EB" w14:textId="77777777">
        <w:tc>
          <w:tcPr>
            <w:tcW w:w="3690" w:type="dxa"/>
          </w:tcPr>
          <w:p w:rsidRPr="000F744C" w:rsidR="009F33FF" w:rsidP="26B9D784" w:rsidRDefault="009F33FF" w14:paraId="3BBAB1E9"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4860"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CSD/CCS-Climate Change</w:t>
                </w:r>
              </w:p>
            </w:tc>
          </w:sdtContent>
        </w:sdt>
      </w:tr>
      <w:tr w:rsidRPr="00B811D8" w:rsidR="009F33FF" w:rsidTr="3E0DA1CB" w14:paraId="3BBAB1EE" w14:textId="77777777">
        <w:tc>
          <w:tcPr>
            <w:tcW w:w="3690" w:type="dxa"/>
          </w:tcPr>
          <w:p w:rsidRPr="000F744C" w:rsidR="009F33FF" w:rsidP="26B9D784" w:rsidRDefault="009F33FF" w14:paraId="3BBAB1EC" w14:textId="77777777">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4860" w:type="dxa"/>
              </w:tcPr>
              <w:p w:rsidRPr="000956FB" w:rsidR="009F33FF" w:rsidP="00EC6CAF" w:rsidRDefault="00EC6CAF" w14:paraId="3BBAB1ED" w14:textId="4D9FCC7F">
                <w:pPr>
                  <w:tabs>
                    <w:tab w:val="left" w:pos="3772"/>
                  </w:tabs>
                  <w:spacing w:after="60"/>
                  <w:rPr>
                    <w:rFonts w:ascii="Arial" w:hAnsi="Arial" w:cs="Arial"/>
                    <w:sz w:val="18"/>
                    <w:szCs w:val="18"/>
                  </w:rPr>
                </w:pPr>
                <w:r>
                  <w:rPr>
                    <w:rFonts w:ascii="Arial" w:hAnsi="Arial" w:cs="Arial"/>
                    <w:sz w:val="18"/>
                    <w:szCs w:val="18"/>
                  </w:rPr>
                  <w:t>CSC/CBR-Country Office Brazil</w:t>
                </w:r>
              </w:p>
            </w:tc>
          </w:sdtContent>
        </w:sdt>
      </w:tr>
      <w:tr w:rsidRPr="00B811D8" w:rsidR="00825F8B" w:rsidTr="3E0DA1CB" w14:paraId="3BBAB1F1" w14:textId="77777777">
        <w:tc>
          <w:tcPr>
            <w:tcW w:w="3690" w:type="dxa"/>
          </w:tcPr>
          <w:p w:rsidRPr="000F744C" w:rsidR="00825F8B" w:rsidP="00825F8B" w:rsidRDefault="00825F8B" w14:paraId="3BBAB1EF" w14:textId="6844B7E0">
            <w:pPr>
              <w:pStyle w:val="ListParagraph"/>
              <w:numPr>
                <w:ilvl w:val="0"/>
                <w:numId w:val="3"/>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w:t>
            </w:r>
          </w:p>
        </w:tc>
        <w:tc>
          <w:tcPr>
            <w:tcW w:w="4860" w:type="dxa"/>
          </w:tcPr>
          <w:p w:rsidRPr="00F45E82" w:rsidR="00825F8B" w:rsidP="00825F8B" w:rsidRDefault="005E5CD3" w14:paraId="3BBAB1F0" w14:textId="3855C0BF">
            <w:pPr>
              <w:tabs>
                <w:tab w:val="left" w:pos="3976"/>
              </w:tabs>
              <w:spacing w:after="60"/>
              <w:rPr>
                <w:rFonts w:ascii="Arial" w:hAnsi="Arial" w:eastAsia="Arial" w:cs="Arial"/>
                <w:sz w:val="18"/>
                <w:szCs w:val="18"/>
              </w:rPr>
            </w:pPr>
            <w:r>
              <w:rPr>
                <w:rFonts w:ascii="Arial" w:hAnsi="Arial" w:eastAsia="Arial" w:cs="Arial"/>
                <w:sz w:val="18"/>
                <w:szCs w:val="18"/>
              </w:rPr>
              <w:t>Yes</w:t>
            </w:r>
          </w:p>
        </w:tc>
      </w:tr>
      <w:tr w:rsidRPr="00B811D8" w:rsidR="00825F8B" w:rsidTr="3E0DA1CB" w14:paraId="3BBAB1F4" w14:textId="77777777">
        <w:tc>
          <w:tcPr>
            <w:tcW w:w="3690" w:type="dxa"/>
          </w:tcPr>
          <w:p w:rsidRPr="000F744C" w:rsidR="00825F8B" w:rsidP="00825F8B" w:rsidRDefault="00825F8B" w14:paraId="3BBAB1F2" w14:textId="169C0629">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w:t>
            </w:r>
          </w:p>
        </w:tc>
        <w:tc>
          <w:tcPr>
            <w:tcW w:w="4860" w:type="dxa"/>
          </w:tcPr>
          <w:p w:rsidRPr="00F45E82" w:rsidR="00825F8B" w:rsidP="00825F8B" w:rsidRDefault="005E5CD3" w14:paraId="3BBAB1F3" w14:textId="6B5B55CD">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3E0DA1CB" w14:paraId="3BBAB1F7" w14:textId="77777777">
        <w:tc>
          <w:tcPr>
            <w:tcW w:w="3690" w:type="dxa"/>
          </w:tcPr>
          <w:p w:rsidRPr="000F744C" w:rsidR="009F33FF" w:rsidP="26B9D784" w:rsidRDefault="00B811D8" w14:paraId="3BBAB1F5" w14:textId="117E29D9">
            <w:pPr>
              <w:pStyle w:val="ListParagraph"/>
              <w:numPr>
                <w:ilvl w:val="0"/>
                <w:numId w:val="3"/>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2020</w:t>
            </w:r>
            <w:r w:rsidR="00C846C3">
              <w:rPr>
                <w:rFonts w:ascii="Arial" w:hAnsi="Arial" w:eastAsia="Arial" w:cs="Arial"/>
                <w:sz w:val="18"/>
                <w:szCs w:val="18"/>
              </w:rPr>
              <w:t>-2023</w:t>
            </w:r>
            <w:r w:rsidRPr="26B9D784">
              <w:rPr>
                <w:rFonts w:ascii="Arial" w:hAnsi="Arial" w:eastAsia="Arial" w:cs="Arial"/>
                <w:sz w:val="18"/>
                <w:szCs w:val="18"/>
              </w:rPr>
              <w:t>:</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4860" w:type="dxa"/>
              </w:tcPr>
              <w:p w:rsidRPr="000956FB"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Productivity and innovation; Environmental sustainability; Gender equality; Diversity</w:t>
                </w:r>
              </w:p>
            </w:tc>
          </w:sdtContent>
        </w:sdt>
      </w:tr>
    </w:tbl>
    <w:p w:rsidRPr="00057325" w:rsidR="00065D4D" w:rsidP="000A2B21" w:rsidRDefault="0FBA85EA" w14:paraId="3BBAB1FA" w14:textId="0274CD1A">
      <w:pPr>
        <w:pStyle w:val="ListParagraph"/>
        <w:numPr>
          <w:ilvl w:val="0"/>
          <w:numId w:val="6"/>
        </w:numPr>
        <w:spacing w:before="240" w:after="120" w:line="240" w:lineRule="auto"/>
        <w:ind w:hanging="270"/>
        <w:contextualSpacing w:val="0"/>
        <w:rPr>
          <w:rFonts w:ascii="Arial" w:hAnsi="Arial" w:eastAsia="Arial" w:cs="Arial"/>
          <w:b/>
          <w:bCs/>
        </w:rPr>
      </w:pPr>
      <w:r w:rsidRPr="00057325">
        <w:rPr>
          <w:rFonts w:ascii="Arial" w:hAnsi="Arial" w:eastAsia="Arial" w:cs="Arial"/>
          <w:b/>
          <w:bCs/>
        </w:rPr>
        <w:t>Objectives and Justification of the TC</w:t>
      </w:r>
    </w:p>
    <w:p w:rsidRPr="000A2B21" w:rsidR="00A54F53" w:rsidP="000A2B21" w:rsidRDefault="00A54F53" w14:paraId="3CACE3D6" w14:textId="04F719B0">
      <w:pPr>
        <w:pStyle w:val="ListParagraph"/>
        <w:numPr>
          <w:ilvl w:val="1"/>
          <w:numId w:val="22"/>
        </w:numPr>
        <w:spacing w:before="120" w:after="120" w:line="240" w:lineRule="auto"/>
        <w:ind w:hanging="547"/>
        <w:contextualSpacing w:val="0"/>
        <w:jc w:val="both"/>
        <w:rPr>
          <w:rFonts w:ascii="Arial" w:hAnsi="Arial" w:eastAsia="Arial" w:cs="Arial"/>
        </w:rPr>
      </w:pPr>
      <w:r w:rsidRPr="000A2B21">
        <w:rPr>
          <w:rFonts w:ascii="Arial" w:hAnsi="Arial" w:eastAsia="Arial" w:cs="Arial"/>
        </w:rPr>
        <w:t xml:space="preserve">The </w:t>
      </w:r>
      <w:r w:rsidRPr="000A2B21" w:rsidR="00D70D15">
        <w:rPr>
          <w:rFonts w:ascii="Arial" w:hAnsi="Arial" w:eastAsia="Arial" w:cs="Arial"/>
        </w:rPr>
        <w:t>o</w:t>
      </w:r>
      <w:r w:rsidRPr="000A2B21">
        <w:rPr>
          <w:rFonts w:ascii="Arial" w:hAnsi="Arial" w:eastAsia="Arial" w:cs="Arial"/>
        </w:rPr>
        <w:t>bjective of the TC is to structure a new model of innovative financing to deliver emissions reductions and avoided deforestation objectives of the Amazônia Agora</w:t>
      </w:r>
      <w:r w:rsidRPr="000A2B21" w:rsidR="00DB2F4A">
        <w:rPr>
          <w:rFonts w:ascii="Arial" w:hAnsi="Arial" w:eastAsia="Arial" w:cs="Arial"/>
        </w:rPr>
        <w:t xml:space="preserve"> </w:t>
      </w:r>
      <w:r w:rsidRPr="000A2B21">
        <w:rPr>
          <w:rFonts w:ascii="Arial" w:hAnsi="Arial" w:eastAsia="Arial" w:cs="Arial"/>
        </w:rPr>
        <w:lastRenderedPageBreak/>
        <w:t>State Plan by developing a Payment for Environmental Services</w:t>
      </w:r>
      <w:r w:rsidRPr="00057325">
        <w:rPr>
          <w:rStyle w:val="FootnoteReference"/>
          <w:rFonts w:ascii="Arial" w:hAnsi="Arial" w:eastAsia="Arial" w:cs="Arial"/>
        </w:rPr>
        <w:footnoteReference w:id="2"/>
      </w:r>
      <w:r w:rsidRPr="000A2B21">
        <w:rPr>
          <w:rFonts w:ascii="Arial" w:hAnsi="Arial" w:eastAsia="Arial" w:cs="Arial"/>
        </w:rPr>
        <w:t xml:space="preserve"> (PES) program to be delivered through a payment for results (P4R) transaction mechanism under the Sustainable Territories Platform. The project will accelerate the development of the methodological framework for implementation of the PES program under the Amazônia Agora Plan. The PES mechanism will include ecosystem, climatic, and regulatory services, to be delivered through a P4R transactional mechanism, in addition to other targets established in state public policy.</w:t>
      </w:r>
    </w:p>
    <w:p w:rsidRPr="000A2B21" w:rsidR="00A54F53" w:rsidP="000A2B21" w:rsidRDefault="00123FFD" w14:paraId="4A949553" w14:textId="77D328BB">
      <w:pPr>
        <w:pStyle w:val="ListParagraph"/>
        <w:numPr>
          <w:ilvl w:val="1"/>
          <w:numId w:val="22"/>
        </w:numPr>
        <w:spacing w:before="120" w:after="120" w:line="240" w:lineRule="auto"/>
        <w:ind w:hanging="547"/>
        <w:contextualSpacing w:val="0"/>
        <w:jc w:val="both"/>
        <w:rPr>
          <w:rFonts w:ascii="Arial" w:hAnsi="Arial" w:eastAsia="Arial" w:cs="Arial"/>
        </w:rPr>
      </w:pPr>
      <w:r w:rsidRPr="000A2B21">
        <w:rPr>
          <w:rFonts w:ascii="Arial" w:hAnsi="Arial" w:eastAsia="Arial" w:cs="Arial"/>
        </w:rPr>
        <w:t xml:space="preserve">The </w:t>
      </w:r>
      <w:r w:rsidRPr="000A2B21" w:rsidR="00A54F53">
        <w:rPr>
          <w:rFonts w:ascii="Arial" w:hAnsi="Arial" w:eastAsia="Arial" w:cs="Arial"/>
        </w:rPr>
        <w:t>Amazon is the largest Brazilian biome, occupying 49% of the national territory, with an area of 4,196,943 km</w:t>
      </w:r>
      <w:r w:rsidRPr="000A2B21" w:rsidR="00A54F53">
        <w:rPr>
          <w:rFonts w:ascii="Arial" w:hAnsi="Arial" w:eastAsia="Arial" w:cs="Arial"/>
          <w:vertAlign w:val="superscript"/>
        </w:rPr>
        <w:t>2</w:t>
      </w:r>
      <w:r w:rsidRPr="000A2B21" w:rsidR="00A54F53">
        <w:rPr>
          <w:rFonts w:ascii="Arial" w:hAnsi="Arial" w:eastAsia="Arial" w:cs="Arial"/>
        </w:rPr>
        <w:t>. Nine states make up the Brazilian Legal Amazon: Acre, Amapá, Amazonas, Mato Grosso, Pará, Rondônia, Roraima, Tocantins, and Maranhão. Pará leads the ranking of deforestation rates</w:t>
      </w:r>
      <w:r w:rsidRPr="000A2B21" w:rsidR="00123F49">
        <w:rPr>
          <w:rFonts w:ascii="Arial" w:hAnsi="Arial" w:eastAsia="Arial" w:cs="Arial"/>
        </w:rPr>
        <w:t>. F</w:t>
      </w:r>
      <w:r w:rsidRPr="000A2B21" w:rsidR="00A54F53">
        <w:rPr>
          <w:rFonts w:ascii="Arial" w:hAnsi="Arial" w:eastAsia="Arial" w:cs="Arial"/>
        </w:rPr>
        <w:t>rom 2001 to 2020</w:t>
      </w:r>
      <w:r w:rsidRPr="000A2B21" w:rsidR="00123F49">
        <w:rPr>
          <w:rFonts w:ascii="Arial" w:hAnsi="Arial" w:eastAsia="Arial" w:cs="Arial"/>
        </w:rPr>
        <w:t xml:space="preserve"> it</w:t>
      </w:r>
      <w:r w:rsidRPr="000A2B21" w:rsidR="00A54F53">
        <w:rPr>
          <w:rFonts w:ascii="Arial" w:hAnsi="Arial" w:eastAsia="Arial" w:cs="Arial"/>
        </w:rPr>
        <w:t xml:space="preserve"> lost 14.8</w:t>
      </w:r>
      <w:r w:rsidRPr="000A2B21" w:rsidR="00EE57D7">
        <w:rPr>
          <w:rFonts w:ascii="Arial" w:hAnsi="Arial" w:eastAsia="Arial" w:cs="Arial"/>
        </w:rPr>
        <w:t xml:space="preserve"> million</w:t>
      </w:r>
      <w:r w:rsidRPr="000A2B21" w:rsidR="00A54F53">
        <w:rPr>
          <w:rFonts w:ascii="Arial" w:hAnsi="Arial" w:eastAsia="Arial" w:cs="Arial"/>
        </w:rPr>
        <w:t xml:space="preserve"> hectares of tree cover, equivalent to a 14% decrease since 2000. In 2020, deforestation in Pará </w:t>
      </w:r>
      <w:bookmarkStart w:name="_Int_5MgKQOC6" w:id="1"/>
      <w:r w:rsidRPr="000A2B21" w:rsidR="00A54F53">
        <w:rPr>
          <w:rFonts w:ascii="Arial" w:hAnsi="Arial" w:eastAsia="Arial" w:cs="Arial"/>
        </w:rPr>
        <w:t>was</w:t>
      </w:r>
      <w:bookmarkEnd w:id="1"/>
      <w:r w:rsidRPr="000A2B21" w:rsidR="00A54F53">
        <w:rPr>
          <w:rFonts w:ascii="Arial" w:hAnsi="Arial" w:eastAsia="Arial" w:cs="Arial"/>
        </w:rPr>
        <w:t xml:space="preserve"> responsible for 45.15% of the total of the region.</w:t>
      </w:r>
    </w:p>
    <w:p w:rsidRPr="00057325" w:rsidR="00A54F53" w:rsidP="000A2B21" w:rsidRDefault="00A54F53" w14:paraId="2188F0F0" w14:textId="4A9A9F06">
      <w:pPr>
        <w:pStyle w:val="ListParagraph"/>
        <w:numPr>
          <w:ilvl w:val="1"/>
          <w:numId w:val="22"/>
        </w:numPr>
        <w:spacing w:before="120" w:after="120" w:line="240" w:lineRule="auto"/>
        <w:ind w:hanging="547"/>
        <w:contextualSpacing w:val="0"/>
        <w:jc w:val="both"/>
        <w:rPr>
          <w:rFonts w:ascii="Arial" w:hAnsi="Arial" w:eastAsia="Arial" w:cs="Arial"/>
        </w:rPr>
      </w:pPr>
      <w:r w:rsidRPr="00057325">
        <w:rPr>
          <w:rFonts w:ascii="Arial" w:hAnsi="Arial" w:eastAsia="Arial" w:cs="Arial"/>
        </w:rPr>
        <w:t>While the Amazon has an immense stock of natural resources, it has been deforested to make way for agricultural systems and pastures, which have been one of the main causes of Brazil</w:t>
      </w:r>
      <w:r w:rsidRPr="00057325" w:rsidR="000C389B">
        <w:rPr>
          <w:rFonts w:ascii="Arial" w:hAnsi="Arial" w:eastAsia="Arial" w:cs="Arial"/>
        </w:rPr>
        <w:t>’</w:t>
      </w:r>
      <w:r w:rsidRPr="00057325">
        <w:rPr>
          <w:rFonts w:ascii="Arial" w:hAnsi="Arial" w:eastAsia="Arial" w:cs="Arial"/>
        </w:rPr>
        <w:t xml:space="preserve">s greenhouse gas (GHG) emissions. In 2020, 78.4% of </w:t>
      </w:r>
      <w:r w:rsidRPr="00057325" w:rsidR="00187034">
        <w:rPr>
          <w:rFonts w:ascii="Arial" w:hAnsi="Arial" w:eastAsia="Arial" w:cs="Arial"/>
        </w:rPr>
        <w:t xml:space="preserve">the country’s </w:t>
      </w:r>
      <w:r w:rsidRPr="00057325">
        <w:rPr>
          <w:rFonts w:ascii="Arial" w:hAnsi="Arial" w:eastAsia="Arial" w:cs="Arial"/>
        </w:rPr>
        <w:t>emissions caused by changes in land use resulted from deforestation in the Amazon biome. According to PRODES</w:t>
      </w:r>
      <w:r w:rsidRPr="00057325" w:rsidR="00846D7B">
        <w:rPr>
          <w:rStyle w:val="FootnoteReference"/>
          <w:rFonts w:ascii="Arial" w:hAnsi="Arial" w:eastAsia="Arial" w:cs="Arial"/>
        </w:rPr>
        <w:footnoteReference w:id="3"/>
      </w:r>
      <w:r w:rsidRPr="00057325">
        <w:rPr>
          <w:rFonts w:ascii="Arial" w:hAnsi="Arial" w:eastAsia="Arial" w:cs="Arial"/>
        </w:rPr>
        <w:t xml:space="preserve"> data, since 2019 deforestation in the Amazon reached the level of 10,000 km</w:t>
      </w:r>
      <w:r w:rsidRPr="002151F7">
        <w:rPr>
          <w:rFonts w:ascii="Arial" w:hAnsi="Arial" w:eastAsia="Arial" w:cs="Arial"/>
          <w:vertAlign w:val="superscript"/>
        </w:rPr>
        <w:t>2</w:t>
      </w:r>
      <w:r w:rsidRPr="00057325">
        <w:rPr>
          <w:rFonts w:ascii="Arial" w:hAnsi="Arial" w:eastAsia="Arial" w:cs="Arial"/>
        </w:rPr>
        <w:t xml:space="preserve">. This biome transformation is particularly alarming, as projections </w:t>
      </w:r>
      <w:r w:rsidRPr="00057325" w:rsidR="00665665">
        <w:rPr>
          <w:rFonts w:ascii="Arial" w:hAnsi="Arial" w:eastAsia="Arial" w:cs="Arial"/>
        </w:rPr>
        <w:t>are getting clos</w:t>
      </w:r>
      <w:r w:rsidRPr="00057325" w:rsidR="00087E45">
        <w:rPr>
          <w:rFonts w:ascii="Arial" w:hAnsi="Arial" w:eastAsia="Arial" w:cs="Arial"/>
        </w:rPr>
        <w:t>e</w:t>
      </w:r>
      <w:r w:rsidRPr="00057325">
        <w:rPr>
          <w:rFonts w:ascii="Arial" w:hAnsi="Arial" w:eastAsia="Arial" w:cs="Arial"/>
        </w:rPr>
        <w:t xml:space="preserve"> to a point of no return if deforestation rates reach 20</w:t>
      </w:r>
      <w:r w:rsidR="002A2252">
        <w:rPr>
          <w:rFonts w:ascii="Arial" w:hAnsi="Arial" w:eastAsia="Arial" w:cs="Arial"/>
        </w:rPr>
        <w:noBreakHyphen/>
      </w:r>
      <w:r w:rsidRPr="00057325">
        <w:rPr>
          <w:rFonts w:ascii="Arial" w:hAnsi="Arial" w:eastAsia="Arial" w:cs="Arial"/>
        </w:rPr>
        <w:t>25%, w</w:t>
      </w:r>
      <w:r w:rsidRPr="00057325" w:rsidR="004B71A0">
        <w:rPr>
          <w:rFonts w:ascii="Arial" w:hAnsi="Arial" w:eastAsia="Arial" w:cs="Arial"/>
        </w:rPr>
        <w:t>here the</w:t>
      </w:r>
      <w:r w:rsidRPr="00057325">
        <w:rPr>
          <w:rFonts w:ascii="Arial" w:hAnsi="Arial" w:eastAsia="Arial" w:cs="Arial"/>
        </w:rPr>
        <w:t xml:space="preserve"> forest </w:t>
      </w:r>
      <w:r w:rsidRPr="00057325" w:rsidR="004B71A0">
        <w:rPr>
          <w:rFonts w:ascii="Arial" w:hAnsi="Arial" w:eastAsia="Arial" w:cs="Arial"/>
        </w:rPr>
        <w:t xml:space="preserve">could be </w:t>
      </w:r>
      <w:r w:rsidRPr="00057325">
        <w:rPr>
          <w:rFonts w:ascii="Arial" w:hAnsi="Arial" w:eastAsia="Arial" w:cs="Arial"/>
        </w:rPr>
        <w:t>replace</w:t>
      </w:r>
      <w:r w:rsidRPr="00057325" w:rsidR="004B71A0">
        <w:rPr>
          <w:rFonts w:ascii="Arial" w:hAnsi="Arial" w:eastAsia="Arial" w:cs="Arial"/>
        </w:rPr>
        <w:t>d</w:t>
      </w:r>
      <w:r w:rsidRPr="00057325">
        <w:rPr>
          <w:rFonts w:ascii="Arial" w:hAnsi="Arial" w:eastAsia="Arial" w:cs="Arial"/>
        </w:rPr>
        <w:t xml:space="preserve"> </w:t>
      </w:r>
      <w:r w:rsidRPr="00057325" w:rsidR="004B71A0">
        <w:rPr>
          <w:rFonts w:ascii="Arial" w:hAnsi="Arial" w:eastAsia="Arial" w:cs="Arial"/>
        </w:rPr>
        <w:t>by a</w:t>
      </w:r>
      <w:r w:rsidRPr="00057325">
        <w:rPr>
          <w:rFonts w:ascii="Arial" w:hAnsi="Arial" w:eastAsia="Arial" w:cs="Arial"/>
        </w:rPr>
        <w:t xml:space="preserve"> savanna, impacting biodiversity, hydrological cycles, </w:t>
      </w:r>
      <w:r w:rsidRPr="00057325" w:rsidR="007F3B62">
        <w:rPr>
          <w:rFonts w:ascii="Arial" w:hAnsi="Arial" w:eastAsia="Arial" w:cs="Arial"/>
        </w:rPr>
        <w:t>carbon,</w:t>
      </w:r>
      <w:r w:rsidRPr="00057325">
        <w:rPr>
          <w:rFonts w:ascii="Arial" w:hAnsi="Arial" w:eastAsia="Arial" w:cs="Arial"/>
        </w:rPr>
        <w:t xml:space="preserve"> and human well-being.</w:t>
      </w:r>
    </w:p>
    <w:p w:rsidRPr="00057325" w:rsidR="00A54F53" w:rsidP="000A2B21" w:rsidRDefault="00A54F53" w14:paraId="33E6D05E" w14:textId="1CF31BAC">
      <w:pPr>
        <w:pStyle w:val="ListParagraph"/>
        <w:numPr>
          <w:ilvl w:val="1"/>
          <w:numId w:val="22"/>
        </w:numPr>
        <w:spacing w:before="120" w:after="120" w:line="240" w:lineRule="auto"/>
        <w:ind w:hanging="547"/>
        <w:contextualSpacing w:val="0"/>
        <w:jc w:val="both"/>
        <w:rPr>
          <w:rFonts w:ascii="Arial" w:hAnsi="Arial" w:eastAsia="Arial" w:cs="Arial"/>
        </w:rPr>
      </w:pPr>
      <w:r w:rsidRPr="00057325">
        <w:rPr>
          <w:rFonts w:ascii="Arial" w:hAnsi="Arial" w:eastAsia="Arial" w:cs="Arial"/>
        </w:rPr>
        <w:t>The state of Pará appears within this context as one of the most affected by forest loss. Between 1988 and 2019, 34% of deforestation in the entire Legal Amazon occurred in Pará, which represents an accumulated deforested area of 152,475km</w:t>
      </w:r>
      <w:r w:rsidRPr="00057325">
        <w:rPr>
          <w:rFonts w:ascii="Arial" w:hAnsi="Arial" w:eastAsia="Arial" w:cs="Arial"/>
          <w:vertAlign w:val="superscript"/>
        </w:rPr>
        <w:t>2</w:t>
      </w:r>
      <w:r w:rsidRPr="00057325">
        <w:rPr>
          <w:rFonts w:ascii="Arial" w:hAnsi="Arial" w:eastAsia="Arial" w:cs="Arial"/>
        </w:rPr>
        <w:t>. The high flow of deforestation also places the state as one of the largest GHG emitters among Brazilian states, with 19.3% of total emissions. Pará</w:t>
      </w:r>
      <w:r w:rsidRPr="00057325" w:rsidR="00377B90">
        <w:rPr>
          <w:rFonts w:ascii="Arial" w:hAnsi="Arial" w:eastAsia="Arial" w:cs="Arial"/>
        </w:rPr>
        <w:t>’</w:t>
      </w:r>
      <w:r w:rsidRPr="00057325">
        <w:rPr>
          <w:rFonts w:ascii="Arial" w:hAnsi="Arial" w:eastAsia="Arial" w:cs="Arial"/>
        </w:rPr>
        <w:t>s position as the largest GHG emitter is a consequence of the historical development model</w:t>
      </w:r>
      <w:r w:rsidRPr="00057325" w:rsidR="00E910C6">
        <w:rPr>
          <w:rFonts w:ascii="Arial" w:hAnsi="Arial" w:eastAsia="Arial" w:cs="Arial"/>
        </w:rPr>
        <w:t xml:space="preserve"> it has</w:t>
      </w:r>
      <w:r w:rsidRPr="00057325">
        <w:rPr>
          <w:rFonts w:ascii="Arial" w:hAnsi="Arial" w:eastAsia="Arial" w:cs="Arial"/>
        </w:rPr>
        <w:t xml:space="preserve"> adopted</w:t>
      </w:r>
      <w:r w:rsidRPr="00057325" w:rsidR="00E910C6">
        <w:rPr>
          <w:rFonts w:ascii="Arial" w:hAnsi="Arial" w:eastAsia="Arial" w:cs="Arial"/>
        </w:rPr>
        <w:t>, which is</w:t>
      </w:r>
      <w:r w:rsidRPr="00057325">
        <w:rPr>
          <w:rFonts w:ascii="Arial" w:hAnsi="Arial" w:eastAsia="Arial" w:cs="Arial"/>
        </w:rPr>
        <w:t xml:space="preserve"> based on the indiscriminate exploitation of natural resources. The state stands out for its mineral, energy (water) and agricultural potential, activities that result in strong human pressure on areas of native forest. </w:t>
      </w:r>
    </w:p>
    <w:p w:rsidRPr="00057325" w:rsidR="00A54F53" w:rsidP="000A2B21" w:rsidRDefault="00A54F53" w14:paraId="4C0AF566" w14:textId="1E7B07E2">
      <w:pPr>
        <w:pStyle w:val="ListParagraph"/>
        <w:numPr>
          <w:ilvl w:val="1"/>
          <w:numId w:val="22"/>
        </w:numPr>
        <w:spacing w:before="120" w:after="120" w:line="240" w:lineRule="auto"/>
        <w:ind w:hanging="547"/>
        <w:contextualSpacing w:val="0"/>
        <w:jc w:val="both"/>
        <w:rPr>
          <w:rFonts w:ascii="Arial" w:hAnsi="Arial" w:eastAsia="Arial" w:cs="Arial"/>
        </w:rPr>
      </w:pPr>
      <w:r w:rsidRPr="00057325">
        <w:rPr>
          <w:rFonts w:ascii="Arial" w:hAnsi="Arial" w:eastAsia="Arial" w:cs="Arial"/>
        </w:rPr>
        <w:t>Pará Amazônia Agora State Plan (PEAA) is the key public policy instrument to deliver sustainable economic development and deforestation and is directly linked to the State Policy on Climate Change (PEMC). Launched in August 2020, the PEAA aims to promote a reduction of at least 37% in GHG emissions from forestry conversion and land use by 2030</w:t>
      </w:r>
      <w:r w:rsidRPr="00057325" w:rsidR="00743283">
        <w:rPr>
          <w:rFonts w:ascii="Arial" w:hAnsi="Arial" w:eastAsia="Arial" w:cs="Arial"/>
        </w:rPr>
        <w:t>,</w:t>
      </w:r>
      <w:r w:rsidRPr="00057325">
        <w:rPr>
          <w:rFonts w:ascii="Arial" w:hAnsi="Arial" w:eastAsia="Arial" w:cs="Arial"/>
        </w:rPr>
        <w:t xml:space="preserve"> and 43% by 2035, aligned with the </w:t>
      </w:r>
      <w:r w:rsidRPr="00057325" w:rsidR="00C23D0E">
        <w:rPr>
          <w:rFonts w:ascii="Arial" w:hAnsi="Arial" w:eastAsia="Arial" w:cs="Arial"/>
        </w:rPr>
        <w:t xml:space="preserve">country’s Nationally Determined </w:t>
      </w:r>
      <w:r w:rsidRPr="00057325" w:rsidR="00FC7F75">
        <w:rPr>
          <w:rFonts w:ascii="Arial" w:hAnsi="Arial" w:eastAsia="Arial" w:cs="Arial"/>
        </w:rPr>
        <w:t>Contribution</w:t>
      </w:r>
      <w:r w:rsidRPr="00057325" w:rsidR="00C5092E">
        <w:rPr>
          <w:rFonts w:ascii="Arial" w:hAnsi="Arial" w:eastAsia="Arial" w:cs="Arial"/>
        </w:rPr>
        <w:t>’s</w:t>
      </w:r>
      <w:r w:rsidRPr="00057325">
        <w:rPr>
          <w:rFonts w:ascii="Arial" w:hAnsi="Arial" w:eastAsia="Arial" w:cs="Arial"/>
        </w:rPr>
        <w:t xml:space="preserve"> </w:t>
      </w:r>
      <w:r w:rsidRPr="00057325" w:rsidR="00C23D0E">
        <w:rPr>
          <w:rFonts w:ascii="Arial" w:hAnsi="Arial" w:eastAsia="Arial" w:cs="Arial"/>
        </w:rPr>
        <w:t>(</w:t>
      </w:r>
      <w:r w:rsidRPr="00057325">
        <w:rPr>
          <w:rFonts w:ascii="Arial" w:hAnsi="Arial" w:eastAsia="Arial" w:cs="Arial"/>
        </w:rPr>
        <w:t>NDC</w:t>
      </w:r>
      <w:r w:rsidRPr="00057325" w:rsidR="00C23D0E">
        <w:rPr>
          <w:rFonts w:ascii="Arial" w:hAnsi="Arial" w:eastAsia="Arial" w:cs="Arial"/>
        </w:rPr>
        <w:t>)</w:t>
      </w:r>
      <w:r w:rsidRPr="00057325">
        <w:rPr>
          <w:rFonts w:ascii="Arial" w:hAnsi="Arial" w:eastAsia="Arial" w:cs="Arial"/>
        </w:rPr>
        <w:t xml:space="preserve"> commitments. PEAA is comprised of four axes: (i) </w:t>
      </w:r>
      <w:r w:rsidRPr="00057325" w:rsidR="00600BF8">
        <w:rPr>
          <w:rFonts w:ascii="Arial" w:hAnsi="Arial" w:eastAsia="Arial" w:cs="Arial"/>
        </w:rPr>
        <w:t xml:space="preserve">environmental </w:t>
      </w:r>
      <w:r w:rsidRPr="00057325">
        <w:rPr>
          <w:rFonts w:ascii="Arial" w:hAnsi="Arial" w:eastAsia="Arial" w:cs="Arial"/>
        </w:rPr>
        <w:t xml:space="preserve">regularization, </w:t>
      </w:r>
      <w:r w:rsidRPr="00057325" w:rsidR="00600BF8">
        <w:rPr>
          <w:rFonts w:ascii="Arial" w:hAnsi="Arial" w:eastAsia="Arial" w:cs="Arial"/>
        </w:rPr>
        <w:t xml:space="preserve">licensing, </w:t>
      </w:r>
      <w:r w:rsidRPr="00057325">
        <w:rPr>
          <w:rFonts w:ascii="Arial" w:hAnsi="Arial" w:eastAsia="Arial" w:cs="Arial"/>
        </w:rPr>
        <w:t xml:space="preserve">and </w:t>
      </w:r>
      <w:r w:rsidRPr="00057325" w:rsidR="00600BF8">
        <w:rPr>
          <w:rFonts w:ascii="Arial" w:hAnsi="Arial" w:eastAsia="Arial" w:cs="Arial"/>
        </w:rPr>
        <w:t>monitoring</w:t>
      </w:r>
      <w:r w:rsidRPr="00057325">
        <w:rPr>
          <w:rFonts w:ascii="Arial" w:hAnsi="Arial" w:eastAsia="Arial" w:cs="Arial"/>
        </w:rPr>
        <w:t xml:space="preserve">; (ii) </w:t>
      </w:r>
      <w:r w:rsidRPr="00057325" w:rsidR="00600BF8">
        <w:rPr>
          <w:rFonts w:ascii="Arial" w:hAnsi="Arial" w:eastAsia="Arial" w:cs="Arial"/>
        </w:rPr>
        <w:t>territorial</w:t>
      </w:r>
      <w:r w:rsidRPr="00057325">
        <w:rPr>
          <w:rFonts w:ascii="Arial" w:hAnsi="Arial" w:eastAsia="Arial" w:cs="Arial"/>
        </w:rPr>
        <w:t xml:space="preserve">, </w:t>
      </w:r>
      <w:r w:rsidRPr="00057325" w:rsidR="00600BF8">
        <w:rPr>
          <w:rFonts w:ascii="Arial" w:hAnsi="Arial" w:eastAsia="Arial" w:cs="Arial"/>
        </w:rPr>
        <w:t xml:space="preserve">land, </w:t>
      </w:r>
      <w:r w:rsidRPr="00057325">
        <w:rPr>
          <w:rFonts w:ascii="Arial" w:hAnsi="Arial" w:eastAsia="Arial" w:cs="Arial"/>
        </w:rPr>
        <w:t xml:space="preserve">and </w:t>
      </w:r>
      <w:r w:rsidRPr="00057325" w:rsidR="00600BF8">
        <w:rPr>
          <w:rFonts w:ascii="Arial" w:hAnsi="Arial" w:eastAsia="Arial" w:cs="Arial"/>
        </w:rPr>
        <w:t>environmental planning</w:t>
      </w:r>
      <w:r w:rsidRPr="00057325">
        <w:rPr>
          <w:rFonts w:ascii="Arial" w:hAnsi="Arial" w:eastAsia="Arial" w:cs="Arial"/>
        </w:rPr>
        <w:t>;</w:t>
      </w:r>
      <w:r w:rsidRPr="00057325" w:rsidR="00AC2AFC">
        <w:rPr>
          <w:rFonts w:ascii="Arial" w:hAnsi="Arial" w:eastAsia="Arial" w:cs="Arial"/>
        </w:rPr>
        <w:t xml:space="preserve"> </w:t>
      </w:r>
      <w:r w:rsidRPr="00057325">
        <w:rPr>
          <w:rFonts w:ascii="Arial" w:hAnsi="Arial" w:eastAsia="Arial" w:cs="Arial"/>
        </w:rPr>
        <w:t>(iii)</w:t>
      </w:r>
      <w:r w:rsidRPr="00057325" w:rsidR="00AC2AFC">
        <w:rPr>
          <w:rFonts w:ascii="Arial" w:hAnsi="Arial" w:eastAsia="Arial" w:cs="Arial"/>
        </w:rPr>
        <w:t> </w:t>
      </w:r>
      <w:r w:rsidRPr="00057325" w:rsidR="00600BF8">
        <w:rPr>
          <w:rFonts w:ascii="Arial" w:hAnsi="Arial" w:eastAsia="Arial" w:cs="Arial"/>
        </w:rPr>
        <w:t>low emissions socioeconomic development</w:t>
      </w:r>
      <w:r w:rsidRPr="00057325">
        <w:rPr>
          <w:rFonts w:ascii="Arial" w:hAnsi="Arial" w:eastAsia="Arial" w:cs="Arial"/>
        </w:rPr>
        <w:t xml:space="preserve">; and (iv) </w:t>
      </w:r>
      <w:r w:rsidRPr="00057325" w:rsidR="00600BF8">
        <w:rPr>
          <w:rFonts w:ascii="Arial" w:hAnsi="Arial" w:eastAsia="Arial" w:cs="Arial"/>
        </w:rPr>
        <w:t>long</w:t>
      </w:r>
      <w:r w:rsidRPr="00057325">
        <w:rPr>
          <w:rFonts w:ascii="Arial" w:hAnsi="Arial" w:eastAsia="Arial" w:cs="Arial"/>
        </w:rPr>
        <w:t>-term financing.</w:t>
      </w:r>
    </w:p>
    <w:p w:rsidRPr="00057325" w:rsidR="00A54F53" w:rsidP="000A2B21" w:rsidRDefault="00D87C54" w14:paraId="3A02A1F0" w14:textId="17B5C739">
      <w:pPr>
        <w:pStyle w:val="ListParagraph"/>
        <w:numPr>
          <w:ilvl w:val="1"/>
          <w:numId w:val="22"/>
        </w:numPr>
        <w:spacing w:before="120" w:after="120" w:line="240" w:lineRule="auto"/>
        <w:ind w:hanging="547"/>
        <w:contextualSpacing w:val="0"/>
        <w:jc w:val="both"/>
        <w:rPr>
          <w:rFonts w:ascii="Arial" w:hAnsi="Arial" w:eastAsia="Arial" w:cs="Arial"/>
        </w:rPr>
      </w:pPr>
      <w:r w:rsidRPr="00057325">
        <w:rPr>
          <w:rFonts w:ascii="Arial" w:hAnsi="Arial" w:eastAsia="Arial" w:cs="Arial"/>
        </w:rPr>
        <w:t xml:space="preserve">To </w:t>
      </w:r>
      <w:r w:rsidRPr="00057325" w:rsidR="006E5542">
        <w:rPr>
          <w:rFonts w:ascii="Arial" w:hAnsi="Arial" w:eastAsia="Arial" w:cs="Arial"/>
        </w:rPr>
        <w:t>assist</w:t>
      </w:r>
      <w:r w:rsidRPr="00057325" w:rsidR="00A54F53">
        <w:rPr>
          <w:rFonts w:ascii="Arial" w:hAnsi="Arial" w:eastAsia="Arial" w:cs="Arial"/>
        </w:rPr>
        <w:t xml:space="preserve"> Pará </w:t>
      </w:r>
      <w:r w:rsidRPr="00057325" w:rsidR="006E5542">
        <w:rPr>
          <w:rFonts w:ascii="Arial" w:hAnsi="Arial" w:eastAsia="Arial" w:cs="Arial"/>
        </w:rPr>
        <w:t xml:space="preserve">in its </w:t>
      </w:r>
      <w:r w:rsidRPr="00057325" w:rsidR="00A54F53">
        <w:rPr>
          <w:rFonts w:ascii="Arial" w:hAnsi="Arial" w:eastAsia="Arial" w:cs="Arial"/>
        </w:rPr>
        <w:t>efforts to address long-term sustained mobilization and deploy</w:t>
      </w:r>
      <w:r w:rsidRPr="00057325" w:rsidR="004947B3">
        <w:rPr>
          <w:rFonts w:ascii="Arial" w:hAnsi="Arial" w:eastAsia="Arial" w:cs="Arial"/>
        </w:rPr>
        <w:t xml:space="preserve"> </w:t>
      </w:r>
      <w:r w:rsidRPr="00057325" w:rsidR="00A54F53">
        <w:rPr>
          <w:rFonts w:ascii="Arial" w:hAnsi="Arial" w:eastAsia="Arial" w:cs="Arial"/>
        </w:rPr>
        <w:t xml:space="preserve">resources to finance these activities, </w:t>
      </w:r>
      <w:r w:rsidRPr="00057325" w:rsidR="004947B3">
        <w:rPr>
          <w:rFonts w:ascii="Arial" w:hAnsi="Arial" w:eastAsia="Arial" w:cs="Arial"/>
        </w:rPr>
        <w:t xml:space="preserve">the </w:t>
      </w:r>
      <w:r w:rsidRPr="00057325" w:rsidR="00A54F53">
        <w:rPr>
          <w:rFonts w:ascii="Arial" w:hAnsi="Arial" w:eastAsia="Arial" w:cs="Arial"/>
        </w:rPr>
        <w:t xml:space="preserve">IDB has been working with the state in the financial structure of the </w:t>
      </w:r>
      <w:r w:rsidRPr="00057325" w:rsidR="001604DE">
        <w:rPr>
          <w:rFonts w:ascii="Arial" w:hAnsi="Arial" w:eastAsia="Arial" w:cs="Arial"/>
        </w:rPr>
        <w:t>PEAA.</w:t>
      </w:r>
      <w:r w:rsidRPr="00057325" w:rsidR="00303A75">
        <w:rPr>
          <w:rFonts w:ascii="Arial" w:hAnsi="Arial" w:eastAsia="Arial" w:cs="Arial"/>
        </w:rPr>
        <w:t xml:space="preserve"> This initiative </w:t>
      </w:r>
      <w:r w:rsidRPr="00057325" w:rsidR="00A54F53">
        <w:rPr>
          <w:rFonts w:ascii="Arial" w:hAnsi="Arial" w:eastAsia="Arial" w:cs="Arial"/>
        </w:rPr>
        <w:t xml:space="preserve">aims </w:t>
      </w:r>
      <w:r w:rsidRPr="00057325" w:rsidR="008B5A6A">
        <w:rPr>
          <w:rFonts w:ascii="Arial" w:hAnsi="Arial" w:eastAsia="Arial" w:cs="Arial"/>
        </w:rPr>
        <w:t>at</w:t>
      </w:r>
      <w:r w:rsidRPr="00057325" w:rsidR="00A54F53">
        <w:rPr>
          <w:rFonts w:ascii="Arial" w:hAnsi="Arial" w:eastAsia="Arial" w:cs="Arial"/>
        </w:rPr>
        <w:t xml:space="preserve"> </w:t>
      </w:r>
      <w:r w:rsidRPr="00057325" w:rsidR="00142F86">
        <w:rPr>
          <w:rFonts w:ascii="Arial" w:hAnsi="Arial" w:eastAsia="Arial" w:cs="Arial"/>
        </w:rPr>
        <w:t xml:space="preserve">providing additional </w:t>
      </w:r>
      <w:r w:rsidRPr="00057325" w:rsidR="00A54F53">
        <w:rPr>
          <w:rFonts w:ascii="Arial" w:hAnsi="Arial" w:eastAsia="Arial" w:cs="Arial"/>
        </w:rPr>
        <w:t xml:space="preserve">support </w:t>
      </w:r>
      <w:r w:rsidRPr="00057325" w:rsidR="00142F86">
        <w:rPr>
          <w:rFonts w:ascii="Arial" w:hAnsi="Arial" w:eastAsia="Arial" w:cs="Arial"/>
        </w:rPr>
        <w:t xml:space="preserve">to </w:t>
      </w:r>
      <w:r w:rsidRPr="00057325" w:rsidR="00AB4EBE">
        <w:rPr>
          <w:rFonts w:ascii="Arial" w:hAnsi="Arial" w:eastAsia="Arial" w:cs="Arial"/>
        </w:rPr>
        <w:lastRenderedPageBreak/>
        <w:t xml:space="preserve">the state, so it </w:t>
      </w:r>
      <w:r w:rsidRPr="00057325" w:rsidR="00142F86">
        <w:rPr>
          <w:rFonts w:ascii="Arial" w:hAnsi="Arial" w:eastAsia="Arial" w:cs="Arial"/>
        </w:rPr>
        <w:t>enhance</w:t>
      </w:r>
      <w:r w:rsidRPr="00057325" w:rsidR="00AB4EBE">
        <w:rPr>
          <w:rFonts w:ascii="Arial" w:hAnsi="Arial" w:eastAsia="Arial" w:cs="Arial"/>
        </w:rPr>
        <w:t>s</w:t>
      </w:r>
      <w:r w:rsidRPr="00057325" w:rsidR="00142F86">
        <w:rPr>
          <w:rFonts w:ascii="Arial" w:hAnsi="Arial" w:eastAsia="Arial" w:cs="Arial"/>
        </w:rPr>
        <w:t xml:space="preserve"> </w:t>
      </w:r>
      <w:r w:rsidRPr="00057325" w:rsidR="00A54F53">
        <w:rPr>
          <w:rFonts w:ascii="Arial" w:hAnsi="Arial" w:eastAsia="Arial" w:cs="Arial"/>
        </w:rPr>
        <w:t>its capacity to deliver on the 80 targets contained in th</w:t>
      </w:r>
      <w:r w:rsidRPr="00057325" w:rsidR="001043B5">
        <w:rPr>
          <w:rFonts w:ascii="Arial" w:hAnsi="Arial" w:eastAsia="Arial" w:cs="Arial"/>
        </w:rPr>
        <w:t>e</w:t>
      </w:r>
      <w:r w:rsidRPr="00057325" w:rsidR="008B3B87">
        <w:rPr>
          <w:rFonts w:ascii="Arial" w:hAnsi="Arial" w:eastAsia="Arial" w:cs="Arial"/>
        </w:rPr>
        <w:t xml:space="preserve"> p</w:t>
      </w:r>
      <w:r w:rsidRPr="00057325" w:rsidR="00A54F53">
        <w:rPr>
          <w:rFonts w:ascii="Arial" w:hAnsi="Arial" w:eastAsia="Arial" w:cs="Arial"/>
        </w:rPr>
        <w:t xml:space="preserve">lan. This TC </w:t>
      </w:r>
      <w:r w:rsidRPr="00057325" w:rsidR="001043B5">
        <w:rPr>
          <w:rFonts w:ascii="Arial" w:hAnsi="Arial" w:eastAsia="Arial" w:cs="Arial"/>
        </w:rPr>
        <w:t>intends to be the first stage</w:t>
      </w:r>
      <w:r w:rsidRPr="00057325" w:rsidR="00A54F53">
        <w:rPr>
          <w:rFonts w:ascii="Arial" w:hAnsi="Arial" w:eastAsia="Arial" w:cs="Arial"/>
        </w:rPr>
        <w:t xml:space="preserve"> of an effort to support the </w:t>
      </w:r>
      <w:r w:rsidRPr="00057325" w:rsidR="005C7EAF">
        <w:rPr>
          <w:rFonts w:ascii="Arial" w:hAnsi="Arial" w:eastAsia="Arial" w:cs="Arial"/>
        </w:rPr>
        <w:t>Pará</w:t>
      </w:r>
      <w:r w:rsidRPr="00057325" w:rsidR="00A54F53">
        <w:rPr>
          <w:rFonts w:ascii="Arial" w:hAnsi="Arial" w:eastAsia="Arial" w:cs="Arial"/>
        </w:rPr>
        <w:t xml:space="preserve"> in the delivery of the </w:t>
      </w:r>
      <w:r w:rsidRPr="00057325" w:rsidR="00A02346">
        <w:rPr>
          <w:rFonts w:ascii="Arial" w:hAnsi="Arial" w:eastAsia="Arial" w:cs="Arial"/>
        </w:rPr>
        <w:t>PES</w:t>
      </w:r>
      <w:r w:rsidRPr="00057325" w:rsidR="00A54F53">
        <w:rPr>
          <w:rFonts w:ascii="Arial" w:hAnsi="Arial" w:eastAsia="Arial" w:cs="Arial"/>
        </w:rPr>
        <w:t xml:space="preserve"> program, which will be piloted and escalated</w:t>
      </w:r>
      <w:r w:rsidRPr="00057325" w:rsidR="00183D6C">
        <w:rPr>
          <w:rFonts w:ascii="Arial" w:hAnsi="Arial" w:eastAsia="Arial" w:cs="Arial"/>
        </w:rPr>
        <w:t xml:space="preserve"> in subsequent stages</w:t>
      </w:r>
      <w:r w:rsidRPr="00057325" w:rsidR="00A54F53">
        <w:rPr>
          <w:rFonts w:ascii="Arial" w:hAnsi="Arial" w:eastAsia="Arial" w:cs="Arial"/>
        </w:rPr>
        <w:t>.</w:t>
      </w:r>
    </w:p>
    <w:p w:rsidRPr="00057325" w:rsidR="00A54F53" w:rsidP="000A2B21" w:rsidRDefault="00A54F53" w14:paraId="5766CC95" w14:textId="12FDAD27">
      <w:pPr>
        <w:pStyle w:val="ListParagraph"/>
        <w:numPr>
          <w:ilvl w:val="1"/>
          <w:numId w:val="22"/>
        </w:numPr>
        <w:spacing w:before="120" w:after="120" w:line="240" w:lineRule="auto"/>
        <w:ind w:hanging="547"/>
        <w:contextualSpacing w:val="0"/>
        <w:jc w:val="both"/>
        <w:rPr>
          <w:rFonts w:ascii="Arial" w:hAnsi="Arial" w:eastAsia="Arial" w:cs="Arial"/>
        </w:rPr>
      </w:pPr>
      <w:r w:rsidRPr="00057325">
        <w:rPr>
          <w:rFonts w:ascii="Arial" w:hAnsi="Arial" w:eastAsia="Arial" w:cs="Arial"/>
        </w:rPr>
        <w:t>The TC is also aligned with the IDB</w:t>
      </w:r>
      <w:r w:rsidRPr="00057325" w:rsidR="00DF3B6C">
        <w:rPr>
          <w:rFonts w:ascii="Arial" w:hAnsi="Arial" w:eastAsia="Arial" w:cs="Arial"/>
        </w:rPr>
        <w:t>’</w:t>
      </w:r>
      <w:r w:rsidRPr="00057325">
        <w:rPr>
          <w:rFonts w:ascii="Arial" w:hAnsi="Arial" w:eastAsia="Arial" w:cs="Arial"/>
        </w:rPr>
        <w:t>s 2025 Vision</w:t>
      </w:r>
      <w:r w:rsidRPr="00057325" w:rsidR="009B6030">
        <w:rPr>
          <w:rFonts w:ascii="Arial" w:hAnsi="Arial" w:eastAsia="Arial" w:cs="Arial"/>
        </w:rPr>
        <w:t xml:space="preserve"> (in its Goal 2 —Promoting Social Progress)</w:t>
      </w:r>
      <w:r w:rsidRPr="00057325">
        <w:rPr>
          <w:rFonts w:ascii="Arial" w:hAnsi="Arial" w:eastAsia="Arial" w:cs="Arial"/>
        </w:rPr>
        <w:t>, which seeks to reinvest in the Americas</w:t>
      </w:r>
      <w:r w:rsidRPr="00057325" w:rsidR="004D18D8">
        <w:rPr>
          <w:rFonts w:ascii="Arial" w:hAnsi="Arial" w:eastAsia="Arial" w:cs="Arial"/>
        </w:rPr>
        <w:t xml:space="preserve"> </w:t>
      </w:r>
      <w:r w:rsidRPr="00057325">
        <w:rPr>
          <w:rFonts w:ascii="Arial" w:hAnsi="Arial" w:eastAsia="Arial" w:cs="Arial"/>
        </w:rPr>
        <w:t>by increasing the institutional capacities of the environmental agency of Pará, in its mission to promote financial instruments to stimulate the reduction of deforestation. At the same time, this initiative favors the IDB</w:t>
      </w:r>
      <w:r w:rsidRPr="00057325" w:rsidR="00E45093">
        <w:rPr>
          <w:rFonts w:ascii="Arial" w:hAnsi="Arial" w:eastAsia="Arial" w:cs="Arial"/>
        </w:rPr>
        <w:t>’</w:t>
      </w:r>
      <w:r w:rsidRPr="00057325">
        <w:rPr>
          <w:rFonts w:ascii="Arial" w:hAnsi="Arial" w:eastAsia="Arial" w:cs="Arial"/>
        </w:rPr>
        <w:t>s transversal objective, which is to promote climate change mitigation and sustainable development.</w:t>
      </w:r>
    </w:p>
    <w:p w:rsidRPr="00EB61EE" w:rsidR="0095711B" w:rsidP="003C172A" w:rsidRDefault="00A54F53" w14:paraId="1BF8AACC" w14:textId="6FEEF105">
      <w:pPr>
        <w:pStyle w:val="ListParagraph"/>
        <w:numPr>
          <w:ilvl w:val="1"/>
          <w:numId w:val="22"/>
        </w:numPr>
        <w:spacing w:before="120" w:after="120" w:line="240" w:lineRule="auto"/>
        <w:ind w:hanging="540"/>
        <w:jc w:val="both"/>
        <w:rPr>
          <w:rFonts w:ascii="Arial" w:hAnsi="Arial" w:eastAsia="Arial" w:cs="Arial"/>
        </w:rPr>
      </w:pPr>
      <w:r w:rsidRPr="00057325" w:rsidR="00A54F53">
        <w:rPr>
          <w:rFonts w:ascii="Arial" w:hAnsi="Arial" w:eastAsia="Arial" w:cs="Arial"/>
        </w:rPr>
        <w:t xml:space="preserve">This TC is consistent with the Second </w:t>
      </w:r>
      <w:r w:rsidRPr="00057325" w:rsidR="00407D28">
        <w:rPr>
          <w:rFonts w:ascii="Arial" w:hAnsi="Arial" w:eastAsia="Arial" w:cs="Arial"/>
        </w:rPr>
        <w:t xml:space="preserve">Update to the </w:t>
      </w:r>
      <w:r w:rsidRPr="00057325" w:rsidR="00A54F53">
        <w:rPr>
          <w:rFonts w:ascii="Arial" w:hAnsi="Arial" w:eastAsia="Arial" w:cs="Arial"/>
        </w:rPr>
        <w:t>Institutional Strategy (AB-3190</w:t>
      </w:r>
      <w:r w:rsidRPr="00057325" w:rsidR="00407D28">
        <w:rPr>
          <w:rFonts w:ascii="Arial" w:hAnsi="Arial" w:eastAsia="Arial" w:cs="Arial"/>
        </w:rPr>
        <w:noBreakHyphen/>
      </w:r>
      <w:r w:rsidRPr="00057325" w:rsidR="00A54F53">
        <w:rPr>
          <w:rFonts w:ascii="Arial" w:hAnsi="Arial" w:eastAsia="Arial" w:cs="Arial"/>
        </w:rPr>
        <w:t xml:space="preserve">2) and </w:t>
      </w:r>
      <w:r w:rsidRPr="00057325" w:rsidR="00407D28">
        <w:rPr>
          <w:rFonts w:ascii="Arial" w:hAnsi="Arial" w:eastAsia="Arial" w:cs="Arial"/>
        </w:rPr>
        <w:t xml:space="preserve">is </w:t>
      </w:r>
      <w:r w:rsidRPr="00057325" w:rsidR="00A54F53">
        <w:rPr>
          <w:rFonts w:ascii="Arial" w:hAnsi="Arial" w:eastAsia="Arial" w:cs="Arial"/>
        </w:rPr>
        <w:t>aligned with</w:t>
      </w:r>
      <w:r w:rsidR="001C56B8">
        <w:rPr>
          <w:rFonts w:ascii="Arial" w:hAnsi="Arial" w:eastAsia="Arial" w:cs="Arial"/>
        </w:rPr>
        <w:t xml:space="preserve"> its</w:t>
      </w:r>
      <w:r w:rsidR="00C34AD7">
        <w:rPr>
          <w:rFonts w:ascii="Arial" w:hAnsi="Arial" w:eastAsia="Arial" w:cs="Arial"/>
        </w:rPr>
        <w:t xml:space="preserve">: (i) </w:t>
      </w:r>
      <w:r w:rsidRPr="00057325" w:rsidR="00CC2C58">
        <w:rPr>
          <w:rFonts w:ascii="Arial" w:hAnsi="Arial" w:eastAsia="Arial" w:cs="Arial"/>
        </w:rPr>
        <w:t xml:space="preserve">development challenge </w:t>
      </w:r>
      <w:r w:rsidRPr="00057325" w:rsidR="00A54F53">
        <w:rPr>
          <w:rFonts w:ascii="Arial" w:hAnsi="Arial" w:eastAsia="Arial" w:cs="Arial"/>
        </w:rPr>
        <w:t xml:space="preserve">of </w:t>
      </w:r>
      <w:r w:rsidRPr="55147108" w:rsidR="00A54F53">
        <w:rPr>
          <w:rFonts w:ascii="Arial" w:hAnsi="Arial" w:eastAsia="Arial" w:cs="Arial"/>
          <w:i w:val="1"/>
          <w:iCs w:val="1"/>
        </w:rPr>
        <w:t>productivity and innovation</w:t>
      </w:r>
      <w:r w:rsidRPr="00057325" w:rsidR="00CC2C58">
        <w:rPr>
          <w:rFonts w:ascii="Arial" w:hAnsi="Arial" w:eastAsia="Arial" w:cs="Arial"/>
        </w:rPr>
        <w:t>, since it</w:t>
      </w:r>
      <w:r w:rsidRPr="00057325" w:rsidR="0BE1FA35">
        <w:rPr>
          <w:rFonts w:ascii="Arial" w:hAnsi="Arial" w:eastAsia="Arial" w:cs="Arial"/>
        </w:rPr>
        <w:t xml:space="preserve"> </w:t>
      </w:r>
      <w:r w:rsidRPr="00057325" w:rsidR="0DFE657E">
        <w:rPr>
          <w:rFonts w:ascii="Arial" w:hAnsi="Arial" w:eastAsia="Arial" w:cs="Arial"/>
        </w:rPr>
        <w:t xml:space="preserve">creates the foundations </w:t>
      </w:r>
      <w:r w:rsidR="00A242D1">
        <w:rPr>
          <w:rFonts w:ascii="Arial" w:hAnsi="Arial" w:eastAsia="Arial" w:cs="Arial"/>
        </w:rPr>
        <w:t>for</w:t>
      </w:r>
      <w:r w:rsidRPr="00057325" w:rsidR="0DFE657E">
        <w:rPr>
          <w:rFonts w:ascii="Arial" w:hAnsi="Arial" w:eastAsia="Arial" w:cs="Arial"/>
        </w:rPr>
        <w:t xml:space="preserve"> a modern environmental management tool for policy</w:t>
      </w:r>
      <w:r w:rsidR="00A242D1">
        <w:rPr>
          <w:rFonts w:ascii="Arial" w:hAnsi="Arial" w:eastAsia="Arial" w:cs="Arial"/>
        </w:rPr>
        <w:noBreakHyphen/>
      </w:r>
      <w:r w:rsidRPr="00057325" w:rsidR="0DFE657E">
        <w:rPr>
          <w:rFonts w:ascii="Arial" w:hAnsi="Arial" w:eastAsia="Arial" w:cs="Arial"/>
        </w:rPr>
        <w:t>makers in the State of Pará</w:t>
      </w:r>
      <w:r w:rsidRPr="00057325" w:rsidR="00CC2C58">
        <w:rPr>
          <w:rFonts w:ascii="Arial" w:hAnsi="Arial" w:eastAsia="Arial" w:cs="Arial"/>
        </w:rPr>
        <w:t>;</w:t>
      </w:r>
      <w:r w:rsidRPr="00057325" w:rsidR="00A54F53">
        <w:rPr>
          <w:rFonts w:ascii="Arial" w:hAnsi="Arial" w:eastAsia="Arial" w:cs="Arial"/>
        </w:rPr>
        <w:t xml:space="preserve"> and </w:t>
      </w:r>
      <w:r w:rsidR="00C34AD7">
        <w:rPr>
          <w:rFonts w:ascii="Arial" w:hAnsi="Arial" w:eastAsia="Arial" w:cs="Arial"/>
        </w:rPr>
        <w:t>(ii)</w:t>
      </w:r>
      <w:r w:rsidRPr="00057325" w:rsidR="00CC2C58">
        <w:rPr>
          <w:rFonts w:ascii="Arial" w:hAnsi="Arial" w:eastAsia="Arial" w:cs="Arial"/>
        </w:rPr>
        <w:t xml:space="preserve"> cross-cutting theme of </w:t>
      </w:r>
      <w:r w:rsidRPr="55147108" w:rsidR="00A54F53">
        <w:rPr>
          <w:rFonts w:ascii="Arial" w:hAnsi="Arial" w:eastAsia="Arial" w:cs="Arial"/>
          <w:i w:val="1"/>
          <w:iCs w:val="1"/>
        </w:rPr>
        <w:t xml:space="preserve">climate change and </w:t>
      </w:r>
      <w:r w:rsidRPr="55147108" w:rsidR="00CC2C58">
        <w:rPr>
          <w:rFonts w:ascii="Arial" w:hAnsi="Arial" w:eastAsia="Arial" w:cs="Arial"/>
          <w:i w:val="1"/>
          <w:iCs w:val="1"/>
        </w:rPr>
        <w:t xml:space="preserve">environmental </w:t>
      </w:r>
      <w:r w:rsidRPr="55147108" w:rsidR="00A54F53">
        <w:rPr>
          <w:rFonts w:ascii="Arial" w:hAnsi="Arial" w:eastAsia="Arial" w:cs="Arial"/>
          <w:i w:val="1"/>
          <w:iCs w:val="1"/>
        </w:rPr>
        <w:t>sustainability</w:t>
      </w:r>
      <w:r w:rsidRPr="00057325" w:rsidR="00A54F53">
        <w:rPr>
          <w:rFonts w:ascii="Arial" w:hAnsi="Arial" w:eastAsia="Arial" w:cs="Arial"/>
        </w:rPr>
        <w:t xml:space="preserve"> through</w:t>
      </w:r>
      <w:r w:rsidRPr="00057325" w:rsidR="00CC2C58">
        <w:rPr>
          <w:rFonts w:ascii="Arial" w:hAnsi="Arial" w:eastAsia="Arial" w:cs="Arial"/>
        </w:rPr>
        <w:t xml:space="preserve"> the</w:t>
      </w:r>
      <w:r w:rsidRPr="00057325" w:rsidR="00A54F53">
        <w:rPr>
          <w:rFonts w:ascii="Arial" w:hAnsi="Arial" w:eastAsia="Arial" w:cs="Arial"/>
        </w:rPr>
        <w:t xml:space="preserve"> strengthening </w:t>
      </w:r>
      <w:r w:rsidRPr="00057325" w:rsidR="00CC2C58">
        <w:rPr>
          <w:rFonts w:ascii="Arial" w:hAnsi="Arial" w:eastAsia="Arial" w:cs="Arial"/>
        </w:rPr>
        <w:t xml:space="preserve">of </w:t>
      </w:r>
      <w:r w:rsidRPr="00057325" w:rsidR="0DFE657E">
        <w:rPr>
          <w:rFonts w:ascii="Arial" w:hAnsi="Arial" w:eastAsia="Arial" w:cs="Arial"/>
        </w:rPr>
        <w:t>economic instruments to encourage the maintenance of the standing forest</w:t>
      </w:r>
      <w:r w:rsidR="00E932A6">
        <w:rPr>
          <w:rFonts w:ascii="Arial" w:hAnsi="Arial" w:eastAsia="Arial" w:cs="Arial"/>
        </w:rPr>
        <w:t>, as well as</w:t>
      </w:r>
      <w:r w:rsidRPr="00057325" w:rsidR="0DFE657E">
        <w:rPr>
          <w:rFonts w:ascii="Arial" w:hAnsi="Arial" w:eastAsia="Arial" w:cs="Arial"/>
        </w:rPr>
        <w:t xml:space="preserve"> discourage deforestation</w:t>
      </w:r>
      <w:r w:rsidRPr="00057325" w:rsidR="3BF4F9D8">
        <w:rPr>
          <w:rFonts w:ascii="Arial" w:hAnsi="Arial" w:eastAsia="Arial" w:cs="Arial"/>
        </w:rPr>
        <w:t>.</w:t>
      </w:r>
      <w:r w:rsidRPr="00057325" w:rsidR="00A54F53">
        <w:rPr>
          <w:rFonts w:ascii="Arial" w:hAnsi="Arial" w:eastAsia="Arial" w:cs="Arial"/>
        </w:rPr>
        <w:t xml:space="preserve"> </w:t>
      </w:r>
      <w:r w:rsidRPr="00057325" w:rsidR="00997C3E">
        <w:rPr>
          <w:rFonts w:ascii="Arial" w:hAnsi="Arial" w:eastAsia="Arial" w:cs="Arial"/>
        </w:rPr>
        <w:t>The TC contributes to the IDB Group</w:t>
      </w:r>
      <w:r w:rsidRPr="00057325" w:rsidR="00944399">
        <w:rPr>
          <w:rFonts w:ascii="Arial" w:hAnsi="Arial" w:eastAsia="Arial" w:cs="Arial"/>
        </w:rPr>
        <w:t>’</w:t>
      </w:r>
      <w:r w:rsidRPr="00057325" w:rsidR="00997C3E">
        <w:rPr>
          <w:rFonts w:ascii="Arial" w:hAnsi="Arial" w:eastAsia="Arial" w:cs="Arial"/>
        </w:rPr>
        <w:t xml:space="preserve">s Corporate Results Framework </w:t>
      </w:r>
      <w:r w:rsidRPr="00057325" w:rsidR="3C9C51A9">
        <w:rPr>
          <w:rFonts w:ascii="Arial" w:hAnsi="Arial" w:eastAsia="Arial" w:cs="Arial"/>
        </w:rPr>
        <w:t>2020</w:t>
      </w:r>
      <w:r w:rsidRPr="00057325" w:rsidR="00C36B61">
        <w:rPr>
          <w:rFonts w:ascii="Arial" w:hAnsi="Arial" w:eastAsia="Arial" w:cs="Arial"/>
        </w:rPr>
        <w:t>-</w:t>
      </w:r>
      <w:r w:rsidRPr="00057325" w:rsidR="3C9C51A9">
        <w:rPr>
          <w:rFonts w:ascii="Arial" w:hAnsi="Arial" w:eastAsia="Arial" w:cs="Arial"/>
        </w:rPr>
        <w:t>2023 (G</w:t>
      </w:r>
      <w:r w:rsidR="00057325">
        <w:rPr>
          <w:rFonts w:ascii="Arial" w:hAnsi="Arial" w:eastAsia="Arial" w:cs="Arial"/>
        </w:rPr>
        <w:t>N</w:t>
      </w:r>
      <w:r w:rsidR="00057325">
        <w:rPr>
          <w:rFonts w:ascii="Arial" w:hAnsi="Arial" w:eastAsia="Arial" w:cs="Arial"/>
        </w:rPr>
        <w:noBreakHyphen/>
      </w:r>
      <w:r w:rsidRPr="00057325" w:rsidR="3C9C51A9">
        <w:rPr>
          <w:rFonts w:ascii="Arial" w:hAnsi="Arial" w:eastAsia="Arial" w:cs="Arial"/>
        </w:rPr>
        <w:t>2727</w:t>
      </w:r>
      <w:r w:rsidRPr="00057325" w:rsidR="00997C3E">
        <w:rPr>
          <w:rFonts w:ascii="Arial" w:hAnsi="Arial" w:eastAsia="Arial" w:cs="Arial"/>
        </w:rPr>
        <w:t xml:space="preserve">-12), specifically in the number of beneficiaries of better forest management and sustainable use of natural capital. </w:t>
      </w:r>
      <w:r w:rsidRPr="00057325" w:rsidR="3C9C51A9">
        <w:rPr>
          <w:rFonts w:ascii="Arial" w:hAnsi="Arial" w:eastAsia="Arial" w:cs="Arial"/>
        </w:rPr>
        <w:t xml:space="preserve">Additionally, the </w:t>
      </w:r>
      <w:r w:rsidRPr="00057325" w:rsidR="3BF4F9D8">
        <w:rPr>
          <w:rFonts w:ascii="Arial" w:hAnsi="Arial" w:eastAsia="Arial" w:cs="Arial"/>
        </w:rPr>
        <w:t>T</w:t>
      </w:r>
      <w:r w:rsidRPr="00057325" w:rsidR="3C9C51A9">
        <w:rPr>
          <w:rFonts w:ascii="Arial" w:hAnsi="Arial" w:eastAsia="Arial" w:cs="Arial"/>
        </w:rPr>
        <w:t>C</w:t>
      </w:r>
      <w:r w:rsidRPr="00057325" w:rsidR="00A54F53">
        <w:rPr>
          <w:rFonts w:ascii="Arial" w:hAnsi="Arial" w:eastAsia="Arial" w:cs="Arial"/>
        </w:rPr>
        <w:t xml:space="preserve"> is aligned with the Integrated Strategy for Adaptation and Mitigation to Climate Change and Renewable and Sustainable Energy (GN-2609-1)</w:t>
      </w:r>
      <w:r w:rsidRPr="00057325" w:rsidDel="00997C3E" w:rsidR="00A54F53">
        <w:rPr>
          <w:rFonts w:ascii="Arial" w:hAnsi="Arial" w:eastAsia="Arial" w:cs="Arial"/>
        </w:rPr>
        <w:t xml:space="preserve">, </w:t>
      </w:r>
      <w:r w:rsidRPr="00057325" w:rsidR="00A54F53">
        <w:rPr>
          <w:rFonts w:ascii="Arial" w:hAnsi="Arial" w:eastAsia="Arial" w:cs="Arial"/>
        </w:rPr>
        <w:t xml:space="preserve">the Climate Change </w:t>
      </w:r>
      <w:r w:rsidRPr="00057325" w:rsidR="009B360B">
        <w:rPr>
          <w:rFonts w:ascii="Arial" w:hAnsi="Arial" w:eastAsia="Arial" w:cs="Arial"/>
        </w:rPr>
        <w:t xml:space="preserve">Sector Framework Document </w:t>
      </w:r>
      <w:r w:rsidRPr="00057325" w:rsidR="00A54F53">
        <w:rPr>
          <w:rFonts w:ascii="Arial" w:hAnsi="Arial" w:eastAsia="Arial" w:cs="Arial"/>
        </w:rPr>
        <w:t xml:space="preserve">(GN-2835-8), the </w:t>
      </w:r>
      <w:r w:rsidRPr="00057325" w:rsidR="009B360B">
        <w:rPr>
          <w:rFonts w:ascii="Arial" w:hAnsi="Arial" w:eastAsia="Arial" w:cs="Arial"/>
        </w:rPr>
        <w:t xml:space="preserve">Agriculture </w:t>
      </w:r>
      <w:r w:rsidRPr="00057325" w:rsidR="00A54F53">
        <w:rPr>
          <w:rFonts w:ascii="Arial" w:hAnsi="Arial" w:eastAsia="Arial" w:cs="Arial"/>
        </w:rPr>
        <w:t>Secto</w:t>
      </w:r>
      <w:r w:rsidRPr="00057325" w:rsidR="009B360B">
        <w:rPr>
          <w:rFonts w:ascii="Arial" w:hAnsi="Arial" w:eastAsia="Arial" w:cs="Arial"/>
        </w:rPr>
        <w:t>r</w:t>
      </w:r>
      <w:r w:rsidRPr="00057325" w:rsidR="00A54F53">
        <w:rPr>
          <w:rFonts w:ascii="Arial" w:hAnsi="Arial" w:eastAsia="Arial" w:cs="Arial"/>
        </w:rPr>
        <w:t xml:space="preserve"> Framework </w:t>
      </w:r>
      <w:r w:rsidRPr="00057325" w:rsidR="00FC278F">
        <w:rPr>
          <w:rFonts w:ascii="Arial" w:hAnsi="Arial" w:eastAsia="Arial" w:cs="Arial"/>
        </w:rPr>
        <w:t xml:space="preserve">Document </w:t>
      </w:r>
      <w:r w:rsidRPr="00057325" w:rsidR="00A54F53">
        <w:rPr>
          <w:rFonts w:ascii="Arial" w:hAnsi="Arial" w:eastAsia="Arial" w:cs="Arial"/>
        </w:rPr>
        <w:t xml:space="preserve">(GN-2709-10) and the </w:t>
      </w:r>
      <w:r w:rsidRPr="00057325" w:rsidR="00D26861">
        <w:rPr>
          <w:rFonts w:ascii="Arial" w:hAnsi="Arial" w:eastAsia="Arial" w:cs="Arial"/>
        </w:rPr>
        <w:t xml:space="preserve">Decentralization and Subnational Governments </w:t>
      </w:r>
      <w:r w:rsidRPr="00057325" w:rsidR="00A54F53">
        <w:rPr>
          <w:rFonts w:ascii="Arial" w:hAnsi="Arial" w:eastAsia="Arial" w:cs="Arial"/>
        </w:rPr>
        <w:t>Sector Framework</w:t>
      </w:r>
      <w:r w:rsidRPr="00057325" w:rsidR="00D26861">
        <w:rPr>
          <w:rFonts w:ascii="Arial" w:hAnsi="Arial" w:eastAsia="Arial" w:cs="Arial"/>
        </w:rPr>
        <w:t xml:space="preserve"> Document</w:t>
      </w:r>
      <w:r w:rsidR="00D20C00">
        <w:rPr>
          <w:rFonts w:ascii="Arial" w:hAnsi="Arial" w:eastAsia="Arial" w:cs="Arial"/>
        </w:rPr>
        <w:t xml:space="preserve"> (</w:t>
      </w:r>
      <w:r w:rsidRPr="00A52980" w:rsidR="00A52980">
        <w:rPr>
          <w:rFonts w:ascii="Arial" w:hAnsi="Arial" w:eastAsia="Arial" w:cs="Arial"/>
        </w:rPr>
        <w:t>GN-2813-8</w:t>
      </w:r>
      <w:r w:rsidR="00A52980">
        <w:rPr>
          <w:rFonts w:ascii="Arial" w:hAnsi="Arial" w:eastAsia="Arial" w:cs="Arial"/>
        </w:rPr>
        <w:t>)</w:t>
      </w:r>
      <w:r w:rsidRPr="00057325" w:rsidR="00A54F53">
        <w:rPr>
          <w:rFonts w:ascii="Arial" w:hAnsi="Arial" w:eastAsia="Arial" w:cs="Arial"/>
        </w:rPr>
        <w:t xml:space="preserve">. </w:t>
      </w:r>
    </w:p>
    <w:p w:rsidRPr="00EB61EE" w:rsidR="0095711B" w:rsidP="5AD3CCB7" w:rsidRDefault="00A54F53" w14:paraId="3BBAB1FE" w14:textId="6B1A97EF">
      <w:pPr>
        <w:pStyle w:val="ListParagraph"/>
        <w:numPr>
          <w:ilvl w:val="1"/>
          <w:numId w:val="22"/>
        </w:numPr>
        <w:spacing w:before="120" w:after="120" w:line="240" w:lineRule="auto"/>
        <w:ind w:hanging="540"/>
        <w:jc w:val="both"/>
        <w:rPr>
          <w:rFonts w:ascii="Calibri" w:hAnsi="Calibri" w:eastAsia="Calibri" w:cs="Calibri" w:asciiTheme="minorAscii" w:hAnsiTheme="minorAscii" w:eastAsiaTheme="minorAscii" w:cstheme="minorAscii"/>
          <w:b w:val="0"/>
          <w:bCs w:val="0"/>
          <w:i w:val="0"/>
          <w:iCs w:val="0"/>
          <w:sz w:val="22"/>
          <w:szCs w:val="22"/>
        </w:rPr>
      </w:pPr>
      <w:r w:rsidR="00AF4B7B">
        <w:rPr>
          <w:rFonts w:ascii="Arial" w:hAnsi="Arial" w:eastAsia="Arial" w:cs="Arial"/>
        </w:rPr>
        <w:t>This operation</w:t>
      </w:r>
      <w:r w:rsidRPr="182C8DE9" w:rsidR="182C8DE9">
        <w:rPr>
          <w:rFonts w:ascii="Arial" w:hAnsi="Arial" w:eastAsia="Arial" w:cs="Arial"/>
        </w:rPr>
        <w:t xml:space="preserve"> is</w:t>
      </w:r>
      <w:r w:rsidRPr="00057325" w:rsidR="00A54F53">
        <w:rPr>
          <w:rFonts w:ascii="Arial" w:hAnsi="Arial" w:eastAsia="Arial" w:cs="Arial"/>
        </w:rPr>
        <w:t xml:space="preserve"> aligned with the </w:t>
      </w:r>
      <w:r w:rsidRPr="182C8DE9" w:rsidR="182C8DE9">
        <w:rPr>
          <w:rFonts w:ascii="Arial" w:hAnsi="Arial" w:eastAsia="Arial" w:cs="Arial"/>
        </w:rPr>
        <w:t>objectives of the</w:t>
      </w:r>
      <w:r w:rsidR="00430BD1">
        <w:rPr>
          <w:rFonts w:ascii="Arial" w:hAnsi="Arial" w:eastAsia="Arial" w:cs="Arial"/>
        </w:rPr>
        <w:t xml:space="preserve"> </w:t>
      </w:r>
      <w:r w:rsidRPr="00CD138B" w:rsidR="00CD138B">
        <w:rPr>
          <w:rFonts w:ascii="Arial" w:hAnsi="Arial" w:eastAsia="Arial" w:cs="Arial"/>
        </w:rPr>
        <w:t>Ordinary</w:t>
      </w:r>
      <w:r w:rsidR="006836FF">
        <w:rPr>
          <w:rFonts w:ascii="Arial" w:hAnsi="Arial" w:eastAsia="Arial" w:cs="Arial"/>
        </w:rPr>
        <w:t xml:space="preserve"> </w:t>
      </w:r>
      <w:r w:rsidRPr="00CD138B" w:rsidR="00CD138B">
        <w:rPr>
          <w:rFonts w:ascii="Arial" w:hAnsi="Arial" w:eastAsia="Arial" w:cs="Arial"/>
        </w:rPr>
        <w:t>Capital</w:t>
      </w:r>
      <w:r w:rsidR="00430BD1">
        <w:rPr>
          <w:rFonts w:ascii="Arial" w:hAnsi="Arial" w:eastAsia="Arial" w:cs="Arial"/>
        </w:rPr>
        <w:t xml:space="preserve"> </w:t>
      </w:r>
      <w:r w:rsidRPr="00CD138B" w:rsidR="00CD138B">
        <w:rPr>
          <w:rFonts w:ascii="Arial" w:hAnsi="Arial" w:eastAsia="Arial" w:cs="Arial"/>
        </w:rPr>
        <w:t>Strategic</w:t>
      </w:r>
      <w:r w:rsidR="00430BD1">
        <w:rPr>
          <w:rFonts w:ascii="Arial" w:hAnsi="Arial" w:eastAsia="Arial" w:cs="Arial"/>
        </w:rPr>
        <w:t xml:space="preserve"> </w:t>
      </w:r>
      <w:r w:rsidRPr="55147108" w:rsidR="00CD138B">
        <w:rPr>
          <w:rFonts w:ascii="Arial" w:hAnsi="Arial" w:eastAsia="Arial" w:cs="Arial"/>
        </w:rPr>
        <w:t>Development</w:t>
      </w:r>
      <w:r w:rsidRPr="55147108" w:rsidR="00430BD1">
        <w:rPr>
          <w:rFonts w:ascii="Arial" w:hAnsi="Arial" w:eastAsia="Arial" w:cs="Arial"/>
        </w:rPr>
        <w:t xml:space="preserve"> </w:t>
      </w:r>
      <w:r w:rsidRPr="55147108" w:rsidR="00CD138B">
        <w:rPr>
          <w:rFonts w:ascii="Arial" w:hAnsi="Arial" w:eastAsia="Arial" w:cs="Arial"/>
        </w:rPr>
        <w:t>Program</w:t>
      </w:r>
      <w:r w:rsidRPr="55147108" w:rsidR="00430BD1">
        <w:rPr>
          <w:rFonts w:ascii="Arial" w:hAnsi="Arial" w:eastAsia="Arial" w:cs="Arial"/>
        </w:rPr>
        <w:t xml:space="preserve"> </w:t>
      </w:r>
      <w:r w:rsidRPr="55147108" w:rsidR="00CD138B">
        <w:rPr>
          <w:rFonts w:ascii="Arial" w:hAnsi="Arial" w:eastAsia="Arial" w:cs="Arial"/>
        </w:rPr>
        <w:t>(</w:t>
      </w:r>
      <w:r w:rsidRPr="55147108" w:rsidR="182C8DE9">
        <w:rPr>
          <w:rFonts w:ascii="Arial" w:hAnsi="Arial" w:eastAsia="Arial" w:cs="Arial"/>
        </w:rPr>
        <w:t>OC</w:t>
      </w:r>
      <w:r w:rsidRPr="55147108" w:rsidR="00FC6339">
        <w:rPr>
          <w:rFonts w:ascii="Arial" w:hAnsi="Arial" w:eastAsia="Arial" w:cs="Arial"/>
        </w:rPr>
        <w:t xml:space="preserve"> </w:t>
      </w:r>
      <w:r w:rsidRPr="55147108" w:rsidR="182C8DE9">
        <w:rPr>
          <w:rFonts w:ascii="Arial" w:hAnsi="Arial" w:eastAsia="Arial" w:cs="Arial"/>
        </w:rPr>
        <w:t>SDP</w:t>
      </w:r>
      <w:r w:rsidRPr="55147108" w:rsidR="00CD138B">
        <w:rPr>
          <w:rFonts w:ascii="Arial" w:hAnsi="Arial" w:eastAsia="Arial" w:cs="Arial"/>
        </w:rPr>
        <w:t>)</w:t>
      </w:r>
      <w:r w:rsidRPr="55147108" w:rsidR="00430BD1">
        <w:rPr>
          <w:rFonts w:ascii="Arial" w:hAnsi="Arial" w:eastAsia="Arial" w:cs="Arial"/>
        </w:rPr>
        <w:t xml:space="preserve"> </w:t>
      </w:r>
      <w:r w:rsidRPr="55147108" w:rsidR="00253FC8">
        <w:rPr>
          <w:rFonts w:ascii="Arial" w:hAnsi="Arial" w:eastAsia="Arial" w:cs="Arial"/>
        </w:rPr>
        <w:t>(GN</w:t>
      </w:r>
      <w:r w:rsidRPr="55147108" w:rsidR="006836FF">
        <w:rPr>
          <w:rFonts w:ascii="Arial" w:hAnsi="Arial" w:eastAsia="Arial" w:cs="Arial"/>
        </w:rPr>
        <w:t>-</w:t>
      </w:r>
      <w:r w:rsidRPr="55147108" w:rsidR="00253FC8">
        <w:rPr>
          <w:rFonts w:ascii="Arial" w:hAnsi="Arial" w:eastAsia="Arial" w:cs="Arial"/>
        </w:rPr>
        <w:t>2819</w:t>
      </w:r>
      <w:r w:rsidRPr="55147108" w:rsidR="006836FF">
        <w:rPr>
          <w:rFonts w:ascii="Arial" w:hAnsi="Arial" w:eastAsia="Arial" w:cs="Arial"/>
        </w:rPr>
        <w:t>-</w:t>
      </w:r>
      <w:r w:rsidRPr="55147108" w:rsidR="00253FC8">
        <w:rPr>
          <w:rFonts w:ascii="Arial" w:hAnsi="Arial" w:eastAsia="Arial" w:cs="Arial"/>
        </w:rPr>
        <w:t xml:space="preserve">14) </w:t>
      </w:r>
      <w:r w:rsidRPr="55147108" w:rsidR="55147108">
        <w:rPr>
          <w:rFonts w:ascii="Arial" w:hAnsi="Arial" w:eastAsia="Arial" w:cs="Arial"/>
          <w:noProof w:val="0"/>
          <w:lang w:val="en-US"/>
        </w:rPr>
        <w:t>Window 3 - Sustainable Development in the Amazon</w:t>
      </w:r>
      <w:r w:rsidRPr="55147108" w:rsidR="55147108">
        <w:rPr>
          <w:rFonts w:ascii="Arial" w:hAnsi="Arial" w:eastAsia="Arial" w:cs="Arial"/>
        </w:rPr>
        <w:t xml:space="preserve"> (</w:t>
      </w:r>
      <w:r w:rsidRPr="55147108" w:rsidR="55147108">
        <w:rPr>
          <w:rFonts w:ascii="Arial" w:hAnsi="Arial" w:eastAsia="Arial" w:cs="Arial"/>
          <w:noProof w:val="0"/>
          <w:lang w:val="en-US"/>
        </w:rPr>
        <w:t>W3A)</w:t>
      </w:r>
      <w:r w:rsidRPr="55147108" w:rsidR="55147108">
        <w:rPr>
          <w:rFonts w:ascii="Arial" w:hAnsi="Arial" w:eastAsia="Arial" w:cs="Arial"/>
        </w:rPr>
        <w:t xml:space="preserve"> </w:t>
      </w:r>
      <w:r w:rsidRPr="55147108" w:rsidR="00702716">
        <w:rPr>
          <w:rFonts w:ascii="Arial" w:hAnsi="Arial" w:eastAsia="Arial" w:cs="Arial"/>
        </w:rPr>
        <w:t xml:space="preserve">Emerging Need</w:t>
      </w:r>
      <w:r w:rsidRPr="55147108" w:rsidR="00F33B5A">
        <w:rPr>
          <w:rFonts w:ascii="Arial" w:hAnsi="Arial" w:eastAsia="Arial" w:cs="Arial"/>
        </w:rPr>
        <w:t xml:space="preserve"> 1 </w:t>
      </w:r>
      <w:r w:rsidRPr="55147108" w:rsidR="00A54F53">
        <w:rPr>
          <w:rFonts w:ascii="Arial" w:hAnsi="Arial" w:eastAsia="Arial" w:cs="Arial"/>
        </w:rPr>
        <w:t xml:space="preserve">Sustainable Development </w:t>
      </w:r>
      <w:r w:rsidRPr="55147108" w:rsidR="182C8DE9">
        <w:rPr>
          <w:rFonts w:ascii="Arial" w:hAnsi="Arial" w:eastAsia="Arial" w:cs="Arial"/>
        </w:rPr>
        <w:t>in the Amazon</w:t>
      </w:r>
      <w:r w:rsidRPr="55147108" w:rsidR="182C8DE9">
        <w:rPr>
          <w:rFonts w:ascii="Arial" w:hAnsi="Arial" w:eastAsia="Arial" w:cs="Arial"/>
        </w:rPr>
        <w:t xml:space="preserve">, specifically</w:t>
      </w:r>
      <w:r w:rsidRPr="55147108" w:rsidR="00AB0135">
        <w:rPr>
          <w:rFonts w:ascii="Arial" w:hAnsi="Arial" w:eastAsia="Arial" w:cs="Arial"/>
        </w:rPr>
        <w:t xml:space="preserve"> with </w:t>
      </w:r>
      <w:r w:rsidRPr="55147108" w:rsidR="003C1351">
        <w:rPr>
          <w:rFonts w:ascii="Arial" w:hAnsi="Arial" w:eastAsia="Arial" w:cs="Arial"/>
        </w:rPr>
        <w:t xml:space="preserve">its </w:t>
      </w:r>
      <w:r w:rsidRPr="55147108" w:rsidR="00AB0135">
        <w:rPr>
          <w:rFonts w:ascii="Arial" w:hAnsi="Arial" w:eastAsia="Arial" w:cs="Arial"/>
        </w:rPr>
        <w:t xml:space="preserve">objective (ii)</w:t>
      </w:r>
      <w:r w:rsidRPr="55147108" w:rsidR="00AB0135">
        <w:rPr>
          <w:rFonts w:ascii="Arial" w:hAnsi="Arial" w:eastAsia="Arial" w:cs="Arial"/>
        </w:rPr>
        <w:t xml:space="preserve"> </w:t>
      </w:r>
      <w:r w:rsidRPr="55147108" w:rsidR="00EB61EE">
        <w:rPr>
          <w:rFonts w:ascii="Arial" w:hAnsi="Arial" w:eastAsia="Arial" w:cs="Arial"/>
        </w:rPr>
        <w:t>“</w:t>
      </w:r>
      <w:r w:rsidRPr="55147108" w:rsidR="00EB61EE">
        <w:rPr>
          <w:rFonts w:ascii="Arial" w:hAnsi="Arial" w:eastAsia="Arial" w:cs="Arial"/>
        </w:rPr>
        <w:t xml:space="preserve">developing tools and methodologies that serve to embed</w:t>
      </w:r>
      <w:r w:rsidRPr="55147108" w:rsidR="00EB61EE">
        <w:rPr>
          <w:rFonts w:ascii="Arial" w:hAnsi="Arial" w:eastAsia="Arial" w:cs="Arial"/>
        </w:rPr>
        <w:t xml:space="preserve"> </w:t>
      </w:r>
      <w:r w:rsidRPr="55147108" w:rsidR="00EB61EE">
        <w:rPr>
          <w:rFonts w:ascii="Arial" w:hAnsi="Arial" w:eastAsia="Arial" w:cs="Arial"/>
        </w:rPr>
        <w:t>sustainability and inclusivity into development programs for the Amazon</w:t>
      </w:r>
      <w:r w:rsidRPr="55147108" w:rsidR="00EB61EE">
        <w:rPr>
          <w:rFonts w:ascii="Arial" w:hAnsi="Arial" w:eastAsia="Arial" w:cs="Arial"/>
        </w:rPr>
        <w:t xml:space="preserve">”</w:t>
      </w:r>
      <w:r w:rsidRPr="55147108" w:rsidR="00B9184D">
        <w:rPr>
          <w:rFonts w:ascii="Arial" w:hAnsi="Arial" w:eastAsia="Arial" w:cs="Arial"/>
        </w:rPr>
        <w:t xml:space="preserve">, as </w:t>
      </w:r>
      <w:r w:rsidRPr="55147108" w:rsidR="00AF4B7B">
        <w:rPr>
          <w:rFonts w:ascii="Arial" w:hAnsi="Arial" w:eastAsia="Arial" w:cs="Arial"/>
        </w:rPr>
        <w:t>its ob</w:t>
      </w:r>
      <w:r w:rsidRPr="55147108" w:rsidR="003C1351">
        <w:rPr>
          <w:rFonts w:ascii="Arial" w:hAnsi="Arial" w:eastAsia="Arial" w:cs="Arial"/>
        </w:rPr>
        <w:t xml:space="preserve">jective is to create</w:t>
      </w:r>
      <w:r w:rsidRPr="55147108" w:rsidR="00EC0618">
        <w:rPr>
          <w:rFonts w:ascii="Arial" w:hAnsi="Arial" w:eastAsia="Arial" w:cs="Arial"/>
        </w:rPr>
        <w:t xml:space="preserve"> an innovative </w:t>
      </w:r>
      <w:r w:rsidRPr="55147108" w:rsidR="003C1351">
        <w:rPr>
          <w:rFonts w:ascii="Arial" w:hAnsi="Arial" w:eastAsia="Arial" w:cs="Arial"/>
        </w:rPr>
        <w:t xml:space="preserve">financing </w:t>
      </w:r>
      <w:r w:rsidRPr="55147108" w:rsidR="00EC0618">
        <w:rPr>
          <w:rFonts w:ascii="Arial" w:hAnsi="Arial" w:eastAsia="Arial" w:cs="Arial"/>
        </w:rPr>
        <w:t xml:space="preserve">model </w:t>
      </w:r>
      <w:r w:rsidRPr="55147108" w:rsidR="003C1351">
        <w:rPr>
          <w:rFonts w:ascii="Arial" w:hAnsi="Arial" w:eastAsia="Arial" w:cs="Arial"/>
        </w:rPr>
        <w:t xml:space="preserve">to </w:t>
      </w:r>
      <w:r w:rsidRPr="55147108" w:rsidR="00EC0618">
        <w:rPr>
          <w:rFonts w:ascii="Arial" w:hAnsi="Arial" w:eastAsia="Arial" w:cs="Arial"/>
        </w:rPr>
        <w:t xml:space="preserve">generate</w:t>
      </w:r>
      <w:r w:rsidRPr="55147108" w:rsidR="003C1351">
        <w:rPr>
          <w:rFonts w:ascii="Arial" w:hAnsi="Arial" w:eastAsia="Arial" w:cs="Arial"/>
        </w:rPr>
        <w:t xml:space="preserve"> emissions reductions and avoid deforestation </w:t>
      </w:r>
      <w:r w:rsidRPr="55147108" w:rsidR="00EC0618">
        <w:rPr>
          <w:rFonts w:ascii="Arial" w:hAnsi="Arial" w:eastAsia="Arial" w:cs="Arial"/>
        </w:rPr>
        <w:t xml:space="preserve">for the</w:t>
      </w:r>
      <w:r w:rsidRPr="55147108" w:rsidR="003C1351">
        <w:rPr>
          <w:rFonts w:ascii="Arial" w:hAnsi="Arial" w:eastAsia="Arial" w:cs="Arial"/>
        </w:rPr>
        <w:t xml:space="preserve"> Amazônia Agora State Plan</w:t>
      </w:r>
      <w:r w:rsidRPr="55147108" w:rsidR="00EC0618">
        <w:rPr>
          <w:rFonts w:ascii="Arial" w:hAnsi="Arial" w:eastAsia="Arial" w:cs="Arial"/>
        </w:rPr>
        <w:t xml:space="preserve">,</w:t>
      </w:r>
      <w:r w:rsidRPr="55147108" w:rsidR="003C1351">
        <w:rPr>
          <w:rFonts w:ascii="Arial" w:hAnsi="Arial" w:eastAsia="Arial" w:cs="Arial"/>
        </w:rPr>
        <w:t xml:space="preserve"> by developing a </w:t>
      </w:r>
      <w:r w:rsidRPr="55147108" w:rsidR="00EC0618">
        <w:rPr>
          <w:rFonts w:ascii="Arial" w:hAnsi="Arial" w:eastAsia="Arial" w:cs="Arial"/>
        </w:rPr>
        <w:t>PES scheme</w:t>
      </w:r>
      <w:r w:rsidRPr="55147108" w:rsidR="00C75758">
        <w:rPr>
          <w:rFonts w:ascii="Arial" w:hAnsi="Arial" w:eastAsia="Arial" w:cs="Arial"/>
        </w:rPr>
        <w:t xml:space="preserve">. It also contributes to the </w:t>
      </w:r>
      <w:r w:rsidRPr="55147108" w:rsidR="55147108">
        <w:rPr>
          <w:rFonts w:ascii="Arial" w:hAnsi="Arial" w:eastAsia="Arial" w:cs="Arial"/>
          <w:noProof w:val="0"/>
          <w:lang w:val="en-US"/>
        </w:rPr>
        <w:t xml:space="preserve">Amazon Bioeconomy and Forest Management Fund </w:t>
      </w:r>
      <w:r w:rsidRPr="55147108" w:rsidR="55147108">
        <w:rPr>
          <w:rFonts w:ascii="Arial" w:hAnsi="Arial" w:eastAsia="Arial" w:cs="Arial"/>
          <w:noProof w:val="0"/>
          <w:lang w:val="en-US"/>
        </w:rPr>
        <w:t xml:space="preserve">(AMZ – </w:t>
      </w:r>
      <w:r w:rsidRPr="55147108" w:rsidR="55147108">
        <w:rPr>
          <w:rFonts w:ascii="Arial" w:hAnsi="Arial" w:eastAsia="Arial" w:cs="Arial"/>
          <w:noProof w:val="0"/>
          <w:lang w:val="en-US"/>
        </w:rPr>
        <w:t>Multi Donor</w:t>
      </w:r>
      <w:r w:rsidRPr="55147108" w:rsidR="55147108">
        <w:rPr>
          <w:rFonts w:ascii="Arial" w:hAnsi="Arial" w:eastAsia="Arial" w:cs="Arial"/>
          <w:noProof w:val="0"/>
          <w:lang w:val="en-US"/>
        </w:rPr>
        <w:t xml:space="preserve"> Trust </w:t>
      </w:r>
      <w:r w:rsidRPr="55147108" w:rsidR="55147108">
        <w:rPr>
          <w:rFonts w:ascii="Arial" w:hAnsi="Arial" w:eastAsia="Arial" w:cs="Arial"/>
          <w:noProof w:val="0"/>
          <w:lang w:val="en-US"/>
        </w:rPr>
        <w:t>Fund) (</w:t>
      </w:r>
      <w:r w:rsidRPr="55147108" w:rsidR="55147108">
        <w:rPr>
          <w:rFonts w:ascii="Arial" w:hAnsi="Arial" w:eastAsia="Arial" w:cs="Arial"/>
          <w:noProof w:val="0"/>
          <w:lang w:val="en-US"/>
        </w:rPr>
        <w:t xml:space="preserve">GN-3074-1), whose objective is to </w:t>
      </w:r>
      <w:r w:rsidRPr="55147108" w:rsidR="55147108">
        <w:rPr>
          <w:rFonts w:ascii="Arial" w:hAnsi="Arial" w:eastAsia="Arial" w:cs="Arial"/>
          <w:noProof w:val="0"/>
          <w:lang w:val="en-US"/>
        </w:rPr>
        <w:t xml:space="preserve">support national and subnational entities, public and private entities, in the Amazonian countries to plan, design and implement investments in support of the Amazon Initiative’s objectives, especially through the thematic areas of Sustainable Agriculture, Livestock and Forest Management and Bioeconomy, as well as via the deep integration of the Amazon Initiative’s three transversal issues - forest conservation; gender and diversity and institutional strengthening. This TC is aligned with the following specific objectives of the Fund: i) promotion of sustainable and resilient landscapes; ii) promotion of amazon positive value-chains.</w:t>
      </w:r>
      <w:r w:rsidRPr="55147108" w:rsidR="55147108">
        <w:rPr>
          <w:rFonts w:ascii="Arial" w:hAnsi="Arial" w:eastAsia="Arial" w:cs="Arial"/>
        </w:rPr>
        <w:t xml:space="preserve"> </w:t>
      </w:r>
      <w:r w:rsidRPr="55147108" w:rsidR="00C75758">
        <w:rPr>
          <w:rFonts w:ascii="Arial" w:hAnsi="Arial" w:eastAsia="Arial" w:cs="Arial"/>
        </w:rPr>
        <w:t xml:space="preserve">the operation</w:t>
      </w:r>
      <w:r w:rsidRPr="55147108" w:rsidR="00A54F53">
        <w:rPr>
          <w:rFonts w:ascii="Arial" w:hAnsi="Arial" w:eastAsia="Arial" w:cs="Arial"/>
        </w:rPr>
        <w:t xml:space="preserve"> </w:t>
      </w:r>
      <w:r w:rsidRPr="55147108" w:rsidR="00A54F53">
        <w:rPr>
          <w:rFonts w:ascii="Arial" w:hAnsi="Arial" w:eastAsia="Arial" w:cs="Arial"/>
        </w:rPr>
        <w:t xml:space="preserve">contributes to the IDB </w:t>
      </w:r>
      <w:r w:rsidRPr="55147108" w:rsidR="00815B6A">
        <w:rPr>
          <w:rFonts w:ascii="Arial" w:hAnsi="Arial" w:eastAsia="Arial" w:cs="Arial"/>
        </w:rPr>
        <w:t xml:space="preserve">Group Country </w:t>
      </w:r>
      <w:r w:rsidRPr="55147108" w:rsidR="00A54F53">
        <w:rPr>
          <w:rFonts w:ascii="Arial" w:hAnsi="Arial" w:eastAsia="Arial" w:cs="Arial"/>
        </w:rPr>
        <w:t xml:space="preserve">Strategy </w:t>
      </w:r>
      <w:r w:rsidRPr="00EB61EE" w:rsidR="009D6132">
        <w:rPr>
          <w:rFonts w:ascii="Arial" w:hAnsi="Arial" w:eastAsia="Arial" w:cs="Arial"/>
        </w:rPr>
        <w:noBreakHyphen/>
      </w:r>
      <w:r w:rsidRPr="55147108" w:rsidR="546A230F">
        <w:rPr>
          <w:rFonts w:ascii="Arial" w:hAnsi="Arial" w:eastAsia="Arial" w:cs="Arial"/>
        </w:rPr>
        <w:t>with</w:t>
      </w:r>
      <w:r w:rsidRPr="55147108" w:rsidR="00A54F53">
        <w:rPr>
          <w:rFonts w:ascii="Arial" w:hAnsi="Arial" w:eastAsia="Arial" w:cs="Arial"/>
        </w:rPr>
        <w:t xml:space="preserve"> Brazil</w:t>
      </w:r>
      <w:r w:rsidRPr="55147108" w:rsidR="3BF4F9D8">
        <w:rPr>
          <w:rFonts w:ascii="Arial" w:hAnsi="Arial" w:eastAsia="Arial" w:cs="Arial"/>
        </w:rPr>
        <w:t xml:space="preserve"> 2019-</w:t>
      </w:r>
      <w:r w:rsidRPr="55147108" w:rsidDel="006F5CC3" w:rsidR="3BF4F9D8">
        <w:rPr>
          <w:rFonts w:ascii="Arial" w:hAnsi="Arial" w:eastAsia="Arial" w:cs="Arial"/>
        </w:rPr>
        <w:t xml:space="preserve">2022</w:t>
      </w:r>
      <w:r w:rsidRPr="55147108" w:rsidDel="006F5CC3" w:rsidR="00A54F53">
        <w:rPr>
          <w:rFonts w:ascii="Arial" w:hAnsi="Arial" w:eastAsia="Arial" w:cs="Arial"/>
        </w:rPr>
        <w:t xml:space="preserve"> (GN</w:t>
      </w:r>
      <w:r w:rsidRPr="55147108" w:rsidR="00A54F53">
        <w:rPr>
          <w:rFonts w:ascii="Arial" w:hAnsi="Arial" w:eastAsia="Arial" w:cs="Arial"/>
        </w:rPr>
        <w:t xml:space="preserve">-2973) in the cross-cutting areas of environmental sustainability and climate change and with the strategic objective of supporting national and international integration</w:t>
      </w:r>
      <w:r w:rsidRPr="55147108" w:rsidR="006F5CC3">
        <w:rPr>
          <w:rFonts w:ascii="Arial" w:hAnsi="Arial" w:eastAsia="Arial" w:cs="Arial"/>
        </w:rPr>
        <w:t xml:space="preserve">, as well as</w:t>
      </w:r>
      <w:r w:rsidRPr="55147108" w:rsidR="00A54F53">
        <w:rPr>
          <w:rFonts w:ascii="Arial" w:hAnsi="Arial" w:eastAsia="Arial" w:cs="Arial"/>
        </w:rPr>
        <w:t xml:space="preserve"> </w:t>
      </w:r>
      <w:r w:rsidRPr="55147108" w:rsidR="3BF4F9D8">
        <w:rPr>
          <w:rFonts w:ascii="Arial" w:hAnsi="Arial" w:eastAsia="Arial" w:cs="Arial"/>
        </w:rPr>
        <w:t xml:space="preserve">with </w:t>
      </w:r>
      <w:r w:rsidRPr="55147108" w:rsidR="006F5CC3">
        <w:rPr>
          <w:rFonts w:ascii="Arial" w:hAnsi="Arial" w:eastAsia="Arial" w:cs="Arial"/>
        </w:rPr>
        <w:t xml:space="preserve">the </w:t>
      </w:r>
      <w:r w:rsidRPr="55147108" w:rsidR="00A54F53">
        <w:rPr>
          <w:rFonts w:ascii="Arial" w:hAnsi="Arial" w:eastAsia="Arial" w:cs="Arial"/>
        </w:rPr>
        <w:t xml:space="preserve">develop</w:t>
      </w:r>
      <w:r w:rsidRPr="00EB61EE" w:rsidDel="008A7116" w:rsidR="006F5CC3">
        <w:rPr>
          <w:rFonts w:ascii="Arial" w:hAnsi="Arial" w:eastAsia="Arial" w:cs="Arial"/>
        </w:rPr>
        <w:t xml:space="preserve">ment </w:t>
      </w:r>
      <w:r w:rsidRPr="00EB61EE" w:rsidR="01120C57">
        <w:rPr>
          <w:rFonts w:ascii="Arial" w:hAnsi="Arial" w:eastAsia="Arial" w:cs="Arial"/>
        </w:rPr>
        <w:t>of</w:t>
      </w:r>
      <w:r w:rsidRPr="00EB61EE" w:rsidR="3BF4F9D8">
        <w:rPr>
          <w:rFonts w:ascii="Arial" w:hAnsi="Arial" w:eastAsia="Arial" w:cs="Arial"/>
        </w:rPr>
        <w:t xml:space="preserve"> a new</w:t>
      </w:r>
      <w:r w:rsidRPr="55147108" w:rsidR="00A54F53">
        <w:rPr>
          <w:rFonts w:ascii="Arial" w:hAnsi="Arial" w:eastAsia="Arial" w:cs="Arial"/>
        </w:rPr>
        <w:t xml:space="preserve"> </w:t>
      </w:r>
      <w:r w:rsidRPr="55147108" w:rsidR="00A54F53">
        <w:rPr>
          <w:rFonts w:ascii="Arial" w:hAnsi="Arial" w:eastAsia="Arial" w:cs="Arial"/>
        </w:rPr>
        <w:t>model for the Amazon with conservation and use of environmental goods and services.</w:t>
      </w:r>
      <w:r w:rsidRPr="55147108" w:rsidR="3BF4F9D8">
        <w:rPr>
          <w:rFonts w:ascii="Arial" w:hAnsi="Arial" w:eastAsia="Arial" w:cs="Arial"/>
        </w:rPr>
        <w:t xml:space="preserve"> </w:t>
      </w:r>
    </w:p>
    <w:p w:rsidRPr="000A2B21" w:rsidR="0095711B" w:rsidP="000A2B21" w:rsidRDefault="00D95606" w14:paraId="3BBAB1FF" w14:textId="631073C5">
      <w:pPr>
        <w:pStyle w:val="ListParagraph"/>
        <w:numPr>
          <w:ilvl w:val="0"/>
          <w:numId w:val="6"/>
        </w:numPr>
        <w:spacing w:before="240" w:after="120" w:line="240" w:lineRule="auto"/>
        <w:ind w:hanging="270"/>
        <w:contextualSpacing w:val="0"/>
        <w:rPr>
          <w:rFonts w:ascii="Arial" w:hAnsi="Arial" w:eastAsia="Arial" w:cs="Arial"/>
          <w:b/>
          <w:bCs/>
        </w:rPr>
      </w:pPr>
      <w:r w:rsidRPr="000A2B21">
        <w:rPr>
          <w:rFonts w:ascii="Arial" w:hAnsi="Arial" w:eastAsia="Arial" w:cs="Arial"/>
          <w:b/>
          <w:bCs/>
        </w:rPr>
        <w:t>D</w:t>
      </w:r>
      <w:r w:rsidRPr="000A2B21" w:rsidR="0095711B">
        <w:rPr>
          <w:rFonts w:ascii="Arial" w:hAnsi="Arial" w:eastAsia="Arial" w:cs="Arial"/>
          <w:b/>
          <w:bCs/>
        </w:rPr>
        <w:t xml:space="preserve">escription </w:t>
      </w:r>
      <w:r w:rsidRPr="000A2B21" w:rsidR="00A12C27">
        <w:rPr>
          <w:rFonts w:ascii="Arial" w:hAnsi="Arial" w:eastAsia="Arial" w:cs="Arial"/>
          <w:b/>
          <w:bCs/>
        </w:rPr>
        <w:t xml:space="preserve">of </w:t>
      </w:r>
      <w:r w:rsidRPr="000A2B21" w:rsidR="00D11387">
        <w:rPr>
          <w:rFonts w:ascii="Arial" w:hAnsi="Arial" w:eastAsia="Arial" w:cs="Arial"/>
          <w:b/>
          <w:bCs/>
        </w:rPr>
        <w:t>A</w:t>
      </w:r>
      <w:r w:rsidRPr="000A2B21" w:rsidR="00A12C27">
        <w:rPr>
          <w:rFonts w:ascii="Arial" w:hAnsi="Arial" w:eastAsia="Arial" w:cs="Arial"/>
          <w:b/>
          <w:bCs/>
        </w:rPr>
        <w:t>ctivities</w:t>
      </w:r>
      <w:r w:rsidRPr="000A2B21" w:rsidR="00F6363D">
        <w:rPr>
          <w:rFonts w:ascii="Arial" w:hAnsi="Arial" w:eastAsia="Arial" w:cs="Arial"/>
          <w:b/>
          <w:bCs/>
        </w:rPr>
        <w:t>/</w:t>
      </w:r>
      <w:r w:rsidRPr="000A2B21" w:rsidR="00D11387">
        <w:rPr>
          <w:rFonts w:ascii="Arial" w:hAnsi="Arial" w:eastAsia="Arial" w:cs="Arial"/>
          <w:b/>
          <w:bCs/>
        </w:rPr>
        <w:t>C</w:t>
      </w:r>
      <w:r w:rsidRPr="000A2B21" w:rsidR="00F6363D">
        <w:rPr>
          <w:rFonts w:ascii="Arial" w:hAnsi="Arial" w:eastAsia="Arial" w:cs="Arial"/>
          <w:b/>
          <w:bCs/>
        </w:rPr>
        <w:t>omponents</w:t>
      </w:r>
      <w:r w:rsidRPr="000A2B21" w:rsidR="009C5C06">
        <w:rPr>
          <w:rFonts w:ascii="Arial" w:hAnsi="Arial" w:eastAsia="Arial" w:cs="Arial"/>
          <w:b/>
          <w:bCs/>
        </w:rPr>
        <w:t xml:space="preserve"> </w:t>
      </w:r>
      <w:r w:rsidRPr="000A2B21" w:rsidR="0023302F">
        <w:rPr>
          <w:rFonts w:ascii="Arial" w:hAnsi="Arial" w:eastAsia="Arial" w:cs="Arial"/>
          <w:b/>
          <w:bCs/>
        </w:rPr>
        <w:t xml:space="preserve">and </w:t>
      </w:r>
      <w:r w:rsidRPr="000A2B21" w:rsidR="00D11387">
        <w:rPr>
          <w:rFonts w:ascii="Arial" w:hAnsi="Arial" w:eastAsia="Arial" w:cs="Arial"/>
          <w:b/>
          <w:bCs/>
        </w:rPr>
        <w:t>B</w:t>
      </w:r>
      <w:r w:rsidRPr="000A2B21" w:rsidR="0023302F">
        <w:rPr>
          <w:rFonts w:ascii="Arial" w:hAnsi="Arial" w:eastAsia="Arial" w:cs="Arial"/>
          <w:b/>
          <w:bCs/>
        </w:rPr>
        <w:t>udget</w:t>
      </w:r>
    </w:p>
    <w:p w:rsidRPr="000D2A7B" w:rsidR="00C84573" w:rsidP="000D2A7B" w:rsidRDefault="00C84573" w14:paraId="30F2AA23" w14:textId="179EC2E6">
      <w:pPr>
        <w:pStyle w:val="ListParagraph"/>
        <w:numPr>
          <w:ilvl w:val="1"/>
          <w:numId w:val="23"/>
        </w:numPr>
        <w:spacing w:before="120" w:after="120" w:line="240" w:lineRule="auto"/>
        <w:ind w:hanging="547"/>
        <w:contextualSpacing w:val="0"/>
        <w:jc w:val="both"/>
        <w:rPr>
          <w:rFonts w:ascii="Arial" w:hAnsi="Arial" w:cs="Arial"/>
        </w:rPr>
      </w:pPr>
      <w:r w:rsidRPr="000D2A7B">
        <w:rPr>
          <w:rFonts w:ascii="Arial" w:hAnsi="Arial" w:eastAsia="Arial" w:cs="Arial"/>
          <w:b/>
          <w:bCs/>
        </w:rPr>
        <w:t>Component 1. Methodological Structuring (US$200,000).</w:t>
      </w:r>
      <w:r w:rsidRPr="000D2A7B">
        <w:rPr>
          <w:rFonts w:ascii="Arial" w:hAnsi="Arial" w:eastAsia="Arial" w:cs="Arial"/>
        </w:rPr>
        <w:t xml:space="preserve"> This component will</w:t>
      </w:r>
      <w:r w:rsidRPr="000D2A7B" w:rsidR="6BAFE2F6">
        <w:rPr>
          <w:rFonts w:ascii="Arial" w:hAnsi="Arial" w:eastAsia="Arial" w:cs="Arial"/>
        </w:rPr>
        <w:t xml:space="preserve"> </w:t>
      </w:r>
      <w:r w:rsidRPr="000D2A7B" w:rsidR="0DFE657E">
        <w:rPr>
          <w:rFonts w:ascii="Arial" w:hAnsi="Arial" w:eastAsia="Arial" w:cs="Arial"/>
        </w:rPr>
        <w:t>hire consult</w:t>
      </w:r>
      <w:r w:rsidRPr="000D2A7B" w:rsidR="00B402A3">
        <w:rPr>
          <w:rFonts w:ascii="Arial" w:hAnsi="Arial" w:eastAsia="Arial" w:cs="Arial"/>
        </w:rPr>
        <w:t>ing</w:t>
      </w:r>
      <w:r w:rsidRPr="000D2A7B" w:rsidR="0DFE657E">
        <w:rPr>
          <w:rFonts w:ascii="Arial" w:hAnsi="Arial" w:eastAsia="Arial" w:cs="Arial"/>
        </w:rPr>
        <w:t xml:space="preserve"> services to</w:t>
      </w:r>
      <w:r w:rsidRPr="000D2A7B">
        <w:rPr>
          <w:rFonts w:ascii="Arial" w:hAnsi="Arial" w:eastAsia="Arial" w:cs="Arial"/>
        </w:rPr>
        <w:t xml:space="preserve"> carry out the design and structuring of a methodology for a payment platform for environmental services through a payment-by-results mechanism for the state of Pará as an instrument of the </w:t>
      </w:r>
      <w:r w:rsidRPr="000D2A7B">
        <w:rPr>
          <w:rFonts w:ascii="Arial" w:hAnsi="Arial" w:eastAsia="Arial" w:cs="Arial"/>
          <w:i/>
          <w:iCs/>
        </w:rPr>
        <w:t>Plano Amazon Agora</w:t>
      </w:r>
      <w:r w:rsidRPr="000D2A7B">
        <w:rPr>
          <w:rFonts w:ascii="Arial" w:hAnsi="Arial" w:eastAsia="Arial" w:cs="Arial"/>
        </w:rPr>
        <w:t>. Activities include:</w:t>
      </w:r>
    </w:p>
    <w:p w:rsidRPr="00057325" w:rsidR="00C84573" w:rsidP="55147108" w:rsidRDefault="00C84573" w14:paraId="6875BB75" w14:textId="37895543">
      <w:pPr>
        <w:pStyle w:val="ListParagraph"/>
        <w:numPr>
          <w:ilvl w:val="1"/>
          <w:numId w:val="21"/>
        </w:numPr>
        <w:spacing w:before="120" w:after="120" w:line="240" w:lineRule="auto"/>
        <w:ind w:left="720"/>
        <w:jc w:val="both"/>
        <w:rPr>
          <w:rFonts w:ascii="Arial" w:hAnsi="Arial" w:eastAsia="Arial" w:cs="Arial"/>
        </w:rPr>
      </w:pPr>
      <w:r w:rsidRPr="00057325" w:rsidR="00C84573">
        <w:rPr>
          <w:rFonts w:ascii="Arial" w:hAnsi="Arial" w:eastAsia="Arial" w:cs="Arial"/>
        </w:rPr>
        <w:t xml:space="preserve">Baseline and Strategy: (i) </w:t>
      </w:r>
      <w:r w:rsidRPr="00057325" w:rsidR="00F80987">
        <w:rPr>
          <w:rFonts w:ascii="Arial" w:hAnsi="Arial" w:eastAsia="Arial" w:cs="Arial"/>
        </w:rPr>
        <w:t>s</w:t>
      </w:r>
      <w:r w:rsidRPr="00057325" w:rsidR="00C84573">
        <w:rPr>
          <w:rFonts w:ascii="Arial" w:hAnsi="Arial" w:eastAsia="Arial" w:cs="Arial"/>
        </w:rPr>
        <w:t xml:space="preserve">urvey of experiences, cases and lessons learned with PES, Mapping of similar and/or complementary initiatives; (ii) </w:t>
      </w:r>
      <w:r w:rsidRPr="00057325" w:rsidR="00F80987">
        <w:rPr>
          <w:rFonts w:ascii="Arial" w:hAnsi="Arial" w:eastAsia="Arial" w:cs="Arial"/>
        </w:rPr>
        <w:t>e</w:t>
      </w:r>
      <w:r w:rsidRPr="00057325" w:rsidR="00C84573">
        <w:rPr>
          <w:rFonts w:ascii="Arial" w:hAnsi="Arial" w:eastAsia="Arial" w:cs="Arial"/>
        </w:rPr>
        <w:t>valuation of interaction with other payments available to beneficiaries including analysis of potential double counting</w:t>
      </w:r>
      <w:r w:rsidRPr="00057325" w:rsidR="00F80987">
        <w:rPr>
          <w:rFonts w:ascii="Arial" w:hAnsi="Arial" w:eastAsia="Arial" w:cs="Arial"/>
        </w:rPr>
        <w:noBreakHyphen/>
      </w:r>
      <w:r w:rsidRPr="00057325" w:rsidR="00C84573">
        <w:rPr>
          <w:rFonts w:ascii="Arial" w:hAnsi="Arial" w:eastAsia="Arial" w:cs="Arial"/>
        </w:rPr>
        <w:t xml:space="preserve">, double payment among other complementarities and overlaps; </w:t>
      </w:r>
      <w:r w:rsidRPr="00057325" w:rsidR="00F80987">
        <w:rPr>
          <w:rFonts w:ascii="Arial" w:hAnsi="Arial" w:eastAsia="Arial" w:cs="Arial"/>
        </w:rPr>
        <w:t xml:space="preserve">and </w:t>
      </w:r>
      <w:r w:rsidRPr="00057325" w:rsidR="00C84573">
        <w:rPr>
          <w:rFonts w:ascii="Arial" w:hAnsi="Arial" w:eastAsia="Arial" w:cs="Arial"/>
        </w:rPr>
        <w:t>(iii)</w:t>
      </w:r>
      <w:r w:rsidRPr="00057325" w:rsidR="00F80987">
        <w:rPr>
          <w:rFonts w:ascii="Arial" w:hAnsi="Arial" w:eastAsia="Arial" w:cs="Arial"/>
        </w:rPr>
        <w:t> i</w:t>
      </w:r>
      <w:r w:rsidRPr="00057325" w:rsidR="00C84573">
        <w:rPr>
          <w:rFonts w:ascii="Arial" w:hAnsi="Arial" w:eastAsia="Arial" w:cs="Arial"/>
        </w:rPr>
        <w:t>dentification of interested parties (providing agents, public and private beneficiary agents, including gender and diversity issues of the region, and financial and service intermediaries).</w:t>
      </w:r>
    </w:p>
    <w:p w:rsidRPr="00057325" w:rsidR="00C84573" w:rsidP="55147108" w:rsidRDefault="00C84573" w14:paraId="07A560EF" w14:textId="53F93457">
      <w:pPr>
        <w:pStyle w:val="ListParagraph"/>
        <w:numPr>
          <w:ilvl w:val="1"/>
          <w:numId w:val="21"/>
        </w:numPr>
        <w:spacing w:before="120" w:after="120" w:line="240" w:lineRule="auto"/>
        <w:ind w:left="720"/>
        <w:jc w:val="both"/>
        <w:rPr>
          <w:rFonts w:ascii="Arial" w:hAnsi="Arial" w:eastAsia="Arial" w:cs="Arial"/>
          <w:spacing w:val="-2"/>
        </w:rPr>
      </w:pPr>
      <w:r w:rsidRPr="00057325" w:rsidR="00C84573">
        <w:rPr>
          <w:rFonts w:ascii="Arial" w:hAnsi="Arial" w:eastAsia="Arial" w:cs="Arial"/>
          <w:spacing w:val="-2"/>
        </w:rPr>
        <w:t xml:space="preserve">Methodology: (i) </w:t>
      </w:r>
      <w:r w:rsidR="00EE5B79">
        <w:rPr>
          <w:rFonts w:ascii="Arial" w:hAnsi="Arial" w:eastAsia="Arial" w:cs="Arial"/>
          <w:spacing w:val="-2"/>
        </w:rPr>
        <w:t>d</w:t>
      </w:r>
      <w:r w:rsidRPr="00057325" w:rsidR="00C84573">
        <w:rPr>
          <w:rFonts w:ascii="Arial" w:hAnsi="Arial" w:eastAsia="Arial" w:cs="Arial"/>
          <w:spacing w:val="-2"/>
        </w:rPr>
        <w:t>efinition of eligibility parameters, e.g. women owned or managed criteria, property size, income</w:t>
      </w:r>
      <w:r w:rsidRPr="00057325" w:rsidR="00F80987">
        <w:rPr>
          <w:rFonts w:ascii="Arial" w:hAnsi="Arial" w:eastAsia="Arial" w:cs="Arial"/>
          <w:spacing w:val="-2"/>
        </w:rPr>
        <w:t>;</w:t>
      </w:r>
      <w:r w:rsidRPr="00057325" w:rsidR="00C84573">
        <w:rPr>
          <w:rFonts w:ascii="Arial" w:hAnsi="Arial" w:eastAsia="Arial" w:cs="Arial"/>
          <w:spacing w:val="-2"/>
        </w:rPr>
        <w:t xml:space="preserve"> (ii) priority focus of areas of intervention and performance; (iii) development of the methodology for pricing, </w:t>
      </w:r>
      <w:r w:rsidRPr="00057325" w:rsidR="00C84573">
        <w:rPr>
          <w:rFonts w:ascii="Arial" w:hAnsi="Arial" w:eastAsia="Arial" w:cs="Arial"/>
          <w:spacing w:val="-2"/>
        </w:rPr>
        <w:lastRenderedPageBreak/>
        <w:t>payment, and assessment of additionality for 600 provider agents</w:t>
      </w:r>
      <w:r w:rsidRPr="00057325" w:rsidR="00F80987">
        <w:rPr>
          <w:rFonts w:ascii="Arial" w:hAnsi="Arial" w:eastAsia="Arial" w:cs="Arial"/>
          <w:spacing w:val="-2"/>
        </w:rPr>
        <w:t>;</w:t>
      </w:r>
      <w:r w:rsidRPr="00057325" w:rsidR="00C84573">
        <w:rPr>
          <w:rFonts w:ascii="Arial" w:hAnsi="Arial" w:eastAsia="Arial" w:cs="Arial"/>
          <w:spacing w:val="-2"/>
        </w:rPr>
        <w:t xml:space="preserve"> (iv) </w:t>
      </w:r>
      <w:r w:rsidRPr="00335BDA" w:rsidR="00F92D77">
        <w:rPr>
          <w:rFonts w:ascii="Arial" w:hAnsi="Arial" w:eastAsia="Arial" w:cs="Arial"/>
          <w:spacing w:val="-2"/>
        </w:rPr>
        <w:t xml:space="preserve">assessment of the provider agents in terms </w:t>
      </w:r>
      <w:r w:rsidRPr="00335BDA" w:rsidR="00C84573">
        <w:rPr>
          <w:rFonts w:ascii="Arial" w:hAnsi="Arial" w:eastAsia="Arial" w:cs="Arial"/>
          <w:spacing w:val="-2"/>
        </w:rPr>
        <w:t>of the</w:t>
      </w:r>
      <w:r w:rsidRPr="00335BDA" w:rsidR="00F92D77">
        <w:rPr>
          <w:rFonts w:ascii="Arial" w:hAnsi="Arial" w:eastAsia="Arial" w:cs="Arial"/>
          <w:spacing w:val="-2"/>
        </w:rPr>
        <w:t>ir</w:t>
      </w:r>
      <w:r w:rsidRPr="00335BDA" w:rsidR="00C84573">
        <w:rPr>
          <w:rFonts w:ascii="Arial" w:hAnsi="Arial" w:eastAsia="Arial" w:cs="Arial"/>
          <w:spacing w:val="-2"/>
        </w:rPr>
        <w:t xml:space="preserve"> willingness to accep</w:t>
      </w:r>
      <w:r w:rsidRPr="00335BDA" w:rsidR="00EE5B79">
        <w:rPr>
          <w:rFonts w:ascii="Arial" w:hAnsi="Arial" w:eastAsia="Arial" w:cs="Arial"/>
          <w:spacing w:val="-2"/>
        </w:rPr>
        <w:t xml:space="preserve">t </w:t>
      </w:r>
      <w:r w:rsidRPr="00335BDA" w:rsidR="00F92D77">
        <w:rPr>
          <w:rFonts w:ascii="Arial" w:hAnsi="Arial" w:eastAsia="Arial" w:cs="Arial"/>
          <w:spacing w:val="-2"/>
        </w:rPr>
        <w:t>the payments</w:t>
      </w:r>
      <w:r w:rsidRPr="00335BDA" w:rsidR="002D4D27">
        <w:rPr>
          <w:rFonts w:ascii="Arial" w:hAnsi="Arial" w:eastAsia="Arial" w:cs="Arial"/>
          <w:spacing w:val="-2"/>
        </w:rPr>
        <w:t>;</w:t>
      </w:r>
      <w:r w:rsidRPr="00057325" w:rsidR="00C84573">
        <w:rPr>
          <w:rFonts w:ascii="Arial" w:hAnsi="Arial" w:eastAsia="Arial" w:cs="Arial"/>
          <w:spacing w:val="-2"/>
        </w:rPr>
        <w:t xml:space="preserve"> </w:t>
      </w:r>
      <w:r w:rsidRPr="00057325" w:rsidR="00F80987">
        <w:rPr>
          <w:rFonts w:ascii="Arial" w:hAnsi="Arial" w:eastAsia="Arial" w:cs="Arial"/>
          <w:spacing w:val="-2"/>
        </w:rPr>
        <w:t xml:space="preserve">and </w:t>
      </w:r>
      <w:r w:rsidRPr="00057325" w:rsidR="00C84573">
        <w:rPr>
          <w:rFonts w:ascii="Arial" w:hAnsi="Arial" w:eastAsia="Arial" w:cs="Arial"/>
          <w:spacing w:val="-2"/>
        </w:rPr>
        <w:t>(v)</w:t>
      </w:r>
      <w:r w:rsidR="000F10F2">
        <w:rPr>
          <w:rFonts w:ascii="Arial" w:hAnsi="Arial" w:eastAsia="Arial" w:cs="Arial"/>
          <w:spacing w:val="-2"/>
        </w:rPr>
        <w:t> </w:t>
      </w:r>
      <w:r w:rsidRPr="00057325" w:rsidR="00C84573">
        <w:rPr>
          <w:rFonts w:ascii="Arial" w:hAnsi="Arial" w:eastAsia="Arial" w:cs="Arial"/>
          <w:spacing w:val="-2"/>
        </w:rPr>
        <w:t>classification of environmental services related to provider agents (climate regulation, water availability, erosion control and retention of sediments, biodiversity, among others)</w:t>
      </w:r>
      <w:r w:rsidRPr="00057325" w:rsidR="00E645C3">
        <w:rPr>
          <w:rFonts w:ascii="Arial" w:hAnsi="Arial" w:eastAsia="Arial" w:cs="Arial"/>
          <w:spacing w:val="-2"/>
        </w:rPr>
        <w:t>.</w:t>
      </w:r>
    </w:p>
    <w:p w:rsidRPr="000F10F2" w:rsidR="000F10F2" w:rsidP="000D2A7B" w:rsidRDefault="00C84573" w14:paraId="018FEEBA" w14:textId="77777777">
      <w:pPr>
        <w:pStyle w:val="ListParagraph"/>
        <w:numPr>
          <w:ilvl w:val="1"/>
          <w:numId w:val="23"/>
        </w:numPr>
        <w:spacing w:before="120" w:after="120" w:line="240" w:lineRule="auto"/>
        <w:ind w:hanging="547"/>
        <w:contextualSpacing w:val="0"/>
        <w:jc w:val="both"/>
        <w:rPr>
          <w:rFonts w:ascii="Arial" w:hAnsi="Arial" w:cs="Arial"/>
        </w:rPr>
      </w:pPr>
      <w:r w:rsidRPr="00057325">
        <w:rPr>
          <w:rFonts w:ascii="Arial" w:hAnsi="Arial" w:eastAsia="Arial" w:cs="Arial"/>
          <w:spacing w:val="-3"/>
        </w:rPr>
        <w:t xml:space="preserve">Stakeholders’ engagement and shared governance: (i) </w:t>
      </w:r>
      <w:r w:rsidRPr="00057325" w:rsidR="0001360B">
        <w:rPr>
          <w:rFonts w:ascii="Arial" w:hAnsi="Arial" w:eastAsia="Arial" w:cs="Arial"/>
          <w:spacing w:val="-3"/>
        </w:rPr>
        <w:t>e</w:t>
      </w:r>
      <w:r w:rsidRPr="00057325">
        <w:rPr>
          <w:rFonts w:ascii="Arial" w:hAnsi="Arial" w:eastAsia="Arial" w:cs="Arial"/>
          <w:spacing w:val="-3"/>
        </w:rPr>
        <w:t xml:space="preserve">ngagement with service providers such as </w:t>
      </w:r>
      <w:r w:rsidRPr="00057325" w:rsidR="00E40C4B">
        <w:rPr>
          <w:rFonts w:ascii="Arial" w:hAnsi="Arial" w:eastAsia="Arial" w:cs="Arial"/>
          <w:spacing w:val="-3"/>
        </w:rPr>
        <w:t xml:space="preserve">Indigenous Peoples and Local Communities </w:t>
      </w:r>
      <w:r w:rsidR="00E40C4B">
        <w:rPr>
          <w:rFonts w:ascii="Arial" w:hAnsi="Arial" w:eastAsia="Arial" w:cs="Arial"/>
          <w:spacing w:val="-3"/>
        </w:rPr>
        <w:t>(</w:t>
      </w:r>
      <w:r w:rsidRPr="00057325" w:rsidR="00E40C4B">
        <w:rPr>
          <w:rFonts w:ascii="Arial" w:hAnsi="Arial" w:eastAsia="Arial" w:cs="Arial"/>
          <w:spacing w:val="-3"/>
        </w:rPr>
        <w:t>IPLC</w:t>
      </w:r>
      <w:r w:rsidRPr="00057325">
        <w:rPr>
          <w:rFonts w:ascii="Arial" w:hAnsi="Arial" w:eastAsia="Arial" w:cs="Arial"/>
          <w:spacing w:val="-3"/>
        </w:rPr>
        <w:t>), farmers, and agro-extractive settlements for evaluation of the methodology</w:t>
      </w:r>
      <w:r w:rsidRPr="00057325" w:rsidR="0001360B">
        <w:rPr>
          <w:rFonts w:ascii="Arial" w:hAnsi="Arial" w:eastAsia="Arial" w:cs="Arial"/>
          <w:spacing w:val="-3"/>
        </w:rPr>
        <w:t>;</w:t>
      </w:r>
      <w:r w:rsidRPr="00057325">
        <w:rPr>
          <w:rFonts w:ascii="Arial" w:hAnsi="Arial" w:eastAsia="Arial" w:cs="Arial"/>
          <w:spacing w:val="-3"/>
        </w:rPr>
        <w:t xml:space="preserve"> (ii) </w:t>
      </w:r>
      <w:r w:rsidRPr="00057325" w:rsidR="0001360B">
        <w:rPr>
          <w:rFonts w:ascii="Arial" w:hAnsi="Arial" w:eastAsia="Arial" w:cs="Arial"/>
          <w:spacing w:val="-3"/>
        </w:rPr>
        <w:t>p</w:t>
      </w:r>
      <w:r w:rsidRPr="00057325">
        <w:rPr>
          <w:rFonts w:ascii="Arial" w:hAnsi="Arial" w:eastAsia="Arial" w:cs="Arial"/>
          <w:spacing w:val="-3"/>
        </w:rPr>
        <w:t>roposition for the dynamics of the consultancy/workshop process with stakeholders</w:t>
      </w:r>
      <w:r w:rsidRPr="00057325" w:rsidR="0001360B">
        <w:rPr>
          <w:rFonts w:ascii="Arial" w:hAnsi="Arial" w:eastAsia="Arial" w:cs="Arial"/>
          <w:spacing w:val="-3"/>
        </w:rPr>
        <w:t>;</w:t>
      </w:r>
      <w:r w:rsidRPr="00057325">
        <w:rPr>
          <w:rFonts w:ascii="Arial" w:hAnsi="Arial" w:eastAsia="Arial" w:cs="Arial"/>
          <w:spacing w:val="-3"/>
        </w:rPr>
        <w:t xml:space="preserve"> (iii) </w:t>
      </w:r>
      <w:r w:rsidRPr="00057325" w:rsidR="0001360B">
        <w:rPr>
          <w:rFonts w:ascii="Arial" w:hAnsi="Arial" w:eastAsia="Arial" w:cs="Arial"/>
          <w:spacing w:val="-3"/>
        </w:rPr>
        <w:t>p</w:t>
      </w:r>
      <w:r w:rsidRPr="00057325">
        <w:rPr>
          <w:rFonts w:ascii="Arial" w:hAnsi="Arial" w:eastAsia="Arial" w:cs="Arial"/>
          <w:spacing w:val="-3"/>
        </w:rPr>
        <w:t>lanning for workshop with stakeholders, including public agencies, non-governmental players and relevant organizations for the agribusiness and the bioeconomy value chain</w:t>
      </w:r>
      <w:r w:rsidRPr="00057325" w:rsidR="0001360B">
        <w:rPr>
          <w:rFonts w:ascii="Arial" w:hAnsi="Arial" w:eastAsia="Arial" w:cs="Arial"/>
          <w:spacing w:val="-3"/>
        </w:rPr>
        <w:t>; and</w:t>
      </w:r>
      <w:r w:rsidRPr="00057325">
        <w:rPr>
          <w:rFonts w:ascii="Arial" w:hAnsi="Arial" w:eastAsia="Arial" w:cs="Arial"/>
          <w:spacing w:val="-3"/>
        </w:rPr>
        <w:t xml:space="preserve"> (iv)</w:t>
      </w:r>
      <w:r w:rsidR="000F10F2">
        <w:rPr>
          <w:rFonts w:ascii="Arial" w:hAnsi="Arial" w:eastAsia="Arial" w:cs="Arial"/>
          <w:spacing w:val="-3"/>
        </w:rPr>
        <w:t> </w:t>
      </w:r>
      <w:r w:rsidRPr="00057325" w:rsidR="0001360B">
        <w:rPr>
          <w:rFonts w:ascii="Arial" w:hAnsi="Arial" w:eastAsia="Arial" w:cs="Arial"/>
          <w:spacing w:val="-3"/>
        </w:rPr>
        <w:t>p</w:t>
      </w:r>
      <w:r w:rsidRPr="00057325">
        <w:rPr>
          <w:rFonts w:ascii="Arial" w:hAnsi="Arial" w:eastAsia="Arial" w:cs="Arial"/>
          <w:spacing w:val="-3"/>
        </w:rPr>
        <w:t>re</w:t>
      </w:r>
      <w:r w:rsidR="000F10F2">
        <w:rPr>
          <w:rFonts w:ascii="Arial" w:hAnsi="Arial" w:eastAsia="Arial" w:cs="Arial"/>
          <w:spacing w:val="-3"/>
        </w:rPr>
        <w:noBreakHyphen/>
      </w:r>
      <w:r w:rsidRPr="00057325">
        <w:rPr>
          <w:rFonts w:ascii="Arial" w:hAnsi="Arial" w:eastAsia="Arial" w:cs="Arial"/>
          <w:spacing w:val="-3"/>
        </w:rPr>
        <w:t>consultancy for construction of a shared and representative governance arrangement to the platform.</w:t>
      </w:r>
    </w:p>
    <w:p w:rsidRPr="00057325" w:rsidR="00C84573" w:rsidP="000D2A7B" w:rsidRDefault="00C84573" w14:paraId="7D7DBC91" w14:textId="2AB89650">
      <w:pPr>
        <w:pStyle w:val="ListParagraph"/>
        <w:numPr>
          <w:ilvl w:val="1"/>
          <w:numId w:val="23"/>
        </w:numPr>
        <w:spacing w:before="120" w:after="120" w:line="240" w:lineRule="auto"/>
        <w:ind w:hanging="547"/>
        <w:contextualSpacing w:val="0"/>
        <w:jc w:val="both"/>
        <w:rPr>
          <w:rFonts w:ascii="Arial" w:hAnsi="Arial" w:cs="Arial"/>
        </w:rPr>
      </w:pPr>
      <w:r w:rsidRPr="00057325">
        <w:rPr>
          <w:rFonts w:ascii="Arial" w:hAnsi="Arial" w:eastAsia="Arial" w:cs="Arial"/>
          <w:b/>
          <w:bCs/>
        </w:rPr>
        <w:t>Component 2. Tool Development (US$250,000).</w:t>
      </w:r>
      <w:r w:rsidRPr="00057325">
        <w:rPr>
          <w:rFonts w:ascii="Arial" w:hAnsi="Arial" w:eastAsia="Arial" w:cs="Arial"/>
        </w:rPr>
        <w:t xml:space="preserve"> This component will </w:t>
      </w:r>
      <w:r w:rsidRPr="00057325" w:rsidR="0DFE657E">
        <w:rPr>
          <w:rFonts w:ascii="Arial" w:hAnsi="Arial" w:eastAsia="Arial" w:cs="Arial"/>
        </w:rPr>
        <w:t>hire consult</w:t>
      </w:r>
      <w:r w:rsidR="004F6E78">
        <w:rPr>
          <w:rFonts w:ascii="Arial" w:hAnsi="Arial" w:eastAsia="Arial" w:cs="Arial"/>
        </w:rPr>
        <w:t>ing</w:t>
      </w:r>
      <w:r w:rsidRPr="00057325" w:rsidR="0DFE657E">
        <w:rPr>
          <w:rFonts w:ascii="Arial" w:hAnsi="Arial" w:eastAsia="Arial" w:cs="Arial"/>
        </w:rPr>
        <w:t xml:space="preserve"> services to </w:t>
      </w:r>
      <w:r w:rsidRPr="00057325">
        <w:rPr>
          <w:rFonts w:ascii="Arial" w:hAnsi="Arial" w:eastAsia="Arial" w:cs="Arial"/>
        </w:rPr>
        <w:t>define the key features of the payment</w:t>
      </w:r>
      <w:r w:rsidRPr="00057325" w:rsidR="00D31175">
        <w:rPr>
          <w:rFonts w:ascii="Arial" w:hAnsi="Arial" w:eastAsia="Arial" w:cs="Arial"/>
        </w:rPr>
        <w:t>s</w:t>
      </w:r>
      <w:r w:rsidRPr="00057325">
        <w:rPr>
          <w:rFonts w:ascii="Arial" w:hAnsi="Arial" w:eastAsia="Arial" w:cs="Arial"/>
        </w:rPr>
        <w:t xml:space="preserve"> for environmental services platform tool, including:</w:t>
      </w:r>
    </w:p>
    <w:p w:rsidRPr="00057325" w:rsidR="00C84573" w:rsidP="5AD3CCB7" w:rsidRDefault="00C84573" w14:paraId="5BB7FC29" w14:textId="124F24C8">
      <w:pPr>
        <w:pStyle w:val="ListParagraph"/>
        <w:numPr>
          <w:ilvl w:val="1"/>
          <w:numId w:val="20"/>
        </w:numPr>
        <w:spacing w:before="120" w:after="120" w:line="240" w:lineRule="auto"/>
        <w:ind w:left="720"/>
        <w:jc w:val="both"/>
        <w:rPr>
          <w:rFonts w:ascii="Arial" w:hAnsi="Arial" w:eastAsia="Arial" w:cs="Arial"/>
        </w:rPr>
      </w:pPr>
      <w:r w:rsidRPr="00057325" w:rsidR="00C84573">
        <w:rPr>
          <w:rFonts w:ascii="Arial" w:hAnsi="Arial" w:eastAsia="Arial" w:cs="Arial"/>
        </w:rPr>
        <w:t xml:space="preserve">Platform </w:t>
      </w:r>
      <w:r w:rsidRPr="00057325" w:rsidR="001D629E">
        <w:rPr>
          <w:rFonts w:ascii="Arial" w:hAnsi="Arial" w:eastAsia="Arial" w:cs="Arial"/>
        </w:rPr>
        <w:t>d</w:t>
      </w:r>
      <w:r w:rsidRPr="00057325" w:rsidR="00C84573">
        <w:rPr>
          <w:rFonts w:ascii="Arial" w:hAnsi="Arial" w:eastAsia="Arial" w:cs="Arial"/>
        </w:rPr>
        <w:t>evelopment and Governance: (i) revi</w:t>
      </w:r>
      <w:r w:rsidRPr="00057325" w:rsidR="006136B2">
        <w:rPr>
          <w:rFonts w:ascii="Arial" w:hAnsi="Arial" w:eastAsia="Arial" w:cs="Arial"/>
        </w:rPr>
        <w:t>ew</w:t>
      </w:r>
      <w:r w:rsidRPr="00057325" w:rsidR="00C84573">
        <w:rPr>
          <w:rFonts w:ascii="Arial" w:hAnsi="Arial" w:eastAsia="Arial" w:cs="Arial"/>
        </w:rPr>
        <w:t xml:space="preserve"> of </w:t>
      </w:r>
      <w:r w:rsidRPr="00057325" w:rsidR="006136B2">
        <w:rPr>
          <w:rFonts w:ascii="Arial" w:hAnsi="Arial" w:eastAsia="Arial" w:cs="Arial"/>
        </w:rPr>
        <w:t xml:space="preserve">the </w:t>
      </w:r>
      <w:r w:rsidRPr="00057325" w:rsidR="00C84573">
        <w:rPr>
          <w:rFonts w:ascii="Arial" w:hAnsi="Arial" w:eastAsia="Arial" w:cs="Arial"/>
        </w:rPr>
        <w:t>proposed methodology, eligibility criteria and value preposition to beneficiaries</w:t>
      </w:r>
      <w:r w:rsidRPr="00057325" w:rsidR="006136B2">
        <w:rPr>
          <w:rFonts w:ascii="Arial" w:hAnsi="Arial" w:eastAsia="Arial" w:cs="Arial"/>
        </w:rPr>
        <w:t>;</w:t>
      </w:r>
      <w:r w:rsidRPr="00057325" w:rsidR="00C84573">
        <w:rPr>
          <w:rFonts w:ascii="Arial" w:hAnsi="Arial" w:eastAsia="Arial" w:cs="Arial"/>
        </w:rPr>
        <w:t xml:space="preserve"> (ii) legal institutional solutions: creation or adjustments of </w:t>
      </w:r>
      <w:r w:rsidRPr="009A36B1" w:rsidR="00C84573">
        <w:rPr>
          <w:rFonts w:ascii="Arial" w:hAnsi="Arial" w:eastAsia="Arial" w:cs="Arial"/>
        </w:rPr>
        <w:t>P</w:t>
      </w:r>
      <w:r w:rsidRPr="009A36B1" w:rsidR="008D61FC">
        <w:rPr>
          <w:rFonts w:ascii="Arial" w:hAnsi="Arial" w:eastAsia="Arial" w:cs="Arial"/>
        </w:rPr>
        <w:t>ES</w:t>
      </w:r>
      <w:r w:rsidRPr="00057325" w:rsidR="00C84573">
        <w:rPr>
          <w:rFonts w:ascii="Arial" w:hAnsi="Arial" w:eastAsia="Arial" w:cs="Arial"/>
        </w:rPr>
        <w:t xml:space="preserve"> Law and Regulation and accessory instruments; (iii)</w:t>
      </w:r>
      <w:r w:rsidRPr="00057325" w:rsidR="006136B2">
        <w:rPr>
          <w:rFonts w:ascii="Arial" w:hAnsi="Arial" w:eastAsia="Arial" w:cs="Arial"/>
        </w:rPr>
        <w:t> </w:t>
      </w:r>
      <w:r w:rsidRPr="00057325" w:rsidR="00C84573">
        <w:rPr>
          <w:rFonts w:ascii="Arial" w:hAnsi="Arial" w:eastAsia="Arial" w:cs="Arial"/>
        </w:rPr>
        <w:t>define the governance of the platform</w:t>
      </w:r>
      <w:r w:rsidRPr="00057325" w:rsidR="006136B2">
        <w:rPr>
          <w:rFonts w:ascii="Arial" w:hAnsi="Arial" w:eastAsia="Arial" w:cs="Arial"/>
        </w:rPr>
        <w:t xml:space="preserve">; </w:t>
      </w:r>
      <w:r w:rsidRPr="00057325" w:rsidR="00C84573">
        <w:rPr>
          <w:rFonts w:ascii="Arial" w:hAnsi="Arial" w:eastAsia="Arial" w:cs="Arial"/>
        </w:rPr>
        <w:t>(iv) connections with other initiatives;</w:t>
      </w:r>
      <w:r w:rsidRPr="00057325" w:rsidR="006136B2">
        <w:rPr>
          <w:rFonts w:ascii="Arial" w:hAnsi="Arial" w:eastAsia="Arial" w:cs="Arial"/>
        </w:rPr>
        <w:t xml:space="preserve"> </w:t>
      </w:r>
      <w:r w:rsidRPr="00057325" w:rsidR="00C84573">
        <w:rPr>
          <w:rFonts w:ascii="Arial" w:hAnsi="Arial" w:eastAsia="Arial" w:cs="Arial"/>
        </w:rPr>
        <w:t>(v)</w:t>
      </w:r>
      <w:r w:rsidRPr="00057325" w:rsidR="006136B2">
        <w:rPr>
          <w:rFonts w:ascii="Arial" w:hAnsi="Arial" w:eastAsia="Arial" w:cs="Arial"/>
        </w:rPr>
        <w:t> </w:t>
      </w:r>
      <w:r w:rsidRPr="00057325" w:rsidR="00C84573">
        <w:rPr>
          <w:rFonts w:ascii="Arial" w:hAnsi="Arial" w:eastAsia="Arial" w:cs="Arial"/>
        </w:rPr>
        <w:t xml:space="preserve">evaluate and design </w:t>
      </w:r>
      <w:r w:rsidR="00F00022">
        <w:rPr>
          <w:rFonts w:ascii="Arial" w:hAnsi="Arial" w:eastAsia="Arial" w:cs="Arial"/>
        </w:rPr>
        <w:t xml:space="preserve">the </w:t>
      </w:r>
      <w:r w:rsidRPr="00057325" w:rsidR="00C84573">
        <w:rPr>
          <w:rFonts w:ascii="Arial" w:hAnsi="Arial" w:eastAsia="Arial" w:cs="Arial"/>
        </w:rPr>
        <w:t>platform</w:t>
      </w:r>
      <w:r w:rsidR="00247C86">
        <w:rPr>
          <w:rFonts w:ascii="Arial" w:hAnsi="Arial" w:eastAsia="Arial" w:cs="Arial"/>
        </w:rPr>
        <w:t>’s</w:t>
      </w:r>
      <w:r w:rsidRPr="00057325" w:rsidR="00C84573">
        <w:rPr>
          <w:rFonts w:ascii="Arial" w:hAnsi="Arial" w:eastAsia="Arial" w:cs="Arial"/>
        </w:rPr>
        <w:t xml:space="preserve"> operational workflow and selected players/intermediaries; </w:t>
      </w:r>
      <w:r w:rsidRPr="00057325" w:rsidR="00B61B40">
        <w:rPr>
          <w:rFonts w:ascii="Arial" w:hAnsi="Arial" w:eastAsia="Arial" w:cs="Arial"/>
        </w:rPr>
        <w:t xml:space="preserve">and </w:t>
      </w:r>
      <w:r w:rsidRPr="00057325" w:rsidR="00C84573">
        <w:rPr>
          <w:rFonts w:ascii="Arial" w:hAnsi="Arial" w:eastAsia="Arial" w:cs="Arial"/>
        </w:rPr>
        <w:t>(vi) databases and connection of other State tools that must integrate the Sustainable Territories Program</w:t>
      </w:r>
      <w:r w:rsidRPr="00057325">
        <w:rPr>
          <w:rStyle w:val="FootnoteReference"/>
          <w:rFonts w:ascii="Arial" w:hAnsi="Arial" w:eastAsia="Arial" w:cs="Arial"/>
        </w:rPr>
        <w:footnoteReference w:id="4"/>
      </w:r>
      <w:r w:rsidRPr="00057325" w:rsidR="00C84573">
        <w:rPr>
          <w:rFonts w:ascii="Arial" w:hAnsi="Arial" w:eastAsia="Arial" w:cs="Arial"/>
        </w:rPr>
        <w:t xml:space="preserve"> (</w:t>
      </w:r>
      <w:r w:rsidR="005B274E">
        <w:rPr>
          <w:rFonts w:ascii="Arial" w:hAnsi="Arial" w:eastAsia="Arial" w:cs="Arial"/>
        </w:rPr>
        <w:t xml:space="preserve">Land Registry and </w:t>
      </w:r>
      <w:r w:rsidRPr="008209A4" w:rsidR="005B274E">
        <w:rPr>
          <w:rFonts w:ascii="Arial" w:hAnsi="Arial" w:eastAsia="Arial" w:cs="Arial"/>
        </w:rPr>
        <w:t>Regularization System</w:t>
      </w:r>
      <w:r w:rsidRPr="008209A4" w:rsidR="0037274E">
        <w:rPr>
          <w:rFonts w:ascii="Arial" w:hAnsi="Arial" w:eastAsia="Arial" w:cs="Arial"/>
        </w:rPr>
        <w:t xml:space="preserve"> (</w:t>
      </w:r>
      <w:r w:rsidRPr="008209A4" w:rsidR="00C84573">
        <w:rPr>
          <w:rFonts w:ascii="Arial" w:hAnsi="Arial" w:eastAsia="Arial" w:cs="Arial"/>
        </w:rPr>
        <w:t>SICARF</w:t>
      </w:r>
      <w:r w:rsidRPr="008209A4" w:rsidR="0037274E">
        <w:rPr>
          <w:rFonts w:ascii="Arial" w:hAnsi="Arial" w:eastAsia="Arial" w:cs="Arial"/>
        </w:rPr>
        <w:t>)</w:t>
      </w:r>
      <w:r w:rsidRPr="008209A4" w:rsidR="00C84573">
        <w:rPr>
          <w:rFonts w:ascii="Arial" w:hAnsi="Arial" w:eastAsia="Arial" w:cs="Arial"/>
        </w:rPr>
        <w:t xml:space="preserve">, </w:t>
      </w:r>
      <w:r w:rsidRPr="008209A4" w:rsidR="00147CE7">
        <w:rPr>
          <w:rFonts w:ascii="Arial" w:hAnsi="Arial" w:eastAsia="Arial" w:cs="Arial"/>
        </w:rPr>
        <w:t xml:space="preserve">National </w:t>
      </w:r>
      <w:r w:rsidRPr="008209A4" w:rsidR="008209A4">
        <w:rPr>
          <w:rFonts w:ascii="Arial" w:hAnsi="Arial" w:eastAsia="Arial" w:cs="Arial"/>
        </w:rPr>
        <w:t xml:space="preserve">Rural Environmental Registry System </w:t>
      </w:r>
      <w:r w:rsidRPr="008209A4" w:rsidR="005B274E">
        <w:rPr>
          <w:rFonts w:ascii="Arial" w:hAnsi="Arial" w:eastAsia="Arial" w:cs="Arial"/>
        </w:rPr>
        <w:t>(</w:t>
      </w:r>
      <w:r w:rsidRPr="008209A4" w:rsidR="00C84573">
        <w:rPr>
          <w:rFonts w:ascii="Arial" w:hAnsi="Arial" w:eastAsia="Arial" w:cs="Arial"/>
        </w:rPr>
        <w:t>SICAR</w:t>
      </w:r>
      <w:r w:rsidRPr="008209A4" w:rsidR="005B274E">
        <w:rPr>
          <w:rFonts w:ascii="Arial" w:hAnsi="Arial" w:eastAsia="Arial" w:cs="Arial"/>
        </w:rPr>
        <w:t>)</w:t>
      </w:r>
      <w:r w:rsidRPr="008209A4" w:rsidR="00C84573">
        <w:rPr>
          <w:rFonts w:ascii="Arial" w:hAnsi="Arial" w:eastAsia="Arial" w:cs="Arial"/>
        </w:rPr>
        <w:t>, Green</w:t>
      </w:r>
      <w:r w:rsidRPr="00057325" w:rsidR="00C84573">
        <w:rPr>
          <w:rFonts w:ascii="Arial" w:hAnsi="Arial" w:eastAsia="Arial" w:cs="Arial"/>
        </w:rPr>
        <w:t xml:space="preserve"> Seal, CAR 2.0, among others). The platform will be aimed at beneficiaries of environmental services, user-payers</w:t>
      </w:r>
      <w:r w:rsidR="00D00AE8">
        <w:rPr>
          <w:rFonts w:ascii="Arial" w:hAnsi="Arial" w:eastAsia="Arial" w:cs="Arial"/>
        </w:rPr>
        <w:t>,</w:t>
      </w:r>
      <w:r w:rsidR="00310CB1">
        <w:rPr>
          <w:rFonts w:ascii="Arial" w:hAnsi="Arial" w:eastAsia="Arial" w:cs="Arial"/>
        </w:rPr>
        <w:t xml:space="preserve"> </w:t>
      </w:r>
      <w:r w:rsidRPr="00057325" w:rsidR="00C84573">
        <w:rPr>
          <w:rFonts w:ascii="Arial" w:hAnsi="Arial" w:eastAsia="Arial" w:cs="Arial"/>
        </w:rPr>
        <w:t>and will also be used for engagement and dialogue with actors and beneficiaries of this type of service.</w:t>
      </w:r>
    </w:p>
    <w:p w:rsidRPr="00057325" w:rsidR="27BA3B1F" w:rsidP="55147108" w:rsidRDefault="00C84573" w14:paraId="426A166D" w14:textId="5636BB77">
      <w:pPr>
        <w:pStyle w:val="ListParagraph"/>
        <w:numPr>
          <w:ilvl w:val="1"/>
          <w:numId w:val="20"/>
        </w:numPr>
        <w:spacing w:before="120" w:after="120" w:line="240" w:lineRule="auto"/>
        <w:ind w:left="720"/>
        <w:jc w:val="both"/>
        <w:rPr>
          <w:rFonts w:ascii="Arial" w:hAnsi="Arial" w:eastAsia="Arial" w:cs="Arial"/>
        </w:rPr>
      </w:pPr>
      <w:r w:rsidRPr="55147108" w:rsidR="00C84573">
        <w:rPr>
          <w:rFonts w:ascii="Arial" w:hAnsi="Arial" w:eastAsia="Arial" w:cs="Arial"/>
        </w:rPr>
        <w:t xml:space="preserve">Providing agents: (i) such as agro-extractive settlements, traditional communities and indigenous peoples, rural producers (“appetite” to participate in the </w:t>
      </w:r>
      <w:r w:rsidRPr="55147108" w:rsidR="00C84573">
        <w:rPr>
          <w:rFonts w:ascii="Arial" w:hAnsi="Arial" w:eastAsia="Arial" w:cs="Arial"/>
        </w:rPr>
        <w:t>market</w:t>
      </w:r>
      <w:r w:rsidRPr="55147108" w:rsidR="00B61B40">
        <w:rPr>
          <w:rFonts w:ascii="Arial" w:hAnsi="Arial" w:eastAsia="Arial" w:cs="Arial"/>
        </w:rPr>
        <w:t xml:space="preserve"> </w:t>
      </w:r>
      <w:r w:rsidRPr="55147108" w:rsidR="00C84573">
        <w:rPr>
          <w:rFonts w:ascii="Arial" w:hAnsi="Arial" w:eastAsia="Arial" w:cs="Arial"/>
        </w:rPr>
        <w:t>value</w:t>
      </w:r>
      <w:r w:rsidRPr="55147108" w:rsidR="00A924BE">
        <w:rPr>
          <w:rFonts w:ascii="Arial" w:hAnsi="Arial" w:eastAsia="Arial" w:cs="Arial"/>
        </w:rPr>
        <w:t xml:space="preserve"> </w:t>
      </w:r>
      <w:r w:rsidRPr="55147108" w:rsidR="00C84573">
        <w:rPr>
          <w:rFonts w:ascii="Arial" w:hAnsi="Arial" w:eastAsia="Arial" w:cs="Arial"/>
        </w:rPr>
        <w:t xml:space="preserve">of the </w:t>
      </w:r>
      <w:r w:rsidRPr="55147108" w:rsidR="00A924BE">
        <w:rPr>
          <w:rFonts w:ascii="Arial" w:hAnsi="Arial" w:eastAsia="Arial" w:cs="Arial"/>
        </w:rPr>
        <w:t>PES</w:t>
      </w:r>
      <w:r w:rsidRPr="55147108" w:rsidR="00C84573">
        <w:rPr>
          <w:rFonts w:ascii="Arial" w:hAnsi="Arial" w:eastAsia="Arial" w:cs="Arial"/>
        </w:rPr>
        <w:t xml:space="preserve"> that attracts them); (ii) mapping priority areas and actors (private areas – small, medium and/or large, indigenous peoples and local communities, non-destined public forests, conservation units, etc.); (iii)</w:t>
      </w:r>
      <w:r w:rsidRPr="55147108" w:rsidR="00C10C94">
        <w:rPr>
          <w:rFonts w:ascii="Arial" w:hAnsi="Arial" w:eastAsia="Arial" w:cs="Arial"/>
        </w:rPr>
        <w:t> </w:t>
      </w:r>
      <w:r w:rsidRPr="55147108" w:rsidR="00C84573">
        <w:rPr>
          <w:rFonts w:ascii="Arial" w:hAnsi="Arial" w:eastAsia="Arial" w:cs="Arial"/>
        </w:rPr>
        <w:t xml:space="preserve">assessment of potential impact as an incentive (for restoration, conservation of forests and/or for environmental services); (iv) proposition of methodology and dynamics of consultancy/workshop with beneficiaries to evaluate eligibility criteria and priority areas; </w:t>
      </w:r>
      <w:r w:rsidRPr="55147108" w:rsidR="00AE7CFB">
        <w:rPr>
          <w:rFonts w:ascii="Arial" w:hAnsi="Arial" w:eastAsia="Arial" w:cs="Arial"/>
        </w:rPr>
        <w:t xml:space="preserve">and </w:t>
      </w:r>
      <w:r w:rsidRPr="55147108" w:rsidR="00C84573">
        <w:rPr>
          <w:rFonts w:ascii="Arial" w:hAnsi="Arial" w:eastAsia="Arial" w:cs="Arial"/>
        </w:rPr>
        <w:t>(v) connection with the Sustainable Territories and Regulariza</w:t>
      </w:r>
      <w:r w:rsidRPr="55147108" w:rsidR="00F67794">
        <w:rPr>
          <w:rFonts w:ascii="Arial" w:hAnsi="Arial" w:eastAsia="Arial" w:cs="Arial"/>
        </w:rPr>
        <w:t>tion of the</w:t>
      </w:r>
      <w:r w:rsidRPr="55147108" w:rsidR="00C84573">
        <w:rPr>
          <w:rFonts w:ascii="Arial" w:hAnsi="Arial" w:eastAsia="Arial" w:cs="Arial"/>
        </w:rPr>
        <w:t xml:space="preserve"> Pará Platform (land and environmental regularization) and interconnection with other public and private mechanisms, including the carbon market, jurisdictional REDD+ program, article 6 of the Paris Agreement. </w:t>
      </w:r>
    </w:p>
    <w:p w:rsidRPr="00057325" w:rsidR="00C84573" w:rsidP="55147108" w:rsidRDefault="00C84573" w14:paraId="3D1E25A0" w14:textId="206F51D0">
      <w:pPr>
        <w:pStyle w:val="ListParagraph"/>
        <w:numPr>
          <w:ilvl w:val="1"/>
          <w:numId w:val="23"/>
        </w:numPr>
        <w:spacing w:before="120" w:after="120" w:line="240" w:lineRule="auto"/>
        <w:ind w:hanging="547"/>
        <w:jc w:val="both"/>
        <w:rPr>
          <w:rFonts w:ascii="Arial" w:hAnsi="Arial" w:cs="Arial"/>
          <w:spacing w:val="-2"/>
        </w:rPr>
      </w:pPr>
      <w:r w:rsidRPr="00057325" w:rsidR="00C84573">
        <w:rPr>
          <w:rFonts w:ascii="Arial" w:hAnsi="Arial" w:eastAsia="Arial" w:cs="Arial"/>
          <w:b w:val="1"/>
          <w:bCs w:val="1"/>
          <w:spacing w:val="-2"/>
        </w:rPr>
        <w:t>Component 3. Knowledge Management and Results Monitoring (US$50,000).</w:t>
      </w:r>
      <w:r w:rsidRPr="00057325" w:rsidR="00C84573">
        <w:rPr>
          <w:rFonts w:ascii="Arial" w:hAnsi="Arial" w:eastAsia="Arial" w:cs="Arial"/>
          <w:spacing w:val="-2"/>
        </w:rPr>
        <w:t xml:space="preserve"> </w:t>
      </w:r>
      <w:r w:rsidRPr="00057325" w:rsidR="6BAFE2F6">
        <w:rPr>
          <w:rFonts w:ascii="Arial" w:hAnsi="Arial" w:eastAsia="Arial" w:cs="Arial"/>
          <w:spacing w:val="-2"/>
        </w:rPr>
        <w:t xml:space="preserve">This component </w:t>
      </w:r>
      <w:r w:rsidRPr="00057325" w:rsidR="0DFE657E">
        <w:rPr>
          <w:rFonts w:ascii="Arial" w:hAnsi="Arial" w:eastAsia="Arial" w:cs="Arial"/>
        </w:rPr>
        <w:t>will hire consultant services to</w:t>
      </w:r>
      <w:r w:rsidRPr="00057325" w:rsidR="00C84573">
        <w:rPr>
          <w:rFonts w:ascii="Arial" w:hAnsi="Arial" w:eastAsia="Arial" w:cs="Arial"/>
        </w:rPr>
        <w:t xml:space="preserve"> </w:t>
      </w:r>
      <w:r w:rsidRPr="00057325" w:rsidR="00C84573">
        <w:rPr>
          <w:rFonts w:ascii="Arial" w:hAnsi="Arial" w:eastAsia="Arial" w:cs="Arial"/>
          <w:spacing w:val="-2"/>
        </w:rPr>
        <w:t>support</w:t>
      </w:r>
      <w:r w:rsidRPr="00057325" w:rsidR="00F67794">
        <w:rPr>
          <w:rFonts w:ascii="Arial" w:hAnsi="Arial" w:eastAsia="Arial" w:cs="Arial"/>
          <w:spacing w:val="-2"/>
        </w:rPr>
        <w:t>:</w:t>
      </w:r>
      <w:r w:rsidRPr="00057325" w:rsidR="00C84573">
        <w:rPr>
          <w:rFonts w:ascii="Arial" w:hAnsi="Arial" w:eastAsia="Arial" w:cs="Arial"/>
          <w:spacing w:val="-2"/>
        </w:rPr>
        <w:t xml:space="preserve"> (i) dissemination of lessons learned and dialogue at the state level; (ii) definition of metrics </w:t>
      </w:r>
      <w:r w:rsidRPr="00057325" w:rsidR="00385A6B">
        <w:rPr>
          <w:rFonts w:ascii="Arial" w:hAnsi="Arial" w:eastAsia="Arial" w:cs="Arial"/>
          <w:spacing w:val="-2"/>
        </w:rPr>
        <w:t>to</w:t>
      </w:r>
      <w:r w:rsidRPr="00057325" w:rsidR="00C84573">
        <w:rPr>
          <w:rFonts w:ascii="Arial" w:hAnsi="Arial" w:eastAsia="Arial" w:cs="Arial"/>
          <w:spacing w:val="-2"/>
        </w:rPr>
        <w:t xml:space="preserve"> support </w:t>
      </w:r>
      <w:r w:rsidRPr="00057325" w:rsidR="00B917CC">
        <w:rPr>
          <w:rFonts w:ascii="Arial" w:hAnsi="Arial" w:eastAsia="Arial" w:cs="Arial"/>
          <w:spacing w:val="-2"/>
        </w:rPr>
        <w:t xml:space="preserve">results’ </w:t>
      </w:r>
      <w:r w:rsidRPr="00057325" w:rsidR="00C84573">
        <w:rPr>
          <w:rFonts w:ascii="Arial" w:hAnsi="Arial" w:eastAsia="Arial" w:cs="Arial"/>
          <w:spacing w:val="-2"/>
        </w:rPr>
        <w:t xml:space="preserve">monitoring of </w:t>
      </w:r>
      <w:r w:rsidRPr="00057325" w:rsidR="00C84573">
        <w:rPr>
          <w:rFonts w:ascii="Arial" w:hAnsi="Arial" w:eastAsia="Arial" w:cs="Arial"/>
          <w:spacing w:val="-2"/>
        </w:rPr>
        <w:lastRenderedPageBreak/>
        <w:t>the Platform</w:t>
      </w:r>
      <w:r w:rsidRPr="00057325" w:rsidR="00BA4621">
        <w:rPr>
          <w:rFonts w:ascii="Arial" w:hAnsi="Arial" w:eastAsia="Arial" w:cs="Arial"/>
          <w:spacing w:val="-2"/>
        </w:rPr>
        <w:t>’</w:t>
      </w:r>
      <w:r w:rsidRPr="00057325" w:rsidR="00C84573">
        <w:rPr>
          <w:rFonts w:ascii="Arial" w:hAnsi="Arial" w:eastAsia="Arial" w:cs="Arial"/>
          <w:spacing w:val="-2"/>
        </w:rPr>
        <w:t>s impacts</w:t>
      </w:r>
      <w:r w:rsidRPr="00057325" w:rsidR="00B61B40">
        <w:rPr>
          <w:rFonts w:ascii="Arial" w:hAnsi="Arial" w:eastAsia="Arial" w:cs="Arial"/>
        </w:rPr>
        <w:t>;</w:t>
      </w:r>
      <w:r w:rsidRPr="00057325" w:rsidR="00C84573">
        <w:rPr>
          <w:rFonts w:ascii="Arial" w:hAnsi="Arial" w:eastAsia="Arial" w:cs="Arial"/>
          <w:spacing w:val="-2"/>
        </w:rPr>
        <w:t xml:space="preserve"> and (iii) systematization results from learning, monitoring of the implementation of goals.</w:t>
      </w:r>
    </w:p>
    <w:p w:rsidRPr="00057325" w:rsidR="001C18FD" w:rsidP="5AD3CCB7" w:rsidRDefault="00C84573" w14:paraId="3BBAB201" w14:textId="43123573">
      <w:pPr>
        <w:pStyle w:val="ListParagraph"/>
        <w:numPr>
          <w:ilvl w:val="1"/>
          <w:numId w:val="23"/>
        </w:numPr>
        <w:spacing w:before="120" w:after="120" w:line="240" w:lineRule="auto"/>
        <w:ind w:hanging="547"/>
        <w:jc w:val="both"/>
        <w:rPr>
          <w:rFonts w:ascii="Calibri" w:hAnsi="Calibri" w:eastAsia="Calibri" w:cs="Calibri" w:asciiTheme="minorAscii" w:hAnsiTheme="minorAscii" w:eastAsiaTheme="minorAscii" w:cstheme="minorAscii"/>
          <w:sz w:val="22"/>
          <w:szCs w:val="22"/>
        </w:rPr>
      </w:pPr>
      <w:r w:rsidRPr="5AD3CCB7" w:rsidR="00C84573">
        <w:rPr>
          <w:rFonts w:ascii="Arial" w:hAnsi="Arial" w:eastAsia="Arial" w:cs="Arial"/>
        </w:rPr>
        <w:t xml:space="preserve">The total cost of this TC will be US$500,000, of which US$350,000 </w:t>
      </w:r>
      <w:r w:rsidRPr="5AD3CCB7" w:rsidR="00C84573">
        <w:rPr>
          <w:rFonts w:ascii="Arial" w:hAnsi="Arial" w:eastAsia="Arial" w:cs="Arial"/>
        </w:rPr>
        <w:t>will be financed</w:t>
      </w:r>
      <w:r w:rsidRPr="5AD3CCB7" w:rsidR="00C84573">
        <w:rPr>
          <w:rFonts w:ascii="Arial" w:hAnsi="Arial" w:eastAsia="Arial" w:cs="Arial"/>
        </w:rPr>
        <w:t xml:space="preserve"> </w:t>
      </w:r>
      <w:r w:rsidRPr="5AD3CCB7" w:rsidR="004172FE">
        <w:rPr>
          <w:rFonts w:ascii="Arial" w:hAnsi="Arial" w:eastAsia="Arial" w:cs="Arial"/>
        </w:rPr>
        <w:t>with resources from the OC SDP Window 3 - Sustainable Development in the Amazon (W3A) Fund and US$150,000 from t</w:t>
      </w:r>
      <w:r w:rsidRPr="5AD3CCB7" w:rsidR="00C75758">
        <w:rPr>
          <w:rFonts w:ascii="Arial" w:hAnsi="Arial" w:eastAsia="Arial" w:cs="Arial"/>
        </w:rPr>
        <w:t xml:space="preserve">he </w:t>
      </w:r>
      <w:r w:rsidRPr="5AD3CCB7" w:rsidR="55147108">
        <w:rPr>
          <w:rFonts w:ascii="Arial" w:hAnsi="Arial" w:eastAsia="Arial" w:cs="Arial"/>
          <w:noProof w:val="0"/>
          <w:lang w:val="en-US"/>
        </w:rPr>
        <w:t xml:space="preserve">Amazon Bioeconomy and Forest Management Fund </w:t>
      </w:r>
      <w:r w:rsidRPr="5AD3CCB7" w:rsidR="55147108">
        <w:rPr>
          <w:rFonts w:ascii="Arial" w:hAnsi="Arial" w:eastAsia="Arial" w:cs="Arial"/>
          <w:noProof w:val="0"/>
          <w:lang w:val="en-US"/>
        </w:rPr>
        <w:t xml:space="preserve">(AMZ - </w:t>
      </w:r>
      <w:r w:rsidRPr="5AD3CCB7" w:rsidR="55147108">
        <w:rPr>
          <w:rFonts w:ascii="Arial" w:hAnsi="Arial" w:eastAsia="Arial" w:cs="Arial"/>
          <w:noProof w:val="0"/>
          <w:lang w:val="en-US"/>
        </w:rPr>
        <w:t>Multi Donor</w:t>
      </w:r>
      <w:r w:rsidRPr="5AD3CCB7" w:rsidR="55147108">
        <w:rPr>
          <w:rFonts w:ascii="Arial" w:hAnsi="Arial" w:eastAsia="Arial" w:cs="Arial"/>
          <w:noProof w:val="0"/>
          <w:lang w:val="en-US"/>
        </w:rPr>
        <w:t xml:space="preserve"> Trust </w:t>
      </w:r>
      <w:r w:rsidRPr="5AD3CCB7" w:rsidR="55147108">
        <w:rPr>
          <w:rFonts w:ascii="Arial" w:hAnsi="Arial" w:eastAsia="Arial" w:cs="Arial"/>
          <w:noProof w:val="0"/>
          <w:lang w:val="en-US"/>
        </w:rPr>
        <w:t>Fund)</w:t>
      </w:r>
      <w:r w:rsidRPr="5AD3CCB7" w:rsidR="004172FE">
        <w:rPr>
          <w:rFonts w:ascii="Arial" w:hAnsi="Arial" w:eastAsia="Arial" w:cs="Arial"/>
        </w:rPr>
        <w:t xml:space="preserve">. </w:t>
      </w:r>
    </w:p>
    <w:p w:rsidRPr="00057325" w:rsidR="00F6363D" w:rsidP="55147108" w:rsidRDefault="00F6363D" w14:paraId="3BBAB203" w14:textId="6FFDE6B1">
      <w:pPr>
        <w:pStyle w:val="ListParagraph"/>
        <w:spacing w:before="60" w:after="60" w:line="240" w:lineRule="auto"/>
        <w:ind w:left="360"/>
        <w:jc w:val="center"/>
        <w:rPr>
          <w:rFonts w:ascii="Arial" w:hAnsi="Arial" w:eastAsia="Arial" w:cs="Arial"/>
          <w:b w:val="1"/>
          <w:bCs w:val="1"/>
          <w:sz w:val="22"/>
          <w:szCs w:val="22"/>
        </w:rPr>
      </w:pPr>
      <w:r w:rsidRPr="55147108" w:rsidR="00F6363D">
        <w:rPr>
          <w:rFonts w:ascii="Arial" w:hAnsi="Arial" w:eastAsia="Arial" w:cs="Arial"/>
          <w:b w:val="1"/>
          <w:bCs w:val="1"/>
          <w:sz w:val="22"/>
          <w:szCs w:val="22"/>
        </w:rPr>
        <w:t>Budget</w:t>
      </w:r>
    </w:p>
    <w:tbl>
      <w:tblPr>
        <w:tblStyle w:val="TableGrid"/>
        <w:tblW w:w="7710" w:type="dxa"/>
        <w:jc w:val="center"/>
        <w:tblLayout w:type="fixed"/>
        <w:tblLook w:val="04A0" w:firstRow="1" w:lastRow="0" w:firstColumn="1" w:lastColumn="0" w:noHBand="0" w:noVBand="1"/>
      </w:tblPr>
      <w:tblGrid>
        <w:gridCol w:w="2115"/>
        <w:gridCol w:w="1320"/>
        <w:gridCol w:w="1485"/>
        <w:gridCol w:w="1320"/>
        <w:gridCol w:w="1470"/>
      </w:tblGrid>
      <w:tr w:rsidR="55147108" w:rsidTr="5AD3CCB7" w14:paraId="539F63CA">
        <w:trPr>
          <w:trHeight w:val="960"/>
        </w:trPr>
        <w:tc>
          <w:tcPr>
            <w:tcW w:w="2115" w:type="dxa"/>
            <w:shd w:val="clear" w:color="auto" w:fill="EEECE1" w:themeFill="background2"/>
            <w:tcMar/>
            <w:vAlign w:val="center"/>
          </w:tcPr>
          <w:p w:rsidR="55147108" w:rsidP="55147108" w:rsidRDefault="55147108" w14:paraId="5D656957" w14:textId="79D5CC80">
            <w:pPr>
              <w:jc w:val="center"/>
            </w:pPr>
            <w:r w:rsidRPr="55147108" w:rsidR="55147108">
              <w:rPr>
                <w:rFonts w:ascii="Arial" w:hAnsi="Arial" w:eastAsia="Arial" w:cs="Arial"/>
                <w:b w:val="1"/>
                <w:bCs w:val="1"/>
                <w:i w:val="0"/>
                <w:iCs w:val="0"/>
                <w:strike w:val="0"/>
                <w:dstrike w:val="0"/>
                <w:sz w:val="18"/>
                <w:szCs w:val="18"/>
                <w:u w:val="none"/>
                <w:lang w:val="en-US"/>
              </w:rPr>
              <w:t>Activity/Component Description</w:t>
            </w:r>
            <w:r w:rsidRPr="55147108" w:rsidR="55147108">
              <w:rPr>
                <w:rFonts w:ascii="Arial" w:hAnsi="Arial" w:eastAsia="Arial" w:cs="Arial"/>
                <w:b w:val="0"/>
                <w:bCs w:val="0"/>
                <w:i w:val="0"/>
                <w:iCs w:val="0"/>
                <w:strike w:val="0"/>
                <w:dstrike w:val="0"/>
                <w:sz w:val="18"/>
                <w:szCs w:val="18"/>
                <w:u w:val="none"/>
                <w:lang w:val="en-US"/>
              </w:rPr>
              <w:t xml:space="preserve"> </w:t>
            </w:r>
          </w:p>
        </w:tc>
        <w:tc>
          <w:tcPr>
            <w:tcW w:w="1320" w:type="dxa"/>
            <w:tcBorders>
              <w:top w:val="single" w:color="000000" w:themeColor="text1" w:sz="4"/>
              <w:bottom w:val="single" w:color="000000" w:themeColor="text1" w:sz="8"/>
              <w:right w:val="single" w:color="000000" w:themeColor="text1" w:sz="8"/>
            </w:tcBorders>
            <w:shd w:val="clear" w:color="auto" w:fill="EEECE1" w:themeFill="background2"/>
            <w:tcMar/>
            <w:vAlign w:val="center"/>
          </w:tcPr>
          <w:p w:rsidR="55147108" w:rsidP="55147108" w:rsidRDefault="55147108" w14:paraId="4BF0E77C" w14:textId="0011F5DD">
            <w:pPr>
              <w:jc w:val="center"/>
            </w:pPr>
            <w:r w:rsidRPr="5AD3CCB7" w:rsidR="55147108">
              <w:rPr>
                <w:rFonts w:ascii="Arial" w:hAnsi="Arial" w:eastAsia="Arial" w:cs="Arial"/>
                <w:b w:val="1"/>
                <w:bCs w:val="1"/>
                <w:i w:val="0"/>
                <w:iCs w:val="0"/>
                <w:strike w:val="0"/>
                <w:dstrike w:val="0"/>
                <w:sz w:val="18"/>
                <w:szCs w:val="18"/>
                <w:u w:val="none"/>
                <w:lang w:val="en-US"/>
              </w:rPr>
              <w:t xml:space="preserve">IDB/Fund OC SDP (W3A) </w:t>
            </w:r>
            <w:r w:rsidRPr="5AD3CCB7" w:rsidR="55147108">
              <w:rPr>
                <w:rFonts w:ascii="Arial" w:hAnsi="Arial" w:eastAsia="Arial" w:cs="Arial"/>
                <w:b w:val="0"/>
                <w:bCs w:val="0"/>
                <w:i w:val="0"/>
                <w:iCs w:val="0"/>
                <w:strike w:val="0"/>
                <w:dstrike w:val="0"/>
                <w:sz w:val="18"/>
                <w:szCs w:val="18"/>
                <w:u w:val="none"/>
                <w:lang w:val="en-US"/>
              </w:rPr>
              <w:t xml:space="preserve"> </w:t>
            </w:r>
          </w:p>
        </w:tc>
        <w:tc>
          <w:tcPr>
            <w:tcW w:w="1485" w:type="dxa"/>
            <w:tcBorders>
              <w:top w:val="single" w:color="000000" w:themeColor="text1" w:sz="4"/>
              <w:left w:val="single" w:color="000000" w:themeColor="text1" w:sz="8"/>
              <w:bottom w:val="single" w:color="000000" w:themeColor="text1" w:sz="8"/>
              <w:right w:val="single" w:color="000000" w:themeColor="text1" w:sz="8"/>
            </w:tcBorders>
            <w:shd w:val="clear" w:color="auto" w:fill="EEECE1" w:themeFill="background2"/>
            <w:tcMar/>
            <w:vAlign w:val="center"/>
          </w:tcPr>
          <w:p w:rsidR="55147108" w:rsidP="55147108" w:rsidRDefault="55147108" w14:paraId="1D29367B" w14:textId="156B63C3">
            <w:pPr>
              <w:jc w:val="center"/>
            </w:pPr>
            <w:r w:rsidRPr="5AD3CCB7" w:rsidR="55147108">
              <w:rPr>
                <w:rFonts w:ascii="Arial" w:hAnsi="Arial" w:eastAsia="Arial" w:cs="Arial"/>
                <w:b w:val="1"/>
                <w:bCs w:val="1"/>
                <w:i w:val="0"/>
                <w:iCs w:val="0"/>
                <w:strike w:val="0"/>
                <w:dstrike w:val="0"/>
                <w:sz w:val="18"/>
                <w:szCs w:val="18"/>
                <w:u w:val="none"/>
                <w:lang w:val="en-US"/>
              </w:rPr>
              <w:t>IDB/Fund Multi Donor Fund</w:t>
            </w:r>
            <w:r w:rsidRPr="5AD3CCB7" w:rsidR="55147108">
              <w:rPr>
                <w:rFonts w:ascii="Arial" w:hAnsi="Arial" w:eastAsia="Arial" w:cs="Arial"/>
                <w:b w:val="0"/>
                <w:bCs w:val="0"/>
                <w:i w:val="0"/>
                <w:iCs w:val="0"/>
                <w:strike w:val="0"/>
                <w:dstrike w:val="0"/>
                <w:sz w:val="18"/>
                <w:szCs w:val="18"/>
                <w:u w:val="none"/>
                <w:lang w:val="en-US"/>
              </w:rPr>
              <w:t xml:space="preserve"> (</w:t>
            </w:r>
            <w:r w:rsidRPr="5AD3CCB7" w:rsidR="55147108">
              <w:rPr>
                <w:rFonts w:ascii="Arial" w:hAnsi="Arial" w:eastAsia="Arial" w:cs="Arial"/>
                <w:b w:val="1"/>
                <w:bCs w:val="1"/>
                <w:i w:val="0"/>
                <w:iCs w:val="0"/>
                <w:strike w:val="0"/>
                <w:dstrike w:val="0"/>
                <w:sz w:val="18"/>
                <w:szCs w:val="18"/>
                <w:u w:val="none"/>
                <w:lang w:val="en-US"/>
              </w:rPr>
              <w:t>AMZ)</w:t>
            </w:r>
          </w:p>
        </w:tc>
        <w:tc>
          <w:tcPr>
            <w:tcW w:w="1320" w:type="dxa"/>
            <w:tcBorders>
              <w:top w:val="single" w:color="000000" w:themeColor="text1" w:sz="4"/>
              <w:left w:val="single" w:color="000000" w:themeColor="text1" w:sz="8"/>
              <w:bottom w:val="single" w:color="000000" w:themeColor="text1" w:sz="8"/>
              <w:right w:val="single" w:color="000000" w:themeColor="text1" w:sz="8"/>
            </w:tcBorders>
            <w:shd w:val="clear" w:color="auto" w:fill="EEECE1" w:themeFill="background2"/>
            <w:tcMar/>
            <w:vAlign w:val="center"/>
          </w:tcPr>
          <w:p w:rsidR="55147108" w:rsidP="55147108" w:rsidRDefault="55147108" w14:paraId="56835C01" w14:textId="60ED6F01">
            <w:pPr>
              <w:jc w:val="center"/>
            </w:pPr>
            <w:r w:rsidRPr="55147108" w:rsidR="55147108">
              <w:rPr>
                <w:rFonts w:ascii="Arial" w:hAnsi="Arial" w:eastAsia="Arial" w:cs="Arial"/>
                <w:b w:val="1"/>
                <w:bCs w:val="1"/>
                <w:i w:val="0"/>
                <w:iCs w:val="0"/>
                <w:strike w:val="0"/>
                <w:dstrike w:val="0"/>
                <w:sz w:val="18"/>
                <w:szCs w:val="18"/>
                <w:u w:val="none"/>
                <w:lang w:val="en-US"/>
              </w:rPr>
              <w:t xml:space="preserve">Counterpart </w:t>
            </w:r>
            <w:r w:rsidRPr="55147108" w:rsidR="55147108">
              <w:rPr>
                <w:rFonts w:ascii="Arial" w:hAnsi="Arial" w:eastAsia="Arial" w:cs="Arial"/>
                <w:b w:val="0"/>
                <w:bCs w:val="0"/>
                <w:i w:val="0"/>
                <w:iCs w:val="0"/>
                <w:strike w:val="0"/>
                <w:dstrike w:val="0"/>
                <w:sz w:val="18"/>
                <w:szCs w:val="18"/>
                <w:u w:val="none"/>
                <w:lang w:val="en-US"/>
              </w:rPr>
              <w:t xml:space="preserve"> </w:t>
            </w:r>
          </w:p>
        </w:tc>
        <w:tc>
          <w:tcPr>
            <w:tcW w:w="1470" w:type="dxa"/>
            <w:tcBorders>
              <w:top w:val="single" w:color="000000" w:themeColor="text1" w:sz="4"/>
              <w:left w:val="single" w:color="000000" w:themeColor="text1" w:sz="8"/>
              <w:bottom w:val="single" w:color="000000" w:themeColor="text1" w:sz="8"/>
              <w:right w:val="single" w:color="000000" w:themeColor="text1" w:sz="4"/>
            </w:tcBorders>
            <w:shd w:val="clear" w:color="auto" w:fill="EEECE1" w:themeFill="background2"/>
            <w:tcMar/>
            <w:vAlign w:val="center"/>
          </w:tcPr>
          <w:p w:rsidR="55147108" w:rsidP="55147108" w:rsidRDefault="55147108" w14:paraId="598A8C64" w14:textId="22AC29C7">
            <w:pPr>
              <w:jc w:val="center"/>
            </w:pPr>
            <w:r w:rsidRPr="55147108" w:rsidR="55147108">
              <w:rPr>
                <w:rFonts w:ascii="Arial" w:hAnsi="Arial" w:eastAsia="Arial" w:cs="Arial"/>
                <w:b w:val="1"/>
                <w:bCs w:val="1"/>
                <w:i w:val="0"/>
                <w:iCs w:val="0"/>
                <w:strike w:val="0"/>
                <w:dstrike w:val="0"/>
                <w:sz w:val="18"/>
                <w:szCs w:val="18"/>
                <w:u w:val="none"/>
                <w:lang w:val="en-US"/>
              </w:rPr>
              <w:t xml:space="preserve">Total </w:t>
            </w:r>
            <w:r w:rsidRPr="55147108" w:rsidR="55147108">
              <w:rPr>
                <w:rFonts w:ascii="Arial" w:hAnsi="Arial" w:eastAsia="Arial" w:cs="Arial"/>
                <w:b w:val="0"/>
                <w:bCs w:val="0"/>
                <w:i w:val="0"/>
                <w:iCs w:val="0"/>
                <w:strike w:val="0"/>
                <w:dstrike w:val="0"/>
                <w:sz w:val="18"/>
                <w:szCs w:val="18"/>
                <w:u w:val="none"/>
                <w:lang w:val="en-US"/>
              </w:rPr>
              <w:t xml:space="preserve"> </w:t>
            </w:r>
          </w:p>
        </w:tc>
      </w:tr>
      <w:tr w:rsidR="55147108" w:rsidTr="5AD3CCB7" w14:paraId="55BA9929">
        <w:trPr>
          <w:trHeight w:val="690"/>
        </w:trPr>
        <w:tc>
          <w:tcPr>
            <w:tcW w:w="2115" w:type="dxa"/>
            <w:tcMar/>
            <w:vAlign w:val="center"/>
          </w:tcPr>
          <w:p w:rsidR="55147108" w:rsidP="55147108" w:rsidRDefault="55147108" w14:paraId="713CEE71" w14:textId="16CC82D3">
            <w:pPr>
              <w:jc w:val="center"/>
            </w:pPr>
            <w:r w:rsidRPr="55147108" w:rsidR="55147108">
              <w:rPr>
                <w:rFonts w:ascii="Arial" w:hAnsi="Arial" w:eastAsia="Arial" w:cs="Arial"/>
                <w:b w:val="0"/>
                <w:bCs w:val="0"/>
                <w:i w:val="0"/>
                <w:iCs w:val="0"/>
                <w:strike w:val="0"/>
                <w:dstrike w:val="0"/>
                <w:sz w:val="18"/>
                <w:szCs w:val="18"/>
                <w:u w:val="none"/>
                <w:lang w:val="en-US"/>
              </w:rPr>
              <w:t xml:space="preserve">Component 1. Methodological Structuring </w:t>
            </w:r>
          </w:p>
        </w:tc>
        <w:tc>
          <w:tcPr>
            <w:tcW w:w="1320" w:type="dxa"/>
            <w:tcBorders>
              <w:top w:val="single" w:color="000000" w:themeColor="text1" w:sz="8"/>
              <w:bottom w:val="single" w:color="000000" w:themeColor="text1" w:sz="8"/>
              <w:right w:val="single" w:color="000000" w:themeColor="text1" w:sz="8"/>
            </w:tcBorders>
            <w:tcMar/>
            <w:vAlign w:val="center"/>
          </w:tcPr>
          <w:p w:rsidR="55147108" w:rsidP="55147108" w:rsidRDefault="55147108" w14:paraId="0FB82347" w14:textId="3C59841A">
            <w:pPr>
              <w:jc w:val="center"/>
            </w:pPr>
            <w:r w:rsidRPr="55147108" w:rsidR="55147108">
              <w:rPr>
                <w:rFonts w:ascii="Arial" w:hAnsi="Arial" w:eastAsia="Arial" w:cs="Arial"/>
                <w:b w:val="0"/>
                <w:bCs w:val="0"/>
                <w:i w:val="0"/>
                <w:iCs w:val="0"/>
                <w:strike w:val="0"/>
                <w:dstrike w:val="0"/>
                <w:sz w:val="18"/>
                <w:szCs w:val="18"/>
                <w:u w:val="none"/>
                <w:lang w:val="en-US"/>
              </w:rPr>
              <w:t xml:space="preserve">100,000 </w:t>
            </w:r>
          </w:p>
        </w:tc>
        <w:tc>
          <w:tcPr>
            <w:tcW w:w="148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55147108" w:rsidP="55147108" w:rsidRDefault="55147108" w14:paraId="5C0B7160" w14:textId="749D5E1F">
            <w:pPr>
              <w:jc w:val="center"/>
            </w:pPr>
            <w:r w:rsidRPr="55147108" w:rsidR="55147108">
              <w:rPr>
                <w:rFonts w:ascii="Arial" w:hAnsi="Arial" w:eastAsia="Arial" w:cs="Arial"/>
                <w:b w:val="0"/>
                <w:bCs w:val="0"/>
                <w:i w:val="0"/>
                <w:iCs w:val="0"/>
                <w:strike w:val="0"/>
                <w:dstrike w:val="0"/>
                <w:sz w:val="18"/>
                <w:szCs w:val="18"/>
                <w:u w:val="none"/>
              </w:rPr>
              <w:t xml:space="preserve">100,000 </w:t>
            </w:r>
          </w:p>
        </w:tc>
        <w:tc>
          <w:tcPr>
            <w:tcW w:w="1320"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55147108" w:rsidP="55147108" w:rsidRDefault="55147108" w14:paraId="7D5B3478" w14:textId="34995562">
            <w:pPr>
              <w:jc w:val="center"/>
            </w:pPr>
            <w:r w:rsidRPr="55147108" w:rsidR="55147108">
              <w:rPr>
                <w:rFonts w:ascii="Arial" w:hAnsi="Arial" w:eastAsia="Arial" w:cs="Arial"/>
                <w:b w:val="0"/>
                <w:bCs w:val="0"/>
                <w:i w:val="0"/>
                <w:iCs w:val="0"/>
                <w:strike w:val="0"/>
                <w:dstrike w:val="0"/>
                <w:sz w:val="18"/>
                <w:szCs w:val="18"/>
                <w:u w:val="none"/>
                <w:lang w:val="en-US"/>
              </w:rPr>
              <w:t xml:space="preserve">0 </w:t>
            </w:r>
          </w:p>
        </w:tc>
        <w:tc>
          <w:tcPr>
            <w:tcW w:w="1470" w:type="dxa"/>
            <w:tcBorders>
              <w:top w:val="single" w:color="000000" w:themeColor="text1" w:sz="8"/>
              <w:left w:val="single" w:color="000000" w:themeColor="text1" w:sz="8"/>
              <w:bottom w:val="single" w:color="000000" w:themeColor="text1" w:sz="8"/>
              <w:right w:val="single" w:color="000000" w:themeColor="text1" w:sz="4"/>
            </w:tcBorders>
            <w:tcMar/>
            <w:vAlign w:val="center"/>
          </w:tcPr>
          <w:p w:rsidR="55147108" w:rsidP="55147108" w:rsidRDefault="55147108" w14:paraId="23BB9FE1" w14:textId="12A180C3">
            <w:pPr>
              <w:jc w:val="center"/>
            </w:pPr>
            <w:r w:rsidRPr="55147108" w:rsidR="55147108">
              <w:rPr>
                <w:rFonts w:ascii="Arial" w:hAnsi="Arial" w:eastAsia="Arial" w:cs="Arial"/>
                <w:b w:val="0"/>
                <w:bCs w:val="0"/>
                <w:i w:val="0"/>
                <w:iCs w:val="0"/>
                <w:strike w:val="0"/>
                <w:dstrike w:val="0"/>
                <w:sz w:val="18"/>
                <w:szCs w:val="18"/>
                <w:u w:val="none"/>
                <w:lang w:val="en-US"/>
              </w:rPr>
              <w:t xml:space="preserve">200,000 </w:t>
            </w:r>
          </w:p>
        </w:tc>
      </w:tr>
      <w:tr w:rsidR="55147108" w:rsidTr="5AD3CCB7" w14:paraId="51F58DAF">
        <w:trPr>
          <w:trHeight w:val="465"/>
        </w:trPr>
        <w:tc>
          <w:tcPr>
            <w:tcW w:w="2115" w:type="dxa"/>
            <w:tcMar/>
            <w:vAlign w:val="center"/>
          </w:tcPr>
          <w:p w:rsidR="55147108" w:rsidP="55147108" w:rsidRDefault="55147108" w14:paraId="35D1DFB1" w14:textId="561B24F1">
            <w:pPr>
              <w:jc w:val="center"/>
            </w:pPr>
            <w:r w:rsidRPr="55147108" w:rsidR="55147108">
              <w:rPr>
                <w:rFonts w:ascii="Arial" w:hAnsi="Arial" w:eastAsia="Arial" w:cs="Arial"/>
                <w:b w:val="0"/>
                <w:bCs w:val="0"/>
                <w:i w:val="0"/>
                <w:iCs w:val="0"/>
                <w:strike w:val="0"/>
                <w:dstrike w:val="0"/>
                <w:sz w:val="18"/>
                <w:szCs w:val="18"/>
                <w:u w:val="none"/>
                <w:lang w:val="en-US"/>
              </w:rPr>
              <w:t xml:space="preserve">Component 2. Tool Development </w:t>
            </w:r>
          </w:p>
        </w:tc>
        <w:tc>
          <w:tcPr>
            <w:tcW w:w="1320" w:type="dxa"/>
            <w:tcBorders>
              <w:top w:val="single" w:color="000000" w:themeColor="text1" w:sz="8"/>
              <w:bottom w:val="single" w:color="000000" w:themeColor="text1" w:sz="8"/>
              <w:right w:val="single" w:color="000000" w:themeColor="text1" w:sz="8"/>
            </w:tcBorders>
            <w:tcMar/>
            <w:vAlign w:val="center"/>
          </w:tcPr>
          <w:p w:rsidR="55147108" w:rsidP="55147108" w:rsidRDefault="55147108" w14:paraId="2E6CACA3" w14:textId="573D4341">
            <w:pPr>
              <w:jc w:val="center"/>
            </w:pPr>
            <w:r w:rsidRPr="55147108" w:rsidR="55147108">
              <w:rPr>
                <w:rFonts w:ascii="Arial" w:hAnsi="Arial" w:eastAsia="Arial" w:cs="Arial"/>
                <w:b w:val="0"/>
                <w:bCs w:val="0"/>
                <w:i w:val="0"/>
                <w:iCs w:val="0"/>
                <w:strike w:val="0"/>
                <w:dstrike w:val="0"/>
                <w:sz w:val="18"/>
                <w:szCs w:val="18"/>
                <w:u w:val="none"/>
                <w:lang w:val="en-US"/>
              </w:rPr>
              <w:t xml:space="preserve">200,000 </w:t>
            </w:r>
          </w:p>
        </w:tc>
        <w:tc>
          <w:tcPr>
            <w:tcW w:w="148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55147108" w:rsidP="55147108" w:rsidRDefault="55147108" w14:paraId="23DF16D7" w14:textId="1ECE4529">
            <w:pPr>
              <w:jc w:val="center"/>
            </w:pPr>
            <w:r w:rsidRPr="55147108" w:rsidR="55147108">
              <w:rPr>
                <w:rFonts w:ascii="Arial" w:hAnsi="Arial" w:eastAsia="Arial" w:cs="Arial"/>
                <w:b w:val="0"/>
                <w:bCs w:val="0"/>
                <w:i w:val="0"/>
                <w:iCs w:val="0"/>
                <w:strike w:val="0"/>
                <w:dstrike w:val="0"/>
                <w:sz w:val="18"/>
                <w:szCs w:val="18"/>
                <w:u w:val="none"/>
                <w:lang w:val="en-US"/>
              </w:rPr>
              <w:t xml:space="preserve"> 50,000  </w:t>
            </w:r>
          </w:p>
        </w:tc>
        <w:tc>
          <w:tcPr>
            <w:tcW w:w="1320"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55147108" w:rsidP="55147108" w:rsidRDefault="55147108" w14:paraId="3BD54A67" w14:textId="005716A4">
            <w:pPr>
              <w:jc w:val="center"/>
            </w:pPr>
            <w:r w:rsidRPr="55147108" w:rsidR="55147108">
              <w:rPr>
                <w:rFonts w:ascii="Arial" w:hAnsi="Arial" w:eastAsia="Arial" w:cs="Arial"/>
                <w:b w:val="0"/>
                <w:bCs w:val="0"/>
                <w:i w:val="0"/>
                <w:iCs w:val="0"/>
                <w:strike w:val="0"/>
                <w:dstrike w:val="0"/>
                <w:sz w:val="18"/>
                <w:szCs w:val="18"/>
                <w:u w:val="none"/>
                <w:lang w:val="en-US"/>
              </w:rPr>
              <w:t xml:space="preserve">0 </w:t>
            </w:r>
          </w:p>
        </w:tc>
        <w:tc>
          <w:tcPr>
            <w:tcW w:w="1470" w:type="dxa"/>
            <w:tcBorders>
              <w:top w:val="single" w:color="000000" w:themeColor="text1" w:sz="8"/>
              <w:left w:val="single" w:color="000000" w:themeColor="text1" w:sz="8"/>
              <w:bottom w:val="single" w:color="000000" w:themeColor="text1" w:sz="8"/>
              <w:right w:val="single" w:color="000000" w:themeColor="text1" w:sz="4"/>
            </w:tcBorders>
            <w:tcMar/>
            <w:vAlign w:val="center"/>
          </w:tcPr>
          <w:p w:rsidR="55147108" w:rsidP="55147108" w:rsidRDefault="55147108" w14:paraId="0213F88B" w14:textId="1DDFA742">
            <w:pPr>
              <w:jc w:val="center"/>
            </w:pPr>
            <w:r w:rsidRPr="55147108" w:rsidR="55147108">
              <w:rPr>
                <w:rFonts w:ascii="Arial" w:hAnsi="Arial" w:eastAsia="Arial" w:cs="Arial"/>
                <w:b w:val="0"/>
                <w:bCs w:val="0"/>
                <w:i w:val="0"/>
                <w:iCs w:val="0"/>
                <w:strike w:val="0"/>
                <w:dstrike w:val="0"/>
                <w:sz w:val="18"/>
                <w:szCs w:val="18"/>
                <w:u w:val="none"/>
                <w:lang w:val="en-US"/>
              </w:rPr>
              <w:t>250,000</w:t>
            </w:r>
          </w:p>
        </w:tc>
      </w:tr>
      <w:tr w:rsidR="55147108" w:rsidTr="5AD3CCB7" w14:paraId="44ADCE82">
        <w:trPr>
          <w:trHeight w:val="930"/>
        </w:trPr>
        <w:tc>
          <w:tcPr>
            <w:tcW w:w="2115" w:type="dxa"/>
            <w:tcMar/>
            <w:vAlign w:val="center"/>
          </w:tcPr>
          <w:p w:rsidR="55147108" w:rsidP="55147108" w:rsidRDefault="55147108" w14:paraId="52216373" w14:textId="25F8A672">
            <w:pPr>
              <w:jc w:val="center"/>
            </w:pPr>
            <w:r w:rsidRPr="55147108" w:rsidR="55147108">
              <w:rPr>
                <w:rFonts w:ascii="Arial" w:hAnsi="Arial" w:eastAsia="Arial" w:cs="Arial"/>
                <w:b w:val="0"/>
                <w:bCs w:val="0"/>
                <w:i w:val="0"/>
                <w:iCs w:val="0"/>
                <w:strike w:val="0"/>
                <w:dstrike w:val="0"/>
                <w:sz w:val="18"/>
                <w:szCs w:val="18"/>
                <w:u w:val="none"/>
                <w:lang w:val="en-US"/>
              </w:rPr>
              <w:t xml:space="preserve">Component 3. Knowledge Management and Results Monitoring </w:t>
            </w:r>
          </w:p>
        </w:tc>
        <w:tc>
          <w:tcPr>
            <w:tcW w:w="1320" w:type="dxa"/>
            <w:tcBorders>
              <w:top w:val="single" w:color="000000" w:themeColor="text1" w:sz="8"/>
              <w:bottom w:val="single" w:color="000000" w:themeColor="text1" w:sz="8"/>
              <w:right w:val="single" w:color="000000" w:themeColor="text1" w:sz="8"/>
            </w:tcBorders>
            <w:tcMar/>
            <w:vAlign w:val="center"/>
          </w:tcPr>
          <w:p w:rsidR="55147108" w:rsidP="55147108" w:rsidRDefault="55147108" w14:paraId="56681ABC" w14:textId="16E83D94">
            <w:pPr>
              <w:jc w:val="center"/>
            </w:pPr>
            <w:r w:rsidRPr="55147108" w:rsidR="55147108">
              <w:rPr>
                <w:rFonts w:ascii="Arial" w:hAnsi="Arial" w:eastAsia="Arial" w:cs="Arial"/>
                <w:b w:val="0"/>
                <w:bCs w:val="0"/>
                <w:i w:val="0"/>
                <w:iCs w:val="0"/>
                <w:strike w:val="0"/>
                <w:dstrike w:val="0"/>
                <w:sz w:val="18"/>
                <w:szCs w:val="18"/>
                <w:u w:val="none"/>
                <w:lang w:val="en-US"/>
              </w:rPr>
              <w:t xml:space="preserve">50,000 </w:t>
            </w:r>
          </w:p>
        </w:tc>
        <w:tc>
          <w:tcPr>
            <w:tcW w:w="148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55147108" w:rsidP="55147108" w:rsidRDefault="55147108" w14:paraId="746EF9A8" w14:textId="03799D8A">
            <w:pPr>
              <w:jc w:val="center"/>
            </w:pPr>
            <w:r w:rsidRPr="55147108" w:rsidR="55147108">
              <w:rPr>
                <w:rFonts w:ascii="Arial" w:hAnsi="Arial" w:eastAsia="Arial" w:cs="Arial"/>
                <w:b w:val="0"/>
                <w:bCs w:val="0"/>
                <w:i w:val="0"/>
                <w:iCs w:val="0"/>
                <w:strike w:val="0"/>
                <w:dstrike w:val="0"/>
                <w:sz w:val="18"/>
                <w:szCs w:val="18"/>
                <w:u w:val="none"/>
                <w:lang w:val="en-US"/>
              </w:rPr>
              <w:t xml:space="preserve"> 0  </w:t>
            </w:r>
          </w:p>
        </w:tc>
        <w:tc>
          <w:tcPr>
            <w:tcW w:w="1320"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55147108" w:rsidP="55147108" w:rsidRDefault="55147108" w14:paraId="61D55E90" w14:textId="797C2B3A">
            <w:pPr>
              <w:jc w:val="center"/>
            </w:pPr>
            <w:r w:rsidRPr="55147108" w:rsidR="55147108">
              <w:rPr>
                <w:rFonts w:ascii="Arial" w:hAnsi="Arial" w:eastAsia="Arial" w:cs="Arial"/>
                <w:b w:val="0"/>
                <w:bCs w:val="0"/>
                <w:i w:val="0"/>
                <w:iCs w:val="0"/>
                <w:strike w:val="0"/>
                <w:dstrike w:val="0"/>
                <w:sz w:val="18"/>
                <w:szCs w:val="18"/>
                <w:u w:val="none"/>
                <w:lang w:val="en-US"/>
              </w:rPr>
              <w:t xml:space="preserve">0 </w:t>
            </w:r>
          </w:p>
        </w:tc>
        <w:tc>
          <w:tcPr>
            <w:tcW w:w="1470" w:type="dxa"/>
            <w:tcBorders>
              <w:top w:val="single" w:color="000000" w:themeColor="text1" w:sz="8"/>
              <w:left w:val="single" w:color="000000" w:themeColor="text1" w:sz="8"/>
              <w:bottom w:val="single" w:color="000000" w:themeColor="text1" w:sz="8"/>
              <w:right w:val="single" w:color="000000" w:themeColor="text1" w:sz="4"/>
            </w:tcBorders>
            <w:tcMar/>
            <w:vAlign w:val="center"/>
          </w:tcPr>
          <w:p w:rsidR="55147108" w:rsidP="55147108" w:rsidRDefault="55147108" w14:paraId="4A2E85BF" w14:textId="49E5D620">
            <w:pPr>
              <w:jc w:val="center"/>
            </w:pPr>
            <w:r w:rsidRPr="55147108" w:rsidR="55147108">
              <w:rPr>
                <w:rFonts w:ascii="Arial" w:hAnsi="Arial" w:eastAsia="Arial" w:cs="Arial"/>
                <w:b w:val="0"/>
                <w:bCs w:val="0"/>
                <w:i w:val="0"/>
                <w:iCs w:val="0"/>
                <w:strike w:val="0"/>
                <w:dstrike w:val="0"/>
                <w:sz w:val="18"/>
                <w:szCs w:val="18"/>
                <w:u w:val="none"/>
                <w:lang w:val="en-US"/>
              </w:rPr>
              <w:t xml:space="preserve">50,000 </w:t>
            </w:r>
          </w:p>
        </w:tc>
      </w:tr>
      <w:tr w:rsidR="55147108" w:rsidTr="5AD3CCB7" w14:paraId="663218E7">
        <w:trPr>
          <w:trHeight w:val="285"/>
        </w:trPr>
        <w:tc>
          <w:tcPr>
            <w:tcW w:w="2115" w:type="dxa"/>
            <w:shd w:val="clear" w:color="auto" w:fill="F2F2F2" w:themeFill="background1" w:themeFillShade="F2"/>
            <w:tcMar/>
            <w:vAlign w:val="center"/>
          </w:tcPr>
          <w:p w:rsidR="55147108" w:rsidP="55147108" w:rsidRDefault="55147108" w14:paraId="0F1E41E4" w14:textId="0BEF02E8">
            <w:pPr>
              <w:jc w:val="center"/>
            </w:pPr>
            <w:r w:rsidRPr="55147108" w:rsidR="55147108">
              <w:rPr>
                <w:rFonts w:ascii="Arial" w:hAnsi="Arial" w:eastAsia="Arial" w:cs="Arial"/>
                <w:b w:val="1"/>
                <w:bCs w:val="1"/>
                <w:i w:val="0"/>
                <w:iCs w:val="0"/>
                <w:strike w:val="0"/>
                <w:dstrike w:val="0"/>
                <w:sz w:val="18"/>
                <w:szCs w:val="18"/>
                <w:u w:val="none"/>
                <w:lang w:val="en-US"/>
              </w:rPr>
              <w:t>Total</w:t>
            </w:r>
            <w:r w:rsidRPr="55147108" w:rsidR="55147108">
              <w:rPr>
                <w:rFonts w:ascii="Arial" w:hAnsi="Arial" w:eastAsia="Arial" w:cs="Arial"/>
                <w:b w:val="0"/>
                <w:bCs w:val="0"/>
                <w:i w:val="0"/>
                <w:iCs w:val="0"/>
                <w:strike w:val="0"/>
                <w:dstrike w:val="0"/>
                <w:sz w:val="18"/>
                <w:szCs w:val="18"/>
                <w:u w:val="none"/>
                <w:lang w:val="en-US"/>
              </w:rPr>
              <w:t xml:space="preserve"> </w:t>
            </w:r>
          </w:p>
        </w:tc>
        <w:tc>
          <w:tcPr>
            <w:tcW w:w="1320" w:type="dxa"/>
            <w:tcBorders>
              <w:top w:val="single" w:color="000000" w:themeColor="text1" w:sz="8"/>
              <w:bottom w:val="single" w:color="000000" w:themeColor="text1" w:sz="4"/>
              <w:right w:val="single" w:color="000000" w:themeColor="text1" w:sz="8"/>
            </w:tcBorders>
            <w:shd w:val="clear" w:color="auto" w:fill="F2F2F2" w:themeFill="background1" w:themeFillShade="F2"/>
            <w:tcMar/>
            <w:vAlign w:val="center"/>
          </w:tcPr>
          <w:p w:rsidR="55147108" w:rsidP="55147108" w:rsidRDefault="55147108" w14:paraId="3924633E" w14:textId="74F9170E">
            <w:pPr>
              <w:jc w:val="center"/>
            </w:pPr>
            <w:r w:rsidRPr="55147108" w:rsidR="55147108">
              <w:rPr>
                <w:rFonts w:ascii="Arial" w:hAnsi="Arial" w:eastAsia="Arial" w:cs="Arial"/>
                <w:b w:val="1"/>
                <w:bCs w:val="1"/>
                <w:i w:val="0"/>
                <w:iCs w:val="0"/>
                <w:strike w:val="0"/>
                <w:dstrike w:val="0"/>
                <w:sz w:val="18"/>
                <w:szCs w:val="18"/>
                <w:u w:val="none"/>
                <w:lang w:val="en-US"/>
              </w:rPr>
              <w:t>350,000</w:t>
            </w:r>
            <w:r w:rsidRPr="55147108" w:rsidR="55147108">
              <w:rPr>
                <w:rFonts w:ascii="Arial" w:hAnsi="Arial" w:eastAsia="Arial" w:cs="Arial"/>
                <w:b w:val="0"/>
                <w:bCs w:val="0"/>
                <w:i w:val="0"/>
                <w:iCs w:val="0"/>
                <w:strike w:val="0"/>
                <w:dstrike w:val="0"/>
                <w:sz w:val="18"/>
                <w:szCs w:val="18"/>
                <w:u w:val="none"/>
                <w:lang w:val="en-US"/>
              </w:rPr>
              <w:t xml:space="preserve"> </w:t>
            </w:r>
          </w:p>
        </w:tc>
        <w:tc>
          <w:tcPr>
            <w:tcW w:w="1485" w:type="dxa"/>
            <w:tcBorders>
              <w:top w:val="single" w:color="000000" w:themeColor="text1" w:sz="8"/>
              <w:left w:val="single" w:color="000000" w:themeColor="text1" w:sz="8"/>
              <w:bottom w:val="single" w:color="000000" w:themeColor="text1" w:sz="4"/>
              <w:right w:val="single" w:color="000000" w:themeColor="text1" w:sz="8"/>
            </w:tcBorders>
            <w:shd w:val="clear" w:color="auto" w:fill="F2F2F2" w:themeFill="background1" w:themeFillShade="F2"/>
            <w:tcMar/>
            <w:vAlign w:val="center"/>
          </w:tcPr>
          <w:p w:rsidR="55147108" w:rsidP="55147108" w:rsidRDefault="55147108" w14:paraId="58DD8CB0" w14:textId="7D757959">
            <w:pPr>
              <w:jc w:val="center"/>
            </w:pPr>
            <w:r w:rsidRPr="55147108" w:rsidR="55147108">
              <w:rPr>
                <w:rFonts w:ascii="Arial" w:hAnsi="Arial" w:eastAsia="Arial" w:cs="Arial"/>
                <w:b w:val="1"/>
                <w:bCs w:val="1"/>
                <w:i w:val="0"/>
                <w:iCs w:val="0"/>
                <w:strike w:val="0"/>
                <w:dstrike w:val="0"/>
                <w:sz w:val="18"/>
                <w:szCs w:val="18"/>
                <w:u w:val="none"/>
                <w:lang w:val="en-US"/>
              </w:rPr>
              <w:t>150,000</w:t>
            </w:r>
            <w:r w:rsidRPr="55147108" w:rsidR="55147108">
              <w:rPr>
                <w:rFonts w:ascii="Arial" w:hAnsi="Arial" w:eastAsia="Arial" w:cs="Arial"/>
                <w:b w:val="0"/>
                <w:bCs w:val="0"/>
                <w:i w:val="0"/>
                <w:iCs w:val="0"/>
                <w:strike w:val="0"/>
                <w:dstrike w:val="0"/>
                <w:sz w:val="18"/>
                <w:szCs w:val="18"/>
                <w:u w:val="none"/>
                <w:lang w:val="en-US"/>
              </w:rPr>
              <w:t xml:space="preserve"> </w:t>
            </w:r>
          </w:p>
        </w:tc>
        <w:tc>
          <w:tcPr>
            <w:tcW w:w="1320" w:type="dxa"/>
            <w:tcBorders>
              <w:top w:val="single" w:color="000000" w:themeColor="text1" w:sz="8"/>
              <w:left w:val="single" w:color="000000" w:themeColor="text1" w:sz="8"/>
              <w:bottom w:val="single" w:color="000000" w:themeColor="text1" w:sz="4"/>
              <w:right w:val="single" w:color="000000" w:themeColor="text1" w:sz="8"/>
            </w:tcBorders>
            <w:shd w:val="clear" w:color="auto" w:fill="F2F2F2" w:themeFill="background1" w:themeFillShade="F2"/>
            <w:tcMar/>
            <w:vAlign w:val="center"/>
          </w:tcPr>
          <w:p w:rsidR="55147108" w:rsidP="55147108" w:rsidRDefault="55147108" w14:paraId="7FD752C3" w14:textId="194F48DE">
            <w:pPr>
              <w:jc w:val="center"/>
            </w:pPr>
            <w:r w:rsidRPr="55147108" w:rsidR="55147108">
              <w:rPr>
                <w:rFonts w:ascii="Arial" w:hAnsi="Arial" w:eastAsia="Arial" w:cs="Arial"/>
                <w:b w:val="1"/>
                <w:bCs w:val="1"/>
                <w:i w:val="0"/>
                <w:iCs w:val="0"/>
                <w:strike w:val="0"/>
                <w:dstrike w:val="0"/>
                <w:sz w:val="18"/>
                <w:szCs w:val="18"/>
                <w:u w:val="none"/>
                <w:lang w:val="en-US"/>
              </w:rPr>
              <w:t>0</w:t>
            </w:r>
            <w:r w:rsidRPr="55147108" w:rsidR="55147108">
              <w:rPr>
                <w:rFonts w:ascii="Arial" w:hAnsi="Arial" w:eastAsia="Arial" w:cs="Arial"/>
                <w:b w:val="0"/>
                <w:bCs w:val="0"/>
                <w:i w:val="0"/>
                <w:iCs w:val="0"/>
                <w:strike w:val="0"/>
                <w:dstrike w:val="0"/>
                <w:sz w:val="18"/>
                <w:szCs w:val="18"/>
                <w:u w:val="none"/>
                <w:lang w:val="en-US"/>
              </w:rPr>
              <w:t xml:space="preserve"> </w:t>
            </w:r>
          </w:p>
        </w:tc>
        <w:tc>
          <w:tcPr>
            <w:tcW w:w="1470" w:type="dxa"/>
            <w:tcBorders>
              <w:top w:val="single" w:color="000000" w:themeColor="text1" w:sz="8"/>
              <w:left w:val="single" w:color="000000" w:themeColor="text1" w:sz="8"/>
              <w:bottom w:val="single" w:color="000000" w:themeColor="text1" w:sz="4"/>
              <w:right w:val="single" w:color="000000" w:themeColor="text1" w:sz="4"/>
            </w:tcBorders>
            <w:shd w:val="clear" w:color="auto" w:fill="F2F2F2" w:themeFill="background1" w:themeFillShade="F2"/>
            <w:tcMar/>
            <w:vAlign w:val="center"/>
          </w:tcPr>
          <w:p w:rsidR="55147108" w:rsidP="55147108" w:rsidRDefault="55147108" w14:paraId="36847A19" w14:textId="37A4BF56">
            <w:pPr>
              <w:jc w:val="center"/>
              <w:rPr>
                <w:rFonts w:ascii="Arial" w:hAnsi="Arial" w:eastAsia="Arial" w:cs="Arial"/>
                <w:b w:val="0"/>
                <w:bCs w:val="0"/>
                <w:i w:val="0"/>
                <w:iCs w:val="0"/>
                <w:strike w:val="0"/>
                <w:dstrike w:val="0"/>
                <w:sz w:val="18"/>
                <w:szCs w:val="18"/>
                <w:u w:val="none"/>
                <w:lang w:val="en-US"/>
              </w:rPr>
            </w:pPr>
            <w:r w:rsidRPr="55147108" w:rsidR="55147108">
              <w:rPr>
                <w:rFonts w:ascii="Arial" w:hAnsi="Arial" w:eastAsia="Arial" w:cs="Arial"/>
                <w:b w:val="1"/>
                <w:bCs w:val="1"/>
                <w:i w:val="0"/>
                <w:iCs w:val="0"/>
                <w:strike w:val="0"/>
                <w:dstrike w:val="0"/>
                <w:sz w:val="18"/>
                <w:szCs w:val="18"/>
                <w:u w:val="none"/>
                <w:lang w:val="en-US"/>
              </w:rPr>
              <w:t>500,000</w:t>
            </w:r>
          </w:p>
        </w:tc>
      </w:tr>
    </w:tbl>
    <w:p w:rsidR="55147108" w:rsidP="55147108" w:rsidRDefault="55147108" w14:paraId="78A63803" w14:textId="4C4D3ACD">
      <w:pPr>
        <w:pStyle w:val="ListParagraph"/>
        <w:spacing w:before="60" w:after="60" w:line="240" w:lineRule="auto"/>
        <w:ind w:left="360"/>
        <w:jc w:val="center"/>
        <w:rPr>
          <w:rFonts w:ascii="Arial" w:hAnsi="Arial" w:eastAsia="Arial" w:cs="Arial"/>
          <w:b w:val="1"/>
          <w:bCs w:val="1"/>
          <w:sz w:val="18"/>
          <w:szCs w:val="18"/>
        </w:rPr>
      </w:pPr>
    </w:p>
    <w:p w:rsidRPr="00057325" w:rsidR="0095711B" w:rsidP="000D2A7B" w:rsidRDefault="0095711B" w14:paraId="3BBAB21F" w14:textId="3EA4223E">
      <w:pPr>
        <w:pStyle w:val="ListParagraph"/>
        <w:numPr>
          <w:ilvl w:val="0"/>
          <w:numId w:val="6"/>
        </w:numPr>
        <w:spacing w:before="240" w:after="120" w:line="240" w:lineRule="auto"/>
        <w:ind w:hanging="270"/>
        <w:contextualSpacing w:val="0"/>
        <w:rPr>
          <w:rFonts w:ascii="Arial" w:hAnsi="Arial" w:eastAsia="Arial" w:cs="Arial"/>
          <w:b/>
          <w:bCs/>
        </w:rPr>
      </w:pPr>
      <w:r w:rsidRPr="00057325">
        <w:rPr>
          <w:rFonts w:ascii="Arial" w:hAnsi="Arial" w:eastAsia="Arial" w:cs="Arial"/>
          <w:b/>
          <w:bCs/>
        </w:rPr>
        <w:t xml:space="preserve">Executing </w:t>
      </w:r>
      <w:r w:rsidRPr="00057325" w:rsidR="00D11387">
        <w:rPr>
          <w:rFonts w:ascii="Arial" w:hAnsi="Arial" w:eastAsia="Arial" w:cs="Arial"/>
          <w:b/>
          <w:bCs/>
        </w:rPr>
        <w:t>A</w:t>
      </w:r>
      <w:r w:rsidRPr="00057325">
        <w:rPr>
          <w:rFonts w:ascii="Arial" w:hAnsi="Arial" w:eastAsia="Arial" w:cs="Arial"/>
          <w:b/>
          <w:bCs/>
        </w:rPr>
        <w:t xml:space="preserve">gency and </w:t>
      </w:r>
      <w:r w:rsidRPr="00057325" w:rsidR="00D11387">
        <w:rPr>
          <w:rFonts w:ascii="Arial" w:hAnsi="Arial" w:eastAsia="Arial" w:cs="Arial"/>
          <w:b/>
          <w:bCs/>
        </w:rPr>
        <w:t>E</w:t>
      </w:r>
      <w:r w:rsidRPr="00057325">
        <w:rPr>
          <w:rFonts w:ascii="Arial" w:hAnsi="Arial" w:eastAsia="Arial" w:cs="Arial"/>
          <w:b/>
          <w:bCs/>
        </w:rPr>
        <w:t xml:space="preserve">xecution </w:t>
      </w:r>
      <w:r w:rsidRPr="00057325" w:rsidR="00D11387">
        <w:rPr>
          <w:rFonts w:ascii="Arial" w:hAnsi="Arial" w:eastAsia="Arial" w:cs="Arial"/>
          <w:b/>
          <w:bCs/>
        </w:rPr>
        <w:t>S</w:t>
      </w:r>
      <w:r w:rsidRPr="00057325">
        <w:rPr>
          <w:rFonts w:ascii="Arial" w:hAnsi="Arial" w:eastAsia="Arial" w:cs="Arial"/>
          <w:b/>
          <w:bCs/>
        </w:rPr>
        <w:t>tructur</w:t>
      </w:r>
      <w:r w:rsidRPr="00057325" w:rsidR="00D11387">
        <w:rPr>
          <w:rFonts w:ascii="Arial" w:hAnsi="Arial" w:eastAsia="Arial" w:cs="Arial"/>
          <w:b/>
          <w:bCs/>
        </w:rPr>
        <w:t>e</w:t>
      </w:r>
    </w:p>
    <w:p w:rsidRPr="000D2A7B" w:rsidR="007C64EC" w:rsidP="55147108" w:rsidRDefault="00572E5D" w14:paraId="4674068A" w14:textId="230F7017">
      <w:pPr>
        <w:pStyle w:val="ListParagraph"/>
        <w:numPr>
          <w:ilvl w:val="1"/>
          <w:numId w:val="24"/>
        </w:numPr>
        <w:spacing w:before="120" w:after="120" w:line="240" w:lineRule="auto"/>
        <w:ind w:hanging="540"/>
        <w:jc w:val="both"/>
        <w:rPr>
          <w:rFonts w:ascii="Arial" w:hAnsi="Arial" w:cs="Arial"/>
        </w:rPr>
      </w:pPr>
      <w:r w:rsidRPr="55147108" w:rsidR="00572E5D">
        <w:rPr>
          <w:rFonts w:ascii="Arial" w:hAnsi="Arial" w:eastAsia="Arial" w:cs="Arial"/>
        </w:rPr>
        <w:t>The project team will supervise the TC</w:t>
      </w:r>
      <w:r w:rsidRPr="55147108" w:rsidR="007C64EC">
        <w:rPr>
          <w:rFonts w:ascii="Arial" w:hAnsi="Arial" w:eastAsia="Arial" w:cs="Arial"/>
        </w:rPr>
        <w:t>. Technical and implementation supervision will be responsibility of the Climate Change</w:t>
      </w:r>
      <w:r w:rsidRPr="55147108" w:rsidR="00D459A0">
        <w:rPr>
          <w:rFonts w:ascii="Arial" w:hAnsi="Arial" w:eastAsia="Arial" w:cs="Arial"/>
        </w:rPr>
        <w:t xml:space="preserve"> </w:t>
      </w:r>
      <w:r w:rsidRPr="55147108" w:rsidR="007C64EC">
        <w:rPr>
          <w:rFonts w:ascii="Arial" w:hAnsi="Arial" w:eastAsia="Arial" w:cs="Arial"/>
        </w:rPr>
        <w:t>Division (</w:t>
      </w:r>
      <w:r w:rsidRPr="55147108" w:rsidR="00D459A0">
        <w:rPr>
          <w:rFonts w:ascii="Arial" w:hAnsi="Arial" w:eastAsia="Arial" w:cs="Arial"/>
        </w:rPr>
        <w:t>CSD/</w:t>
      </w:r>
      <w:r w:rsidRPr="55147108" w:rsidR="007C64EC">
        <w:rPr>
          <w:rFonts w:ascii="Arial" w:hAnsi="Arial" w:eastAsia="Arial" w:cs="Arial"/>
        </w:rPr>
        <w:t xml:space="preserve">CCS) in the </w:t>
      </w:r>
      <w:r w:rsidRPr="55147108" w:rsidR="00D459A0">
        <w:rPr>
          <w:rFonts w:ascii="Arial" w:hAnsi="Arial" w:eastAsia="Arial" w:cs="Arial"/>
        </w:rPr>
        <w:t xml:space="preserve">IDB </w:t>
      </w:r>
      <w:r w:rsidRPr="55147108" w:rsidR="007C64EC">
        <w:rPr>
          <w:rFonts w:ascii="Arial" w:hAnsi="Arial" w:eastAsia="Arial" w:cs="Arial"/>
        </w:rPr>
        <w:t xml:space="preserve">Country Office </w:t>
      </w:r>
      <w:r w:rsidRPr="55147108" w:rsidR="00D459A0">
        <w:rPr>
          <w:rFonts w:ascii="Arial" w:hAnsi="Arial" w:eastAsia="Arial" w:cs="Arial"/>
        </w:rPr>
        <w:t xml:space="preserve">in </w:t>
      </w:r>
      <w:r w:rsidRPr="55147108" w:rsidR="00D459A0">
        <w:rPr>
          <w:rFonts w:ascii="Arial" w:hAnsi="Arial" w:eastAsia="Arial" w:cs="Arial"/>
        </w:rPr>
        <w:t xml:space="preserve">Brazil, with co-responsibility of the Connectivity, Markets and Finance </w:t>
      </w:r>
      <w:r w:rsidRPr="55147108" w:rsidR="00D459A0">
        <w:rPr>
          <w:rFonts w:ascii="Arial" w:hAnsi="Arial" w:eastAsia="Arial" w:cs="Arial"/>
        </w:rPr>
        <w:t>Division</w:t>
      </w:r>
      <w:r w:rsidRPr="55147108" w:rsidR="00D459A0">
        <w:rPr>
          <w:rFonts w:ascii="Arial" w:hAnsi="Arial" w:eastAsia="Arial" w:cs="Arial"/>
        </w:rPr>
        <w:t xml:space="preserve"> (IFD/CMF) </w:t>
      </w:r>
      <w:r w:rsidRPr="55147108" w:rsidR="007C64EC">
        <w:rPr>
          <w:rFonts w:ascii="Arial" w:hAnsi="Arial" w:eastAsia="Arial" w:cs="Arial"/>
        </w:rPr>
        <w:t>and</w:t>
      </w:r>
      <w:r w:rsidRPr="55147108" w:rsidR="007C64EC">
        <w:rPr>
          <w:rFonts w:ascii="Arial" w:hAnsi="Arial" w:eastAsia="Arial" w:cs="Arial"/>
        </w:rPr>
        <w:t xml:space="preserve"> </w:t>
      </w:r>
      <w:r w:rsidRPr="55147108" w:rsidR="00D459A0">
        <w:rPr>
          <w:rFonts w:ascii="Arial" w:hAnsi="Arial" w:eastAsia="Arial" w:cs="Arial"/>
        </w:rPr>
        <w:t xml:space="preserve">the </w:t>
      </w:r>
      <w:r w:rsidRPr="55147108" w:rsidR="007C64EC">
        <w:rPr>
          <w:rFonts w:ascii="Arial" w:hAnsi="Arial" w:eastAsia="Arial" w:cs="Arial"/>
        </w:rPr>
        <w:t xml:space="preserve">Amazon Coordination Unit (CSD/ACU). Fiduciary and financial supervision will be carried out by the financial and procurement specialists during the execution. </w:t>
      </w:r>
      <w:r w:rsidRPr="55147108" w:rsidR="0DFE657E">
        <w:rPr>
          <w:rFonts w:ascii="Arial" w:hAnsi="Arial" w:eastAsia="Arial" w:cs="Arial"/>
        </w:rPr>
        <w:t>There will be no need for any use, licensing, or transfer of products containing intellectual property rights in the scope of this TC and this will be reinforced in the contract signed with the firm to develop the services.</w:t>
      </w:r>
    </w:p>
    <w:p w:rsidRPr="00057325" w:rsidR="007C64EC" w:rsidP="000D2A7B" w:rsidRDefault="007C64EC" w14:paraId="6C2BAEB4" w14:textId="77777777">
      <w:pPr>
        <w:pStyle w:val="ListParagraph"/>
        <w:numPr>
          <w:ilvl w:val="1"/>
          <w:numId w:val="24"/>
        </w:numPr>
        <w:spacing w:before="120" w:after="120" w:line="240" w:lineRule="auto"/>
        <w:ind w:hanging="540"/>
        <w:contextualSpacing w:val="0"/>
        <w:jc w:val="both"/>
        <w:rPr>
          <w:rFonts w:ascii="Arial" w:hAnsi="Arial" w:eastAsia="Arial" w:cs="Arial"/>
        </w:rPr>
      </w:pPr>
      <w:r w:rsidRPr="00057325">
        <w:rPr>
          <w:rFonts w:ascii="Arial" w:hAnsi="Arial" w:eastAsia="Arial" w:cs="Arial"/>
        </w:rPr>
        <w:t>At the request of the beneficiaries and in accordance with Appendix 2 of the Operational Guidelines for Technical Cooperation Products (OP-619-4), the IDB will be the Executing Agency given its experience in the preparation and development of the operational and technical instruments proposed for this type of operation, as well as its knowledge of the scope of work.</w:t>
      </w:r>
    </w:p>
    <w:p w:rsidRPr="00057325" w:rsidR="007C64EC" w:rsidP="000D2A7B" w:rsidRDefault="007C64EC" w14:paraId="6298230E" w14:textId="53D177A8">
      <w:pPr>
        <w:pStyle w:val="ListParagraph"/>
        <w:numPr>
          <w:ilvl w:val="1"/>
          <w:numId w:val="24"/>
        </w:numPr>
        <w:spacing w:before="120" w:after="120" w:line="240" w:lineRule="auto"/>
        <w:ind w:hanging="540"/>
        <w:contextualSpacing w:val="0"/>
        <w:jc w:val="both"/>
        <w:rPr>
          <w:rFonts w:ascii="Arial" w:hAnsi="Arial" w:eastAsia="Arial" w:cs="Arial"/>
        </w:rPr>
      </w:pPr>
      <w:r w:rsidRPr="00057325">
        <w:rPr>
          <w:rFonts w:ascii="Arial" w:hAnsi="Arial" w:eastAsia="Arial" w:cs="Arial"/>
        </w:rPr>
        <w:t xml:space="preserve">The Nature Conservancy (TNC) </w:t>
      </w:r>
      <w:r w:rsidR="00201AE8">
        <w:rPr>
          <w:rFonts w:ascii="Arial" w:hAnsi="Arial" w:eastAsia="Arial" w:cs="Arial"/>
        </w:rPr>
        <w:t>will be hired</w:t>
      </w:r>
      <w:r w:rsidRPr="00057325">
        <w:rPr>
          <w:rFonts w:ascii="Arial" w:hAnsi="Arial" w:eastAsia="Arial" w:cs="Arial"/>
        </w:rPr>
        <w:t xml:space="preserve"> to carry out the </w:t>
      </w:r>
      <w:r w:rsidR="00B95AA1">
        <w:rPr>
          <w:rFonts w:ascii="Arial" w:hAnsi="Arial" w:eastAsia="Arial" w:cs="Arial"/>
        </w:rPr>
        <w:t xml:space="preserve">core </w:t>
      </w:r>
      <w:r w:rsidRPr="00057325">
        <w:rPr>
          <w:rFonts w:ascii="Arial" w:hAnsi="Arial" w:eastAsia="Arial" w:cs="Arial"/>
        </w:rPr>
        <w:t>activities of this technical cooperation</w:t>
      </w:r>
      <w:r w:rsidR="00F6039F">
        <w:rPr>
          <w:rFonts w:ascii="Arial" w:hAnsi="Arial" w:eastAsia="Arial" w:cs="Arial"/>
        </w:rPr>
        <w:t xml:space="preserve"> via the Single Source Selection methodology</w:t>
      </w:r>
      <w:r w:rsidRPr="00057325">
        <w:rPr>
          <w:rFonts w:ascii="Arial" w:hAnsi="Arial" w:eastAsia="Arial" w:cs="Arial"/>
        </w:rPr>
        <w:t xml:space="preserve">. TNC is one of the leading NGO (Non-Governmental Organization) working in the Brazilian Amazon. It has been present in the state of Pará for over 20 years and it possesses a broad local expertise in the Amazon region. TNC has worked closely with strategic organizations on the development of public and private partnerships, particularly in the State of Para. The organization has provided support to the state’s government in the design of the mobilization strategy for the FAO (Fundo da Amazonia Oriental) and was selected as a member of the Management Committee of such fund. The organization has developed technical work for cattle ranching, government capacity building, bioeconomy and gender issues for the State of Para’s wider Program, the Amazonia Agora. TNC is uniquely placed to support to State of Pará AAP financial architecture as it has significant knowledge of the state’s supply chains and economic opportunities, which are essential in the identification of sustainable value chains to build a pipeline and facilitate investment in the region through FAO. TNC is developing several field projects with companies and financial institutions that deliver conservation, production, and social results. It has been working closely with BASA, Partnership for Forests, Mondelez, Olam, and Extreme-E to recover degraded pasture lands with agroforestry systems. In addition, TNC is leading the development of territorial management plans to support communities in managing, using, and developing resources. </w:t>
      </w:r>
    </w:p>
    <w:p w:rsidRPr="00057325" w:rsidR="007C64EC" w:rsidP="000D2A7B" w:rsidRDefault="007C64EC" w14:paraId="0185CDAB" w14:textId="2008668D">
      <w:pPr>
        <w:pStyle w:val="ListParagraph"/>
        <w:numPr>
          <w:ilvl w:val="1"/>
          <w:numId w:val="24"/>
        </w:numPr>
        <w:spacing w:before="120" w:after="120" w:line="240" w:lineRule="auto"/>
        <w:ind w:hanging="540"/>
        <w:contextualSpacing w:val="0"/>
        <w:jc w:val="both"/>
        <w:rPr>
          <w:rFonts w:ascii="Arial" w:hAnsi="Arial" w:eastAsia="Arial" w:cs="Arial"/>
        </w:rPr>
      </w:pPr>
      <w:r w:rsidRPr="00057325">
        <w:rPr>
          <w:rFonts w:ascii="Arial" w:hAnsi="Arial" w:eastAsia="Arial" w:cs="Arial"/>
        </w:rPr>
        <w:lastRenderedPageBreak/>
        <w:t>Internationally, TNC has over 28 years of on-the-ground experience in the design and implementation of conservation programs. It is responsible for the Latin America Conservation Council, an advisory group of influential corporate and development leaders in Latin America that brings powerful advocacy and influence on key markets for economic development relying on sustainable environmental management. TNC has successfully executed IDB projects (GRT/CF12631-RG, ATN/FI-12690-RG, ATN/OC-14053-RG, and ATN/OC-15994-RG, among others) totaling more than US$6M. This includes the implementation of the first phase of the Latin America Water Funds Partnership, a five-year, $12.6M collaboration of TNC, IDB, FEMSA and the Global Environment Facility, that leveraged over US$100M to implement 19 Water Funds; the second phase of the Latin America Water Funds Partnership; as well as the Early Planning Finance for Sustainable Infrastructure in Latin America (ATN/OC</w:t>
      </w:r>
      <w:r w:rsidRPr="00057325" w:rsidR="000544CC">
        <w:rPr>
          <w:rFonts w:ascii="Arial" w:hAnsi="Arial" w:eastAsia="Arial" w:cs="Arial"/>
        </w:rPr>
        <w:noBreakHyphen/>
      </w:r>
      <w:r w:rsidRPr="00057325">
        <w:rPr>
          <w:rFonts w:ascii="Arial" w:hAnsi="Arial" w:eastAsia="Arial" w:cs="Arial"/>
        </w:rPr>
        <w:t>16226-RG).</w:t>
      </w:r>
      <w:r w:rsidRPr="00057325" w:rsidR="00936B63">
        <w:rPr>
          <w:rFonts w:ascii="Arial" w:hAnsi="Arial" w:eastAsia="Arial" w:cs="Arial"/>
        </w:rPr>
        <w:t xml:space="preserve"> </w:t>
      </w:r>
      <w:r w:rsidRPr="00057325">
        <w:rPr>
          <w:rFonts w:ascii="Arial" w:hAnsi="Arial" w:eastAsia="Arial" w:cs="Arial"/>
        </w:rPr>
        <w:t>TNC was also hired to deliver services related to ATN/AS</w:t>
      </w:r>
      <w:r w:rsidRPr="00057325" w:rsidR="000544CC">
        <w:rPr>
          <w:rFonts w:ascii="Arial" w:hAnsi="Arial" w:eastAsia="Arial" w:cs="Arial"/>
        </w:rPr>
        <w:noBreakHyphen/>
      </w:r>
      <w:r w:rsidRPr="00057325">
        <w:rPr>
          <w:rFonts w:ascii="Arial" w:hAnsi="Arial" w:eastAsia="Arial" w:cs="Arial"/>
        </w:rPr>
        <w:t xml:space="preserve">14436-RG, including an assessment on the state of Para’s bioeconomy economic value, and a report which identifies key elements for the development of healthy agricultural systems in the Para. </w:t>
      </w:r>
    </w:p>
    <w:p w:rsidRPr="00057325" w:rsidR="00D53397" w:rsidP="000D2A7B" w:rsidRDefault="00DA5FFB" w14:paraId="6EDDFDF9" w14:textId="76951D85">
      <w:pPr>
        <w:pStyle w:val="ListParagraph"/>
        <w:numPr>
          <w:ilvl w:val="1"/>
          <w:numId w:val="24"/>
        </w:numPr>
        <w:spacing w:before="120" w:after="120" w:line="240" w:lineRule="auto"/>
        <w:ind w:hanging="540"/>
        <w:contextualSpacing w:val="0"/>
        <w:jc w:val="both"/>
        <w:rPr>
          <w:rFonts w:ascii="Arial" w:hAnsi="Arial" w:eastAsia="Arial" w:cs="Arial"/>
        </w:rPr>
      </w:pPr>
      <w:r w:rsidRPr="00057325">
        <w:rPr>
          <w:rFonts w:ascii="Arial" w:hAnsi="Arial" w:eastAsia="Arial" w:cs="Arial"/>
        </w:rPr>
        <w:t>The activities to be executed under this operation have been included in the Procurement Plan (Annex IV) and will be executed in accordance with the IDB’s established procurement methods. Specifically, the Bank will follow its procurement policies and guidelines related to contracting processes: (i) individual consultants will be hired according to the guidelines established in policy AM-650; (ii) consulting firms of an intellectual nature will be hired according to the “Policy for the selection and contracting of consulting firms for operational work carried out by the Bank” (</w:t>
      </w:r>
      <w:hyperlink r:id="rId13">
        <w:r w:rsidRPr="00057325">
          <w:rPr>
            <w:rStyle w:val="Hyperlink"/>
            <w:rFonts w:ascii="Arial" w:hAnsi="Arial" w:eastAsia="Arial" w:cs="Arial"/>
          </w:rPr>
          <w:t>GN</w:t>
        </w:r>
        <w:r w:rsidRPr="00057325" w:rsidR="00C040A2">
          <w:rPr>
            <w:rStyle w:val="Hyperlink"/>
            <w:rFonts w:ascii="Arial" w:hAnsi="Arial" w:eastAsia="Arial" w:cs="Arial"/>
          </w:rPr>
          <w:noBreakHyphen/>
        </w:r>
        <w:r w:rsidRPr="00057325">
          <w:rPr>
            <w:rStyle w:val="Hyperlink"/>
            <w:rFonts w:ascii="Arial" w:hAnsi="Arial" w:eastAsia="Arial" w:cs="Arial"/>
          </w:rPr>
          <w:t>2765</w:t>
        </w:r>
        <w:r w:rsidRPr="00057325" w:rsidR="00C040A2">
          <w:rPr>
            <w:rStyle w:val="Hyperlink"/>
            <w:rFonts w:ascii="Arial" w:hAnsi="Arial" w:eastAsia="Arial" w:cs="Arial"/>
          </w:rPr>
          <w:noBreakHyphen/>
        </w:r>
        <w:r w:rsidRPr="00057325">
          <w:rPr>
            <w:rStyle w:val="Hyperlink"/>
            <w:rFonts w:ascii="Arial" w:hAnsi="Arial" w:eastAsia="Arial" w:cs="Arial"/>
          </w:rPr>
          <w:t>4</w:t>
        </w:r>
      </w:hyperlink>
      <w:r w:rsidRPr="00057325">
        <w:rPr>
          <w:rFonts w:ascii="Arial" w:hAnsi="Arial" w:eastAsia="Arial" w:cs="Arial"/>
        </w:rPr>
        <w:t xml:space="preserve">) </w:t>
      </w:r>
      <w:bookmarkStart w:name="_Int_3IYcQIpp" w:id="2"/>
      <w:r w:rsidRPr="00057325">
        <w:rPr>
          <w:rFonts w:ascii="Arial" w:hAnsi="Arial" w:eastAsia="Arial" w:cs="Arial"/>
        </w:rPr>
        <w:t>and</w:t>
      </w:r>
      <w:bookmarkEnd w:id="2"/>
      <w:r w:rsidRPr="00057325">
        <w:rPr>
          <w:rFonts w:ascii="Arial" w:hAnsi="Arial" w:eastAsia="Arial" w:cs="Arial"/>
        </w:rPr>
        <w:t xml:space="preserve"> its Operational Guidelines (</w:t>
      </w:r>
      <w:hyperlink r:id="rId14">
        <w:r w:rsidRPr="00057325">
          <w:rPr>
            <w:rStyle w:val="Hyperlink"/>
            <w:rFonts w:ascii="Arial" w:hAnsi="Arial" w:eastAsia="Arial" w:cs="Arial"/>
          </w:rPr>
          <w:t>OP-1155-4</w:t>
        </w:r>
      </w:hyperlink>
      <w:r w:rsidRPr="00057325">
        <w:rPr>
          <w:rFonts w:ascii="Arial" w:hAnsi="Arial" w:eastAsia="Arial" w:cs="Arial"/>
        </w:rPr>
        <w:t xml:space="preserve">); and (iii) other </w:t>
      </w:r>
      <w:r w:rsidRPr="00057325" w:rsidR="003E6B0B">
        <w:rPr>
          <w:rFonts w:ascii="Arial" w:hAnsi="Arial" w:eastAsia="Arial" w:cs="Arial"/>
        </w:rPr>
        <w:t>non</w:t>
      </w:r>
      <w:r w:rsidR="003E6B0B">
        <w:rPr>
          <w:rFonts w:ascii="Arial" w:hAnsi="Arial" w:eastAsia="Arial" w:cs="Arial"/>
        </w:rPr>
        <w:noBreakHyphen/>
      </w:r>
      <w:r w:rsidRPr="00057325" w:rsidR="003E6B0B">
        <w:rPr>
          <w:rFonts w:ascii="Arial" w:hAnsi="Arial" w:eastAsia="Arial" w:cs="Arial"/>
        </w:rPr>
        <w:t>consulting</w:t>
      </w:r>
      <w:r w:rsidRPr="00057325">
        <w:rPr>
          <w:rFonts w:ascii="Arial" w:hAnsi="Arial" w:eastAsia="Arial" w:cs="Arial"/>
        </w:rPr>
        <w:t xml:space="preserve"> services in accordance with the “IDB Institutional Procurement Policy” (</w:t>
      </w:r>
      <w:hyperlink r:id="rId15">
        <w:r w:rsidRPr="00057325">
          <w:rPr>
            <w:rStyle w:val="Hyperlink"/>
            <w:rFonts w:ascii="Arial" w:hAnsi="Arial" w:eastAsia="Arial" w:cs="Arial"/>
          </w:rPr>
          <w:t>GN</w:t>
        </w:r>
        <w:r w:rsidRPr="00057325" w:rsidR="00A67557">
          <w:rPr>
            <w:rStyle w:val="Hyperlink"/>
            <w:rFonts w:ascii="Arial" w:hAnsi="Arial" w:eastAsia="Arial" w:cs="Arial"/>
          </w:rPr>
          <w:t>-</w:t>
        </w:r>
        <w:r w:rsidRPr="00057325">
          <w:rPr>
            <w:rStyle w:val="Hyperlink"/>
            <w:rFonts w:ascii="Arial" w:hAnsi="Arial" w:eastAsia="Arial" w:cs="Arial"/>
          </w:rPr>
          <w:t>2303</w:t>
        </w:r>
        <w:r w:rsidRPr="00057325" w:rsidR="00A67557">
          <w:rPr>
            <w:rStyle w:val="Hyperlink"/>
            <w:rFonts w:ascii="Arial" w:hAnsi="Arial" w:eastAsia="Arial" w:cs="Arial"/>
          </w:rPr>
          <w:t>-</w:t>
        </w:r>
        <w:r w:rsidRPr="00057325">
          <w:rPr>
            <w:rStyle w:val="Hyperlink"/>
            <w:rFonts w:ascii="Arial" w:hAnsi="Arial" w:eastAsia="Arial" w:cs="Arial"/>
          </w:rPr>
          <w:t>28</w:t>
        </w:r>
      </w:hyperlink>
      <w:r w:rsidRPr="00057325">
        <w:rPr>
          <w:rFonts w:ascii="Arial" w:hAnsi="Arial" w:eastAsia="Arial" w:cs="Arial"/>
        </w:rPr>
        <w:t>).</w:t>
      </w:r>
    </w:p>
    <w:p w:rsidRPr="00057325" w:rsidR="0095711B" w:rsidP="005E2E96" w:rsidRDefault="54260729" w14:paraId="3BBAB22C" w14:textId="0BC54539">
      <w:pPr>
        <w:pStyle w:val="ListParagraph"/>
        <w:numPr>
          <w:ilvl w:val="0"/>
          <w:numId w:val="6"/>
        </w:numPr>
        <w:spacing w:before="240" w:after="120" w:line="240" w:lineRule="auto"/>
        <w:ind w:hanging="270"/>
        <w:contextualSpacing w:val="0"/>
        <w:rPr>
          <w:rFonts w:ascii="Arial" w:hAnsi="Arial" w:eastAsia="Arial" w:cs="Arial"/>
          <w:b/>
          <w:bCs/>
        </w:rPr>
      </w:pPr>
      <w:r w:rsidRPr="00057325">
        <w:rPr>
          <w:rFonts w:ascii="Arial" w:hAnsi="Arial" w:eastAsia="Arial" w:cs="Arial"/>
          <w:b/>
          <w:bCs/>
        </w:rPr>
        <w:t xml:space="preserve">Major </w:t>
      </w:r>
      <w:r w:rsidRPr="00057325" w:rsidR="00D11387">
        <w:rPr>
          <w:rFonts w:ascii="Arial" w:hAnsi="Arial" w:eastAsia="Arial" w:cs="Arial"/>
          <w:b/>
          <w:bCs/>
        </w:rPr>
        <w:t>I</w:t>
      </w:r>
      <w:r w:rsidRPr="00057325">
        <w:rPr>
          <w:rFonts w:ascii="Arial" w:hAnsi="Arial" w:eastAsia="Arial" w:cs="Arial"/>
          <w:b/>
          <w:bCs/>
        </w:rPr>
        <w:t>ssues</w:t>
      </w:r>
    </w:p>
    <w:p w:rsidRPr="00840B56" w:rsidR="0076573F" w:rsidP="00840B56" w:rsidRDefault="006F4A9A" w14:paraId="258BB592" w14:textId="78D453C3">
      <w:pPr>
        <w:pStyle w:val="ListParagraph"/>
        <w:numPr>
          <w:ilvl w:val="1"/>
          <w:numId w:val="25"/>
        </w:numPr>
        <w:spacing w:before="120" w:after="120" w:line="240" w:lineRule="auto"/>
        <w:ind w:hanging="540"/>
        <w:contextualSpacing w:val="0"/>
        <w:jc w:val="both"/>
        <w:rPr>
          <w:rFonts w:ascii="Arial" w:hAnsi="Arial" w:cs="Arial"/>
        </w:rPr>
      </w:pPr>
      <w:r w:rsidRPr="00840B56">
        <w:rPr>
          <w:rFonts w:ascii="Arial" w:hAnsi="Arial" w:eastAsia="Arial" w:cs="Arial"/>
        </w:rPr>
        <w:t>The following risks and mitigation measures have been identified.</w:t>
      </w:r>
    </w:p>
    <w:tbl>
      <w:tblPr>
        <w:tblStyle w:val="TableGrid"/>
        <w:tblW w:w="0" w:type="auto"/>
        <w:tblInd w:w="360" w:type="dxa"/>
        <w:tblLook w:val="04A0" w:firstRow="1" w:lastRow="0" w:firstColumn="1" w:lastColumn="0" w:noHBand="0" w:noVBand="1"/>
      </w:tblPr>
      <w:tblGrid>
        <w:gridCol w:w="3055"/>
        <w:gridCol w:w="5215"/>
      </w:tblGrid>
      <w:tr w:rsidRPr="00057325" w:rsidR="00A7760A" w:rsidTr="006661C0" w14:paraId="06A99B3B" w14:textId="77777777">
        <w:tc>
          <w:tcPr>
            <w:tcW w:w="3055"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rsidRPr="00057325" w:rsidR="00A7760A" w:rsidP="00A7760A" w:rsidRDefault="00A7760A" w14:paraId="203D4D8E" w14:textId="02D87C92">
            <w:pPr>
              <w:pStyle w:val="ListParagraph"/>
              <w:spacing w:before="40" w:after="40"/>
              <w:ind w:left="0"/>
              <w:contextualSpacing w:val="0"/>
              <w:jc w:val="center"/>
              <w:rPr>
                <w:rFonts w:ascii="Arial" w:hAnsi="Arial" w:cs="Arial"/>
                <w:b/>
                <w:bCs/>
                <w:sz w:val="18"/>
                <w:szCs w:val="18"/>
              </w:rPr>
            </w:pPr>
            <w:r w:rsidRPr="00057325">
              <w:rPr>
                <w:rFonts w:ascii="Arial" w:hAnsi="Arial" w:cs="Arial"/>
                <w:b/>
                <w:bCs/>
                <w:sz w:val="18"/>
                <w:szCs w:val="18"/>
              </w:rPr>
              <w:t>Risk</w:t>
            </w:r>
          </w:p>
        </w:tc>
        <w:tc>
          <w:tcPr>
            <w:tcW w:w="5215"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rsidRPr="00057325" w:rsidR="00A7760A" w:rsidP="00A7760A" w:rsidRDefault="00A7760A" w14:paraId="6AD4F436" w14:textId="16BC959B">
            <w:pPr>
              <w:pStyle w:val="ListParagraph"/>
              <w:spacing w:before="40" w:after="40"/>
              <w:ind w:left="0"/>
              <w:contextualSpacing w:val="0"/>
              <w:jc w:val="center"/>
              <w:rPr>
                <w:rFonts w:ascii="Arial" w:hAnsi="Arial" w:cs="Arial"/>
                <w:b/>
                <w:bCs/>
                <w:sz w:val="18"/>
                <w:szCs w:val="18"/>
              </w:rPr>
            </w:pPr>
            <w:r w:rsidRPr="00057325">
              <w:rPr>
                <w:rFonts w:ascii="Arial" w:hAnsi="Arial" w:cs="Arial"/>
                <w:b/>
                <w:bCs/>
                <w:sz w:val="18"/>
                <w:szCs w:val="18"/>
              </w:rPr>
              <w:t>Mitigation Measure</w:t>
            </w:r>
          </w:p>
        </w:tc>
      </w:tr>
      <w:tr w:rsidRPr="00057325" w:rsidR="0076573F" w:rsidTr="002C42AB" w14:paraId="58A41FAE" w14:textId="77777777">
        <w:trPr>
          <w:trHeight w:val="521"/>
        </w:trPr>
        <w:tc>
          <w:tcPr>
            <w:tcW w:w="3055" w:type="dxa"/>
            <w:tcBorders>
              <w:top w:val="single" w:color="auto" w:sz="4" w:space="0"/>
              <w:left w:val="single" w:color="auto" w:sz="4" w:space="0"/>
              <w:bottom w:val="single" w:color="auto" w:sz="4" w:space="0"/>
              <w:right w:val="single" w:color="auto" w:sz="4" w:space="0"/>
            </w:tcBorders>
            <w:vAlign w:val="center"/>
            <w:hideMark/>
          </w:tcPr>
          <w:p w:rsidRPr="00057325" w:rsidR="0076573F" w:rsidP="0046257D" w:rsidRDefault="00A7760A" w14:paraId="7BC170DC" w14:textId="4BD25005">
            <w:pPr>
              <w:pStyle w:val="ListParagraph"/>
              <w:spacing w:before="40" w:after="40"/>
              <w:ind w:left="63" w:right="72"/>
              <w:contextualSpacing w:val="0"/>
              <w:jc w:val="both"/>
              <w:rPr>
                <w:rFonts w:ascii="Arial" w:hAnsi="Arial" w:cs="Arial"/>
                <w:sz w:val="18"/>
                <w:szCs w:val="18"/>
              </w:rPr>
            </w:pPr>
            <w:r w:rsidRPr="00057325">
              <w:rPr>
                <w:rFonts w:ascii="Arial" w:hAnsi="Arial" w:cs="Arial"/>
                <w:sz w:val="18"/>
                <w:szCs w:val="18"/>
              </w:rPr>
              <w:t>E</w:t>
            </w:r>
            <w:r w:rsidRPr="00057325" w:rsidR="0076573F">
              <w:rPr>
                <w:rFonts w:ascii="Arial" w:hAnsi="Arial" w:cs="Arial"/>
                <w:sz w:val="18"/>
                <w:szCs w:val="18"/>
              </w:rPr>
              <w:t>lectoral year may cause delay on project implementation</w:t>
            </w:r>
          </w:p>
        </w:tc>
        <w:tc>
          <w:tcPr>
            <w:tcW w:w="5215" w:type="dxa"/>
            <w:tcBorders>
              <w:top w:val="single" w:color="auto" w:sz="4" w:space="0"/>
              <w:left w:val="single" w:color="auto" w:sz="4" w:space="0"/>
              <w:bottom w:val="single" w:color="auto" w:sz="4" w:space="0"/>
              <w:right w:val="single" w:color="auto" w:sz="4" w:space="0"/>
            </w:tcBorders>
            <w:vAlign w:val="center"/>
            <w:hideMark/>
          </w:tcPr>
          <w:p w:rsidRPr="00057325" w:rsidR="0076573F" w:rsidP="00C90D75" w:rsidRDefault="00A7760A" w14:paraId="4713AB6C" w14:textId="32844B54">
            <w:pPr>
              <w:pStyle w:val="ListParagraph"/>
              <w:spacing w:before="40" w:after="40"/>
              <w:ind w:left="0"/>
              <w:contextualSpacing w:val="0"/>
              <w:jc w:val="both"/>
              <w:rPr>
                <w:rFonts w:ascii="Arial" w:hAnsi="Arial" w:cs="Arial"/>
                <w:sz w:val="18"/>
                <w:szCs w:val="18"/>
              </w:rPr>
            </w:pPr>
            <w:r w:rsidRPr="00057325">
              <w:rPr>
                <w:rFonts w:ascii="Arial" w:hAnsi="Arial" w:cs="Arial"/>
                <w:sz w:val="18"/>
                <w:szCs w:val="18"/>
              </w:rPr>
              <w:t>P</w:t>
            </w:r>
            <w:r w:rsidRPr="00057325" w:rsidR="0076573F">
              <w:rPr>
                <w:rFonts w:ascii="Arial" w:hAnsi="Arial" w:cs="Arial"/>
                <w:sz w:val="18"/>
                <w:szCs w:val="18"/>
              </w:rPr>
              <w:t>roject team advances in the elaboration of the technical work</w:t>
            </w:r>
          </w:p>
        </w:tc>
      </w:tr>
      <w:tr w:rsidRPr="00057325" w:rsidR="0076573F" w:rsidTr="002C42AB" w14:paraId="4AF6C543" w14:textId="77777777">
        <w:trPr>
          <w:trHeight w:val="881"/>
        </w:trPr>
        <w:tc>
          <w:tcPr>
            <w:tcW w:w="3055" w:type="dxa"/>
            <w:tcBorders>
              <w:top w:val="single" w:color="auto" w:sz="4" w:space="0"/>
              <w:left w:val="single" w:color="auto" w:sz="4" w:space="0"/>
              <w:bottom w:val="single" w:color="auto" w:sz="4" w:space="0"/>
              <w:right w:val="single" w:color="auto" w:sz="4" w:space="0"/>
            </w:tcBorders>
            <w:vAlign w:val="center"/>
            <w:hideMark/>
          </w:tcPr>
          <w:p w:rsidRPr="00057325" w:rsidR="0076573F" w:rsidP="0046257D" w:rsidRDefault="1C2A74B6" w14:paraId="2B60410F" w14:textId="2CE546B4">
            <w:pPr>
              <w:pStyle w:val="ListParagraph"/>
              <w:spacing w:before="40" w:after="40"/>
              <w:ind w:left="63" w:right="72"/>
              <w:jc w:val="both"/>
              <w:rPr>
                <w:rFonts w:ascii="Arial" w:hAnsi="Arial" w:cs="Arial"/>
                <w:sz w:val="18"/>
                <w:szCs w:val="18"/>
              </w:rPr>
            </w:pPr>
            <w:r w:rsidRPr="00057325">
              <w:rPr>
                <w:rFonts w:ascii="Arial" w:hAnsi="Arial" w:cs="Arial"/>
                <w:sz w:val="18"/>
                <w:szCs w:val="18"/>
              </w:rPr>
              <w:t>C</w:t>
            </w:r>
            <w:r w:rsidRPr="00057325" w:rsidR="78DAE9E6">
              <w:rPr>
                <w:rFonts w:ascii="Arial" w:hAnsi="Arial" w:cs="Arial"/>
                <w:sz w:val="18"/>
                <w:szCs w:val="18"/>
              </w:rPr>
              <w:t>urrent political instability in Brazil delays project or undermines governmental buy</w:t>
            </w:r>
            <w:r w:rsidRPr="00057325" w:rsidR="0046257D">
              <w:rPr>
                <w:rFonts w:ascii="Arial" w:hAnsi="Arial" w:cs="Arial"/>
                <w:sz w:val="18"/>
                <w:szCs w:val="18"/>
              </w:rPr>
              <w:noBreakHyphen/>
            </w:r>
            <w:r w:rsidRPr="00057325" w:rsidR="78DAE9E6">
              <w:rPr>
                <w:rFonts w:ascii="Arial" w:hAnsi="Arial" w:cs="Arial"/>
                <w:sz w:val="18"/>
                <w:szCs w:val="18"/>
              </w:rPr>
              <w:t>in</w:t>
            </w:r>
          </w:p>
        </w:tc>
        <w:tc>
          <w:tcPr>
            <w:tcW w:w="5215" w:type="dxa"/>
            <w:tcBorders>
              <w:top w:val="single" w:color="auto" w:sz="4" w:space="0"/>
              <w:left w:val="single" w:color="auto" w:sz="4" w:space="0"/>
              <w:bottom w:val="single" w:color="auto" w:sz="4" w:space="0"/>
              <w:right w:val="single" w:color="auto" w:sz="4" w:space="0"/>
            </w:tcBorders>
            <w:vAlign w:val="center"/>
            <w:hideMark/>
          </w:tcPr>
          <w:p w:rsidRPr="00057325" w:rsidR="0076573F" w:rsidP="00C90D75" w:rsidRDefault="00A7760A" w14:paraId="26ACB70A" w14:textId="0EB40983">
            <w:pPr>
              <w:pStyle w:val="ListParagraph"/>
              <w:spacing w:before="40" w:after="40"/>
              <w:ind w:left="0"/>
              <w:contextualSpacing w:val="0"/>
              <w:jc w:val="both"/>
              <w:rPr>
                <w:rFonts w:ascii="Arial" w:hAnsi="Arial" w:cs="Arial"/>
                <w:sz w:val="18"/>
                <w:szCs w:val="18"/>
              </w:rPr>
            </w:pPr>
            <w:r w:rsidRPr="00057325">
              <w:rPr>
                <w:rFonts w:ascii="Arial" w:hAnsi="Arial" w:cs="Arial"/>
                <w:sz w:val="18"/>
                <w:szCs w:val="18"/>
              </w:rPr>
              <w:t>T</w:t>
            </w:r>
            <w:r w:rsidRPr="00057325" w:rsidR="0076573F">
              <w:rPr>
                <w:rFonts w:ascii="Arial" w:hAnsi="Arial" w:cs="Arial"/>
                <w:sz w:val="18"/>
                <w:szCs w:val="18"/>
              </w:rPr>
              <w:t>he project is related to Pará’s strategic development plan (Amazonia Agora Plan), ensuring institutional buy-in at both technical and political level, and ensuring that TC closely contributes to long-term governmental programs and priorities</w:t>
            </w:r>
          </w:p>
        </w:tc>
      </w:tr>
      <w:tr w:rsidRPr="00057325" w:rsidR="0076573F" w:rsidTr="002C42AB" w14:paraId="513550F3" w14:textId="77777777">
        <w:trPr>
          <w:trHeight w:val="863"/>
        </w:trPr>
        <w:tc>
          <w:tcPr>
            <w:tcW w:w="3055" w:type="dxa"/>
            <w:tcBorders>
              <w:top w:val="single" w:color="auto" w:sz="4" w:space="0"/>
              <w:left w:val="single" w:color="auto" w:sz="4" w:space="0"/>
              <w:bottom w:val="single" w:color="auto" w:sz="4" w:space="0"/>
              <w:right w:val="single" w:color="auto" w:sz="4" w:space="0"/>
            </w:tcBorders>
            <w:vAlign w:val="center"/>
            <w:hideMark/>
          </w:tcPr>
          <w:p w:rsidRPr="00057325" w:rsidR="0076573F" w:rsidP="0046257D" w:rsidRDefault="78DAE9E6" w14:paraId="77FA71E1" w14:textId="01141750">
            <w:pPr>
              <w:pStyle w:val="ListParagraph"/>
              <w:spacing w:before="40" w:after="40"/>
              <w:ind w:left="63" w:right="72"/>
              <w:jc w:val="both"/>
              <w:rPr>
                <w:rFonts w:ascii="Arial" w:hAnsi="Arial" w:cs="Arial"/>
                <w:sz w:val="18"/>
                <w:szCs w:val="18"/>
              </w:rPr>
            </w:pPr>
            <w:r w:rsidRPr="00057325">
              <w:rPr>
                <w:rFonts w:ascii="Arial" w:hAnsi="Arial" w:cs="Arial"/>
                <w:sz w:val="18"/>
                <w:szCs w:val="18"/>
              </w:rPr>
              <w:t>Project fails to deliver socio</w:t>
            </w:r>
            <w:r w:rsidRPr="00057325" w:rsidR="00C90D75">
              <w:rPr>
                <w:rFonts w:ascii="Arial" w:hAnsi="Arial" w:cs="Arial"/>
                <w:sz w:val="18"/>
                <w:szCs w:val="18"/>
              </w:rPr>
              <w:noBreakHyphen/>
            </w:r>
            <w:r w:rsidRPr="00057325">
              <w:rPr>
                <w:rFonts w:ascii="Arial" w:hAnsi="Arial" w:cs="Arial"/>
                <w:sz w:val="18"/>
                <w:szCs w:val="18"/>
              </w:rPr>
              <w:t>environmental change and increase resilience to climate change</w:t>
            </w:r>
          </w:p>
        </w:tc>
        <w:tc>
          <w:tcPr>
            <w:tcW w:w="5215" w:type="dxa"/>
            <w:tcBorders>
              <w:top w:val="single" w:color="auto" w:sz="4" w:space="0"/>
              <w:left w:val="single" w:color="auto" w:sz="4" w:space="0"/>
              <w:bottom w:val="single" w:color="auto" w:sz="4" w:space="0"/>
              <w:right w:val="single" w:color="auto" w:sz="4" w:space="0"/>
            </w:tcBorders>
            <w:vAlign w:val="center"/>
            <w:hideMark/>
          </w:tcPr>
          <w:p w:rsidRPr="00057325" w:rsidR="0076573F" w:rsidP="27BA3B1F" w:rsidRDefault="1C2A74B6" w14:paraId="5DEFBD12" w14:textId="261F2006">
            <w:pPr>
              <w:pStyle w:val="ListParagraph"/>
              <w:spacing w:before="40" w:after="40"/>
              <w:ind w:left="0"/>
              <w:jc w:val="both"/>
              <w:rPr>
                <w:rFonts w:ascii="Arial" w:hAnsi="Arial" w:cs="Arial"/>
                <w:sz w:val="18"/>
                <w:szCs w:val="18"/>
              </w:rPr>
            </w:pPr>
            <w:r w:rsidRPr="00057325">
              <w:rPr>
                <w:rFonts w:ascii="Arial" w:hAnsi="Arial" w:cs="Arial"/>
                <w:sz w:val="18"/>
                <w:szCs w:val="18"/>
              </w:rPr>
              <w:t>D</w:t>
            </w:r>
            <w:r w:rsidRPr="00057325" w:rsidR="78DAE9E6">
              <w:rPr>
                <w:rFonts w:ascii="Arial" w:hAnsi="Arial" w:cs="Arial"/>
                <w:sz w:val="18"/>
                <w:szCs w:val="18"/>
              </w:rPr>
              <w:t>efine the pilot project's areas of action as those that will have the greatest impact on the state, in convergence with other public policies such as the Sustainable Territories Platform</w:t>
            </w:r>
          </w:p>
        </w:tc>
      </w:tr>
      <w:tr w:rsidRPr="00057325" w:rsidR="0076573F" w:rsidTr="002C42AB" w14:paraId="4691591D" w14:textId="77777777">
        <w:trPr>
          <w:trHeight w:val="530"/>
        </w:trPr>
        <w:tc>
          <w:tcPr>
            <w:tcW w:w="3055" w:type="dxa"/>
            <w:tcBorders>
              <w:top w:val="single" w:color="auto" w:sz="4" w:space="0"/>
              <w:left w:val="single" w:color="auto" w:sz="4" w:space="0"/>
              <w:bottom w:val="single" w:color="auto" w:sz="4" w:space="0"/>
              <w:right w:val="single" w:color="auto" w:sz="4" w:space="0"/>
            </w:tcBorders>
            <w:vAlign w:val="center"/>
            <w:hideMark/>
          </w:tcPr>
          <w:p w:rsidRPr="00057325" w:rsidR="0076573F" w:rsidP="0046257D" w:rsidRDefault="1C2A74B6" w14:paraId="056F6C52" w14:textId="32DE671B">
            <w:pPr>
              <w:pStyle w:val="ListParagraph"/>
              <w:spacing w:before="40" w:after="40"/>
              <w:ind w:left="63" w:right="72"/>
              <w:jc w:val="both"/>
              <w:rPr>
                <w:rFonts w:ascii="Arial" w:hAnsi="Arial" w:cs="Arial"/>
                <w:sz w:val="18"/>
                <w:szCs w:val="18"/>
              </w:rPr>
            </w:pPr>
            <w:r w:rsidRPr="00057325">
              <w:rPr>
                <w:rFonts w:ascii="Arial" w:hAnsi="Arial" w:cs="Arial"/>
                <w:sz w:val="18"/>
                <w:szCs w:val="18"/>
              </w:rPr>
              <w:t>The legacy</w:t>
            </w:r>
            <w:r w:rsidRPr="00057325" w:rsidR="78DAE9E6">
              <w:rPr>
                <w:rFonts w:ascii="Arial" w:hAnsi="Arial" w:cs="Arial"/>
                <w:sz w:val="18"/>
                <w:szCs w:val="18"/>
              </w:rPr>
              <w:t xml:space="preserve"> of sustainability is not achieved</w:t>
            </w:r>
          </w:p>
        </w:tc>
        <w:tc>
          <w:tcPr>
            <w:tcW w:w="5215" w:type="dxa"/>
            <w:tcBorders>
              <w:top w:val="single" w:color="auto" w:sz="4" w:space="0"/>
              <w:left w:val="single" w:color="auto" w:sz="4" w:space="0"/>
              <w:bottom w:val="single" w:color="auto" w:sz="4" w:space="0"/>
              <w:right w:val="single" w:color="auto" w:sz="4" w:space="0"/>
            </w:tcBorders>
            <w:vAlign w:val="center"/>
            <w:hideMark/>
          </w:tcPr>
          <w:p w:rsidRPr="00057325" w:rsidR="0076573F" w:rsidP="27BA3B1F" w:rsidRDefault="1C2A74B6" w14:paraId="1E9B4ACD" w14:textId="1AEE0373">
            <w:pPr>
              <w:pStyle w:val="ListParagraph"/>
              <w:spacing w:before="40" w:after="40"/>
              <w:ind w:left="0"/>
              <w:jc w:val="both"/>
              <w:rPr>
                <w:rFonts w:ascii="Arial" w:hAnsi="Arial" w:cs="Arial"/>
                <w:sz w:val="18"/>
                <w:szCs w:val="18"/>
              </w:rPr>
            </w:pPr>
            <w:r w:rsidRPr="00057325">
              <w:rPr>
                <w:rFonts w:ascii="Arial" w:hAnsi="Arial" w:cs="Arial"/>
                <w:sz w:val="18"/>
                <w:szCs w:val="18"/>
              </w:rPr>
              <w:t>I</w:t>
            </w:r>
            <w:r w:rsidRPr="00057325" w:rsidR="78DAE9E6">
              <w:rPr>
                <w:rFonts w:ascii="Arial" w:hAnsi="Arial" w:cs="Arial"/>
                <w:sz w:val="18"/>
                <w:szCs w:val="18"/>
              </w:rPr>
              <w:t>nclusion of stakeholders and dissemination of results obtained to demonstrate impacts and benefits in the state</w:t>
            </w:r>
          </w:p>
        </w:tc>
      </w:tr>
    </w:tbl>
    <w:p w:rsidRPr="00057325" w:rsidR="00F72899" w:rsidP="005E2E96" w:rsidRDefault="54260729" w14:paraId="3BBAB22F" w14:textId="1DC7FCF5">
      <w:pPr>
        <w:pStyle w:val="ListParagraph"/>
        <w:numPr>
          <w:ilvl w:val="0"/>
          <w:numId w:val="6"/>
        </w:numPr>
        <w:spacing w:before="240" w:after="120" w:line="240" w:lineRule="auto"/>
        <w:ind w:hanging="270"/>
        <w:contextualSpacing w:val="0"/>
        <w:rPr>
          <w:rFonts w:ascii="Arial" w:hAnsi="Arial" w:eastAsia="Arial" w:cs="Arial"/>
          <w:b/>
          <w:bCs/>
        </w:rPr>
      </w:pPr>
      <w:r w:rsidRPr="00057325">
        <w:rPr>
          <w:rFonts w:ascii="Arial" w:hAnsi="Arial" w:eastAsia="Arial" w:cs="Arial"/>
          <w:b/>
          <w:bCs/>
        </w:rPr>
        <w:t>Exceptions to Bank policy</w:t>
      </w:r>
    </w:p>
    <w:p w:rsidRPr="00840B56" w:rsidR="00F72899" w:rsidP="00840B56" w:rsidRDefault="00D11387" w14:paraId="3BBAB230" w14:textId="67E72EF7">
      <w:pPr>
        <w:pStyle w:val="ListParagraph"/>
        <w:numPr>
          <w:ilvl w:val="1"/>
          <w:numId w:val="26"/>
        </w:numPr>
        <w:spacing w:before="120" w:after="120" w:line="240" w:lineRule="auto"/>
        <w:ind w:hanging="540"/>
        <w:contextualSpacing w:val="0"/>
        <w:jc w:val="both"/>
        <w:rPr>
          <w:rFonts w:ascii="Arial" w:hAnsi="Arial" w:eastAsia="Arial" w:cs="Arial"/>
        </w:rPr>
      </w:pPr>
      <w:r w:rsidRPr="00840B56">
        <w:rPr>
          <w:rFonts w:ascii="Arial" w:hAnsi="Arial" w:eastAsia="Arial" w:cs="Arial"/>
        </w:rPr>
        <w:t xml:space="preserve">No </w:t>
      </w:r>
      <w:r w:rsidRPr="00840B56" w:rsidR="00226D72">
        <w:rPr>
          <w:rFonts w:ascii="Arial" w:hAnsi="Arial" w:eastAsia="Arial" w:cs="Arial"/>
        </w:rPr>
        <w:t>exceptions</w:t>
      </w:r>
      <w:r w:rsidRPr="00840B56">
        <w:rPr>
          <w:rFonts w:ascii="Arial" w:hAnsi="Arial" w:eastAsia="Arial" w:cs="Arial"/>
        </w:rPr>
        <w:t xml:space="preserve"> to Bank Policy have been identified for this operation</w:t>
      </w:r>
      <w:r w:rsidRPr="00840B56" w:rsidR="54260729">
        <w:rPr>
          <w:rFonts w:ascii="Arial" w:hAnsi="Arial" w:eastAsia="Arial" w:cs="Arial"/>
        </w:rPr>
        <w:t xml:space="preserve">. </w:t>
      </w:r>
    </w:p>
    <w:p w:rsidRPr="00057325" w:rsidR="0095711B" w:rsidP="005E2E96" w:rsidRDefault="54260729" w14:paraId="3BBAB231" w14:textId="77777777">
      <w:pPr>
        <w:pStyle w:val="ListParagraph"/>
        <w:numPr>
          <w:ilvl w:val="0"/>
          <w:numId w:val="6"/>
        </w:numPr>
        <w:spacing w:before="240" w:after="120" w:line="240" w:lineRule="auto"/>
        <w:ind w:hanging="270"/>
        <w:contextualSpacing w:val="0"/>
        <w:rPr>
          <w:rFonts w:ascii="Arial" w:hAnsi="Arial" w:eastAsia="Arial" w:cs="Arial"/>
          <w:b/>
          <w:bCs/>
        </w:rPr>
      </w:pPr>
      <w:r w:rsidRPr="00057325">
        <w:rPr>
          <w:rFonts w:ascii="Arial" w:hAnsi="Arial" w:eastAsia="Arial" w:cs="Arial"/>
          <w:b/>
          <w:bCs/>
        </w:rPr>
        <w:t xml:space="preserve">Environmental and Social Strategy </w:t>
      </w:r>
    </w:p>
    <w:p w:rsidR="0095711B" w:rsidP="00840B56" w:rsidRDefault="00253158" w14:paraId="3BBAB232" w14:textId="4C85DBE1">
      <w:pPr>
        <w:pStyle w:val="ListParagraph"/>
        <w:numPr>
          <w:ilvl w:val="1"/>
          <w:numId w:val="27"/>
        </w:numPr>
        <w:spacing w:before="120" w:after="120" w:line="240" w:lineRule="auto"/>
        <w:ind w:hanging="540"/>
        <w:contextualSpacing w:val="0"/>
        <w:jc w:val="both"/>
        <w:rPr>
          <w:rFonts w:ascii="Arial" w:hAnsi="Arial" w:eastAsia="Arial" w:cs="Arial"/>
        </w:rPr>
      </w:pPr>
      <w:r w:rsidRPr="00840B56">
        <w:rPr>
          <w:rFonts w:ascii="Arial" w:hAnsi="Arial" w:eastAsia="Arial" w:cs="Arial"/>
        </w:rPr>
        <w:t xml:space="preserve">This technical cooperation is not intended to finance pre-feasibility or feasibility studies of specific investment projects or environmental and social studies associated with </w:t>
      </w:r>
      <w:r w:rsidRPr="00840B56">
        <w:rPr>
          <w:rFonts w:ascii="Arial" w:hAnsi="Arial" w:eastAsia="Arial" w:cs="Arial"/>
        </w:rPr>
        <w:lastRenderedPageBreak/>
        <w:t>them; therefore, this TC does not have applicable requirements of the Bank's Environmental and Social Policy Framework (ESPF).</w:t>
      </w:r>
    </w:p>
    <w:p w:rsidRPr="00840B56" w:rsidR="00AE74EC" w:rsidP="00AE74EC" w:rsidRDefault="00AE74EC" w14:paraId="46512EAA" w14:textId="77777777">
      <w:pPr>
        <w:pStyle w:val="ListParagraph"/>
        <w:spacing w:before="120" w:after="120" w:line="240" w:lineRule="auto"/>
        <w:ind w:left="360"/>
        <w:contextualSpacing w:val="0"/>
        <w:jc w:val="both"/>
        <w:rPr>
          <w:rFonts w:ascii="Arial" w:hAnsi="Arial" w:eastAsia="Arial" w:cs="Arial"/>
        </w:rPr>
      </w:pPr>
    </w:p>
    <w:p w:rsidRPr="00057325" w:rsidR="00F72899" w:rsidP="00DB43C9" w:rsidRDefault="54260729" w14:paraId="3BBAB233" w14:textId="4E87DEA3">
      <w:pPr>
        <w:spacing w:before="240" w:after="0" w:line="240" w:lineRule="auto"/>
        <w:ind w:firstLine="360"/>
        <w:jc w:val="both"/>
        <w:rPr>
          <w:rFonts w:ascii="Arial" w:hAnsi="Arial" w:eastAsia="Arial" w:cs="Arial"/>
          <w:b/>
          <w:bCs/>
        </w:rPr>
      </w:pPr>
      <w:r w:rsidRPr="00057325">
        <w:rPr>
          <w:rFonts w:ascii="Arial" w:hAnsi="Arial" w:eastAsia="Arial" w:cs="Arial"/>
          <w:b/>
          <w:bCs/>
        </w:rPr>
        <w:t>Required Annexes</w:t>
      </w:r>
    </w:p>
    <w:sdt>
      <w:sdtPr>
        <w:rPr>
          <w:rFonts w:ascii="Arial" w:hAnsi="Arial" w:cs="Arial"/>
        </w:rPr>
        <w:alias w:val="ANNEXES"/>
        <w:tag w:val="ANNEXES"/>
        <w:id w:val="918745576"/>
        <w:lock w:val="sdtLocked"/>
        <w:placeholder>
          <w:docPart w:val="DefaultPlaceholder_1081868574"/>
        </w:placeholder>
      </w:sdtPr>
      <w:sdtEndPr/>
      <w:sdtContent>
        <w:p>
          <w:hyperlink w:history="true" r:id="R8b31569b001f4b4d">
            <w:proofErr w:type="gramStart"/>
            <w:r>
              <w:rPr>
                <w:u w:val="single"/>
                <w:color w:themeColor="hyperlink"/>
              </w:rPr>
              <w:t>Request from the Client - BR-T1516</w:t>
            </w:r>
          </w:hyperlink>
        </w:p>
        <w:p>
          <w:hyperlink w:history="true" r:id="R071ba0d179344faa">
            <w:proofErr w:type="gramStart"/>
            <w:r>
              <w:rPr>
                <w:u w:val="single"/>
                <w:color w:themeColor="hyperlink"/>
              </w:rPr>
              <w:t>Results Matrix - BR-T1516</w:t>
            </w:r>
          </w:hyperlink>
        </w:p>
        <w:p>
          <w:hyperlink w:history="true" r:id="Rdf3d98d627a84cb7">
            <w:proofErr w:type="gramStart"/>
            <w:r>
              <w:rPr>
                <w:u w:val="single"/>
                <w:color w:themeColor="hyperlink"/>
              </w:rPr>
              <w:t>Terms of Reference - BR-T1516</w:t>
            </w:r>
          </w:hyperlink>
        </w:p>
        <w:p>
          <w:hyperlink w:history="true" r:id="Rbbfdb23f21814bed">
            <w:proofErr w:type="gramStart"/>
            <w:r>
              <w:rPr>
                <w:u w:val="single"/>
                <w:color w:themeColor="hyperlink"/>
              </w:rPr>
              <w:t>Procurement Plan - BR-T1516</w:t>
            </w:r>
          </w:hyperlink>
        </w:p>
      </w:sdtContent>
    </w:sdt>
    <w:sectPr w:rsidRPr="00057325" w:rsidR="00466C7E" w:rsidSect="00855325">
      <w:headerReference w:type="default" r:id="rId17"/>
      <w:footerReference w:type="default" r:id="rId18"/>
      <w:pgSz w:w="12240" w:h="15840" w:orient="portrait"/>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0305" w:rsidP="0095711B" w:rsidRDefault="00BB0305" w14:paraId="4D9F932F" w14:textId="77777777">
      <w:pPr>
        <w:spacing w:after="0" w:line="240" w:lineRule="auto"/>
      </w:pPr>
      <w:r>
        <w:separator/>
      </w:r>
    </w:p>
  </w:endnote>
  <w:endnote w:type="continuationSeparator" w:id="0">
    <w:p w:rsidR="00BB0305" w:rsidP="0095711B" w:rsidRDefault="00BB0305" w14:paraId="57323DBA" w14:textId="77777777">
      <w:pPr>
        <w:spacing w:after="0" w:line="240" w:lineRule="auto"/>
      </w:pPr>
      <w:r>
        <w:continuationSeparator/>
      </w:r>
    </w:p>
  </w:endnote>
  <w:endnote w:type="continuationNotice" w:id="1">
    <w:p w:rsidR="00BB0305" w:rsidRDefault="00BB0305" w14:paraId="15909F8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0305" w:rsidP="0095711B" w:rsidRDefault="00BB0305" w14:paraId="057B6BBD" w14:textId="77777777">
      <w:pPr>
        <w:spacing w:after="0" w:line="240" w:lineRule="auto"/>
      </w:pPr>
      <w:r>
        <w:separator/>
      </w:r>
    </w:p>
  </w:footnote>
  <w:footnote w:type="continuationSeparator" w:id="0">
    <w:p w:rsidR="00BB0305" w:rsidP="0095711B" w:rsidRDefault="00BB0305" w14:paraId="512ABCBB" w14:textId="77777777">
      <w:pPr>
        <w:spacing w:after="0" w:line="240" w:lineRule="auto"/>
      </w:pPr>
      <w:r>
        <w:continuationSeparator/>
      </w:r>
    </w:p>
  </w:footnote>
  <w:footnote w:type="continuationNotice" w:id="1">
    <w:p w:rsidR="00BB0305" w:rsidRDefault="00BB0305" w14:paraId="162F1454" w14:textId="77777777">
      <w:pPr>
        <w:spacing w:after="0" w:line="240" w:lineRule="auto"/>
      </w:pPr>
    </w:p>
  </w:footnote>
  <w:footnote w:id="2">
    <w:p w:rsidRPr="00F50332" w:rsidR="0DFE657E" w:rsidP="00DB43C9" w:rsidRDefault="0DFE657E" w14:paraId="78656A17" w14:textId="51640C1A">
      <w:pPr>
        <w:spacing w:after="60" w:line="240" w:lineRule="auto"/>
        <w:ind w:hanging="187"/>
        <w:jc w:val="both"/>
        <w:rPr>
          <w:rFonts w:ascii="Arial" w:hAnsi="Arial" w:eastAsia="Calibri" w:cs="Arial"/>
          <w:sz w:val="18"/>
          <w:szCs w:val="18"/>
        </w:rPr>
      </w:pPr>
      <w:r w:rsidRPr="00F50332">
        <w:rPr>
          <w:rStyle w:val="FootnoteReference"/>
          <w:rFonts w:ascii="Arial" w:hAnsi="Arial" w:cs="Arial"/>
          <w:sz w:val="18"/>
          <w:szCs w:val="18"/>
        </w:rPr>
        <w:footnoteRef/>
      </w:r>
      <w:r w:rsidRPr="00F50332">
        <w:rPr>
          <w:rFonts w:ascii="Arial" w:hAnsi="Arial" w:cs="Arial"/>
          <w:sz w:val="18"/>
          <w:szCs w:val="18"/>
        </w:rPr>
        <w:t xml:space="preserve"> </w:t>
      </w:r>
      <w:r w:rsidRPr="00F50332" w:rsidR="00ED6DCA">
        <w:rPr>
          <w:rFonts w:ascii="Arial" w:hAnsi="Arial" w:cs="Arial"/>
          <w:sz w:val="18"/>
          <w:szCs w:val="18"/>
        </w:rPr>
        <w:tab/>
      </w:r>
      <w:r w:rsidRPr="00F50332">
        <w:rPr>
          <w:rFonts w:ascii="Arial" w:hAnsi="Arial" w:eastAsia="Calibri" w:cs="Arial"/>
          <w:sz w:val="18"/>
          <w:szCs w:val="18"/>
        </w:rPr>
        <w:t>Payment for Environmental Services (PES) is an economic instrument that, following the “protector-receiver” principle, rewards and encourages those who provide environmental services, improving the profitability of activities for the protection and sustainable use of natural resources</w:t>
      </w:r>
      <w:r w:rsidR="005542B1">
        <w:rPr>
          <w:rFonts w:ascii="Arial" w:hAnsi="Arial" w:eastAsia="Calibri" w:cs="Arial"/>
          <w:sz w:val="18"/>
          <w:szCs w:val="18"/>
        </w:rPr>
        <w:t>.</w:t>
      </w:r>
    </w:p>
  </w:footnote>
  <w:footnote w:id="3">
    <w:p w:rsidRPr="00F50332" w:rsidR="00846D7B" w:rsidP="00AC7DDD" w:rsidRDefault="00846D7B" w14:paraId="48C62854" w14:textId="258D6C73">
      <w:pPr>
        <w:pStyle w:val="FootnoteText"/>
        <w:ind w:hanging="187"/>
        <w:jc w:val="both"/>
        <w:rPr>
          <w:sz w:val="18"/>
          <w:szCs w:val="18"/>
        </w:rPr>
      </w:pPr>
      <w:r w:rsidRPr="00F50332">
        <w:rPr>
          <w:rStyle w:val="FootnoteReference"/>
          <w:rFonts w:ascii="Arial" w:hAnsi="Arial" w:cs="Arial"/>
          <w:sz w:val="18"/>
          <w:szCs w:val="18"/>
        </w:rPr>
        <w:footnoteRef/>
      </w:r>
      <w:r w:rsidRPr="00F50332" w:rsidR="27BA3B1F">
        <w:rPr>
          <w:rFonts w:ascii="Arial" w:hAnsi="Arial" w:cs="Arial"/>
          <w:sz w:val="18"/>
          <w:szCs w:val="18"/>
        </w:rPr>
        <w:t xml:space="preserve"> </w:t>
      </w:r>
      <w:r w:rsidRPr="00F50332">
        <w:rPr>
          <w:sz w:val="18"/>
          <w:szCs w:val="18"/>
        </w:rPr>
        <w:tab/>
      </w:r>
      <w:r w:rsidRPr="00F50332" w:rsidR="27BA3B1F">
        <w:rPr>
          <w:rFonts w:ascii="Arial" w:hAnsi="Arial" w:cs="Arial"/>
          <w:sz w:val="18"/>
          <w:szCs w:val="18"/>
        </w:rPr>
        <w:t xml:space="preserve">The PRODES project </w:t>
      </w:r>
      <w:r w:rsidRPr="00F50332" w:rsidR="00CF2D24">
        <w:rPr>
          <w:rFonts w:ascii="Arial" w:hAnsi="Arial" w:cs="Arial"/>
          <w:sz w:val="18"/>
          <w:szCs w:val="18"/>
        </w:rPr>
        <w:t>conducts</w:t>
      </w:r>
      <w:r w:rsidRPr="00F50332" w:rsidR="27BA3B1F">
        <w:rPr>
          <w:rFonts w:ascii="Arial" w:hAnsi="Arial" w:cs="Arial"/>
          <w:sz w:val="18"/>
          <w:szCs w:val="18"/>
        </w:rPr>
        <w:t xml:space="preserve"> satellite monitoring of clear-cut deforestation in the Legal Amazon and has produced, since 1988, annual deforestation rates in the region, which are used by the Brazilian government to establish public policies.</w:t>
      </w:r>
    </w:p>
  </w:footnote>
  <w:footnote w:id="4">
    <w:p w:rsidRPr="00A81E6C" w:rsidR="0DFE657E" w:rsidP="00F50332" w:rsidRDefault="0DFE657E" w14:paraId="1608EDCD" w14:textId="60DC4BAB">
      <w:pPr>
        <w:spacing w:after="0" w:line="240" w:lineRule="auto"/>
        <w:ind w:hanging="187"/>
        <w:jc w:val="both"/>
        <w:rPr>
          <w:rFonts w:ascii="Arial" w:hAnsi="Arial" w:eastAsia="Calibri" w:cs="Arial"/>
          <w:sz w:val="18"/>
          <w:szCs w:val="18"/>
        </w:rPr>
      </w:pPr>
      <w:r w:rsidRPr="00A81E6C">
        <w:rPr>
          <w:rStyle w:val="FootnoteReference"/>
          <w:rFonts w:ascii="Arial" w:hAnsi="Arial" w:cs="Arial"/>
          <w:sz w:val="18"/>
          <w:szCs w:val="18"/>
        </w:rPr>
        <w:footnoteRef/>
      </w:r>
      <w:r w:rsidRPr="00A81E6C">
        <w:rPr>
          <w:rFonts w:ascii="Arial" w:hAnsi="Arial" w:cs="Arial"/>
          <w:sz w:val="18"/>
          <w:szCs w:val="18"/>
        </w:rPr>
        <w:t xml:space="preserve"> </w:t>
      </w:r>
      <w:r w:rsidR="00A81E6C">
        <w:rPr>
          <w:rFonts w:ascii="Arial" w:hAnsi="Arial" w:cs="Arial"/>
          <w:sz w:val="18"/>
          <w:szCs w:val="18"/>
        </w:rPr>
        <w:tab/>
      </w:r>
      <w:r w:rsidRPr="00A81E6C">
        <w:rPr>
          <w:rFonts w:ascii="Arial" w:hAnsi="Arial" w:eastAsia="Calibri" w:cs="Arial"/>
          <w:sz w:val="18"/>
          <w:szCs w:val="18"/>
        </w:rPr>
        <w:t>The Sustainable Territories Integrated Action Policy (TS) was established by Pará State Decree No. 344, of October 10, 2019. TS aims to be the instrument of contribution to global sustainable development commitments, the National</w:t>
      </w:r>
      <w:r w:rsidR="00F51D13">
        <w:rPr>
          <w:rFonts w:ascii="Arial" w:hAnsi="Arial" w:eastAsia="Calibri" w:cs="Arial"/>
          <w:sz w:val="18"/>
          <w:szCs w:val="18"/>
        </w:rPr>
        <w:t>ly</w:t>
      </w:r>
      <w:r w:rsidRPr="00A81E6C">
        <w:rPr>
          <w:rFonts w:ascii="Arial" w:hAnsi="Arial" w:eastAsia="Calibri" w:cs="Arial"/>
          <w:sz w:val="18"/>
          <w:szCs w:val="18"/>
        </w:rPr>
        <w:t xml:space="preserve"> </w:t>
      </w:r>
      <w:r w:rsidRPr="00A81E6C" w:rsidR="00F51D13">
        <w:rPr>
          <w:rFonts w:ascii="Arial" w:hAnsi="Arial" w:eastAsia="Calibri" w:cs="Arial"/>
          <w:sz w:val="18"/>
          <w:szCs w:val="18"/>
        </w:rPr>
        <w:t xml:space="preserve">Determined </w:t>
      </w:r>
      <w:r w:rsidRPr="00A81E6C">
        <w:rPr>
          <w:rFonts w:ascii="Arial" w:hAnsi="Arial" w:eastAsia="Calibri" w:cs="Arial"/>
          <w:sz w:val="18"/>
          <w:szCs w:val="18"/>
        </w:rPr>
        <w:t>Contributions (NDCs)</w:t>
      </w:r>
      <w:r w:rsidR="003E5A2F">
        <w:rPr>
          <w:rFonts w:ascii="Arial" w:hAnsi="Arial" w:eastAsia="Calibri" w:cs="Arial"/>
          <w:sz w:val="18"/>
          <w:szCs w:val="18"/>
        </w:rPr>
        <w:t>,</w:t>
      </w:r>
      <w:r w:rsidRPr="00A81E6C">
        <w:rPr>
          <w:rFonts w:ascii="Arial" w:hAnsi="Arial" w:eastAsia="Calibri" w:cs="Arial"/>
          <w:sz w:val="18"/>
          <w:szCs w:val="18"/>
        </w:rPr>
        <w:t xml:space="preserve"> and the achievement of the Sustainable Development Goals at the state level. The Policy's guidelines are the conservation of natural capital</w:t>
      </w:r>
      <w:r w:rsidR="00787125">
        <w:rPr>
          <w:rFonts w:ascii="Arial" w:hAnsi="Arial" w:eastAsia="Calibri" w:cs="Arial"/>
          <w:sz w:val="18"/>
          <w:szCs w:val="18"/>
        </w:rPr>
        <w:t>,</w:t>
      </w:r>
      <w:r w:rsidRPr="00A81E6C">
        <w:rPr>
          <w:rFonts w:ascii="Arial" w:hAnsi="Arial" w:eastAsia="Calibri" w:cs="Arial"/>
          <w:sz w:val="18"/>
          <w:szCs w:val="18"/>
        </w:rPr>
        <w:t xml:space="preserve"> the promotion of socio-economic development on a sustainable basis, based on increased efficiency in livestock and agroforestry production</w:t>
      </w:r>
      <w:r w:rsidR="00787125">
        <w:rPr>
          <w:rFonts w:ascii="Arial" w:hAnsi="Arial" w:eastAsia="Calibri" w:cs="Arial"/>
          <w:sz w:val="18"/>
          <w:szCs w:val="18"/>
        </w:rPr>
        <w:t>,</w:t>
      </w:r>
      <w:r w:rsidRPr="00A81E6C">
        <w:rPr>
          <w:rFonts w:ascii="Arial" w:hAnsi="Arial" w:eastAsia="Calibri" w:cs="Arial"/>
          <w:sz w:val="18"/>
          <w:szCs w:val="18"/>
        </w:rPr>
        <w:t xml:space="preserve"> and the recovery of altered and degraded areas. TS was designed considering the need for a socioeconomic boost in the regions most affected by deforestation.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intelligence2.xml><?xml version="1.0" encoding="utf-8"?>
<int2:intelligence xmlns:int2="http://schemas.microsoft.com/office/intelligence/2020/intelligence" xmlns:oel="http://schemas.microsoft.com/office/2019/extlst">
  <int2:observations>
    <int2:textHash int2:hashCode="BC3EUS+j05HFFw" int2:id="2HBj5HQY">
      <int2:state int2:value="Rejected" int2:type="LegacyProofing"/>
    </int2:textHash>
    <int2:textHash int2:hashCode="ky6q9aNlKcNKeG" int2:id="DtgB7cSi">
      <int2:state int2:value="Rejected" int2:type="AugLoop_Acronyms_AcronymsCritique"/>
    </int2:textHash>
    <int2:textHash int2:hashCode="Z3HVckbdlX/HoZ" int2:id="FFsrLdXt">
      <int2:state int2:value="Rejected" int2:type="AugLoop_Text_Critique"/>
    </int2:textHash>
    <int2:textHash int2:hashCode="Qrko6iS56MVcvR" int2:id="Fa1X4lQN">
      <int2:state int2:value="Rejected" int2:type="AugLoop_Acronyms_AcronymsCritique"/>
    </int2:textHash>
    <int2:textHash int2:hashCode="Qr5g4vUBpj/WbS" int2:id="FvvFWb0m">
      <int2:state int2:value="Rejected" int2:type="AugLoop_Acronyms_AcronymsCritique"/>
    </int2:textHash>
    <int2:textHash int2:hashCode="J28zz2lwxebQ6Q" int2:id="VaPBj7Jq">
      <int2:state int2:value="Rejected" int2:type="AugLoop_Acronyms_AcronymsCritique"/>
    </int2:textHash>
    <int2:textHash int2:hashCode="pm1uUy2+4ZOgSp" int2:id="YBha0qtE">
      <int2:state int2:value="Rejected" int2:type="AugLoop_Text_Critique"/>
    </int2:textHash>
    <int2:textHash int2:hashCode="FVpoN2BDYzLUy4" int2:id="ZrzwUxLp">
      <int2:state int2:value="Rejected" int2:type="AugLoop_Text_Critique"/>
    </int2:textHash>
    <int2:textHash int2:hashCode="XuZWltD1G3Rm5X" int2:id="Zs2XyRMC">
      <int2:state int2:value="Rejected" int2:type="LegacyProofing"/>
    </int2:textHash>
    <int2:textHash int2:hashCode="YJROVwK9r7dOyW" int2:id="b0CJQfMS">
      <int2:state int2:value="Rejected" int2:type="LegacyProofing"/>
    </int2:textHash>
    <int2:textHash int2:hashCode="0iPb4jQLJ+/KaA" int2:id="doH5ONCa">
      <int2:state int2:value="Rejected" int2:type="AugLoop_Text_Critique"/>
    </int2:textHash>
    <int2:textHash int2:hashCode="VudC0iZq9zv1S6" int2:id="mdYIVfJ6">
      <int2:state int2:value="Rejected" int2:type="LegacyProofing"/>
    </int2:textHash>
    <int2:textHash int2:hashCode="Ap96ow9LEb9oCJ" int2:id="qAPN403P">
      <int2:state int2:value="Rejected" int2:type="AugLoop_Acronyms_AcronymsCritique"/>
    </int2:textHash>
    <int2:textHash int2:hashCode="PAfasIGwIAHrj9" int2:id="s9G4Rqli">
      <int2:state int2:value="Rejected" int2:type="LegacyProofing"/>
    </int2:textHash>
    <int2:textHash int2:hashCode="TzzuEG6S9NaYJM" int2:id="sxOHgEAC">
      <int2:state int2:value="Rejected" int2:type="AugLoop_Acronyms_AcronymsCritique"/>
    </int2:textHash>
    <int2:textHash int2:hashCode="tVGxx0XZ13s94E" int2:id="tg3jfYUN">
      <int2:state int2:value="Rejected" int2:type="AugLoop_Text_Critique"/>
    </int2:textHash>
    <int2:textHash int2:hashCode="ygDkP3QtdoylDh" int2:id="vrlESQg9">
      <int2:state int2:value="Rejected" int2:type="LegacyProofing"/>
    </int2:textHash>
    <int2:textHash int2:hashCode="xzNw6FjkZFlmFD" int2:id="xDOZgbTx">
      <int2:state int2:value="Rejected" int2:type="AugLoop_Text_Critique"/>
    </int2:textHash>
    <int2:bookmark int2:bookmarkName="_Int_t3Gsgy4H" int2:invalidationBookmarkName="" int2:hashCode="HTQRp8ZCgi4Hbk" int2:id="5k8QqZ8y">
      <int2:state int2:value="Rejected" int2:type="LegacyProofing"/>
    </int2:bookmark>
    <int2:bookmark int2:bookmarkName="_Int_5MgKQOC6" int2:invalidationBookmarkName="" int2:hashCode="PeUh02GRVekij4" int2:id="ekqJjIIV">
      <int2:state int2:value="Rejected" int2:type="LegacyProofing"/>
    </int2:bookmark>
    <int2:bookmark int2:bookmarkName="_Int_3IYcQIpp" int2:invalidationBookmarkName="" int2:hashCode="z/pQoyyxOiQNcF" int2:id="gvcnv2pm">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7">
    <w:nsid w:val="acbb02a"/>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0D16325F"/>
    <w:multiLevelType w:val="multilevel"/>
    <w:tmpl w:val="2CE83D90"/>
    <w:lvl w:ilvl="0">
      <w:start w:val="1"/>
      <w:numFmt w:val="upperRoman"/>
      <w:lvlText w:val="%1."/>
      <w:lvlJc w:val="right"/>
      <w:pPr>
        <w:ind w:left="360" w:hanging="360"/>
      </w:pPr>
      <w:rPr>
        <w:rFonts w:hint="default"/>
      </w:rPr>
    </w:lvl>
    <w:lvl w:ilvl="1">
      <w:start w:val="1"/>
      <w:numFmt w:val="lowerLetter"/>
      <w:lvlText w:val="%2."/>
      <w:lvlJc w:val="left"/>
      <w:pPr>
        <w:ind w:left="36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3">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5">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C13D95"/>
    <w:multiLevelType w:val="multilevel"/>
    <w:tmpl w:val="9CE472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3DE83358"/>
    <w:multiLevelType w:val="multilevel"/>
    <w:tmpl w:val="CAC6A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ascii="Arial"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E59216C"/>
    <w:multiLevelType w:val="multilevel"/>
    <w:tmpl w:val="E9E24126"/>
    <w:lvl w:ilvl="0">
      <w:start w:val="1"/>
      <w:numFmt w:val="upperRoman"/>
      <w:lvlText w:val="%1."/>
      <w:lvlJc w:val="right"/>
      <w:pPr>
        <w:ind w:left="360" w:hanging="360"/>
      </w:pPr>
      <w:rPr>
        <w:rFonts w:hint="default"/>
      </w:rPr>
    </w:lvl>
    <w:lvl w:ilvl="1">
      <w:start w:val="1"/>
      <w:numFmt w:val="lowerLetter"/>
      <w:lvlText w:val="%2."/>
      <w:lvlJc w:val="left"/>
      <w:pPr>
        <w:ind w:left="36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nsid w:val="439F744C"/>
    <w:multiLevelType w:val="hybridMultilevel"/>
    <w:tmpl w:val="C082B2C6"/>
    <w:lvl w:ilvl="0" w:tplc="06CAD4B6">
      <w:start w:val="1"/>
      <w:numFmt w:val="bullet"/>
      <w:lvlText w:val=""/>
      <w:lvlJc w:val="left"/>
      <w:pPr>
        <w:ind w:left="720" w:hanging="360"/>
      </w:pPr>
      <w:rPr>
        <w:rFonts w:hint="default" w:ascii="Symbol" w:hAnsi="Symbol"/>
        <w:color w:val="auto"/>
        <w:sz w:val="18"/>
        <w:szCs w:val="1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370383"/>
    <w:multiLevelType w:val="multilevel"/>
    <w:tmpl w:val="B0BA4908"/>
    <w:lvl w:ilvl="0">
      <w:start w:val="4"/>
      <w:numFmt w:val="decimal"/>
      <w:lvlText w:val="%1"/>
      <w:lvlJc w:val="left"/>
      <w:pPr>
        <w:ind w:left="360" w:hanging="360"/>
      </w:pPr>
      <w:rPr>
        <w:rFonts w:hint="default" w:eastAsia="Arial"/>
      </w:rPr>
    </w:lvl>
    <w:lvl w:ilvl="1">
      <w:start w:val="1"/>
      <w:numFmt w:val="decimal"/>
      <w:lvlText w:val="%1.%2"/>
      <w:lvlJc w:val="left"/>
      <w:pPr>
        <w:ind w:left="360" w:hanging="360"/>
      </w:pPr>
      <w:rPr>
        <w:rFonts w:hint="default" w:eastAsia="Arial"/>
      </w:rPr>
    </w:lvl>
    <w:lvl w:ilvl="2">
      <w:start w:val="1"/>
      <w:numFmt w:val="decimal"/>
      <w:lvlText w:val="%1.%2.%3"/>
      <w:lvlJc w:val="left"/>
      <w:pPr>
        <w:ind w:left="720" w:hanging="720"/>
      </w:pPr>
      <w:rPr>
        <w:rFonts w:hint="default" w:eastAsia="Arial"/>
      </w:rPr>
    </w:lvl>
    <w:lvl w:ilvl="3">
      <w:start w:val="1"/>
      <w:numFmt w:val="decimal"/>
      <w:lvlText w:val="%1.%2.%3.%4"/>
      <w:lvlJc w:val="left"/>
      <w:pPr>
        <w:ind w:left="720" w:hanging="720"/>
      </w:pPr>
      <w:rPr>
        <w:rFonts w:hint="default" w:eastAsia="Arial"/>
      </w:rPr>
    </w:lvl>
    <w:lvl w:ilvl="4">
      <w:start w:val="1"/>
      <w:numFmt w:val="decimal"/>
      <w:lvlText w:val="%1.%2.%3.%4.%5"/>
      <w:lvlJc w:val="left"/>
      <w:pPr>
        <w:ind w:left="1080" w:hanging="1080"/>
      </w:pPr>
      <w:rPr>
        <w:rFonts w:hint="default" w:eastAsia="Arial"/>
      </w:rPr>
    </w:lvl>
    <w:lvl w:ilvl="5">
      <w:start w:val="1"/>
      <w:numFmt w:val="decimal"/>
      <w:lvlText w:val="%1.%2.%3.%4.%5.%6"/>
      <w:lvlJc w:val="left"/>
      <w:pPr>
        <w:ind w:left="1080" w:hanging="1080"/>
      </w:pPr>
      <w:rPr>
        <w:rFonts w:hint="default" w:eastAsia="Arial"/>
      </w:rPr>
    </w:lvl>
    <w:lvl w:ilvl="6">
      <w:start w:val="1"/>
      <w:numFmt w:val="decimal"/>
      <w:lvlText w:val="%1.%2.%3.%4.%5.%6.%7"/>
      <w:lvlJc w:val="left"/>
      <w:pPr>
        <w:ind w:left="1440" w:hanging="1440"/>
      </w:pPr>
      <w:rPr>
        <w:rFonts w:hint="default" w:eastAsia="Arial"/>
      </w:rPr>
    </w:lvl>
    <w:lvl w:ilvl="7">
      <w:start w:val="1"/>
      <w:numFmt w:val="decimal"/>
      <w:lvlText w:val="%1.%2.%3.%4.%5.%6.%7.%8"/>
      <w:lvlJc w:val="left"/>
      <w:pPr>
        <w:ind w:left="1440" w:hanging="1440"/>
      </w:pPr>
      <w:rPr>
        <w:rFonts w:hint="default" w:eastAsia="Arial"/>
      </w:rPr>
    </w:lvl>
    <w:lvl w:ilvl="8">
      <w:start w:val="1"/>
      <w:numFmt w:val="decimal"/>
      <w:lvlText w:val="%1.%2.%3.%4.%5.%6.%7.%8.%9"/>
      <w:lvlJc w:val="left"/>
      <w:pPr>
        <w:ind w:left="1800" w:hanging="1800"/>
      </w:pPr>
      <w:rPr>
        <w:rFonts w:hint="default" w:eastAsia="Arial"/>
      </w:rPr>
    </w:lvl>
  </w:abstractNum>
  <w:abstractNum w:abstractNumId="17">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33241A"/>
    <w:multiLevelType w:val="multilevel"/>
    <w:tmpl w:val="636EC9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73DA472B"/>
    <w:multiLevelType w:val="multilevel"/>
    <w:tmpl w:val="096A6CE2"/>
    <w:lvl w:ilvl="0">
      <w:start w:val="1"/>
      <w:numFmt w:val="upperRoman"/>
      <w:lvlText w:val="%1."/>
      <w:lvlJc w:val="right"/>
      <w:pPr>
        <w:ind w:left="360" w:hanging="360"/>
      </w:p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78047958"/>
    <w:multiLevelType w:val="multilevel"/>
    <w:tmpl w:val="D6F28B1C"/>
    <w:lvl w:ilvl="0">
      <w:start w:val="5"/>
      <w:numFmt w:val="decimal"/>
      <w:lvlText w:val="%1"/>
      <w:lvlJc w:val="left"/>
      <w:pPr>
        <w:ind w:left="360" w:hanging="360"/>
      </w:pPr>
      <w:rPr>
        <w:rFonts w:hint="default" w:eastAsia="Arial"/>
      </w:rPr>
    </w:lvl>
    <w:lvl w:ilvl="1">
      <w:start w:val="1"/>
      <w:numFmt w:val="decimal"/>
      <w:lvlText w:val="%1.%2"/>
      <w:lvlJc w:val="left"/>
      <w:pPr>
        <w:ind w:left="360" w:hanging="360"/>
      </w:pPr>
      <w:rPr>
        <w:rFonts w:hint="default" w:eastAsia="Arial"/>
      </w:rPr>
    </w:lvl>
    <w:lvl w:ilvl="2">
      <w:start w:val="1"/>
      <w:numFmt w:val="decimal"/>
      <w:lvlText w:val="%1.%2.%3"/>
      <w:lvlJc w:val="left"/>
      <w:pPr>
        <w:ind w:left="720" w:hanging="720"/>
      </w:pPr>
      <w:rPr>
        <w:rFonts w:hint="default" w:eastAsia="Arial"/>
      </w:rPr>
    </w:lvl>
    <w:lvl w:ilvl="3">
      <w:start w:val="1"/>
      <w:numFmt w:val="decimal"/>
      <w:lvlText w:val="%1.%2.%3.%4"/>
      <w:lvlJc w:val="left"/>
      <w:pPr>
        <w:ind w:left="720" w:hanging="720"/>
      </w:pPr>
      <w:rPr>
        <w:rFonts w:hint="default" w:eastAsia="Arial"/>
      </w:rPr>
    </w:lvl>
    <w:lvl w:ilvl="4">
      <w:start w:val="1"/>
      <w:numFmt w:val="decimal"/>
      <w:lvlText w:val="%1.%2.%3.%4.%5"/>
      <w:lvlJc w:val="left"/>
      <w:pPr>
        <w:ind w:left="1080" w:hanging="1080"/>
      </w:pPr>
      <w:rPr>
        <w:rFonts w:hint="default" w:eastAsia="Arial"/>
      </w:rPr>
    </w:lvl>
    <w:lvl w:ilvl="5">
      <w:start w:val="1"/>
      <w:numFmt w:val="decimal"/>
      <w:lvlText w:val="%1.%2.%3.%4.%5.%6"/>
      <w:lvlJc w:val="left"/>
      <w:pPr>
        <w:ind w:left="1080" w:hanging="1080"/>
      </w:pPr>
      <w:rPr>
        <w:rFonts w:hint="default" w:eastAsia="Arial"/>
      </w:rPr>
    </w:lvl>
    <w:lvl w:ilvl="6">
      <w:start w:val="1"/>
      <w:numFmt w:val="decimal"/>
      <w:lvlText w:val="%1.%2.%3.%4.%5.%6.%7"/>
      <w:lvlJc w:val="left"/>
      <w:pPr>
        <w:ind w:left="1440" w:hanging="1440"/>
      </w:pPr>
      <w:rPr>
        <w:rFonts w:hint="default" w:eastAsia="Arial"/>
      </w:rPr>
    </w:lvl>
    <w:lvl w:ilvl="7">
      <w:start w:val="1"/>
      <w:numFmt w:val="decimal"/>
      <w:lvlText w:val="%1.%2.%3.%4.%5.%6.%7.%8"/>
      <w:lvlJc w:val="left"/>
      <w:pPr>
        <w:ind w:left="1440" w:hanging="1440"/>
      </w:pPr>
      <w:rPr>
        <w:rFonts w:hint="default" w:eastAsia="Arial"/>
      </w:rPr>
    </w:lvl>
    <w:lvl w:ilvl="8">
      <w:start w:val="1"/>
      <w:numFmt w:val="decimal"/>
      <w:lvlText w:val="%1.%2.%3.%4.%5.%6.%7.%8.%9"/>
      <w:lvlJc w:val="left"/>
      <w:pPr>
        <w:ind w:left="1800" w:hanging="1800"/>
      </w:pPr>
      <w:rPr>
        <w:rFonts w:hint="default" w:eastAsia="Arial"/>
      </w:rPr>
    </w:lvl>
  </w:abstractNum>
  <w:abstractNum w:abstractNumId="24">
    <w:nsid w:val="7A111E1D"/>
    <w:multiLevelType w:val="multilevel"/>
    <w:tmpl w:val="89FAB6EE"/>
    <w:lvl w:ilvl="0">
      <w:start w:val="3"/>
      <w:numFmt w:val="decimal"/>
      <w:lvlText w:val="%1"/>
      <w:lvlJc w:val="left"/>
      <w:pPr>
        <w:ind w:left="360" w:hanging="360"/>
      </w:pPr>
      <w:rPr>
        <w:rFonts w:hint="default" w:eastAsia="Arial"/>
        <w:b/>
      </w:rPr>
    </w:lvl>
    <w:lvl w:ilvl="1">
      <w:start w:val="1"/>
      <w:numFmt w:val="decimal"/>
      <w:lvlText w:val="%1.%2"/>
      <w:lvlJc w:val="left"/>
      <w:pPr>
        <w:ind w:left="360" w:hanging="360"/>
      </w:pPr>
      <w:rPr>
        <w:rFonts w:hint="default" w:eastAsia="Arial"/>
        <w:b w:val="0"/>
        <w:bCs/>
      </w:rPr>
    </w:lvl>
    <w:lvl w:ilvl="2">
      <w:start w:val="1"/>
      <w:numFmt w:val="decimal"/>
      <w:lvlText w:val="%1.%2.%3"/>
      <w:lvlJc w:val="left"/>
      <w:pPr>
        <w:ind w:left="720" w:hanging="720"/>
      </w:pPr>
      <w:rPr>
        <w:rFonts w:hint="default" w:eastAsia="Arial"/>
        <w:b/>
      </w:rPr>
    </w:lvl>
    <w:lvl w:ilvl="3">
      <w:start w:val="1"/>
      <w:numFmt w:val="decimal"/>
      <w:lvlText w:val="%1.%2.%3.%4"/>
      <w:lvlJc w:val="left"/>
      <w:pPr>
        <w:ind w:left="720" w:hanging="720"/>
      </w:pPr>
      <w:rPr>
        <w:rFonts w:hint="default" w:eastAsia="Arial"/>
        <w:b/>
      </w:rPr>
    </w:lvl>
    <w:lvl w:ilvl="4">
      <w:start w:val="1"/>
      <w:numFmt w:val="decimal"/>
      <w:lvlText w:val="%1.%2.%3.%4.%5"/>
      <w:lvlJc w:val="left"/>
      <w:pPr>
        <w:ind w:left="1080" w:hanging="1080"/>
      </w:pPr>
      <w:rPr>
        <w:rFonts w:hint="default" w:eastAsia="Arial"/>
        <w:b/>
      </w:rPr>
    </w:lvl>
    <w:lvl w:ilvl="5">
      <w:start w:val="1"/>
      <w:numFmt w:val="decimal"/>
      <w:lvlText w:val="%1.%2.%3.%4.%5.%6"/>
      <w:lvlJc w:val="left"/>
      <w:pPr>
        <w:ind w:left="1080" w:hanging="1080"/>
      </w:pPr>
      <w:rPr>
        <w:rFonts w:hint="default" w:eastAsia="Arial"/>
        <w:b/>
      </w:rPr>
    </w:lvl>
    <w:lvl w:ilvl="6">
      <w:start w:val="1"/>
      <w:numFmt w:val="decimal"/>
      <w:lvlText w:val="%1.%2.%3.%4.%5.%6.%7"/>
      <w:lvlJc w:val="left"/>
      <w:pPr>
        <w:ind w:left="1440" w:hanging="1440"/>
      </w:pPr>
      <w:rPr>
        <w:rFonts w:hint="default" w:eastAsia="Arial"/>
        <w:b/>
      </w:rPr>
    </w:lvl>
    <w:lvl w:ilvl="7">
      <w:start w:val="1"/>
      <w:numFmt w:val="decimal"/>
      <w:lvlText w:val="%1.%2.%3.%4.%5.%6.%7.%8"/>
      <w:lvlJc w:val="left"/>
      <w:pPr>
        <w:ind w:left="1440" w:hanging="1440"/>
      </w:pPr>
      <w:rPr>
        <w:rFonts w:hint="default" w:eastAsia="Arial"/>
        <w:b/>
      </w:rPr>
    </w:lvl>
    <w:lvl w:ilvl="8">
      <w:start w:val="1"/>
      <w:numFmt w:val="decimal"/>
      <w:lvlText w:val="%1.%2.%3.%4.%5.%6.%7.%8.%9"/>
      <w:lvlJc w:val="left"/>
      <w:pPr>
        <w:ind w:left="1800" w:hanging="1800"/>
      </w:pPr>
      <w:rPr>
        <w:rFonts w:hint="default" w:eastAsia="Arial"/>
        <w:b/>
      </w:rPr>
    </w:lvl>
  </w:abstractNum>
  <w:abstractNum w:abstractNumId="25">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AF22D7"/>
    <w:multiLevelType w:val="multilevel"/>
    <w:tmpl w:val="7A8E0F20"/>
    <w:lvl w:ilvl="0">
      <w:start w:val="1"/>
      <w:numFmt w:val="upperRoman"/>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28">
    <w:abstractNumId w:val="27"/>
  </w:num>
  <w:num w:numId="1">
    <w:abstractNumId w:val="26"/>
  </w:num>
  <w:num w:numId="2">
    <w:abstractNumId w:val="14"/>
  </w:num>
  <w:num w:numId="3">
    <w:abstractNumId w:val="8"/>
  </w:num>
  <w:num w:numId="4">
    <w:abstractNumId w:val="15"/>
  </w:num>
  <w:num w:numId="5">
    <w:abstractNumId w:val="25"/>
  </w:num>
  <w:num w:numId="6">
    <w:abstractNumId w:val="22"/>
  </w:num>
  <w:num w:numId="7">
    <w:abstractNumId w:val="2"/>
  </w:num>
  <w:num w:numId="8">
    <w:abstractNumId w:val="4"/>
  </w:num>
  <w:num w:numId="9">
    <w:abstractNumId w:val="6"/>
  </w:num>
  <w:num w:numId="10">
    <w:abstractNumId w:val="18"/>
  </w:num>
  <w:num w:numId="11">
    <w:abstractNumId w:val="19"/>
  </w:num>
  <w:num w:numId="12">
    <w:abstractNumId w:val="0"/>
  </w:num>
  <w:num w:numId="13">
    <w:abstractNumId w:val="5"/>
  </w:num>
  <w:num w:numId="14">
    <w:abstractNumId w:val="11"/>
  </w:num>
  <w:num w:numId="15">
    <w:abstractNumId w:val="3"/>
  </w:num>
  <w:num w:numId="16">
    <w:abstractNumId w:val="13"/>
  </w:num>
  <w:num w:numId="17">
    <w:abstractNumId w:val="21"/>
  </w:num>
  <w:num w:numId="18">
    <w:abstractNumId w:val="17"/>
  </w:num>
  <w:num w:numId="19">
    <w:abstractNumId w:val="12"/>
  </w:num>
  <w:num w:numId="20">
    <w:abstractNumId w:val="10"/>
  </w:num>
  <w:num w:numId="21">
    <w:abstractNumId w:val="1"/>
  </w:num>
  <w:num w:numId="22">
    <w:abstractNumId w:val="9"/>
  </w:num>
  <w:num w:numId="23">
    <w:abstractNumId w:val="24"/>
  </w:num>
  <w:num w:numId="24">
    <w:abstractNumId w:val="16"/>
  </w:num>
  <w:num w:numId="25">
    <w:abstractNumId w:val="23"/>
  </w:num>
  <w:num w:numId="26">
    <w:abstractNumId w:val="20"/>
  </w:num>
  <w:num w:numId="27">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0"/>
  <w:trackRevisions w:val="false"/>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2B6C"/>
    <w:rsid w:val="00007FF1"/>
    <w:rsid w:val="0001360B"/>
    <w:rsid w:val="000147E3"/>
    <w:rsid w:val="00017B41"/>
    <w:rsid w:val="0002104E"/>
    <w:rsid w:val="000269F9"/>
    <w:rsid w:val="00033CFE"/>
    <w:rsid w:val="000402D3"/>
    <w:rsid w:val="00041D10"/>
    <w:rsid w:val="00041E0C"/>
    <w:rsid w:val="0004502C"/>
    <w:rsid w:val="000544CC"/>
    <w:rsid w:val="00057325"/>
    <w:rsid w:val="00060E40"/>
    <w:rsid w:val="0006550F"/>
    <w:rsid w:val="00065D4D"/>
    <w:rsid w:val="0006695D"/>
    <w:rsid w:val="00071841"/>
    <w:rsid w:val="00084849"/>
    <w:rsid w:val="00086CFF"/>
    <w:rsid w:val="00087E45"/>
    <w:rsid w:val="000956FB"/>
    <w:rsid w:val="000A0605"/>
    <w:rsid w:val="000A2B21"/>
    <w:rsid w:val="000A3878"/>
    <w:rsid w:val="000A3B55"/>
    <w:rsid w:val="000A5A39"/>
    <w:rsid w:val="000C389B"/>
    <w:rsid w:val="000C421D"/>
    <w:rsid w:val="000C579D"/>
    <w:rsid w:val="000D2A7B"/>
    <w:rsid w:val="000E3408"/>
    <w:rsid w:val="000E746D"/>
    <w:rsid w:val="000E7D5D"/>
    <w:rsid w:val="000F10F2"/>
    <w:rsid w:val="000F39D2"/>
    <w:rsid w:val="000F6D52"/>
    <w:rsid w:val="000F744C"/>
    <w:rsid w:val="00102DAE"/>
    <w:rsid w:val="001043B5"/>
    <w:rsid w:val="00111A8C"/>
    <w:rsid w:val="001127C3"/>
    <w:rsid w:val="001129A4"/>
    <w:rsid w:val="00123F49"/>
    <w:rsid w:val="00123FFD"/>
    <w:rsid w:val="00124040"/>
    <w:rsid w:val="001264FB"/>
    <w:rsid w:val="001272AF"/>
    <w:rsid w:val="001316E2"/>
    <w:rsid w:val="00135F7E"/>
    <w:rsid w:val="00142F86"/>
    <w:rsid w:val="00147CE7"/>
    <w:rsid w:val="001508F1"/>
    <w:rsid w:val="00157483"/>
    <w:rsid w:val="001604DE"/>
    <w:rsid w:val="0017216B"/>
    <w:rsid w:val="00183D6C"/>
    <w:rsid w:val="00187034"/>
    <w:rsid w:val="001906C1"/>
    <w:rsid w:val="001A1EF4"/>
    <w:rsid w:val="001A5742"/>
    <w:rsid w:val="001A6ADD"/>
    <w:rsid w:val="001C18FD"/>
    <w:rsid w:val="001C2F06"/>
    <w:rsid w:val="001C3891"/>
    <w:rsid w:val="001C56B8"/>
    <w:rsid w:val="001D3ECA"/>
    <w:rsid w:val="001D629E"/>
    <w:rsid w:val="001F1ECA"/>
    <w:rsid w:val="001F41E2"/>
    <w:rsid w:val="001F7559"/>
    <w:rsid w:val="00201AE8"/>
    <w:rsid w:val="00204D9E"/>
    <w:rsid w:val="00210317"/>
    <w:rsid w:val="002107CC"/>
    <w:rsid w:val="00210F72"/>
    <w:rsid w:val="00214DA3"/>
    <w:rsid w:val="002151F7"/>
    <w:rsid w:val="0022186E"/>
    <w:rsid w:val="00222DB4"/>
    <w:rsid w:val="00225B5A"/>
    <w:rsid w:val="00226465"/>
    <w:rsid w:val="00226D72"/>
    <w:rsid w:val="00231773"/>
    <w:rsid w:val="0023302F"/>
    <w:rsid w:val="00236249"/>
    <w:rsid w:val="00240337"/>
    <w:rsid w:val="00244170"/>
    <w:rsid w:val="00244A9D"/>
    <w:rsid w:val="00247C86"/>
    <w:rsid w:val="00253158"/>
    <w:rsid w:val="00253BB0"/>
    <w:rsid w:val="00253FC8"/>
    <w:rsid w:val="00257BDD"/>
    <w:rsid w:val="00262A68"/>
    <w:rsid w:val="00267BFA"/>
    <w:rsid w:val="00270E14"/>
    <w:rsid w:val="00270E92"/>
    <w:rsid w:val="0027505A"/>
    <w:rsid w:val="0027764B"/>
    <w:rsid w:val="0028127C"/>
    <w:rsid w:val="0028247E"/>
    <w:rsid w:val="00283316"/>
    <w:rsid w:val="002959D8"/>
    <w:rsid w:val="002A0528"/>
    <w:rsid w:val="002A17F1"/>
    <w:rsid w:val="002A2252"/>
    <w:rsid w:val="002A4AAF"/>
    <w:rsid w:val="002C37CE"/>
    <w:rsid w:val="002C42AB"/>
    <w:rsid w:val="002D387E"/>
    <w:rsid w:val="002D4B50"/>
    <w:rsid w:val="002D4D27"/>
    <w:rsid w:val="002D7FB5"/>
    <w:rsid w:val="002E65F5"/>
    <w:rsid w:val="00302426"/>
    <w:rsid w:val="00303A75"/>
    <w:rsid w:val="00310CB1"/>
    <w:rsid w:val="00334783"/>
    <w:rsid w:val="00335B4C"/>
    <w:rsid w:val="00335BDA"/>
    <w:rsid w:val="00340BC1"/>
    <w:rsid w:val="00346E79"/>
    <w:rsid w:val="003473BD"/>
    <w:rsid w:val="00353069"/>
    <w:rsid w:val="003622D9"/>
    <w:rsid w:val="00364A0B"/>
    <w:rsid w:val="00365B35"/>
    <w:rsid w:val="00367E4F"/>
    <w:rsid w:val="0037274E"/>
    <w:rsid w:val="00377B90"/>
    <w:rsid w:val="003836F5"/>
    <w:rsid w:val="003842FC"/>
    <w:rsid w:val="00385A6B"/>
    <w:rsid w:val="003903CC"/>
    <w:rsid w:val="00395A99"/>
    <w:rsid w:val="003C1351"/>
    <w:rsid w:val="003C172A"/>
    <w:rsid w:val="003C2106"/>
    <w:rsid w:val="003C3DB3"/>
    <w:rsid w:val="003D2892"/>
    <w:rsid w:val="003D32DA"/>
    <w:rsid w:val="003D609D"/>
    <w:rsid w:val="003D76EB"/>
    <w:rsid w:val="003E5A2F"/>
    <w:rsid w:val="003E6B0B"/>
    <w:rsid w:val="00403D49"/>
    <w:rsid w:val="00407D28"/>
    <w:rsid w:val="004137C4"/>
    <w:rsid w:val="00416432"/>
    <w:rsid w:val="004168E8"/>
    <w:rsid w:val="004172FE"/>
    <w:rsid w:val="00417FB9"/>
    <w:rsid w:val="00423F56"/>
    <w:rsid w:val="00425430"/>
    <w:rsid w:val="00426219"/>
    <w:rsid w:val="00430BD1"/>
    <w:rsid w:val="004311D4"/>
    <w:rsid w:val="00431EE3"/>
    <w:rsid w:val="00432C3D"/>
    <w:rsid w:val="00433246"/>
    <w:rsid w:val="004355DC"/>
    <w:rsid w:val="00451C1B"/>
    <w:rsid w:val="00453E1D"/>
    <w:rsid w:val="00454218"/>
    <w:rsid w:val="00457ED9"/>
    <w:rsid w:val="0046257D"/>
    <w:rsid w:val="00466B5F"/>
    <w:rsid w:val="00466C7E"/>
    <w:rsid w:val="00472133"/>
    <w:rsid w:val="00472C12"/>
    <w:rsid w:val="00482240"/>
    <w:rsid w:val="00487412"/>
    <w:rsid w:val="00494731"/>
    <w:rsid w:val="004947B3"/>
    <w:rsid w:val="004A0A91"/>
    <w:rsid w:val="004B3405"/>
    <w:rsid w:val="004B657E"/>
    <w:rsid w:val="004B71A0"/>
    <w:rsid w:val="004C6890"/>
    <w:rsid w:val="004D18D8"/>
    <w:rsid w:val="004D20C2"/>
    <w:rsid w:val="004D3346"/>
    <w:rsid w:val="004D5823"/>
    <w:rsid w:val="004D7049"/>
    <w:rsid w:val="004E3B0D"/>
    <w:rsid w:val="004F386F"/>
    <w:rsid w:val="004F45C4"/>
    <w:rsid w:val="004F6E51"/>
    <w:rsid w:val="004F6E78"/>
    <w:rsid w:val="004F7E01"/>
    <w:rsid w:val="0050104A"/>
    <w:rsid w:val="00503285"/>
    <w:rsid w:val="00510DB8"/>
    <w:rsid w:val="00512024"/>
    <w:rsid w:val="00520F58"/>
    <w:rsid w:val="00531E51"/>
    <w:rsid w:val="00534ED1"/>
    <w:rsid w:val="005364CE"/>
    <w:rsid w:val="00544613"/>
    <w:rsid w:val="005503F6"/>
    <w:rsid w:val="005542B1"/>
    <w:rsid w:val="005561E4"/>
    <w:rsid w:val="00556524"/>
    <w:rsid w:val="00561BFE"/>
    <w:rsid w:val="00567CC8"/>
    <w:rsid w:val="00572E5D"/>
    <w:rsid w:val="0058137A"/>
    <w:rsid w:val="005833C9"/>
    <w:rsid w:val="0059194E"/>
    <w:rsid w:val="005A1056"/>
    <w:rsid w:val="005B274E"/>
    <w:rsid w:val="005C16F6"/>
    <w:rsid w:val="005C7EAF"/>
    <w:rsid w:val="005D0CEA"/>
    <w:rsid w:val="005D330B"/>
    <w:rsid w:val="005E2E96"/>
    <w:rsid w:val="005E5CD3"/>
    <w:rsid w:val="005F1662"/>
    <w:rsid w:val="0060089A"/>
    <w:rsid w:val="00600BF8"/>
    <w:rsid w:val="006060EC"/>
    <w:rsid w:val="006075FD"/>
    <w:rsid w:val="006113E5"/>
    <w:rsid w:val="006136B2"/>
    <w:rsid w:val="00614929"/>
    <w:rsid w:val="00616A1D"/>
    <w:rsid w:val="0062725A"/>
    <w:rsid w:val="006339EC"/>
    <w:rsid w:val="00636F3F"/>
    <w:rsid w:val="00641ED4"/>
    <w:rsid w:val="00646B82"/>
    <w:rsid w:val="0064733F"/>
    <w:rsid w:val="00664574"/>
    <w:rsid w:val="00665665"/>
    <w:rsid w:val="006661C0"/>
    <w:rsid w:val="00670648"/>
    <w:rsid w:val="00673BF3"/>
    <w:rsid w:val="00675E7A"/>
    <w:rsid w:val="00682309"/>
    <w:rsid w:val="006824BB"/>
    <w:rsid w:val="006836FF"/>
    <w:rsid w:val="00683C8D"/>
    <w:rsid w:val="00690EEA"/>
    <w:rsid w:val="006A1798"/>
    <w:rsid w:val="006B214E"/>
    <w:rsid w:val="006B44EA"/>
    <w:rsid w:val="006B642B"/>
    <w:rsid w:val="006C5199"/>
    <w:rsid w:val="006D7064"/>
    <w:rsid w:val="006E5542"/>
    <w:rsid w:val="006E64D9"/>
    <w:rsid w:val="006E6E0F"/>
    <w:rsid w:val="006F38F1"/>
    <w:rsid w:val="006F4A9A"/>
    <w:rsid w:val="006F5CC3"/>
    <w:rsid w:val="007008CE"/>
    <w:rsid w:val="00702716"/>
    <w:rsid w:val="00702A56"/>
    <w:rsid w:val="00710406"/>
    <w:rsid w:val="00721922"/>
    <w:rsid w:val="00725899"/>
    <w:rsid w:val="007262F2"/>
    <w:rsid w:val="00735453"/>
    <w:rsid w:val="007363A8"/>
    <w:rsid w:val="00743283"/>
    <w:rsid w:val="00743CD0"/>
    <w:rsid w:val="00746260"/>
    <w:rsid w:val="007530CD"/>
    <w:rsid w:val="0076573F"/>
    <w:rsid w:val="007721C1"/>
    <w:rsid w:val="00782282"/>
    <w:rsid w:val="007869F4"/>
    <w:rsid w:val="00787125"/>
    <w:rsid w:val="0079172B"/>
    <w:rsid w:val="007B0420"/>
    <w:rsid w:val="007B500B"/>
    <w:rsid w:val="007B6B61"/>
    <w:rsid w:val="007C3374"/>
    <w:rsid w:val="007C64EC"/>
    <w:rsid w:val="007D58B6"/>
    <w:rsid w:val="007F3B62"/>
    <w:rsid w:val="00801D9C"/>
    <w:rsid w:val="008052A0"/>
    <w:rsid w:val="00807C07"/>
    <w:rsid w:val="00810075"/>
    <w:rsid w:val="00815B6A"/>
    <w:rsid w:val="008209A4"/>
    <w:rsid w:val="0082467B"/>
    <w:rsid w:val="00825F8B"/>
    <w:rsid w:val="008372C2"/>
    <w:rsid w:val="00840B56"/>
    <w:rsid w:val="00841608"/>
    <w:rsid w:val="00844C94"/>
    <w:rsid w:val="00846D7B"/>
    <w:rsid w:val="0085126C"/>
    <w:rsid w:val="0085412F"/>
    <w:rsid w:val="00855325"/>
    <w:rsid w:val="008564AD"/>
    <w:rsid w:val="00865A6F"/>
    <w:rsid w:val="0087190C"/>
    <w:rsid w:val="008739E3"/>
    <w:rsid w:val="008813B9"/>
    <w:rsid w:val="00884EFD"/>
    <w:rsid w:val="0088692D"/>
    <w:rsid w:val="00887A27"/>
    <w:rsid w:val="00890258"/>
    <w:rsid w:val="008902BA"/>
    <w:rsid w:val="008A7116"/>
    <w:rsid w:val="008B3B87"/>
    <w:rsid w:val="008B5A6A"/>
    <w:rsid w:val="008B7A3E"/>
    <w:rsid w:val="008C4945"/>
    <w:rsid w:val="008D2CC3"/>
    <w:rsid w:val="008D525D"/>
    <w:rsid w:val="008D61FC"/>
    <w:rsid w:val="00904586"/>
    <w:rsid w:val="00915206"/>
    <w:rsid w:val="0091715B"/>
    <w:rsid w:val="0092554B"/>
    <w:rsid w:val="00925C27"/>
    <w:rsid w:val="00930A8F"/>
    <w:rsid w:val="009332E2"/>
    <w:rsid w:val="00933A84"/>
    <w:rsid w:val="0093554E"/>
    <w:rsid w:val="00936B63"/>
    <w:rsid w:val="00943C1A"/>
    <w:rsid w:val="00944399"/>
    <w:rsid w:val="0095122E"/>
    <w:rsid w:val="00953879"/>
    <w:rsid w:val="00955553"/>
    <w:rsid w:val="0095711B"/>
    <w:rsid w:val="00970799"/>
    <w:rsid w:val="009748BC"/>
    <w:rsid w:val="00994B24"/>
    <w:rsid w:val="00997C3E"/>
    <w:rsid w:val="009A2D1B"/>
    <w:rsid w:val="009A36B1"/>
    <w:rsid w:val="009B360B"/>
    <w:rsid w:val="009B50D0"/>
    <w:rsid w:val="009B6030"/>
    <w:rsid w:val="009C0286"/>
    <w:rsid w:val="009C5A52"/>
    <w:rsid w:val="009C5C06"/>
    <w:rsid w:val="009D6132"/>
    <w:rsid w:val="009D73A8"/>
    <w:rsid w:val="009E1945"/>
    <w:rsid w:val="009E3D15"/>
    <w:rsid w:val="009F1441"/>
    <w:rsid w:val="009F33FF"/>
    <w:rsid w:val="009F3CA2"/>
    <w:rsid w:val="009F705D"/>
    <w:rsid w:val="00A02346"/>
    <w:rsid w:val="00A0625F"/>
    <w:rsid w:val="00A067E6"/>
    <w:rsid w:val="00A07BE2"/>
    <w:rsid w:val="00A10CD5"/>
    <w:rsid w:val="00A12AD8"/>
    <w:rsid w:val="00A12C27"/>
    <w:rsid w:val="00A13EE1"/>
    <w:rsid w:val="00A15C06"/>
    <w:rsid w:val="00A20379"/>
    <w:rsid w:val="00A242D1"/>
    <w:rsid w:val="00A2474F"/>
    <w:rsid w:val="00A27CFE"/>
    <w:rsid w:val="00A3058E"/>
    <w:rsid w:val="00A357F7"/>
    <w:rsid w:val="00A3678C"/>
    <w:rsid w:val="00A37383"/>
    <w:rsid w:val="00A37C9C"/>
    <w:rsid w:val="00A52980"/>
    <w:rsid w:val="00A530F6"/>
    <w:rsid w:val="00A54370"/>
    <w:rsid w:val="00A54F53"/>
    <w:rsid w:val="00A57185"/>
    <w:rsid w:val="00A63894"/>
    <w:rsid w:val="00A67557"/>
    <w:rsid w:val="00A773E8"/>
    <w:rsid w:val="00A7760A"/>
    <w:rsid w:val="00A81E6C"/>
    <w:rsid w:val="00A8462C"/>
    <w:rsid w:val="00A876E7"/>
    <w:rsid w:val="00A924BE"/>
    <w:rsid w:val="00A9411D"/>
    <w:rsid w:val="00A944F8"/>
    <w:rsid w:val="00A96B58"/>
    <w:rsid w:val="00AA3E08"/>
    <w:rsid w:val="00AA4E2B"/>
    <w:rsid w:val="00AA76A4"/>
    <w:rsid w:val="00AB0135"/>
    <w:rsid w:val="00AB4EBE"/>
    <w:rsid w:val="00AC07CF"/>
    <w:rsid w:val="00AC081B"/>
    <w:rsid w:val="00AC2AFC"/>
    <w:rsid w:val="00AC677A"/>
    <w:rsid w:val="00AC7C95"/>
    <w:rsid w:val="00AC7DDD"/>
    <w:rsid w:val="00AD3653"/>
    <w:rsid w:val="00AD3845"/>
    <w:rsid w:val="00AE74EC"/>
    <w:rsid w:val="00AE7CFB"/>
    <w:rsid w:val="00AF071E"/>
    <w:rsid w:val="00AF1306"/>
    <w:rsid w:val="00AF2F55"/>
    <w:rsid w:val="00AF3755"/>
    <w:rsid w:val="00AF4B7B"/>
    <w:rsid w:val="00AF5C75"/>
    <w:rsid w:val="00B00FD6"/>
    <w:rsid w:val="00B03E1E"/>
    <w:rsid w:val="00B07D92"/>
    <w:rsid w:val="00B1113D"/>
    <w:rsid w:val="00B13125"/>
    <w:rsid w:val="00B15326"/>
    <w:rsid w:val="00B24731"/>
    <w:rsid w:val="00B307EC"/>
    <w:rsid w:val="00B347ED"/>
    <w:rsid w:val="00B402A3"/>
    <w:rsid w:val="00B45597"/>
    <w:rsid w:val="00B551BD"/>
    <w:rsid w:val="00B60C91"/>
    <w:rsid w:val="00B61B40"/>
    <w:rsid w:val="00B65DBF"/>
    <w:rsid w:val="00B811D8"/>
    <w:rsid w:val="00B83CCE"/>
    <w:rsid w:val="00B84D02"/>
    <w:rsid w:val="00B917CC"/>
    <w:rsid w:val="00B9184D"/>
    <w:rsid w:val="00B95AA1"/>
    <w:rsid w:val="00BA4621"/>
    <w:rsid w:val="00BB0305"/>
    <w:rsid w:val="00BB2778"/>
    <w:rsid w:val="00BB5BAB"/>
    <w:rsid w:val="00BB612A"/>
    <w:rsid w:val="00BC5E53"/>
    <w:rsid w:val="00BE7549"/>
    <w:rsid w:val="00BF0E76"/>
    <w:rsid w:val="00BF1E87"/>
    <w:rsid w:val="00C040A2"/>
    <w:rsid w:val="00C10C94"/>
    <w:rsid w:val="00C1501F"/>
    <w:rsid w:val="00C23A49"/>
    <w:rsid w:val="00C23D0E"/>
    <w:rsid w:val="00C314A4"/>
    <w:rsid w:val="00C31ACD"/>
    <w:rsid w:val="00C3492D"/>
    <w:rsid w:val="00C34AD7"/>
    <w:rsid w:val="00C36B61"/>
    <w:rsid w:val="00C4070C"/>
    <w:rsid w:val="00C43412"/>
    <w:rsid w:val="00C43E24"/>
    <w:rsid w:val="00C44C30"/>
    <w:rsid w:val="00C46C70"/>
    <w:rsid w:val="00C5092E"/>
    <w:rsid w:val="00C51AE8"/>
    <w:rsid w:val="00C571D0"/>
    <w:rsid w:val="00C5730B"/>
    <w:rsid w:val="00C70C8B"/>
    <w:rsid w:val="00C745F8"/>
    <w:rsid w:val="00C74904"/>
    <w:rsid w:val="00C75758"/>
    <w:rsid w:val="00C77764"/>
    <w:rsid w:val="00C84573"/>
    <w:rsid w:val="00C846C3"/>
    <w:rsid w:val="00C90D75"/>
    <w:rsid w:val="00C91583"/>
    <w:rsid w:val="00CB32B1"/>
    <w:rsid w:val="00CC0115"/>
    <w:rsid w:val="00CC2C58"/>
    <w:rsid w:val="00CC4CF8"/>
    <w:rsid w:val="00CC610D"/>
    <w:rsid w:val="00CD109E"/>
    <w:rsid w:val="00CD138B"/>
    <w:rsid w:val="00CE0C08"/>
    <w:rsid w:val="00CE3E03"/>
    <w:rsid w:val="00CE7C16"/>
    <w:rsid w:val="00CF2016"/>
    <w:rsid w:val="00CF2D24"/>
    <w:rsid w:val="00CF437B"/>
    <w:rsid w:val="00D00AE8"/>
    <w:rsid w:val="00D01324"/>
    <w:rsid w:val="00D07EB4"/>
    <w:rsid w:val="00D11387"/>
    <w:rsid w:val="00D1209D"/>
    <w:rsid w:val="00D200F9"/>
    <w:rsid w:val="00D20C00"/>
    <w:rsid w:val="00D214BA"/>
    <w:rsid w:val="00D2491C"/>
    <w:rsid w:val="00D26861"/>
    <w:rsid w:val="00D31175"/>
    <w:rsid w:val="00D459A0"/>
    <w:rsid w:val="00D46764"/>
    <w:rsid w:val="00D53397"/>
    <w:rsid w:val="00D55EA9"/>
    <w:rsid w:val="00D70D15"/>
    <w:rsid w:val="00D72EFC"/>
    <w:rsid w:val="00D84B54"/>
    <w:rsid w:val="00D87C54"/>
    <w:rsid w:val="00D95606"/>
    <w:rsid w:val="00DA0A7C"/>
    <w:rsid w:val="00DA5FFB"/>
    <w:rsid w:val="00DB2F4A"/>
    <w:rsid w:val="00DB43C9"/>
    <w:rsid w:val="00DB5E99"/>
    <w:rsid w:val="00DC1E68"/>
    <w:rsid w:val="00DC5382"/>
    <w:rsid w:val="00DC5688"/>
    <w:rsid w:val="00DD2699"/>
    <w:rsid w:val="00DD3115"/>
    <w:rsid w:val="00DD3E01"/>
    <w:rsid w:val="00DE01C0"/>
    <w:rsid w:val="00DE2731"/>
    <w:rsid w:val="00DF3B6C"/>
    <w:rsid w:val="00DF475D"/>
    <w:rsid w:val="00DF650E"/>
    <w:rsid w:val="00E005F0"/>
    <w:rsid w:val="00E02E7D"/>
    <w:rsid w:val="00E13EA9"/>
    <w:rsid w:val="00E165B8"/>
    <w:rsid w:val="00E20EBD"/>
    <w:rsid w:val="00E31AEC"/>
    <w:rsid w:val="00E352D3"/>
    <w:rsid w:val="00E40AE6"/>
    <w:rsid w:val="00E40C4B"/>
    <w:rsid w:val="00E45093"/>
    <w:rsid w:val="00E52408"/>
    <w:rsid w:val="00E5259A"/>
    <w:rsid w:val="00E6336B"/>
    <w:rsid w:val="00E645C3"/>
    <w:rsid w:val="00E65098"/>
    <w:rsid w:val="00E6675A"/>
    <w:rsid w:val="00E702E9"/>
    <w:rsid w:val="00E748C3"/>
    <w:rsid w:val="00E74D1B"/>
    <w:rsid w:val="00E75CB3"/>
    <w:rsid w:val="00E82ADA"/>
    <w:rsid w:val="00E8560F"/>
    <w:rsid w:val="00E85797"/>
    <w:rsid w:val="00E909E2"/>
    <w:rsid w:val="00E910C6"/>
    <w:rsid w:val="00E93186"/>
    <w:rsid w:val="00E932A6"/>
    <w:rsid w:val="00EA0617"/>
    <w:rsid w:val="00EA0EA3"/>
    <w:rsid w:val="00EA13E7"/>
    <w:rsid w:val="00EA3919"/>
    <w:rsid w:val="00EB435F"/>
    <w:rsid w:val="00EB5DC4"/>
    <w:rsid w:val="00EB61EE"/>
    <w:rsid w:val="00EC0618"/>
    <w:rsid w:val="00EC4075"/>
    <w:rsid w:val="00EC44A7"/>
    <w:rsid w:val="00EC6CAF"/>
    <w:rsid w:val="00ED361D"/>
    <w:rsid w:val="00ED3650"/>
    <w:rsid w:val="00ED4732"/>
    <w:rsid w:val="00ED56F7"/>
    <w:rsid w:val="00ED6DCA"/>
    <w:rsid w:val="00ED70D1"/>
    <w:rsid w:val="00EE0122"/>
    <w:rsid w:val="00EE0BAD"/>
    <w:rsid w:val="00EE14E8"/>
    <w:rsid w:val="00EE57D7"/>
    <w:rsid w:val="00EE5B79"/>
    <w:rsid w:val="00EE7001"/>
    <w:rsid w:val="00EF41CE"/>
    <w:rsid w:val="00EF5138"/>
    <w:rsid w:val="00F00022"/>
    <w:rsid w:val="00F033CA"/>
    <w:rsid w:val="00F163D4"/>
    <w:rsid w:val="00F16677"/>
    <w:rsid w:val="00F216DA"/>
    <w:rsid w:val="00F25AC2"/>
    <w:rsid w:val="00F25B9E"/>
    <w:rsid w:val="00F33B5A"/>
    <w:rsid w:val="00F455F8"/>
    <w:rsid w:val="00F45E82"/>
    <w:rsid w:val="00F50332"/>
    <w:rsid w:val="00F51D13"/>
    <w:rsid w:val="00F569BD"/>
    <w:rsid w:val="00F6039F"/>
    <w:rsid w:val="00F6363D"/>
    <w:rsid w:val="00F67794"/>
    <w:rsid w:val="00F70187"/>
    <w:rsid w:val="00F72899"/>
    <w:rsid w:val="00F7391D"/>
    <w:rsid w:val="00F73C72"/>
    <w:rsid w:val="00F80987"/>
    <w:rsid w:val="00F92D77"/>
    <w:rsid w:val="00F966D0"/>
    <w:rsid w:val="00F97B05"/>
    <w:rsid w:val="00FA40C9"/>
    <w:rsid w:val="00FA517B"/>
    <w:rsid w:val="00FB1BBD"/>
    <w:rsid w:val="00FC278F"/>
    <w:rsid w:val="00FC6339"/>
    <w:rsid w:val="00FC7F75"/>
    <w:rsid w:val="00FD330B"/>
    <w:rsid w:val="00FD7CF6"/>
    <w:rsid w:val="00FE1499"/>
    <w:rsid w:val="00FE2CE6"/>
    <w:rsid w:val="00FE34D0"/>
    <w:rsid w:val="00FE43C7"/>
    <w:rsid w:val="00FE6607"/>
    <w:rsid w:val="00FF0E64"/>
    <w:rsid w:val="00FF1250"/>
    <w:rsid w:val="00FF5A10"/>
    <w:rsid w:val="01120C57"/>
    <w:rsid w:val="01BED1EF"/>
    <w:rsid w:val="03E9A21E"/>
    <w:rsid w:val="0662A4F4"/>
    <w:rsid w:val="06DB89D1"/>
    <w:rsid w:val="07F62284"/>
    <w:rsid w:val="082C67C8"/>
    <w:rsid w:val="09A9ECF6"/>
    <w:rsid w:val="0A12D084"/>
    <w:rsid w:val="0B5FA007"/>
    <w:rsid w:val="0B930673"/>
    <w:rsid w:val="0BE1FA35"/>
    <w:rsid w:val="0D57774E"/>
    <w:rsid w:val="0DFE657E"/>
    <w:rsid w:val="0EEE893C"/>
    <w:rsid w:val="0F79F5D8"/>
    <w:rsid w:val="0FBA85EA"/>
    <w:rsid w:val="108EBC63"/>
    <w:rsid w:val="11A56A00"/>
    <w:rsid w:val="11DCE33F"/>
    <w:rsid w:val="122629FE"/>
    <w:rsid w:val="1357B87A"/>
    <w:rsid w:val="1384EFFB"/>
    <w:rsid w:val="14258118"/>
    <w:rsid w:val="14258118"/>
    <w:rsid w:val="145221C0"/>
    <w:rsid w:val="14EDB9B4"/>
    <w:rsid w:val="158D05B6"/>
    <w:rsid w:val="15A3BB2A"/>
    <w:rsid w:val="15E4CDDE"/>
    <w:rsid w:val="182C8DE9"/>
    <w:rsid w:val="19CECCC7"/>
    <w:rsid w:val="1A2BBD23"/>
    <w:rsid w:val="1B57EA0E"/>
    <w:rsid w:val="1BA4A14E"/>
    <w:rsid w:val="1C2A74B6"/>
    <w:rsid w:val="1D34C67E"/>
    <w:rsid w:val="1DF498FA"/>
    <w:rsid w:val="1F487505"/>
    <w:rsid w:val="2298E280"/>
    <w:rsid w:val="25D0559D"/>
    <w:rsid w:val="261E6ABE"/>
    <w:rsid w:val="26B9D784"/>
    <w:rsid w:val="27BA3B1F"/>
    <w:rsid w:val="27DF31B5"/>
    <w:rsid w:val="28653642"/>
    <w:rsid w:val="287A6696"/>
    <w:rsid w:val="298629E2"/>
    <w:rsid w:val="2B29A4F9"/>
    <w:rsid w:val="2D247ED9"/>
    <w:rsid w:val="2D63CAFA"/>
    <w:rsid w:val="2D697771"/>
    <w:rsid w:val="2D8B406A"/>
    <w:rsid w:val="2E1C90A1"/>
    <w:rsid w:val="2FF56B66"/>
    <w:rsid w:val="3289328A"/>
    <w:rsid w:val="34552D43"/>
    <w:rsid w:val="355A3060"/>
    <w:rsid w:val="35EBC80D"/>
    <w:rsid w:val="377E7755"/>
    <w:rsid w:val="38D6F6A7"/>
    <w:rsid w:val="39E91D94"/>
    <w:rsid w:val="3B37C3FE"/>
    <w:rsid w:val="3BE29A41"/>
    <w:rsid w:val="3BF4F9D8"/>
    <w:rsid w:val="3C23EC4C"/>
    <w:rsid w:val="3C9C51A9"/>
    <w:rsid w:val="3CD3945F"/>
    <w:rsid w:val="3E0DA1CB"/>
    <w:rsid w:val="3F2A6740"/>
    <w:rsid w:val="40BF2983"/>
    <w:rsid w:val="414CDDFB"/>
    <w:rsid w:val="4252552F"/>
    <w:rsid w:val="451628CF"/>
    <w:rsid w:val="4957EFE0"/>
    <w:rsid w:val="4A4CE36C"/>
    <w:rsid w:val="4AD8CD78"/>
    <w:rsid w:val="4B3D6E2B"/>
    <w:rsid w:val="4BAFF790"/>
    <w:rsid w:val="4E0BCA29"/>
    <w:rsid w:val="4FA79A8A"/>
    <w:rsid w:val="50F19A91"/>
    <w:rsid w:val="522EE054"/>
    <w:rsid w:val="52C2ED10"/>
    <w:rsid w:val="534818E5"/>
    <w:rsid w:val="54260729"/>
    <w:rsid w:val="546A230F"/>
    <w:rsid w:val="55147108"/>
    <w:rsid w:val="57110D7E"/>
    <w:rsid w:val="5AAB1D5C"/>
    <w:rsid w:val="5AD3CCB7"/>
    <w:rsid w:val="5ADA5852"/>
    <w:rsid w:val="5BACF2FD"/>
    <w:rsid w:val="5BE47EA1"/>
    <w:rsid w:val="5C12D796"/>
    <w:rsid w:val="5CAA7476"/>
    <w:rsid w:val="5E3B59F1"/>
    <w:rsid w:val="5F656622"/>
    <w:rsid w:val="60B1BE29"/>
    <w:rsid w:val="614AE6A2"/>
    <w:rsid w:val="6282191A"/>
    <w:rsid w:val="632D1EF9"/>
    <w:rsid w:val="6539FD92"/>
    <w:rsid w:val="654A1C9E"/>
    <w:rsid w:val="69DC7922"/>
    <w:rsid w:val="6A7402A2"/>
    <w:rsid w:val="6B37B1E3"/>
    <w:rsid w:val="6BAFE2F6"/>
    <w:rsid w:val="6C0FD303"/>
    <w:rsid w:val="6C8858E1"/>
    <w:rsid w:val="6D94C721"/>
    <w:rsid w:val="6E25729A"/>
    <w:rsid w:val="7043CE1B"/>
    <w:rsid w:val="70647D5F"/>
    <w:rsid w:val="70D3231F"/>
    <w:rsid w:val="712584EA"/>
    <w:rsid w:val="71CE12DC"/>
    <w:rsid w:val="72025923"/>
    <w:rsid w:val="723A5836"/>
    <w:rsid w:val="7255B63A"/>
    <w:rsid w:val="7271D175"/>
    <w:rsid w:val="73D5AFF6"/>
    <w:rsid w:val="7542A7FF"/>
    <w:rsid w:val="76C56606"/>
    <w:rsid w:val="76F9C42E"/>
    <w:rsid w:val="78120F4E"/>
    <w:rsid w:val="78DAE9E6"/>
    <w:rsid w:val="7965DA22"/>
    <w:rsid w:val="7966B9B2"/>
    <w:rsid w:val="79BF6C70"/>
    <w:rsid w:val="79DD8577"/>
    <w:rsid w:val="7B1758E7"/>
    <w:rsid w:val="7C6921EE"/>
    <w:rsid w:val="7DC9B4B4"/>
    <w:rsid w:val="7F7AF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AB1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Definitions,Definition1,IFCL - List Paragraph,Dot pt,No Spacing1,List Paragraph Char Char Char,Indicator Text,List Paragraph1,Numbered Para 1,Colorful List - Accent 11,Bullet 1,F5 List Paragraph,Bullet Points,lp1,4 Párrafo de lista"/>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aliases w:val="Definitions Char,Definition1 Char,IFCL - List Paragraph Char,Dot pt Char,No Spacing1 Char,List Paragraph Char Char Char Char,Indicator Text Char,List Paragraph1 Char,Numbered Para 1 Char,Colorful List - Accent 11 Char,Bullet 1 Char"/>
    <w:basedOn w:val="DefaultParagraphFont"/>
    <w:link w:val="ListParagraph"/>
    <w:uiPriority w:val="34"/>
    <w:qFormat/>
    <w:locked/>
    <w:rsid w:val="00682309"/>
  </w:style>
  <w:style w:type="character" w:styleId="Hyperlink">
    <w:name w:val="Hyperlink"/>
    <w:basedOn w:val="DefaultParagraphFont"/>
    <w:uiPriority w:val="99"/>
    <w:unhideWhenUsed/>
    <w:rsid w:val="000C421D"/>
    <w:rPr>
      <w:color w:val="0000FF" w:themeColor="hyperlink"/>
      <w:u w:val="single"/>
    </w:rPr>
  </w:style>
  <w:style w:type="character" w:styleId="UnresolvedMention">
    <w:name w:val="Unresolved Mention"/>
    <w:basedOn w:val="DefaultParagraphFont"/>
    <w:uiPriority w:val="99"/>
    <w:semiHidden/>
    <w:unhideWhenUsed/>
    <w:rsid w:val="000C421D"/>
    <w:rPr>
      <w:color w:val="605E5C"/>
      <w:shd w:val="clear" w:color="auto" w:fill="E1DFDD"/>
    </w:rPr>
  </w:style>
  <w:style w:type="character" w:styleId="FollowedHyperlink">
    <w:name w:val="FollowedHyperlink"/>
    <w:basedOn w:val="DefaultParagraphFont"/>
    <w:uiPriority w:val="99"/>
    <w:semiHidden/>
    <w:unhideWhenUsed/>
    <w:rsid w:val="00DE01C0"/>
    <w:rPr>
      <w:color w:val="800080" w:themeColor="followedHyperlink"/>
      <w:u w:val="single"/>
    </w:rPr>
  </w:style>
  <w:style w:type="paragraph" w:styleId="FootnoteText">
    <w:name w:val="footnote text"/>
    <w:basedOn w:val="Normal"/>
    <w:link w:val="FootnoteTextChar"/>
    <w:uiPriority w:val="99"/>
    <w:semiHidden/>
    <w:unhideWhenUsed/>
    <w:rsid w:val="00846D7B"/>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46D7B"/>
    <w:rPr>
      <w:sz w:val="20"/>
      <w:szCs w:val="20"/>
    </w:rPr>
  </w:style>
  <w:style w:type="character" w:styleId="FootnoteReference">
    <w:name w:val="footnote reference"/>
    <w:basedOn w:val="DefaultParagraphFont"/>
    <w:uiPriority w:val="99"/>
    <w:semiHidden/>
    <w:unhideWhenUsed/>
    <w:rsid w:val="00846D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c.iadb.org/Site/Documents/DOC_Detail.aspx?pSecRegN=GN-2765-4" TargetMode="External"/><Relationship Id="rId18" Type="http://schemas.openxmlformats.org/officeDocument/2006/relationships/footer" Target="footer1.xml"/><Relationship Id="R071ba0d179344faa" Type="http://schemas.openxmlformats.org/officeDocument/2006/relationships/hyperlink" Target="https://idbdocs.iadb.org/wsdocs/getDocument.aspx?DOCNUM=EZSHARE-1282996373-5" TargetMode="External"/><Relationship Id="rId26" Type="http://schemas.openxmlformats.org/officeDocument/2006/relationships/customXml" Target="../customXml/item4.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customXml" Target="../customXml/item3.xml"/><Relationship Id="rId16" Type="http://schemas.openxmlformats.org/officeDocument/2006/relationships/hyperlink" Target="https://idbg.sharepoint.com/teams/EZ-RG-TCP/RG-T3433/_layouts/15/DocIdRedir.aspx?ID=EZSHARE-1282996373-3" TargetMode="External"/><Relationship Id="rId20" Type="http://schemas.openxmlformats.org/officeDocument/2006/relationships/glossaryDocument" Target="glossary/document.xml"/><Relationship Id="Rdf3d98d627a84cb7" Type="http://schemas.openxmlformats.org/officeDocument/2006/relationships/hyperlink" Target="https://idbdocs.iadb.org/wsdocs/getDocument.aspx?DOCNUM=EZSHARE-1282996373-6" TargetMode="External"/><Relationship Id="Rbbfdb23f21814bed" Type="http://schemas.openxmlformats.org/officeDocument/2006/relationships/hyperlink" Target="https://idbdocs.iadb.org/wsdocs/getDocument.aspx?DOCNUM=EZSHARE-1282996373-3" TargetMode="External"/><Relationship Id="rId11" Type="http://schemas.openxmlformats.org/officeDocument/2006/relationships/footnotes" Target="footnotes.xml"/><Relationship Id="rId24" Type="http://schemas.openxmlformats.org/officeDocument/2006/relationships/customXml" Target="../customXml/item2.xml"/><Relationship Id="rId15" Type="http://schemas.openxmlformats.org/officeDocument/2006/relationships/hyperlink" Target="https://idbg.sharepoint.com/teams/ez-SEC/Registered%20Documents/RI-Reg-GN/RIRegGNEnglish/IDB%20Corporate%20Procurement%20Policy.%20Approved%20version.pdf"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sec.iadb.org/Site/Documents/DOC_Detail.aspx?pSecRegN=OP-1155-4" TargetMode="External"/><Relationship Id="rId22" Type="http://schemas.microsoft.com/office/2020/10/relationships/intelligence" Target="intelligence2.xml"/><Relationship Id="R8b31569b001f4b4d" Type="http://schemas.openxmlformats.org/officeDocument/2006/relationships/hyperlink" Target="https://idbdocs.iadb.org/wsdocs/getDocument.aspx?DOCNUM=EZSHARE-1282996373-7" TargetMode="Externa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6E64D9" w:rsidRDefault="006E64D9">
          <w:pPr>
            <w:pStyle w:val="DefaultPlaceholder1082065158"/>
          </w:pPr>
          <w:r>
            <w:rPr>
              <w:rFonts w:ascii="Arial" w:hAnsi="Arial" w:cs="Arial"/>
              <w:sz w:val="18"/>
              <w:szCs w:val="18"/>
            </w:rPr>
            <w:t>BRAZIL</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6E64D9" w:rsidRDefault="006E64D9">
          <w:pPr>
            <w:pStyle w:val="44C358C58149445BA2755ADBB9F4F8AF"/>
          </w:pPr>
          <w:r>
            <w:rPr>
              <w:rFonts w:ascii="Arial" w:hAnsi="Arial" w:cs="Arial"/>
              <w:sz w:val="18"/>
              <w:szCs w:val="18"/>
            </w:rPr>
            <w:t>State Government of Pará Amazônia Agora Plan: Structuring the Sustainable Territories Payment for Environmental Services Program through a Payment for Results mechanism. (ParáPSA)</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6E64D9" w:rsidRDefault="006E64D9">
          <w:pPr>
            <w:pStyle w:val="F21B320DC5CC4CA29D18953BBE653F77"/>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6E64D9" w:rsidRDefault="006E64D9">
          <w:pPr>
            <w:pStyle w:val="19F5288FE7CC4C80A1FC8C20A439351A"/>
          </w:pPr>
          <w:r>
            <w:rPr>
              <w:rFonts w:ascii="Arial" w:hAnsi="Arial" w:cs="Arial"/>
              <w:sz w:val="18"/>
              <w:szCs w:val="18"/>
            </w:rPr>
            <w:t>13 Apr 2022</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P="006E64D9" w:rsidRDefault="006E64D9">
          <w:pPr>
            <w:pStyle w:val="0003491FDAF3450DA841F91B1428BBB7"/>
          </w:pPr>
          <w:r>
            <w:rPr>
              <w:rFonts w:ascii="Arial" w:hAnsi="Arial" w:cs="Arial"/>
              <w:sz w:val="18"/>
              <w:szCs w:val="18"/>
            </w:rPr>
            <w:t xml:space="preserve"> Environmental sustainability; Productivity and innovation</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6E64D9" w:rsidRDefault="006E64D9">
          <w:pPr>
            <w:pStyle w:val="D43C05E765C742E5A882436BE6D57E8E"/>
          </w:pPr>
          <w:r>
            <w:rPr>
              <w:rFonts w:ascii="Arial"/>
              <w:sz w:val="18"/>
            </w:rPr>
            <w:t>US$500,000.00</w:t>
          </w:r>
          <w:r>
            <w:rPr>
              <w:rFonts w:ascii="Arial"/>
              <w:sz w:val="18"/>
            </w:rPr>
            <w:br/>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6E64D9" w:rsidRDefault="006E64D9">
          <w:pPr>
            <w:pStyle w:val="9A70A810BF2C48C0A541AB223DAB3587"/>
          </w:pPr>
          <w:r>
            <w:rPr>
              <w:rFonts w:ascii="Arial" w:hAnsi="Arial" w:cs="Arial"/>
              <w:sz w:val="18"/>
              <w:szCs w:val="18"/>
            </w:rPr>
            <w:t>CSD/CCS-Climate Change</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6E64D9" w:rsidRDefault="006E64D9">
          <w:pPr>
            <w:pStyle w:val="D40DDF1DE070443EBC57BF857042D2F1"/>
          </w:pPr>
          <w:r>
            <w:rPr>
              <w:rFonts w:ascii="Arial" w:hAnsi="Arial" w:cs="Arial"/>
              <w:sz w:val="18"/>
              <w:szCs w:val="18"/>
            </w:rPr>
            <w:t>CSC/CBR-Country Office Brazil</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6E64D9" w:rsidRDefault="006E64D9">
          <w:pPr>
            <w:pStyle w:val="6055CACF63754C38AEFAE0ADE58AB52F"/>
          </w:pPr>
          <w:r>
            <w:rPr>
              <w:rFonts w:ascii="Arial" w:hAnsi="Arial" w:cs="Arial"/>
              <w:sz w:val="18"/>
              <w:szCs w:val="18"/>
            </w:rPr>
            <w:t xml:space="preserve"> OC SDP Window 3 - Sustainable Development in the Amazon(W3A)</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6E64D9" w:rsidRDefault="006E64D9">
          <w:pPr>
            <w:pStyle w:val="F1F45581D58E40429AD189DD80ED4007"/>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6E64D9" w:rsidRDefault="006E64D9">
          <w:pPr>
            <w:pStyle w:val="CF15AFC5698F4E5498FB27BD95CD782F"/>
          </w:pPr>
          <w:r>
            <w:rPr>
              <w:rFonts w:ascii="Arial" w:hAnsi="Arial" w:cs="Arial"/>
              <w:sz w:val="18"/>
              <w:szCs w:val="18"/>
            </w:rPr>
            <w:t>Client Support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D373F"/>
    <w:rsid w:val="0022103E"/>
    <w:rsid w:val="002452C2"/>
    <w:rsid w:val="00254F74"/>
    <w:rsid w:val="002D632A"/>
    <w:rsid w:val="00315B57"/>
    <w:rsid w:val="00320348"/>
    <w:rsid w:val="003F15C7"/>
    <w:rsid w:val="003F3B06"/>
    <w:rsid w:val="004024AB"/>
    <w:rsid w:val="00412BB1"/>
    <w:rsid w:val="004843B9"/>
    <w:rsid w:val="004F3C3C"/>
    <w:rsid w:val="00534ED1"/>
    <w:rsid w:val="0056121F"/>
    <w:rsid w:val="00561BFE"/>
    <w:rsid w:val="0057065C"/>
    <w:rsid w:val="00587CDD"/>
    <w:rsid w:val="005B3BA8"/>
    <w:rsid w:val="005E60CA"/>
    <w:rsid w:val="006353C3"/>
    <w:rsid w:val="006602A4"/>
    <w:rsid w:val="006804EF"/>
    <w:rsid w:val="006A5A9B"/>
    <w:rsid w:val="006B16B6"/>
    <w:rsid w:val="006E64D9"/>
    <w:rsid w:val="007315FF"/>
    <w:rsid w:val="0079000E"/>
    <w:rsid w:val="007C4340"/>
    <w:rsid w:val="007E1F65"/>
    <w:rsid w:val="00822346"/>
    <w:rsid w:val="00832CE1"/>
    <w:rsid w:val="00833325"/>
    <w:rsid w:val="00860CBB"/>
    <w:rsid w:val="0086276C"/>
    <w:rsid w:val="00880451"/>
    <w:rsid w:val="008D3E48"/>
    <w:rsid w:val="00902C26"/>
    <w:rsid w:val="00906F30"/>
    <w:rsid w:val="00907F97"/>
    <w:rsid w:val="0094446A"/>
    <w:rsid w:val="00963A2D"/>
    <w:rsid w:val="009728D2"/>
    <w:rsid w:val="0098510C"/>
    <w:rsid w:val="009A3780"/>
    <w:rsid w:val="009A79F4"/>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6E64D9"/>
    <w:rPr>
      <w:color w:val="808080"/>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 w:customStyle="1">
    <w:name w:val="DefaultPlaceholder_1082065158"/>
    <w:rsid w:val="006E64D9"/>
    <w:rPr>
      <w:lang w:val="en-US" w:eastAsia="en-US"/>
    </w:rPr>
  </w:style>
  <w:style w:type="paragraph" w:styleId="44C358C58149445BA2755ADBB9F4F8AF" w:customStyle="1">
    <w:name w:val="44C358C58149445BA2755ADBB9F4F8AF"/>
    <w:rsid w:val="006E64D9"/>
    <w:rPr>
      <w:lang w:val="en-US" w:eastAsia="en-US"/>
    </w:rPr>
  </w:style>
  <w:style w:type="paragraph" w:styleId="CF15AFC5698F4E5498FB27BD95CD782F" w:customStyle="1">
    <w:name w:val="CF15AFC5698F4E5498FB27BD95CD782F"/>
    <w:rsid w:val="006E64D9"/>
    <w:rPr>
      <w:lang w:val="en-US" w:eastAsia="en-US"/>
    </w:rPr>
  </w:style>
  <w:style w:type="paragraph" w:styleId="F21B320DC5CC4CA29D18953BBE653F77" w:customStyle="1">
    <w:name w:val="F21B320DC5CC4CA29D18953BBE653F77"/>
    <w:rsid w:val="006E64D9"/>
    <w:rPr>
      <w:lang w:val="en-US" w:eastAsia="en-US"/>
    </w:rPr>
  </w:style>
  <w:style w:type="paragraph" w:styleId="19F5288FE7CC4C80A1FC8C20A439351A" w:customStyle="1">
    <w:name w:val="19F5288FE7CC4C80A1FC8C20A439351A"/>
    <w:rsid w:val="006E64D9"/>
    <w:rPr>
      <w:lang w:val="en-US" w:eastAsia="en-US"/>
    </w:rPr>
  </w:style>
  <w:style w:type="paragraph" w:styleId="6055CACF63754C38AEFAE0ADE58AB52F" w:customStyle="1">
    <w:name w:val="6055CACF63754C38AEFAE0ADE58AB52F"/>
    <w:rsid w:val="006E64D9"/>
    <w:rPr>
      <w:lang w:val="en-US" w:eastAsia="en-US"/>
    </w:rPr>
  </w:style>
  <w:style w:type="paragraph" w:styleId="D43C05E765C742E5A882436BE6D57E8E" w:customStyle="1">
    <w:name w:val="D43C05E765C742E5A882436BE6D57E8E"/>
    <w:rsid w:val="006E64D9"/>
    <w:rPr>
      <w:lang w:val="en-US" w:eastAsia="en-US"/>
    </w:rPr>
  </w:style>
  <w:style w:type="paragraph" w:styleId="F1F45581D58E40429AD189DD80ED4007" w:customStyle="1">
    <w:name w:val="F1F45581D58E40429AD189DD80ED4007"/>
    <w:rsid w:val="006E64D9"/>
    <w:rPr>
      <w:lang w:val="en-US" w:eastAsia="en-US"/>
    </w:rPr>
  </w:style>
  <w:style w:type="paragraph" w:styleId="9A70A810BF2C48C0A541AB223DAB3587" w:customStyle="1">
    <w:name w:val="9A70A810BF2C48C0A541AB223DAB3587"/>
    <w:rsid w:val="006E64D9"/>
    <w:rPr>
      <w:lang w:val="en-US" w:eastAsia="en-US"/>
    </w:rPr>
  </w:style>
  <w:style w:type="paragraph" w:styleId="D40DDF1DE070443EBC57BF857042D2F1" w:customStyle="1">
    <w:name w:val="D40DDF1DE070443EBC57BF857042D2F1"/>
    <w:rsid w:val="006E64D9"/>
    <w:rPr>
      <w:lang w:val="en-US" w:eastAsia="en-US"/>
    </w:rPr>
  </w:style>
  <w:style w:type="paragraph" w:styleId="0003491FDAF3450DA841F91B1428BBB7" w:customStyle="1">
    <w:name w:val="0003491FDAF3450DA841F91B1428BBB7"/>
    <w:rsid w:val="006E64D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550A0C5BBBE5409D1EEBAC95991B2D" ma:contentTypeVersion="3587" ma:contentTypeDescription="A content type to manage public (operations) IDB documents" ma:contentTypeScope="" ma:versionID="02f76ffbc4abf7cd68a3dbed82158b0c">
  <xsd:schema xmlns:xsd="http://www.w3.org/2001/XMLSchema" xmlns:xs="http://www.w3.org/2001/XMLSchema" xmlns:p="http://schemas.microsoft.com/office/2006/metadata/properties" xmlns:ns2="cdc7663a-08f0-4737-9e8c-148ce897a09c" targetNamespace="http://schemas.microsoft.com/office/2006/metadata/properties" ma:root="true" ma:fieldsID="c34e34d72f51ef2efff40259d60d944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Reis Felix Roberta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MITIGATION POLICY</TermName>
          <TermId xmlns="http://schemas.microsoft.com/office/infopath/2007/PartnerControls">820d46ff-e714-481c-bcb9-214575ce5746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55</Value>
      <Value>47</Value>
      <Value>32</Value>
      <Value>1</Value>
      <Value>48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BR-T1516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Extracted_x0020_Keywords xmlns="cdc7663a-08f0-4737-9e8c-148ce897a09c" xsi:nil="true"/>
    <_dlc_DocId xmlns="cdc7663a-08f0-4737-9e8c-148ce897a09c">EZSHARE-1282996373-17</_dlc_DocId>
    <_dlc_DocIdUrl xmlns="cdc7663a-08f0-4737-9e8c-148ce897a09c">
      <Url>https://idbg.sharepoint.com/teams/EZ-BR-TCP/BR-T1516/_layouts/15/DocIdRedir.aspx?ID=EZSHARE-1282996373-17</Url>
      <Description>EZSHARE-1282996373-17</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CEDBCFD-E06C-406B-9985-B3A2C7C01A4B}"/>
</file>

<file path=customXml/itemProps2.xml><?xml version="1.0" encoding="utf-8"?>
<ds:datastoreItem xmlns:ds="http://schemas.openxmlformats.org/officeDocument/2006/customXml" ds:itemID="{031E01C8-B059-4533-A742-A5B9752C3B72}"/>
</file>

<file path=customXml/itemProps3.xml><?xml version="1.0" encoding="utf-8"?>
<ds:datastoreItem xmlns:ds="http://schemas.openxmlformats.org/officeDocument/2006/customXml" ds:itemID="{A41FA1EF-5D48-48E4-9B58-AC01C9A21048}"/>
</file>

<file path=customXml/itemProps4.xml><?xml version="1.0" encoding="utf-8"?>
<ds:datastoreItem xmlns:ds="http://schemas.openxmlformats.org/officeDocument/2006/customXml" ds:itemID="{EDD1417C-1C0E-40B3-8B50-6A887B2BB52C}"/>
</file>

<file path=customXml/itemProps5.xml><?xml version="1.0" encoding="utf-8"?>
<ds:datastoreItem xmlns:ds="http://schemas.openxmlformats.org/officeDocument/2006/customXml" ds:itemID="{1C4F29D9-AE80-4807-B93D-F3991FFA8CE3}"/>
</file>

<file path=customXml/itemProps6.xml><?xml version="1.0" encoding="utf-8"?>
<ds:datastoreItem xmlns:ds="http://schemas.openxmlformats.org/officeDocument/2006/customXml" ds:itemID="{03EF3A81-BD67-4F03-A0C1-32405156B39C}"/>
</file>

<file path=docProps/app.xml><?xml version="1.0" encoding="utf-8"?>
<ap: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Brakarz, Barbara</cp:lastModifiedBy>
  <cp:revision>349</cp:revision>
  <cp:lastPrinted>2011-03-28T14:34:00Z</cp:lastPrinted>
  <dcterms:created xsi:type="dcterms:W3CDTF">2019-05-21T18:01:00Z</dcterms:created>
  <dcterms:modified xsi:type="dcterms:W3CDTF">2022-07-26T22:58:06Z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0x0101001A458A224826124E8B45B1D613300CFC0071550A0C5BBBE5409D1EEBAC95991B2D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32;#Brazil|7deb27ec-6837-4974-9aa8-6cfbac841ef8</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48;#CLIMATE CHANGE MITIGATION POLICY|820d46ff-e714-481c-bcb9-214575ce5746</vt:lpwstr>
  </property>
  <property fmtid="{D5CDD505-2E9C-101B-9397-08002B2CF9AE}" pid="13" name="Fund IDB">
    <vt:lpwstr>55;#TBD|d62f6e05-3e80-4abd-9bb4-5f10b4906ff6</vt:lpwstr>
  </property>
  <property fmtid="{D5CDD505-2E9C-101B-9397-08002B2CF9AE}" pid="14" name="Sector IDB">
    <vt:lpwstr>47;#ENVIRONMENT AND NATURAL DISASTERS|261e2b33-090b-4ab0-8e06-3aa3e7f32d57</vt:lpwstr>
  </property>
  <property fmtid="{D5CDD505-2E9C-101B-9397-08002B2CF9AE}" pid="15" name="_dlc_DocIdItemGuid">
    <vt:lpwstr>ca6ebdcc-b28c-4357-b4b2-5f761b45e931</vt:lpwstr>
  </property>
  <property fmtid="{D5CDD505-2E9C-101B-9397-08002B2CF9AE}" pid="16" name="Disclosure Activity">
    <vt:lpwstr>TC Document</vt:lpwstr>
  </property>
  <property fmtid="{D5CDD505-2E9C-101B-9397-08002B2CF9AE}" pid="20" name="Series Operations IDB">
    <vt:lpwstr/>
  </property>
</Properties>
</file>