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63BE" w:rsidRPr="004E09E2" w:rsidRDefault="009D4868" w:rsidP="004E09E2">
      <w:pPr>
        <w:spacing w:after="0"/>
        <w:jc w:val="center"/>
        <w:rPr>
          <w:rFonts w:ascii="Times New Roman" w:hAnsi="Times New Roman" w:cs="Times New Roman"/>
          <w:sz w:val="44"/>
          <w:szCs w:val="44"/>
        </w:rPr>
      </w:pPr>
      <w:bookmarkStart w:id="0" w:name="_GoBack"/>
      <w:bookmarkEnd w:id="0"/>
      <w:r w:rsidRPr="004E09E2">
        <w:rPr>
          <w:rFonts w:ascii="Times New Roman" w:hAnsi="Times New Roman" w:cs="Times New Roman"/>
          <w:sz w:val="44"/>
          <w:szCs w:val="44"/>
        </w:rPr>
        <w:t>BA-L1034:</w:t>
      </w:r>
      <w:r w:rsidR="003258DA" w:rsidRPr="004E09E2">
        <w:rPr>
          <w:rFonts w:ascii="Times New Roman" w:hAnsi="Times New Roman" w:cs="Times New Roman"/>
          <w:sz w:val="44"/>
          <w:szCs w:val="44"/>
        </w:rPr>
        <w:t xml:space="preserve"> </w:t>
      </w:r>
      <w:r w:rsidR="00EF053D" w:rsidRPr="004E09E2">
        <w:rPr>
          <w:rFonts w:ascii="Times New Roman" w:hAnsi="Times New Roman" w:cs="Times New Roman"/>
          <w:sz w:val="44"/>
          <w:szCs w:val="44"/>
        </w:rPr>
        <w:t>Program Operative Flow</w:t>
      </w:r>
    </w:p>
    <w:p w:rsidR="009D4868" w:rsidRPr="004E09E2" w:rsidRDefault="009D4868" w:rsidP="009D4868">
      <w:pPr>
        <w:spacing w:after="0"/>
        <w:rPr>
          <w:rFonts w:ascii="Times New Roman" w:hAnsi="Times New Roman" w:cs="Times New Roman"/>
        </w:rPr>
      </w:pPr>
    </w:p>
    <w:p w:rsidR="003258DA" w:rsidRPr="004E09E2" w:rsidRDefault="00EF053D" w:rsidP="00A55CE7">
      <w:pPr>
        <w:rPr>
          <w:rFonts w:ascii="Times New Roman" w:hAnsi="Times New Roman" w:cs="Times New Roman"/>
        </w:rPr>
      </w:pPr>
      <w:r w:rsidRPr="004E09E2">
        <w:rPr>
          <w:rFonts w:ascii="Times New Roman" w:hAnsi="Times New Roman" w:cs="Times New Roman"/>
        </w:rPr>
        <w:t>The objective of the program is to contribute to increase productivity for Small and Medium Enterprises (SMEs) by facilitating access to medium- and long-term credit through a Credit Guarantee Mechanism</w:t>
      </w:r>
      <w:r w:rsidR="00A55CE7" w:rsidRPr="004E09E2">
        <w:rPr>
          <w:rFonts w:ascii="Times New Roman" w:hAnsi="Times New Roman" w:cs="Times New Roman"/>
        </w:rPr>
        <w:t xml:space="preserve">. In this process, </w:t>
      </w:r>
      <w:r w:rsidR="009D4868" w:rsidRPr="004E09E2">
        <w:rPr>
          <w:rFonts w:ascii="Times New Roman" w:hAnsi="Times New Roman" w:cs="Times New Roman"/>
        </w:rPr>
        <w:t>t</w:t>
      </w:r>
      <w:r w:rsidR="00A55CE7" w:rsidRPr="004E09E2">
        <w:rPr>
          <w:rFonts w:ascii="Times New Roman" w:hAnsi="Times New Roman" w:cs="Times New Roman"/>
        </w:rPr>
        <w:t>he Government of Barbados (GOB) will be the borrower of the loan and the Central Bank of Barbad</w:t>
      </w:r>
      <w:r w:rsidR="00762B95" w:rsidRPr="004E09E2">
        <w:rPr>
          <w:rFonts w:ascii="Times New Roman" w:hAnsi="Times New Roman" w:cs="Times New Roman"/>
        </w:rPr>
        <w:t>os (CBB) will be the executing a</w:t>
      </w:r>
      <w:r w:rsidR="00A55CE7" w:rsidRPr="004E09E2">
        <w:rPr>
          <w:rFonts w:ascii="Times New Roman" w:hAnsi="Times New Roman" w:cs="Times New Roman"/>
        </w:rPr>
        <w:t>gent for the project</w:t>
      </w:r>
      <w:r w:rsidR="00762B95" w:rsidRPr="004E09E2">
        <w:rPr>
          <w:rFonts w:ascii="Times New Roman" w:hAnsi="Times New Roman" w:cs="Times New Roman"/>
        </w:rPr>
        <w:t xml:space="preserve"> (fiduciary)</w:t>
      </w:r>
      <w:r w:rsidR="00A55CE7" w:rsidRPr="004E09E2">
        <w:rPr>
          <w:rFonts w:ascii="Times New Roman" w:hAnsi="Times New Roman" w:cs="Times New Roman"/>
        </w:rPr>
        <w:t xml:space="preserve">. </w:t>
      </w:r>
    </w:p>
    <w:p w:rsidR="00A55CE7" w:rsidRPr="004E09E2" w:rsidRDefault="00A55CE7" w:rsidP="00A55CE7">
      <w:pPr>
        <w:rPr>
          <w:rFonts w:ascii="Times New Roman" w:hAnsi="Times New Roman" w:cs="Times New Roman"/>
        </w:rPr>
      </w:pPr>
      <w:r w:rsidRPr="004E09E2">
        <w:rPr>
          <w:rFonts w:ascii="Times New Roman" w:hAnsi="Times New Roman" w:cs="Times New Roman"/>
        </w:rPr>
        <w:t xml:space="preserve">The Intermediary Financial Institutions (IFI) will benefit from the guarantee that will enable the sub-loans to be disbursed </w:t>
      </w:r>
      <w:r w:rsidR="003258DA" w:rsidRPr="004E09E2">
        <w:rPr>
          <w:rFonts w:ascii="Times New Roman" w:hAnsi="Times New Roman" w:cs="Times New Roman"/>
        </w:rPr>
        <w:t>for</w:t>
      </w:r>
      <w:r w:rsidRPr="004E09E2">
        <w:rPr>
          <w:rFonts w:ascii="Times New Roman" w:hAnsi="Times New Roman" w:cs="Times New Roman"/>
        </w:rPr>
        <w:t xml:space="preserve"> </w:t>
      </w:r>
      <w:r w:rsidR="003258DA" w:rsidRPr="004E09E2">
        <w:rPr>
          <w:rFonts w:ascii="Times New Roman" w:hAnsi="Times New Roman" w:cs="Times New Roman"/>
        </w:rPr>
        <w:t>eligible productive investment projects for</w:t>
      </w:r>
      <w:r w:rsidR="009D4868" w:rsidRPr="004E09E2">
        <w:rPr>
          <w:rFonts w:ascii="Times New Roman" w:hAnsi="Times New Roman" w:cs="Times New Roman"/>
        </w:rPr>
        <w:t xml:space="preserve"> </w:t>
      </w:r>
      <w:r w:rsidR="003258DA" w:rsidRPr="004E09E2">
        <w:rPr>
          <w:rFonts w:ascii="Times New Roman" w:hAnsi="Times New Roman" w:cs="Times New Roman"/>
        </w:rPr>
        <w:t xml:space="preserve">qualifying </w:t>
      </w:r>
      <w:r w:rsidR="009D4868" w:rsidRPr="004E09E2">
        <w:rPr>
          <w:rFonts w:ascii="Times New Roman" w:hAnsi="Times New Roman" w:cs="Times New Roman"/>
        </w:rPr>
        <w:t>SMEs</w:t>
      </w:r>
      <w:r w:rsidR="003258DA" w:rsidRPr="004E09E2">
        <w:rPr>
          <w:rFonts w:ascii="Times New Roman" w:hAnsi="Times New Roman" w:cs="Times New Roman"/>
        </w:rPr>
        <w:t>, the final beneficiaries</w:t>
      </w:r>
      <w:r w:rsidRPr="004E09E2">
        <w:rPr>
          <w:rFonts w:ascii="Times New Roman" w:hAnsi="Times New Roman" w:cs="Times New Roman"/>
        </w:rPr>
        <w:t>.</w:t>
      </w:r>
    </w:p>
    <w:p w:rsidR="003258DA" w:rsidRPr="004E09E2" w:rsidRDefault="003258DA" w:rsidP="00762B95">
      <w:pPr>
        <w:jc w:val="center"/>
        <w:rPr>
          <w:rFonts w:ascii="Times New Roman" w:hAnsi="Times New Roman" w:cs="Times New Roman"/>
          <w:b/>
        </w:rPr>
      </w:pPr>
    </w:p>
    <w:p w:rsidR="00A55CE7" w:rsidRPr="004E09E2" w:rsidRDefault="0064792A" w:rsidP="00762B95">
      <w:pPr>
        <w:jc w:val="center"/>
        <w:rPr>
          <w:rFonts w:ascii="Times New Roman" w:hAnsi="Times New Roman" w:cs="Times New Roman"/>
          <w:b/>
        </w:rPr>
      </w:pPr>
      <w:r w:rsidRPr="004E09E2">
        <w:rPr>
          <w:rFonts w:ascii="Times New Roman" w:hAnsi="Times New Roman" w:cs="Times New Roman"/>
          <w:b/>
        </w:rPr>
        <w:t>Figure 1</w:t>
      </w:r>
      <w:r w:rsidR="00A55CE7" w:rsidRPr="004E09E2">
        <w:rPr>
          <w:rFonts w:ascii="Times New Roman" w:hAnsi="Times New Roman" w:cs="Times New Roman"/>
          <w:b/>
        </w:rPr>
        <w:t>:  Program Structure</w:t>
      </w:r>
    </w:p>
    <w:p w:rsidR="00A55CE7" w:rsidRPr="004E09E2" w:rsidRDefault="003258DA" w:rsidP="00762B95">
      <w:pPr>
        <w:jc w:val="center"/>
        <w:rPr>
          <w:rFonts w:ascii="Times New Roman" w:hAnsi="Times New Roman" w:cs="Times New Roman"/>
        </w:rPr>
      </w:pPr>
      <w:r w:rsidRPr="004E09E2">
        <w:rPr>
          <w:rFonts w:ascii="Times New Roman" w:hAnsi="Times New Roman" w:cs="Times New Roman"/>
          <w:noProof/>
        </w:rPr>
        <w:drawing>
          <wp:inline distT="0" distB="0" distL="0" distR="0" wp14:anchorId="7FC33BD7" wp14:editId="7FDBA320">
            <wp:extent cx="4451230" cy="3338577"/>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51848" cy="3339041"/>
                    </a:xfrm>
                    <a:prstGeom prst="rect">
                      <a:avLst/>
                    </a:prstGeom>
                    <a:noFill/>
                  </pic:spPr>
                </pic:pic>
              </a:graphicData>
            </a:graphic>
          </wp:inline>
        </w:drawing>
      </w:r>
    </w:p>
    <w:p w:rsidR="00EF053D" w:rsidRPr="004E09E2" w:rsidRDefault="009D4868" w:rsidP="009D4868">
      <w:pPr>
        <w:spacing w:after="0"/>
        <w:rPr>
          <w:rFonts w:ascii="Times New Roman" w:hAnsi="Times New Roman" w:cs="Times New Roman"/>
        </w:rPr>
      </w:pPr>
      <w:r w:rsidRPr="004E09E2">
        <w:rPr>
          <w:rFonts w:ascii="Times New Roman" w:hAnsi="Times New Roman" w:cs="Times New Roman"/>
        </w:rPr>
        <w:t xml:space="preserve">The obligations and responsibilities of the borrower and the executing agent are detailed in Operating Regulations Document (ORD), as well as the fiduciary obligations related to the project. </w:t>
      </w:r>
      <w:r w:rsidR="00A55CE7" w:rsidRPr="004E09E2">
        <w:rPr>
          <w:rFonts w:ascii="Times New Roman" w:hAnsi="Times New Roman" w:cs="Times New Roman"/>
        </w:rPr>
        <w:t xml:space="preserve">The Central Bank of Barbados </w:t>
      </w:r>
      <w:r w:rsidR="00EF053D" w:rsidRPr="004E09E2">
        <w:rPr>
          <w:rFonts w:ascii="Times New Roman" w:hAnsi="Times New Roman" w:cs="Times New Roman"/>
        </w:rPr>
        <w:t xml:space="preserve">shall use the proceeds of the </w:t>
      </w:r>
      <w:r w:rsidR="00A55CE7" w:rsidRPr="004E09E2">
        <w:rPr>
          <w:rFonts w:ascii="Times New Roman" w:hAnsi="Times New Roman" w:cs="Times New Roman"/>
        </w:rPr>
        <w:t>aforementioned l</w:t>
      </w:r>
      <w:r w:rsidR="00EF053D" w:rsidRPr="004E09E2">
        <w:rPr>
          <w:rFonts w:ascii="Times New Roman" w:hAnsi="Times New Roman" w:cs="Times New Roman"/>
        </w:rPr>
        <w:t>oan to establish, fund, and manage a segregated account for the purpose of providing partial credit guarantees to IFI to finance individual loans to SMEs in Barbados</w:t>
      </w:r>
      <w:r w:rsidR="00A55CE7" w:rsidRPr="004E09E2">
        <w:rPr>
          <w:rFonts w:ascii="Times New Roman" w:hAnsi="Times New Roman" w:cs="Times New Roman"/>
        </w:rPr>
        <w:t xml:space="preserve"> to compensate for the existing lack of collateral from SMEs to comply with </w:t>
      </w:r>
      <w:r w:rsidR="00762B95" w:rsidRPr="004E09E2">
        <w:rPr>
          <w:rFonts w:ascii="Times New Roman" w:hAnsi="Times New Roman" w:cs="Times New Roman"/>
        </w:rPr>
        <w:t>the</w:t>
      </w:r>
      <w:r w:rsidR="00A55CE7" w:rsidRPr="004E09E2">
        <w:rPr>
          <w:rFonts w:ascii="Times New Roman" w:hAnsi="Times New Roman" w:cs="Times New Roman"/>
        </w:rPr>
        <w:t xml:space="preserve"> collateral requirements for loans.</w:t>
      </w:r>
    </w:p>
    <w:p w:rsidR="00EF053D" w:rsidRDefault="00EF053D" w:rsidP="009D4868">
      <w:pPr>
        <w:spacing w:after="0"/>
        <w:rPr>
          <w:rFonts w:ascii="Times New Roman" w:hAnsi="Times New Roman" w:cs="Times New Roman"/>
        </w:rPr>
      </w:pPr>
    </w:p>
    <w:p w:rsidR="004E09E2" w:rsidRDefault="004E09E2" w:rsidP="009D4868">
      <w:pPr>
        <w:spacing w:after="0"/>
        <w:rPr>
          <w:rFonts w:ascii="Times New Roman" w:hAnsi="Times New Roman" w:cs="Times New Roman"/>
        </w:rPr>
      </w:pPr>
    </w:p>
    <w:p w:rsidR="004E09E2" w:rsidRDefault="004E09E2" w:rsidP="009D4868">
      <w:pPr>
        <w:spacing w:after="0"/>
        <w:rPr>
          <w:rFonts w:ascii="Times New Roman" w:hAnsi="Times New Roman" w:cs="Times New Roman"/>
        </w:rPr>
      </w:pPr>
    </w:p>
    <w:p w:rsidR="004E09E2" w:rsidRDefault="004E09E2" w:rsidP="009D4868">
      <w:pPr>
        <w:spacing w:after="0"/>
        <w:rPr>
          <w:rFonts w:ascii="Times New Roman" w:hAnsi="Times New Roman" w:cs="Times New Roman"/>
        </w:rPr>
      </w:pPr>
    </w:p>
    <w:p w:rsidR="004E09E2" w:rsidRPr="004E09E2" w:rsidRDefault="004E09E2" w:rsidP="009D4868">
      <w:pPr>
        <w:spacing w:after="0"/>
        <w:rPr>
          <w:rFonts w:ascii="Times New Roman" w:hAnsi="Times New Roman" w:cs="Times New Roman"/>
        </w:rPr>
      </w:pPr>
    </w:p>
    <w:p w:rsidR="003258DA" w:rsidRPr="004E09E2" w:rsidRDefault="003258DA" w:rsidP="009D4868">
      <w:pPr>
        <w:spacing w:after="0"/>
        <w:rPr>
          <w:rFonts w:ascii="Times New Roman" w:hAnsi="Times New Roman" w:cs="Times New Roman"/>
        </w:rPr>
      </w:pPr>
    </w:p>
    <w:p w:rsidR="00EF053D" w:rsidRPr="004E09E2" w:rsidRDefault="00A55CE7" w:rsidP="00762B95">
      <w:pPr>
        <w:spacing w:after="0"/>
        <w:jc w:val="center"/>
        <w:rPr>
          <w:rFonts w:ascii="Times New Roman" w:hAnsi="Times New Roman" w:cs="Times New Roman"/>
          <w:b/>
        </w:rPr>
      </w:pPr>
      <w:r w:rsidRPr="004E09E2">
        <w:rPr>
          <w:rFonts w:ascii="Times New Roman" w:hAnsi="Times New Roman" w:cs="Times New Roman"/>
          <w:b/>
        </w:rPr>
        <w:lastRenderedPageBreak/>
        <w:t>Figure 2</w:t>
      </w:r>
      <w:r w:rsidR="00EF053D" w:rsidRPr="004E09E2">
        <w:rPr>
          <w:rFonts w:ascii="Times New Roman" w:hAnsi="Times New Roman" w:cs="Times New Roman"/>
          <w:b/>
        </w:rPr>
        <w:t>:  Guarantee Mechanism Structure</w:t>
      </w:r>
    </w:p>
    <w:p w:rsidR="003258DA" w:rsidRPr="004E09E2" w:rsidRDefault="003258DA" w:rsidP="00762B95">
      <w:pPr>
        <w:spacing w:after="0"/>
        <w:jc w:val="center"/>
        <w:rPr>
          <w:rFonts w:ascii="Times New Roman" w:hAnsi="Times New Roman" w:cs="Times New Roman"/>
          <w:b/>
        </w:rPr>
      </w:pPr>
    </w:p>
    <w:p w:rsidR="003258DA" w:rsidRPr="004E09E2" w:rsidRDefault="003258DA" w:rsidP="00762B95">
      <w:pPr>
        <w:spacing w:after="0"/>
        <w:jc w:val="center"/>
        <w:rPr>
          <w:rFonts w:ascii="Times New Roman" w:hAnsi="Times New Roman" w:cs="Times New Roman"/>
          <w:b/>
        </w:rPr>
      </w:pPr>
    </w:p>
    <w:p w:rsidR="00EF053D" w:rsidRDefault="00EF053D" w:rsidP="004E09E2">
      <w:pPr>
        <w:jc w:val="center"/>
        <w:rPr>
          <w:rFonts w:ascii="Times New Roman" w:hAnsi="Times New Roman" w:cs="Times New Roman"/>
        </w:rPr>
      </w:pPr>
      <w:r w:rsidRPr="004E09E2">
        <w:rPr>
          <w:rFonts w:ascii="Times New Roman" w:hAnsi="Times New Roman" w:cs="Times New Roman"/>
          <w:noProof/>
        </w:rPr>
        <w:drawing>
          <wp:inline distT="0" distB="0" distL="0" distR="0" wp14:anchorId="2C780FE0" wp14:editId="1505D573">
            <wp:extent cx="5511146" cy="2245998"/>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13216" cy="2246841"/>
                    </a:xfrm>
                    <a:prstGeom prst="rect">
                      <a:avLst/>
                    </a:prstGeom>
                    <a:noFill/>
                  </pic:spPr>
                </pic:pic>
              </a:graphicData>
            </a:graphic>
          </wp:inline>
        </w:drawing>
      </w:r>
    </w:p>
    <w:p w:rsidR="009D4868" w:rsidRPr="004E09E2" w:rsidRDefault="009D4868" w:rsidP="004E09E2">
      <w:pPr>
        <w:spacing w:before="480"/>
        <w:rPr>
          <w:rFonts w:ascii="Times New Roman" w:hAnsi="Times New Roman" w:cs="Times New Roman"/>
          <w:b/>
          <w:sz w:val="28"/>
          <w:szCs w:val="28"/>
        </w:rPr>
      </w:pPr>
      <w:r w:rsidRPr="004E09E2">
        <w:rPr>
          <w:rFonts w:ascii="Times New Roman" w:hAnsi="Times New Roman" w:cs="Times New Roman"/>
          <w:b/>
          <w:sz w:val="28"/>
          <w:szCs w:val="28"/>
        </w:rPr>
        <w:t>Guarantee Issuance Process</w:t>
      </w:r>
    </w:p>
    <w:p w:rsidR="009D4868" w:rsidRPr="004E09E2" w:rsidRDefault="009D4868" w:rsidP="009D4868">
      <w:pPr>
        <w:rPr>
          <w:rFonts w:ascii="Times New Roman" w:hAnsi="Times New Roman" w:cs="Times New Roman"/>
        </w:rPr>
      </w:pPr>
      <w:r w:rsidRPr="004E09E2">
        <w:rPr>
          <w:rFonts w:ascii="Times New Roman" w:hAnsi="Times New Roman" w:cs="Times New Roman"/>
        </w:rPr>
        <w:t>The CBB will issue the Guarantee upon fulfillment of a duly completed guarantee application. The Guarantee will be issued electronically and/or any guarantee document which will be legally binding in accordance with applicable Barbadian law, in accordance with the following operational process (Figure 3):</w:t>
      </w:r>
    </w:p>
    <w:p w:rsidR="009D4868" w:rsidRPr="004E09E2" w:rsidRDefault="009D4868" w:rsidP="00762B95">
      <w:pPr>
        <w:pStyle w:val="ListParagraph"/>
        <w:numPr>
          <w:ilvl w:val="0"/>
          <w:numId w:val="7"/>
        </w:numPr>
        <w:tabs>
          <w:tab w:val="num" w:pos="1152"/>
        </w:tabs>
        <w:spacing w:after="0"/>
        <w:rPr>
          <w:rFonts w:ascii="Times New Roman" w:hAnsi="Times New Roman" w:cs="Times New Roman"/>
        </w:rPr>
      </w:pPr>
      <w:r w:rsidRPr="004E09E2">
        <w:rPr>
          <w:rFonts w:ascii="Times New Roman" w:hAnsi="Times New Roman" w:cs="Times New Roman"/>
        </w:rPr>
        <w:t>The SME requests financing to the IFI.</w:t>
      </w:r>
    </w:p>
    <w:p w:rsidR="009D4868" w:rsidRPr="004E09E2" w:rsidRDefault="009D4868" w:rsidP="00762B95">
      <w:pPr>
        <w:pStyle w:val="ListParagraph"/>
        <w:numPr>
          <w:ilvl w:val="0"/>
          <w:numId w:val="7"/>
        </w:numPr>
        <w:tabs>
          <w:tab w:val="num" w:pos="1152"/>
        </w:tabs>
        <w:spacing w:after="0"/>
        <w:rPr>
          <w:rFonts w:ascii="Times New Roman" w:hAnsi="Times New Roman" w:cs="Times New Roman"/>
        </w:rPr>
      </w:pPr>
      <w:r w:rsidRPr="004E09E2">
        <w:rPr>
          <w:rFonts w:ascii="Times New Roman" w:hAnsi="Times New Roman" w:cs="Times New Roman"/>
        </w:rPr>
        <w:t>The participating IFIs may request the issuance of a CBB Guarantee.</w:t>
      </w:r>
    </w:p>
    <w:p w:rsidR="009D4868" w:rsidRPr="004E09E2" w:rsidRDefault="009D4868" w:rsidP="00762B95">
      <w:pPr>
        <w:pStyle w:val="ListParagraph"/>
        <w:numPr>
          <w:ilvl w:val="0"/>
          <w:numId w:val="7"/>
        </w:numPr>
        <w:tabs>
          <w:tab w:val="num" w:pos="1152"/>
        </w:tabs>
        <w:spacing w:after="0"/>
        <w:rPr>
          <w:rFonts w:ascii="Times New Roman" w:hAnsi="Times New Roman" w:cs="Times New Roman"/>
        </w:rPr>
      </w:pPr>
      <w:r w:rsidRPr="004E09E2">
        <w:rPr>
          <w:rFonts w:ascii="Times New Roman" w:hAnsi="Times New Roman" w:cs="Times New Roman"/>
        </w:rPr>
        <w:t>The CBB will issue a Guarantee requested in favor of the requesting IFI within 7 business days of receipt of such guarantee application.</w:t>
      </w:r>
    </w:p>
    <w:p w:rsidR="009D4868" w:rsidRPr="004E09E2" w:rsidRDefault="009D4868" w:rsidP="00762B95">
      <w:pPr>
        <w:pStyle w:val="ListParagraph"/>
        <w:numPr>
          <w:ilvl w:val="0"/>
          <w:numId w:val="7"/>
        </w:numPr>
        <w:spacing w:after="0"/>
        <w:rPr>
          <w:rFonts w:ascii="Times New Roman" w:hAnsi="Times New Roman" w:cs="Times New Roman"/>
        </w:rPr>
      </w:pPr>
      <w:r w:rsidRPr="004E09E2">
        <w:rPr>
          <w:rFonts w:ascii="Times New Roman" w:hAnsi="Times New Roman" w:cs="Times New Roman"/>
        </w:rPr>
        <w:t>The Guarantees issued under the CBB SME Guarantee Fund may only be utilized in accordance with the eligibility criteria stated in the ORD</w:t>
      </w:r>
    </w:p>
    <w:p w:rsidR="003258DA" w:rsidRPr="004E09E2" w:rsidRDefault="003258DA" w:rsidP="004E09E2">
      <w:pPr>
        <w:spacing w:before="240" w:after="240"/>
        <w:rPr>
          <w:rFonts w:ascii="Times New Roman" w:hAnsi="Times New Roman" w:cs="Times New Roman"/>
          <w:b/>
        </w:rPr>
      </w:pPr>
    </w:p>
    <w:p w:rsidR="009D4868" w:rsidRPr="004E09E2" w:rsidRDefault="009D4868" w:rsidP="004E09E2">
      <w:pPr>
        <w:spacing w:after="0"/>
        <w:jc w:val="center"/>
        <w:rPr>
          <w:rFonts w:ascii="Times New Roman" w:hAnsi="Times New Roman" w:cs="Times New Roman"/>
          <w:b/>
        </w:rPr>
      </w:pPr>
      <w:r w:rsidRPr="004E09E2">
        <w:rPr>
          <w:rFonts w:ascii="Times New Roman" w:hAnsi="Times New Roman" w:cs="Times New Roman"/>
          <w:b/>
        </w:rPr>
        <w:t>Figure 3:  Issuance Process</w:t>
      </w:r>
    </w:p>
    <w:p w:rsidR="009D4868" w:rsidRPr="004E09E2" w:rsidRDefault="009D4868" w:rsidP="00762B95">
      <w:pPr>
        <w:jc w:val="center"/>
        <w:rPr>
          <w:rFonts w:ascii="Times New Roman" w:hAnsi="Times New Roman" w:cs="Times New Roman"/>
        </w:rPr>
      </w:pPr>
      <w:r w:rsidRPr="004E09E2">
        <w:rPr>
          <w:rFonts w:ascii="Times New Roman" w:hAnsi="Times New Roman" w:cs="Times New Roman"/>
          <w:noProof/>
        </w:rPr>
        <w:drawing>
          <wp:inline distT="0" distB="0" distL="0" distR="0" wp14:anchorId="56DD063C" wp14:editId="78451E36">
            <wp:extent cx="3011913" cy="1975449"/>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17666" cy="1979222"/>
                    </a:xfrm>
                    <a:prstGeom prst="rect">
                      <a:avLst/>
                    </a:prstGeom>
                    <a:noFill/>
                  </pic:spPr>
                </pic:pic>
              </a:graphicData>
            </a:graphic>
          </wp:inline>
        </w:drawing>
      </w:r>
    </w:p>
    <w:p w:rsidR="00762B95" w:rsidRPr="004E09E2" w:rsidRDefault="00762B95" w:rsidP="00762B95">
      <w:pPr>
        <w:rPr>
          <w:rFonts w:ascii="Times New Roman" w:hAnsi="Times New Roman" w:cs="Times New Roman"/>
          <w:b/>
          <w:sz w:val="28"/>
          <w:szCs w:val="28"/>
        </w:rPr>
      </w:pPr>
      <w:r w:rsidRPr="004E09E2">
        <w:rPr>
          <w:rFonts w:ascii="Times New Roman" w:hAnsi="Times New Roman" w:cs="Times New Roman"/>
          <w:b/>
          <w:sz w:val="28"/>
          <w:szCs w:val="28"/>
        </w:rPr>
        <w:lastRenderedPageBreak/>
        <w:t>Guarantee Claim Process</w:t>
      </w:r>
    </w:p>
    <w:p w:rsidR="00762B95" w:rsidRPr="004E09E2" w:rsidRDefault="00762B95" w:rsidP="00762B95">
      <w:pPr>
        <w:rPr>
          <w:rFonts w:ascii="Times New Roman" w:hAnsi="Times New Roman" w:cs="Times New Roman"/>
        </w:rPr>
      </w:pPr>
      <w:r w:rsidRPr="004E09E2">
        <w:rPr>
          <w:rFonts w:ascii="Times New Roman" w:hAnsi="Times New Roman" w:cs="Times New Roman"/>
        </w:rPr>
        <w:t>The guarantee default event will be triggered according to the rules stated in the ORD. Once a Guarantee has entered into a guarantee default event, the following operating procedure will be followed (Figure 4):</w:t>
      </w:r>
    </w:p>
    <w:p w:rsidR="00762B95" w:rsidRPr="004E09E2" w:rsidRDefault="00762B95" w:rsidP="00762B95">
      <w:pPr>
        <w:pStyle w:val="ListParagraph"/>
        <w:numPr>
          <w:ilvl w:val="0"/>
          <w:numId w:val="6"/>
        </w:numPr>
        <w:tabs>
          <w:tab w:val="num" w:pos="1152"/>
        </w:tabs>
        <w:spacing w:after="0"/>
        <w:rPr>
          <w:rFonts w:ascii="Times New Roman" w:hAnsi="Times New Roman" w:cs="Times New Roman"/>
        </w:rPr>
      </w:pPr>
      <w:r w:rsidRPr="004E09E2">
        <w:rPr>
          <w:rFonts w:ascii="Times New Roman" w:hAnsi="Times New Roman" w:cs="Times New Roman"/>
        </w:rPr>
        <w:t>The IFI will send to the CBB a duly completed Claim Notice upon the occurrence of a Guarantee Default Event.</w:t>
      </w:r>
    </w:p>
    <w:p w:rsidR="00762B95" w:rsidRPr="004E09E2" w:rsidRDefault="00762B95" w:rsidP="00762B95">
      <w:pPr>
        <w:pStyle w:val="ListParagraph"/>
        <w:numPr>
          <w:ilvl w:val="0"/>
          <w:numId w:val="6"/>
        </w:numPr>
        <w:tabs>
          <w:tab w:val="num" w:pos="1152"/>
        </w:tabs>
        <w:spacing w:after="0"/>
        <w:rPr>
          <w:rFonts w:ascii="Times New Roman" w:hAnsi="Times New Roman" w:cs="Times New Roman"/>
        </w:rPr>
      </w:pPr>
      <w:r w:rsidRPr="004E09E2">
        <w:rPr>
          <w:rFonts w:ascii="Times New Roman" w:hAnsi="Times New Roman" w:cs="Times New Roman"/>
        </w:rPr>
        <w:t>CBB will have 5 business days to review the duly completed Claim Notice and 7 business days to proceed with the disbursement.</w:t>
      </w:r>
    </w:p>
    <w:p w:rsidR="00762B95" w:rsidRPr="004E09E2" w:rsidRDefault="00762B95" w:rsidP="00762B95">
      <w:pPr>
        <w:pStyle w:val="ListParagraph"/>
        <w:numPr>
          <w:ilvl w:val="0"/>
          <w:numId w:val="6"/>
        </w:numPr>
        <w:tabs>
          <w:tab w:val="num" w:pos="1152"/>
        </w:tabs>
        <w:spacing w:after="0"/>
        <w:rPr>
          <w:rFonts w:ascii="Times New Roman" w:hAnsi="Times New Roman" w:cs="Times New Roman"/>
        </w:rPr>
      </w:pPr>
      <w:r w:rsidRPr="004E09E2">
        <w:rPr>
          <w:rFonts w:ascii="Times New Roman" w:hAnsi="Times New Roman" w:cs="Times New Roman"/>
        </w:rPr>
        <w:t>The IFI will be responsible for recovering the outstanding amount of the defaulted loan.</w:t>
      </w:r>
    </w:p>
    <w:p w:rsidR="00762B95" w:rsidRDefault="00762B95" w:rsidP="00762B95">
      <w:pPr>
        <w:spacing w:after="0"/>
        <w:rPr>
          <w:rFonts w:ascii="Times New Roman" w:hAnsi="Times New Roman" w:cs="Times New Roman"/>
          <w:b/>
        </w:rPr>
      </w:pPr>
    </w:p>
    <w:p w:rsidR="004E09E2" w:rsidRPr="004E09E2" w:rsidRDefault="004E09E2" w:rsidP="00762B95">
      <w:pPr>
        <w:spacing w:after="0"/>
        <w:rPr>
          <w:rFonts w:ascii="Times New Roman" w:hAnsi="Times New Roman" w:cs="Times New Roman"/>
          <w:b/>
        </w:rPr>
      </w:pPr>
    </w:p>
    <w:p w:rsidR="00762B95" w:rsidRPr="004E09E2" w:rsidRDefault="00762B95" w:rsidP="00762B95">
      <w:pPr>
        <w:spacing w:after="0"/>
        <w:jc w:val="center"/>
        <w:rPr>
          <w:rFonts w:ascii="Times New Roman" w:hAnsi="Times New Roman" w:cs="Times New Roman"/>
          <w:b/>
        </w:rPr>
      </w:pPr>
      <w:r w:rsidRPr="004E09E2">
        <w:rPr>
          <w:rFonts w:ascii="Times New Roman" w:hAnsi="Times New Roman" w:cs="Times New Roman"/>
          <w:b/>
        </w:rPr>
        <w:t>Figure 4:  Guarantee Claiming Process</w:t>
      </w:r>
    </w:p>
    <w:p w:rsidR="00762B95" w:rsidRPr="004E09E2" w:rsidRDefault="00762B95" w:rsidP="00762B95">
      <w:pPr>
        <w:tabs>
          <w:tab w:val="num" w:pos="1152"/>
        </w:tabs>
        <w:spacing w:after="0"/>
        <w:jc w:val="center"/>
        <w:rPr>
          <w:rFonts w:ascii="Times New Roman" w:hAnsi="Times New Roman" w:cs="Times New Roman"/>
        </w:rPr>
      </w:pPr>
    </w:p>
    <w:p w:rsidR="00762B95" w:rsidRPr="004E09E2" w:rsidRDefault="00762B95" w:rsidP="00762B95">
      <w:pPr>
        <w:tabs>
          <w:tab w:val="num" w:pos="1152"/>
        </w:tabs>
        <w:spacing w:after="0"/>
        <w:jc w:val="center"/>
        <w:rPr>
          <w:rFonts w:ascii="Times New Roman" w:hAnsi="Times New Roman" w:cs="Times New Roman"/>
        </w:rPr>
      </w:pPr>
      <w:r w:rsidRPr="004E09E2">
        <w:rPr>
          <w:rFonts w:ascii="Times New Roman" w:hAnsi="Times New Roman" w:cs="Times New Roman"/>
          <w:noProof/>
        </w:rPr>
        <w:drawing>
          <wp:inline distT="0" distB="0" distL="0" distR="0" wp14:anchorId="0EA4E579" wp14:editId="6703FCFD">
            <wp:extent cx="3174521" cy="211326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78059" cy="2115623"/>
                    </a:xfrm>
                    <a:prstGeom prst="rect">
                      <a:avLst/>
                    </a:prstGeom>
                    <a:noFill/>
                  </pic:spPr>
                </pic:pic>
              </a:graphicData>
            </a:graphic>
          </wp:inline>
        </w:drawing>
      </w:r>
    </w:p>
    <w:p w:rsidR="009D4868" w:rsidRPr="004E09E2" w:rsidRDefault="009D4868" w:rsidP="00762B95">
      <w:pPr>
        <w:spacing w:after="0"/>
        <w:rPr>
          <w:rFonts w:ascii="Times New Roman" w:hAnsi="Times New Roman" w:cs="Times New Roman"/>
        </w:rPr>
      </w:pPr>
    </w:p>
    <w:p w:rsidR="00762B95" w:rsidRPr="004E09E2" w:rsidRDefault="00762B95" w:rsidP="00762B95">
      <w:pPr>
        <w:rPr>
          <w:rFonts w:ascii="Times New Roman" w:hAnsi="Times New Roman" w:cs="Times New Roman"/>
          <w:b/>
          <w:sz w:val="28"/>
          <w:szCs w:val="28"/>
        </w:rPr>
      </w:pPr>
      <w:r w:rsidRPr="004E09E2">
        <w:rPr>
          <w:rFonts w:ascii="Times New Roman" w:hAnsi="Times New Roman" w:cs="Times New Roman"/>
          <w:b/>
          <w:sz w:val="28"/>
          <w:szCs w:val="28"/>
        </w:rPr>
        <w:t>Guarantee Recovery Process</w:t>
      </w:r>
    </w:p>
    <w:p w:rsidR="00762B95" w:rsidRPr="004E09E2" w:rsidRDefault="00762B95" w:rsidP="00762B95">
      <w:pPr>
        <w:spacing w:after="0"/>
        <w:rPr>
          <w:rFonts w:ascii="Times New Roman" w:hAnsi="Times New Roman" w:cs="Times New Roman"/>
        </w:rPr>
      </w:pPr>
      <w:r w:rsidRPr="004E09E2">
        <w:rPr>
          <w:rFonts w:ascii="Times New Roman" w:hAnsi="Times New Roman" w:cs="Times New Roman"/>
        </w:rPr>
        <w:t>Once a Claim has been disbursed, the following operating procedure will be followed (Figure 5) according to the ORD:</w:t>
      </w:r>
    </w:p>
    <w:p w:rsidR="00762B95" w:rsidRPr="004E09E2" w:rsidRDefault="00762B95" w:rsidP="00762B95">
      <w:pPr>
        <w:spacing w:after="0"/>
        <w:rPr>
          <w:rFonts w:ascii="Times New Roman" w:hAnsi="Times New Roman" w:cs="Times New Roman"/>
        </w:rPr>
      </w:pPr>
    </w:p>
    <w:p w:rsidR="00762B95" w:rsidRPr="004E09E2" w:rsidRDefault="00762B95" w:rsidP="00762B95">
      <w:pPr>
        <w:pStyle w:val="ListParagraph"/>
        <w:numPr>
          <w:ilvl w:val="0"/>
          <w:numId w:val="5"/>
        </w:numPr>
        <w:tabs>
          <w:tab w:val="num" w:pos="1152"/>
        </w:tabs>
        <w:spacing w:after="0"/>
        <w:rPr>
          <w:rFonts w:ascii="Times New Roman" w:hAnsi="Times New Roman" w:cs="Times New Roman"/>
        </w:rPr>
      </w:pPr>
      <w:r w:rsidRPr="004E09E2">
        <w:rPr>
          <w:rFonts w:ascii="Times New Roman" w:hAnsi="Times New Roman" w:cs="Times New Roman"/>
        </w:rPr>
        <w:t>The rights on the guaranteed portion of the SME loan will immediately transferred to the CBB.</w:t>
      </w:r>
    </w:p>
    <w:p w:rsidR="00762B95" w:rsidRPr="004E09E2" w:rsidRDefault="00762B95" w:rsidP="00762B95">
      <w:pPr>
        <w:pStyle w:val="ListParagraph"/>
        <w:numPr>
          <w:ilvl w:val="0"/>
          <w:numId w:val="5"/>
        </w:numPr>
        <w:tabs>
          <w:tab w:val="num" w:pos="1152"/>
        </w:tabs>
        <w:spacing w:after="0"/>
        <w:rPr>
          <w:rFonts w:ascii="Times New Roman" w:hAnsi="Times New Roman" w:cs="Times New Roman"/>
        </w:rPr>
      </w:pPr>
      <w:r w:rsidRPr="004E09E2">
        <w:rPr>
          <w:rFonts w:ascii="Times New Roman" w:hAnsi="Times New Roman" w:cs="Times New Roman"/>
        </w:rPr>
        <w:t>The IFI will be obliged to undertake legal collection for the guaranteed portion of the claimed SME loans on behalf of the CBB and any amount collected, after expenses, will be shared pari passu between the IFI’s outstanding balance and the CBB’s outstanding balance based on the claimed amount.</w:t>
      </w:r>
    </w:p>
    <w:p w:rsidR="00762B95" w:rsidRPr="004E09E2" w:rsidRDefault="00762B95" w:rsidP="00762B95">
      <w:pPr>
        <w:pStyle w:val="ListParagraph"/>
        <w:numPr>
          <w:ilvl w:val="0"/>
          <w:numId w:val="5"/>
        </w:numPr>
        <w:tabs>
          <w:tab w:val="num" w:pos="1152"/>
        </w:tabs>
        <w:spacing w:after="0"/>
        <w:rPr>
          <w:rFonts w:ascii="Times New Roman" w:hAnsi="Times New Roman" w:cs="Times New Roman"/>
        </w:rPr>
      </w:pPr>
      <w:r w:rsidRPr="004E09E2">
        <w:rPr>
          <w:rFonts w:ascii="Times New Roman" w:hAnsi="Times New Roman" w:cs="Times New Roman"/>
        </w:rPr>
        <w:t>The IFI will be obliged to provide a status report on the collection process of claimed SME loans.</w:t>
      </w:r>
    </w:p>
    <w:p w:rsidR="00762B95" w:rsidRPr="004E09E2" w:rsidRDefault="00762B95" w:rsidP="00762B95">
      <w:pPr>
        <w:spacing w:after="0"/>
        <w:rPr>
          <w:rFonts w:ascii="Times New Roman" w:hAnsi="Times New Roman" w:cs="Times New Roman"/>
        </w:rPr>
      </w:pPr>
    </w:p>
    <w:p w:rsidR="003258DA" w:rsidRPr="004E09E2" w:rsidRDefault="003258DA" w:rsidP="00762B95">
      <w:pPr>
        <w:spacing w:after="0"/>
        <w:jc w:val="center"/>
        <w:rPr>
          <w:rFonts w:ascii="Times New Roman" w:hAnsi="Times New Roman" w:cs="Times New Roman"/>
          <w:b/>
        </w:rPr>
      </w:pPr>
    </w:p>
    <w:p w:rsidR="003258DA" w:rsidRPr="004E09E2" w:rsidRDefault="003258DA" w:rsidP="00762B95">
      <w:pPr>
        <w:spacing w:after="0"/>
        <w:jc w:val="center"/>
        <w:rPr>
          <w:rFonts w:ascii="Times New Roman" w:hAnsi="Times New Roman" w:cs="Times New Roman"/>
          <w:b/>
        </w:rPr>
      </w:pPr>
    </w:p>
    <w:p w:rsidR="003258DA" w:rsidRPr="004E09E2" w:rsidRDefault="003258DA" w:rsidP="00762B95">
      <w:pPr>
        <w:spacing w:after="0"/>
        <w:jc w:val="center"/>
        <w:rPr>
          <w:rFonts w:ascii="Times New Roman" w:hAnsi="Times New Roman" w:cs="Times New Roman"/>
          <w:b/>
        </w:rPr>
      </w:pPr>
    </w:p>
    <w:p w:rsidR="003258DA" w:rsidRDefault="003258DA" w:rsidP="00762B95">
      <w:pPr>
        <w:spacing w:after="0"/>
        <w:jc w:val="center"/>
        <w:rPr>
          <w:rFonts w:ascii="Times New Roman" w:hAnsi="Times New Roman" w:cs="Times New Roman"/>
          <w:b/>
        </w:rPr>
      </w:pPr>
    </w:p>
    <w:p w:rsidR="004E09E2" w:rsidRDefault="004E09E2" w:rsidP="00762B95">
      <w:pPr>
        <w:spacing w:after="0"/>
        <w:jc w:val="center"/>
        <w:rPr>
          <w:rFonts w:ascii="Times New Roman" w:hAnsi="Times New Roman" w:cs="Times New Roman"/>
          <w:b/>
        </w:rPr>
      </w:pPr>
    </w:p>
    <w:p w:rsidR="004E09E2" w:rsidRDefault="004E09E2" w:rsidP="00762B95">
      <w:pPr>
        <w:spacing w:after="0"/>
        <w:jc w:val="center"/>
        <w:rPr>
          <w:rFonts w:ascii="Times New Roman" w:hAnsi="Times New Roman" w:cs="Times New Roman"/>
          <w:b/>
        </w:rPr>
      </w:pPr>
    </w:p>
    <w:p w:rsidR="004E09E2" w:rsidRPr="004E09E2" w:rsidRDefault="004E09E2" w:rsidP="00762B95">
      <w:pPr>
        <w:spacing w:after="0"/>
        <w:jc w:val="center"/>
        <w:rPr>
          <w:rFonts w:ascii="Times New Roman" w:hAnsi="Times New Roman" w:cs="Times New Roman"/>
          <w:b/>
        </w:rPr>
      </w:pPr>
    </w:p>
    <w:p w:rsidR="00762B95" w:rsidRPr="004E09E2" w:rsidRDefault="00762B95" w:rsidP="00762B95">
      <w:pPr>
        <w:spacing w:after="0"/>
        <w:jc w:val="center"/>
        <w:rPr>
          <w:rFonts w:ascii="Times New Roman" w:hAnsi="Times New Roman" w:cs="Times New Roman"/>
          <w:b/>
        </w:rPr>
      </w:pPr>
      <w:r w:rsidRPr="004E09E2">
        <w:rPr>
          <w:rFonts w:ascii="Times New Roman" w:hAnsi="Times New Roman" w:cs="Times New Roman"/>
          <w:b/>
        </w:rPr>
        <w:t>Figure 5:  Guarantee Recovery Process</w:t>
      </w:r>
    </w:p>
    <w:p w:rsidR="00762B95" w:rsidRPr="004E09E2" w:rsidRDefault="00762B95" w:rsidP="00762B95">
      <w:pPr>
        <w:spacing w:after="0"/>
        <w:jc w:val="center"/>
        <w:rPr>
          <w:rFonts w:ascii="Times New Roman" w:hAnsi="Times New Roman" w:cs="Times New Roman"/>
        </w:rPr>
      </w:pPr>
    </w:p>
    <w:p w:rsidR="00762B95" w:rsidRPr="004E09E2" w:rsidRDefault="00762B95" w:rsidP="00762B95">
      <w:pPr>
        <w:spacing w:after="0"/>
        <w:jc w:val="center"/>
        <w:rPr>
          <w:rFonts w:ascii="Times New Roman" w:hAnsi="Times New Roman" w:cs="Times New Roman"/>
        </w:rPr>
      </w:pPr>
      <w:r w:rsidRPr="004E09E2">
        <w:rPr>
          <w:rFonts w:ascii="Times New Roman" w:hAnsi="Times New Roman" w:cs="Times New Roman"/>
          <w:noProof/>
        </w:rPr>
        <w:drawing>
          <wp:inline distT="0" distB="0" distL="0" distR="0" wp14:anchorId="1F0D724B" wp14:editId="61E66ECD">
            <wp:extent cx="4099726" cy="2734574"/>
            <wp:effectExtent l="0" t="0" r="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03256" cy="2736928"/>
                    </a:xfrm>
                    <a:prstGeom prst="rect">
                      <a:avLst/>
                    </a:prstGeom>
                    <a:noFill/>
                  </pic:spPr>
                </pic:pic>
              </a:graphicData>
            </a:graphic>
          </wp:inline>
        </w:drawing>
      </w:r>
    </w:p>
    <w:sectPr w:rsidR="00762B95" w:rsidRPr="004E09E2">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B95" w:rsidRDefault="00762B95" w:rsidP="00762B95">
      <w:pPr>
        <w:spacing w:after="0" w:line="240" w:lineRule="auto"/>
      </w:pPr>
      <w:r>
        <w:separator/>
      </w:r>
    </w:p>
  </w:endnote>
  <w:endnote w:type="continuationSeparator" w:id="0">
    <w:p w:rsidR="00762B95" w:rsidRDefault="00762B95" w:rsidP="00762B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8556910"/>
      <w:docPartObj>
        <w:docPartGallery w:val="Page Numbers (Bottom of Page)"/>
        <w:docPartUnique/>
      </w:docPartObj>
    </w:sdtPr>
    <w:sdtEndPr>
      <w:rPr>
        <w:rFonts w:ascii="Times New Roman" w:hAnsi="Times New Roman" w:cs="Times New Roman"/>
        <w:noProof/>
      </w:rPr>
    </w:sdtEndPr>
    <w:sdtContent>
      <w:p w:rsidR="004E09E2" w:rsidRPr="004E09E2" w:rsidRDefault="004E09E2">
        <w:pPr>
          <w:pStyle w:val="Footer"/>
          <w:jc w:val="center"/>
          <w:rPr>
            <w:rFonts w:ascii="Times New Roman" w:hAnsi="Times New Roman" w:cs="Times New Roman"/>
          </w:rPr>
        </w:pPr>
        <w:r w:rsidRPr="004E09E2">
          <w:rPr>
            <w:rFonts w:ascii="Times New Roman" w:hAnsi="Times New Roman" w:cs="Times New Roman"/>
          </w:rPr>
          <w:t>-</w:t>
        </w:r>
        <w:r w:rsidRPr="004E09E2">
          <w:rPr>
            <w:rFonts w:ascii="Times New Roman" w:hAnsi="Times New Roman" w:cs="Times New Roman"/>
          </w:rPr>
          <w:fldChar w:fldCharType="begin"/>
        </w:r>
        <w:r w:rsidRPr="004E09E2">
          <w:rPr>
            <w:rFonts w:ascii="Times New Roman" w:hAnsi="Times New Roman" w:cs="Times New Roman"/>
          </w:rPr>
          <w:instrText xml:space="preserve"> PAGE   \* MERGEFORMAT </w:instrText>
        </w:r>
        <w:r w:rsidRPr="004E09E2">
          <w:rPr>
            <w:rFonts w:ascii="Times New Roman" w:hAnsi="Times New Roman" w:cs="Times New Roman"/>
          </w:rPr>
          <w:fldChar w:fldCharType="separate"/>
        </w:r>
        <w:r w:rsidR="008D5B2C">
          <w:rPr>
            <w:rFonts w:ascii="Times New Roman" w:hAnsi="Times New Roman" w:cs="Times New Roman"/>
            <w:noProof/>
          </w:rPr>
          <w:t>4</w:t>
        </w:r>
        <w:r w:rsidRPr="004E09E2">
          <w:rPr>
            <w:rFonts w:ascii="Times New Roman" w:hAnsi="Times New Roman" w:cs="Times New Roman"/>
            <w:noProof/>
          </w:rPr>
          <w:fldChar w:fldCharType="end"/>
        </w:r>
        <w:r w:rsidRPr="004E09E2">
          <w:rPr>
            <w:rFonts w:ascii="Times New Roman" w:hAnsi="Times New Roman" w:cs="Times New Roman"/>
            <w:noProof/>
          </w:rPr>
          <w:t>-</w:t>
        </w:r>
      </w:p>
    </w:sdtContent>
  </w:sdt>
  <w:p w:rsidR="004E09E2" w:rsidRDefault="004E09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B95" w:rsidRDefault="00762B95" w:rsidP="00762B95">
      <w:pPr>
        <w:spacing w:after="0" w:line="240" w:lineRule="auto"/>
      </w:pPr>
      <w:r>
        <w:separator/>
      </w:r>
    </w:p>
  </w:footnote>
  <w:footnote w:type="continuationSeparator" w:id="0">
    <w:p w:rsidR="00762B95" w:rsidRDefault="00762B95" w:rsidP="00762B9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420A9"/>
    <w:multiLevelType w:val="hybridMultilevel"/>
    <w:tmpl w:val="61485BB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C0279"/>
    <w:multiLevelType w:val="hybridMultilevel"/>
    <w:tmpl w:val="F0021A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7756A8"/>
    <w:multiLevelType w:val="hybridMultilevel"/>
    <w:tmpl w:val="720E1D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161640"/>
    <w:multiLevelType w:val="hybridMultilevel"/>
    <w:tmpl w:val="732A7B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67324D"/>
    <w:multiLevelType w:val="hybridMultilevel"/>
    <w:tmpl w:val="F84AD9C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E25E40"/>
    <w:multiLevelType w:val="hybridMultilevel"/>
    <w:tmpl w:val="F52400F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6580AB8"/>
    <w:multiLevelType w:val="hybridMultilevel"/>
    <w:tmpl w:val="AFD2C1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6"/>
  </w:num>
  <w:num w:numId="4">
    <w:abstractNumId w:val="2"/>
  </w:num>
  <w:num w:numId="5">
    <w:abstractNumId w:val="5"/>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53D"/>
    <w:rsid w:val="00031157"/>
    <w:rsid w:val="00186B67"/>
    <w:rsid w:val="001963BE"/>
    <w:rsid w:val="001F7B36"/>
    <w:rsid w:val="002A0C57"/>
    <w:rsid w:val="002B7D59"/>
    <w:rsid w:val="002C604A"/>
    <w:rsid w:val="003258DA"/>
    <w:rsid w:val="00461AD4"/>
    <w:rsid w:val="004E09E2"/>
    <w:rsid w:val="00533755"/>
    <w:rsid w:val="005729DB"/>
    <w:rsid w:val="0064792A"/>
    <w:rsid w:val="007042A9"/>
    <w:rsid w:val="00756A29"/>
    <w:rsid w:val="007616C1"/>
    <w:rsid w:val="00762B95"/>
    <w:rsid w:val="00841D44"/>
    <w:rsid w:val="0085776C"/>
    <w:rsid w:val="00886C04"/>
    <w:rsid w:val="008D5B2C"/>
    <w:rsid w:val="009B607C"/>
    <w:rsid w:val="009C2288"/>
    <w:rsid w:val="009C60E6"/>
    <w:rsid w:val="009D4868"/>
    <w:rsid w:val="009F0012"/>
    <w:rsid w:val="009F6C78"/>
    <w:rsid w:val="00A55CE7"/>
    <w:rsid w:val="00A766FC"/>
    <w:rsid w:val="00AD604D"/>
    <w:rsid w:val="00B13179"/>
    <w:rsid w:val="00B8367A"/>
    <w:rsid w:val="00BF2EC8"/>
    <w:rsid w:val="00C668CD"/>
    <w:rsid w:val="00D0327B"/>
    <w:rsid w:val="00E137BE"/>
    <w:rsid w:val="00E34B15"/>
    <w:rsid w:val="00EF053D"/>
    <w:rsid w:val="00F1188D"/>
    <w:rsid w:val="00FB087D"/>
    <w:rsid w:val="00FB2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05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053D"/>
    <w:rPr>
      <w:rFonts w:ascii="Tahoma" w:hAnsi="Tahoma" w:cs="Tahoma"/>
      <w:sz w:val="16"/>
      <w:szCs w:val="16"/>
    </w:rPr>
  </w:style>
  <w:style w:type="character" w:styleId="CommentReference">
    <w:name w:val="annotation reference"/>
    <w:rsid w:val="009D4868"/>
    <w:rPr>
      <w:sz w:val="16"/>
      <w:szCs w:val="16"/>
    </w:rPr>
  </w:style>
  <w:style w:type="paragraph" w:styleId="CommentText">
    <w:name w:val="annotation text"/>
    <w:basedOn w:val="Normal"/>
    <w:link w:val="CommentTextChar"/>
    <w:rsid w:val="009D4868"/>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9D4868"/>
    <w:rPr>
      <w:rFonts w:ascii="Times New Roman" w:eastAsia="Times New Roman" w:hAnsi="Times New Roman" w:cs="Times New Roman"/>
      <w:sz w:val="20"/>
      <w:szCs w:val="20"/>
    </w:rPr>
  </w:style>
  <w:style w:type="paragraph" w:styleId="ListParagraph">
    <w:name w:val="List Paragraph"/>
    <w:basedOn w:val="Normal"/>
    <w:uiPriority w:val="34"/>
    <w:qFormat/>
    <w:rsid w:val="009D4868"/>
    <w:pPr>
      <w:ind w:left="720"/>
      <w:contextualSpacing/>
    </w:pPr>
  </w:style>
  <w:style w:type="paragraph" w:styleId="FootnoteText">
    <w:name w:val="footnote text"/>
    <w:basedOn w:val="Normal"/>
    <w:link w:val="FootnoteTextChar"/>
    <w:uiPriority w:val="99"/>
    <w:semiHidden/>
    <w:unhideWhenUsed/>
    <w:rsid w:val="00762B9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62B95"/>
    <w:rPr>
      <w:sz w:val="20"/>
      <w:szCs w:val="20"/>
    </w:rPr>
  </w:style>
  <w:style w:type="character" w:styleId="FootnoteReference">
    <w:name w:val="footnote reference"/>
    <w:aliases w:val="ftref,Fußnotenzeichen DISS,16 Point,Superscript 6 Point,BVI fnr, BVI fnr,Знак сноски 1,referencia nota al pie,titulo 2,FC,Style 24,Style 2,Sty,Style"/>
    <w:uiPriority w:val="99"/>
    <w:rsid w:val="00762B95"/>
    <w:rPr>
      <w:vertAlign w:val="superscript"/>
    </w:rPr>
  </w:style>
  <w:style w:type="paragraph" w:styleId="Header">
    <w:name w:val="header"/>
    <w:basedOn w:val="Normal"/>
    <w:link w:val="HeaderChar"/>
    <w:uiPriority w:val="99"/>
    <w:unhideWhenUsed/>
    <w:rsid w:val="004E09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09E2"/>
  </w:style>
  <w:style w:type="paragraph" w:styleId="Footer">
    <w:name w:val="footer"/>
    <w:basedOn w:val="Normal"/>
    <w:link w:val="FooterChar"/>
    <w:uiPriority w:val="99"/>
    <w:unhideWhenUsed/>
    <w:rsid w:val="004E09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09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05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053D"/>
    <w:rPr>
      <w:rFonts w:ascii="Tahoma" w:hAnsi="Tahoma" w:cs="Tahoma"/>
      <w:sz w:val="16"/>
      <w:szCs w:val="16"/>
    </w:rPr>
  </w:style>
  <w:style w:type="character" w:styleId="CommentReference">
    <w:name w:val="annotation reference"/>
    <w:rsid w:val="009D4868"/>
    <w:rPr>
      <w:sz w:val="16"/>
      <w:szCs w:val="16"/>
    </w:rPr>
  </w:style>
  <w:style w:type="paragraph" w:styleId="CommentText">
    <w:name w:val="annotation text"/>
    <w:basedOn w:val="Normal"/>
    <w:link w:val="CommentTextChar"/>
    <w:rsid w:val="009D4868"/>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9D4868"/>
    <w:rPr>
      <w:rFonts w:ascii="Times New Roman" w:eastAsia="Times New Roman" w:hAnsi="Times New Roman" w:cs="Times New Roman"/>
      <w:sz w:val="20"/>
      <w:szCs w:val="20"/>
    </w:rPr>
  </w:style>
  <w:style w:type="paragraph" w:styleId="ListParagraph">
    <w:name w:val="List Paragraph"/>
    <w:basedOn w:val="Normal"/>
    <w:uiPriority w:val="34"/>
    <w:qFormat/>
    <w:rsid w:val="009D4868"/>
    <w:pPr>
      <w:ind w:left="720"/>
      <w:contextualSpacing/>
    </w:pPr>
  </w:style>
  <w:style w:type="paragraph" w:styleId="FootnoteText">
    <w:name w:val="footnote text"/>
    <w:basedOn w:val="Normal"/>
    <w:link w:val="FootnoteTextChar"/>
    <w:uiPriority w:val="99"/>
    <w:semiHidden/>
    <w:unhideWhenUsed/>
    <w:rsid w:val="00762B9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62B95"/>
    <w:rPr>
      <w:sz w:val="20"/>
      <w:szCs w:val="20"/>
    </w:rPr>
  </w:style>
  <w:style w:type="character" w:styleId="FootnoteReference">
    <w:name w:val="footnote reference"/>
    <w:aliases w:val="ftref,Fußnotenzeichen DISS,16 Point,Superscript 6 Point,BVI fnr, BVI fnr,Знак сноски 1,referencia nota al pie,titulo 2,FC,Style 24,Style 2,Sty,Style"/>
    <w:uiPriority w:val="99"/>
    <w:rsid w:val="00762B95"/>
    <w:rPr>
      <w:vertAlign w:val="superscript"/>
    </w:rPr>
  </w:style>
  <w:style w:type="paragraph" w:styleId="Header">
    <w:name w:val="header"/>
    <w:basedOn w:val="Normal"/>
    <w:link w:val="HeaderChar"/>
    <w:uiPriority w:val="99"/>
    <w:unhideWhenUsed/>
    <w:rsid w:val="004E09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09E2"/>
  </w:style>
  <w:style w:type="paragraph" w:styleId="Footer">
    <w:name w:val="footer"/>
    <w:basedOn w:val="Normal"/>
    <w:link w:val="FooterChar"/>
    <w:uiPriority w:val="99"/>
    <w:unhideWhenUsed/>
    <w:rsid w:val="004E09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09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1E63116011BFBB4E99A0456DF4C1B898" ma:contentTypeVersion="0" ma:contentTypeDescription="A content type to manage public (operations) IDB documents" ma:contentTypeScope="" ma:versionID="a12dd140d54d2a3bc2b7423ed23ef244">
  <xsd:schema xmlns:xsd="http://www.w3.org/2001/XMLSchema" xmlns:xs="http://www.w3.org/2001/XMLSchema" xmlns:p="http://schemas.microsoft.com/office/2006/metadata/properties" xmlns:ns2="9c571b2f-e523-4ab2-ba2e-09e151a03ef4" targetNamespace="http://schemas.microsoft.com/office/2006/metadata/properties" ma:root="true" ma:fieldsID="eac78227aa40ebe0634e64f1b07ec9c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f10f793-ca0a-45d3-aa23-15b9e4b1309c}" ma:internalName="TaxCatchAll" ma:showField="CatchAllData" ma:web="bf1238c8-2e25-458e-83d0-1fd26af66a5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f10f793-ca0a-45d3-aa23-15b9e4b1309c}" ma:internalName="TaxCatchAllLabel" ma:readOnly="true" ma:showField="CatchAllDataLabel" ma:web="bf1238c8-2e25-458e-83d0-1fd26af66a5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39015871</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IFD/CMF</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Netto de A. C. Schneider, Maria E.</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BA-L1034</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Directors&lt;/APPROVAL_DESC&gt;&lt;PD_OBJ_TYPE&gt;0&lt;/PD_OBJ_TYPE&gt;&lt;MAKERECORD&gt;Y&lt;/MAKERECORD&gt;&lt;/Data&gt;</Migration_x0020_Info>
    <Operation_x0020_Type xmlns="9c571b2f-e523-4ab2-ba2e-09e151a03ef4" xsi:nil="true"/>
    <Document_x0020_Language_x0020_IDB xmlns="9c571b2f-e523-4ab2-ba2e-09e151a03ef4">English</Document_x0020_Language_x0020_IDB>
    <Identifier xmlns="9c571b2f-e523-4ab2-ba2e-09e151a03ef4"> TECFILE</Identifier>
    <Disclosure_x0020_Activity xmlns="9c571b2f-e523-4ab2-ba2e-09e151a03ef4">Loan Proposal</Disclosure_x0020_Activity>
    <Webtopic xmlns="9c571b2f-e523-4ab2-ba2e-09e151a03ef4">AG-ADM</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98FA75E7-74EC-4231-A6AA-D26B7A9BDB07}"/>
</file>

<file path=customXml/itemProps2.xml><?xml version="1.0" encoding="utf-8"?>
<ds:datastoreItem xmlns:ds="http://schemas.openxmlformats.org/officeDocument/2006/customXml" ds:itemID="{F8D407E5-01CE-4541-9B90-92044F2B22C3}"/>
</file>

<file path=customXml/itemProps3.xml><?xml version="1.0" encoding="utf-8"?>
<ds:datastoreItem xmlns:ds="http://schemas.openxmlformats.org/officeDocument/2006/customXml" ds:itemID="{EFABA756-BEA3-4C2E-8241-3B1EF967D3ED}"/>
</file>

<file path=customXml/itemProps4.xml><?xml version="1.0" encoding="utf-8"?>
<ds:datastoreItem xmlns:ds="http://schemas.openxmlformats.org/officeDocument/2006/customXml" ds:itemID="{7AEC9EF3-0E31-45D5-B1F9-9A088F55A73F}"/>
</file>

<file path=customXml/itemProps5.xml><?xml version="1.0" encoding="utf-8"?>
<ds:datastoreItem xmlns:ds="http://schemas.openxmlformats.org/officeDocument/2006/customXml" ds:itemID="{9FEB0DC7-3BF1-45DA-884F-F27E2130C48D}"/>
</file>

<file path=customXml/itemProps6.xml><?xml version="1.0" encoding="utf-8"?>
<ds:datastoreItem xmlns:ds="http://schemas.openxmlformats.org/officeDocument/2006/customXml" ds:itemID="{E2622EEC-92C9-4B09-8C18-FD07963CDD58}"/>
</file>

<file path=docProps/app.xml><?xml version="1.0" encoding="utf-8"?>
<Properties xmlns="http://schemas.openxmlformats.org/officeDocument/2006/extended-properties" xmlns:vt="http://schemas.openxmlformats.org/officeDocument/2006/docPropsVTypes">
  <Template>Normal.dotm</Template>
  <TotalTime>1</TotalTime>
  <Pages>4</Pages>
  <Words>492</Words>
  <Characters>2805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Link_ Program Operative Flow</dc:title>
  <dc:creator>Test</dc:creator>
  <cp:lastModifiedBy>Test</cp:lastModifiedBy>
  <cp:revision>3</cp:revision>
  <dcterms:created xsi:type="dcterms:W3CDTF">2014-08-26T18:52:00Z</dcterms:created>
  <dcterms:modified xsi:type="dcterms:W3CDTF">2014-10-15T14:05:00Z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0x01010046CF21643EE8D14686A648AA6DAD0892001E63116011BFBB4E99A0456DF4C1B898</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