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968" w:rsidRPr="00807792" w:rsidRDefault="00982F6B" w:rsidP="00CA7968">
      <w:pPr>
        <w:jc w:val="center"/>
        <w:rPr>
          <w:rFonts w:ascii="Times New Roman" w:hAnsi="Times New Roman" w:cs="Times New Roman"/>
          <w:smallCaps/>
          <w:sz w:val="24"/>
          <w:szCs w:val="24"/>
        </w:rPr>
      </w:pPr>
      <w:r w:rsidRPr="00807792">
        <w:rPr>
          <w:rFonts w:ascii="Times New Roman" w:hAnsi="Times New Roman" w:cs="Times New Roman"/>
          <w:smallCaps/>
          <w:sz w:val="24"/>
          <w:szCs w:val="24"/>
        </w:rPr>
        <w:t>Inter-American Development Bank Document</w:t>
      </w:r>
    </w:p>
    <w:p w:rsidR="00CA7968" w:rsidRPr="00807792" w:rsidRDefault="00CA7968">
      <w:pPr>
        <w:rPr>
          <w:rFonts w:ascii="Times New Roman" w:hAnsi="Times New Roman" w:cs="Times New Roman"/>
          <w:b/>
          <w:smallCaps/>
          <w:sz w:val="24"/>
          <w:szCs w:val="24"/>
        </w:rPr>
      </w:pPr>
    </w:p>
    <w:p w:rsidR="00CA7968" w:rsidRPr="00807792" w:rsidRDefault="00CA7968">
      <w:pPr>
        <w:rPr>
          <w:rFonts w:ascii="Times New Roman" w:hAnsi="Times New Roman" w:cs="Times New Roman"/>
          <w:b/>
          <w:smallCaps/>
          <w:sz w:val="24"/>
          <w:szCs w:val="24"/>
        </w:rPr>
      </w:pPr>
    </w:p>
    <w:p w:rsidR="00CA7968" w:rsidRPr="00807792" w:rsidRDefault="00CA7968">
      <w:pPr>
        <w:rPr>
          <w:rFonts w:ascii="Times New Roman" w:hAnsi="Times New Roman" w:cs="Times New Roman"/>
          <w:b/>
          <w:smallCaps/>
          <w:sz w:val="24"/>
          <w:szCs w:val="24"/>
        </w:rPr>
      </w:pPr>
    </w:p>
    <w:p w:rsidR="00CA7968" w:rsidRPr="00807792" w:rsidRDefault="00CA7968">
      <w:pPr>
        <w:rPr>
          <w:rFonts w:ascii="Times New Roman" w:hAnsi="Times New Roman" w:cs="Times New Roman"/>
          <w:b/>
          <w:smallCaps/>
          <w:sz w:val="24"/>
          <w:szCs w:val="24"/>
        </w:rPr>
      </w:pPr>
    </w:p>
    <w:p w:rsidR="00CA7968" w:rsidRPr="00807792" w:rsidRDefault="00CA7968">
      <w:pPr>
        <w:rPr>
          <w:rFonts w:ascii="Times New Roman" w:hAnsi="Times New Roman" w:cs="Times New Roman"/>
          <w:b/>
          <w:smallCaps/>
          <w:sz w:val="24"/>
          <w:szCs w:val="24"/>
        </w:rPr>
      </w:pPr>
    </w:p>
    <w:p w:rsidR="00CA7968" w:rsidRPr="00807792" w:rsidRDefault="00982F6B" w:rsidP="00CA7968">
      <w:pPr>
        <w:jc w:val="center"/>
        <w:rPr>
          <w:rFonts w:ascii="Times New Roman" w:hAnsi="Times New Roman" w:cs="Times New Roman"/>
          <w:b/>
          <w:smallCaps/>
          <w:sz w:val="24"/>
          <w:szCs w:val="24"/>
        </w:rPr>
      </w:pPr>
      <w:r w:rsidRPr="00807792">
        <w:rPr>
          <w:rFonts w:ascii="Times New Roman" w:hAnsi="Times New Roman" w:cs="Times New Roman"/>
          <w:b/>
          <w:smallCaps/>
          <w:sz w:val="24"/>
          <w:szCs w:val="24"/>
        </w:rPr>
        <w:t>Barbados</w:t>
      </w: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r w:rsidRPr="00807792">
        <w:rPr>
          <w:rFonts w:ascii="Times New Roman" w:hAnsi="Times New Roman" w:cs="Times New Roman"/>
          <w:b/>
          <w:smallCaps/>
          <w:sz w:val="24"/>
          <w:szCs w:val="24"/>
        </w:rPr>
        <w:t>L</w:t>
      </w:r>
      <w:r w:rsidR="00982F6B" w:rsidRPr="00807792">
        <w:rPr>
          <w:rFonts w:ascii="Times New Roman" w:hAnsi="Times New Roman" w:cs="Times New Roman"/>
          <w:b/>
          <w:smallCaps/>
          <w:sz w:val="24"/>
          <w:szCs w:val="24"/>
        </w:rPr>
        <w:t>essons learned for the Barbados SME Guarantee Fund</w:t>
      </w: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982F6B" w:rsidRPr="00807792" w:rsidRDefault="00982F6B"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pPr>
    </w:p>
    <w:p w:rsidR="00CA7968" w:rsidRPr="00807792" w:rsidRDefault="00982F6B" w:rsidP="00CA7968">
      <w:pPr>
        <w:pBdr>
          <w:top w:val="single" w:sz="4" w:space="1" w:color="auto"/>
          <w:left w:val="single" w:sz="4" w:space="4" w:color="auto"/>
          <w:bottom w:val="single" w:sz="4" w:space="1" w:color="auto"/>
          <w:right w:val="single" w:sz="4" w:space="4" w:color="auto"/>
        </w:pBdr>
        <w:jc w:val="both"/>
        <w:rPr>
          <w:rFonts w:ascii="Times New Roman" w:hAnsi="Times New Roman" w:cs="Times New Roman"/>
          <w:b/>
          <w:smallCaps/>
          <w:sz w:val="24"/>
          <w:szCs w:val="24"/>
        </w:rPr>
      </w:pPr>
      <w:r w:rsidRPr="00807792">
        <w:rPr>
          <w:rFonts w:ascii="Times New Roman" w:hAnsi="Times New Roman" w:cs="Times New Roman"/>
          <w:sz w:val="24"/>
          <w:szCs w:val="24"/>
        </w:rPr>
        <w:t>Document prepared by: Maria Netto</w:t>
      </w:r>
      <w:r w:rsidR="003A6D61" w:rsidRPr="00807792">
        <w:rPr>
          <w:rFonts w:ascii="Times New Roman" w:hAnsi="Times New Roman" w:cs="Times New Roman"/>
          <w:sz w:val="24"/>
          <w:szCs w:val="24"/>
        </w:rPr>
        <w:t xml:space="preserve">, </w:t>
      </w:r>
      <w:r w:rsidRPr="00807792">
        <w:rPr>
          <w:rFonts w:ascii="Times New Roman" w:hAnsi="Times New Roman" w:cs="Times New Roman"/>
          <w:sz w:val="24"/>
          <w:szCs w:val="24"/>
        </w:rPr>
        <w:t>Team Leader</w:t>
      </w:r>
      <w:r w:rsidR="000A6CEB" w:rsidRPr="00807792">
        <w:rPr>
          <w:rFonts w:ascii="Times New Roman" w:hAnsi="Times New Roman" w:cs="Times New Roman"/>
          <w:sz w:val="24"/>
          <w:szCs w:val="24"/>
        </w:rPr>
        <w:t xml:space="preserve">, </w:t>
      </w:r>
      <w:r w:rsidR="00CA7968" w:rsidRPr="00807792">
        <w:rPr>
          <w:rFonts w:ascii="Times New Roman" w:hAnsi="Times New Roman" w:cs="Times New Roman"/>
          <w:sz w:val="24"/>
          <w:szCs w:val="24"/>
        </w:rPr>
        <w:t xml:space="preserve">Daniel Fonseca, </w:t>
      </w:r>
      <w:r w:rsidRPr="00807792">
        <w:rPr>
          <w:rFonts w:ascii="Times New Roman" w:hAnsi="Times New Roman" w:cs="Times New Roman"/>
          <w:sz w:val="24"/>
          <w:szCs w:val="24"/>
        </w:rPr>
        <w:t>Alternate Team Leader, and Eduardo Ponce</w:t>
      </w:r>
      <w:r w:rsidR="00CA7968" w:rsidRPr="00807792">
        <w:rPr>
          <w:rFonts w:ascii="Times New Roman" w:hAnsi="Times New Roman" w:cs="Times New Roman"/>
          <w:sz w:val="24"/>
          <w:szCs w:val="24"/>
        </w:rPr>
        <w:t>, IFD/CMF.</w:t>
      </w:r>
    </w:p>
    <w:p w:rsidR="00CA7968" w:rsidRPr="00807792" w:rsidRDefault="00CA7968" w:rsidP="00CA7968">
      <w:pPr>
        <w:jc w:val="center"/>
        <w:rPr>
          <w:rFonts w:ascii="Times New Roman" w:hAnsi="Times New Roman" w:cs="Times New Roman"/>
          <w:b/>
          <w:smallCaps/>
          <w:sz w:val="24"/>
          <w:szCs w:val="24"/>
        </w:rPr>
      </w:pPr>
    </w:p>
    <w:p w:rsidR="00CA7968" w:rsidRPr="00807792" w:rsidRDefault="00CA7968" w:rsidP="00CA7968">
      <w:pPr>
        <w:jc w:val="center"/>
        <w:rPr>
          <w:rFonts w:ascii="Times New Roman" w:hAnsi="Times New Roman" w:cs="Times New Roman"/>
          <w:b/>
          <w:smallCaps/>
          <w:sz w:val="24"/>
          <w:szCs w:val="24"/>
        </w:rPr>
        <w:sectPr w:rsidR="00CA7968" w:rsidRPr="00807792" w:rsidSect="00CA7968">
          <w:headerReference w:type="default" r:id="rId9"/>
          <w:pgSz w:w="12240" w:h="15840"/>
          <w:pgMar w:top="1440" w:right="1800" w:bottom="1440" w:left="1800" w:header="720" w:footer="720" w:gutter="0"/>
          <w:cols w:space="720"/>
          <w:titlePg/>
          <w:docGrid w:linePitch="360"/>
        </w:sectPr>
      </w:pPr>
    </w:p>
    <w:p w:rsidR="00596757" w:rsidRPr="00807792" w:rsidRDefault="00596757" w:rsidP="00323782">
      <w:pPr>
        <w:tabs>
          <w:tab w:val="left" w:pos="1440"/>
          <w:tab w:val="left" w:pos="3060"/>
        </w:tabs>
        <w:jc w:val="center"/>
        <w:rPr>
          <w:rFonts w:ascii="Times New Roman" w:hAnsi="Times New Roman" w:cs="Times New Roman"/>
          <w:b/>
          <w:smallCaps/>
          <w:sz w:val="24"/>
          <w:szCs w:val="24"/>
        </w:rPr>
      </w:pPr>
      <w:r w:rsidRPr="00807792">
        <w:rPr>
          <w:rFonts w:ascii="Times New Roman" w:hAnsi="Times New Roman" w:cs="Times New Roman"/>
          <w:b/>
          <w:smallCaps/>
          <w:sz w:val="24"/>
          <w:szCs w:val="24"/>
        </w:rPr>
        <w:lastRenderedPageBreak/>
        <w:t>Le</w:t>
      </w:r>
      <w:r w:rsidR="00982F6B" w:rsidRPr="00807792">
        <w:rPr>
          <w:rFonts w:ascii="Times New Roman" w:hAnsi="Times New Roman" w:cs="Times New Roman"/>
          <w:b/>
          <w:smallCaps/>
          <w:sz w:val="24"/>
          <w:szCs w:val="24"/>
        </w:rPr>
        <w:t>ssons learned for the Barbados SME Guarantee Fund</w:t>
      </w:r>
    </w:p>
    <w:p w:rsidR="00B26470" w:rsidRPr="00807792" w:rsidRDefault="00982F6B" w:rsidP="00807792">
      <w:pPr>
        <w:pStyle w:val="ListParagraph"/>
        <w:numPr>
          <w:ilvl w:val="0"/>
          <w:numId w:val="5"/>
        </w:numPr>
        <w:tabs>
          <w:tab w:val="clear" w:pos="1530"/>
          <w:tab w:val="num" w:pos="720"/>
        </w:tabs>
        <w:ind w:left="720" w:hanging="720"/>
        <w:jc w:val="both"/>
        <w:rPr>
          <w:rFonts w:ascii="Times New Roman" w:hAnsi="Times New Roman" w:cs="Times New Roman"/>
          <w:b/>
          <w:sz w:val="24"/>
          <w:szCs w:val="24"/>
        </w:rPr>
      </w:pPr>
      <w:r w:rsidRPr="00807792">
        <w:rPr>
          <w:rFonts w:ascii="Times New Roman" w:hAnsi="Times New Roman" w:cs="Times New Roman"/>
          <w:b/>
          <w:sz w:val="24"/>
          <w:szCs w:val="24"/>
        </w:rPr>
        <w:t>Background</w:t>
      </w:r>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r w:rsidRPr="00807792">
        <w:rPr>
          <w:rFonts w:ascii="Times New Roman" w:hAnsi="Times New Roman" w:cs="Times New Roman"/>
          <w:sz w:val="24"/>
          <w:szCs w:val="24"/>
        </w:rPr>
        <w:t xml:space="preserve">The proposed program will provide a guarantee mechanism to promote productive investment projects, with particular emphasis on SMEs. The project will be in the form of a lending operation to the government to create a partial credit Guarantee Fund to compensate for the existing lack of collateral from SMEs for loans from commercial banks. It is expected that in the long term, the guarantees undertaken under the project will have a demonstrative effect that will stimulate a higher risk appetite in commercial banks for the SMEs segment and lead to increased financing in this market segment. </w:t>
      </w:r>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bookmarkStart w:id="0" w:name="_Ref396746531"/>
      <w:r w:rsidRPr="00807792">
        <w:rPr>
          <w:rFonts w:ascii="Times New Roman" w:hAnsi="Times New Roman" w:cs="Times New Roman"/>
          <w:sz w:val="24"/>
          <w:szCs w:val="24"/>
        </w:rPr>
        <w:t>The objective of the proposed project is to contribute to increased productivity of SMEs by facilitating access to medium- and long-term credit for productive investment projects. In particular, the program will assist SMEs in accessing credit, through the provision of partial credit guarantees to IFIs, for medium and long term capital investments that allow the SMEs to modernize and remodel their businesses.</w:t>
      </w:r>
      <w:bookmarkEnd w:id="0"/>
    </w:p>
    <w:p w:rsidR="00E36BCF" w:rsidRPr="00807792" w:rsidRDefault="00E36BCF" w:rsidP="00807792">
      <w:pPr>
        <w:pStyle w:val="ListParagraph"/>
        <w:numPr>
          <w:ilvl w:val="0"/>
          <w:numId w:val="5"/>
        </w:numPr>
        <w:tabs>
          <w:tab w:val="clear" w:pos="1530"/>
          <w:tab w:val="num" w:pos="720"/>
        </w:tabs>
        <w:ind w:left="0" w:firstLine="0"/>
        <w:jc w:val="both"/>
        <w:rPr>
          <w:rFonts w:ascii="Times New Roman" w:hAnsi="Times New Roman" w:cs="Times New Roman"/>
          <w:b/>
          <w:sz w:val="24"/>
          <w:szCs w:val="24"/>
        </w:rPr>
      </w:pPr>
      <w:bookmarkStart w:id="1" w:name="_Ref399432782"/>
      <w:r w:rsidRPr="00807792">
        <w:rPr>
          <w:rFonts w:ascii="Times New Roman" w:hAnsi="Times New Roman" w:cs="Times New Roman"/>
          <w:b/>
          <w:sz w:val="24"/>
          <w:szCs w:val="24"/>
        </w:rPr>
        <w:t>Lessons Learned in Barbados.</w:t>
      </w:r>
    </w:p>
    <w:p w:rsid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r w:rsidRPr="00807792">
        <w:rPr>
          <w:rFonts w:ascii="Times New Roman" w:hAnsi="Times New Roman" w:cs="Times New Roman"/>
          <w:b/>
          <w:sz w:val="24"/>
          <w:szCs w:val="24"/>
        </w:rPr>
        <w:t>Government initiatives.</w:t>
      </w:r>
      <w:r w:rsidRPr="00807792">
        <w:rPr>
          <w:rFonts w:ascii="Times New Roman" w:hAnsi="Times New Roman" w:cs="Times New Roman"/>
          <w:sz w:val="24"/>
          <w:szCs w:val="24"/>
        </w:rPr>
        <w:t xml:space="preserve"> Barbados has made a longstanding concerted effort to develop its public policy to support the smaller firms in the country. In 2002, the government enacted the </w:t>
      </w:r>
      <w:hyperlink r:id="rId10" w:history="1">
        <w:r w:rsidRPr="00807792">
          <w:rPr>
            <w:rStyle w:val="Hyperlink"/>
            <w:rFonts w:ascii="Times New Roman" w:hAnsi="Times New Roman" w:cs="Times New Roman"/>
            <w:sz w:val="24"/>
            <w:szCs w:val="24"/>
          </w:rPr>
          <w:t>Small Business Development Act</w:t>
        </w:r>
      </w:hyperlink>
      <w:r w:rsidRPr="00807792">
        <w:rPr>
          <w:rFonts w:ascii="Times New Roman" w:hAnsi="Times New Roman" w:cs="Times New Roman"/>
          <w:sz w:val="24"/>
          <w:szCs w:val="24"/>
        </w:rPr>
        <w:t xml:space="preserve">, which provided a framework of activities aimed at supporting micro and small enterprises through incentives (fiscal and others) </w:t>
      </w:r>
      <w:r w:rsidR="00807792">
        <w:rPr>
          <w:rFonts w:ascii="Times New Roman" w:hAnsi="Times New Roman" w:cs="Times New Roman"/>
          <w:sz w:val="24"/>
          <w:szCs w:val="24"/>
        </w:rPr>
        <w:t>and technical support.</w:t>
      </w:r>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r w:rsidRPr="00807792">
        <w:rPr>
          <w:rFonts w:ascii="Times New Roman" w:hAnsi="Times New Roman" w:cs="Times New Roman"/>
          <w:sz w:val="24"/>
          <w:szCs w:val="24"/>
        </w:rPr>
        <w:t>The government has more recently developed a dedicated institutional framework to spur SMEs entrepreneurship through the Ministry of Industry, International Business, Commerce and Small Business Development. The “</w:t>
      </w:r>
      <w:hyperlink r:id="rId11" w:history="1">
        <w:r w:rsidRPr="00807792">
          <w:rPr>
            <w:rStyle w:val="Hyperlink"/>
            <w:rFonts w:ascii="Times New Roman" w:hAnsi="Times New Roman" w:cs="Times New Roman"/>
            <w:sz w:val="24"/>
            <w:szCs w:val="24"/>
          </w:rPr>
          <w:t>Barbados Growth and Development Strategy Document for 2013-2020</w:t>
        </w:r>
      </w:hyperlink>
      <w:r w:rsidRPr="00807792">
        <w:rPr>
          <w:rFonts w:ascii="Times New Roman" w:hAnsi="Times New Roman" w:cs="Times New Roman"/>
          <w:sz w:val="24"/>
          <w:szCs w:val="24"/>
        </w:rPr>
        <w:t>” has a section dedicated to Micro, Small and Medium Sized Enterprise (MSME) Development (Section 4.3.5), in which it highlights the government’s commitment to provide for greater access to capital for MSMEs and to further promote their growth, productivity and revenue generation. The policy also highlights the importance of the private sector in the country’s economic growth, the government’s commitment to promote business facilitation, and the role that financial institutions play in promoting investments.</w:t>
      </w:r>
      <w:bookmarkEnd w:id="1"/>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bookmarkStart w:id="2" w:name="_Ref399668438"/>
      <w:r w:rsidRPr="00807792">
        <w:rPr>
          <w:rFonts w:ascii="Times New Roman" w:hAnsi="Times New Roman" w:cs="Times New Roman"/>
          <w:sz w:val="24"/>
          <w:szCs w:val="24"/>
        </w:rPr>
        <w:t xml:space="preserve">As part of this public policy framework, over the last 10 years the government has been developing a number of dedicated funding initiatives amounting to about US$80 million comprising: the Enterprise Growth Fund Limited (created in January 1998), the Caribbean Financial Services Corporation and the Youth Entrepreneurship Scheme, each with a specific sector allocation such as tourism and small hotels investment, agricultural development, industrial investment and </w:t>
      </w:r>
      <w:r w:rsidRPr="00807792">
        <w:rPr>
          <w:rFonts w:ascii="Times New Roman" w:hAnsi="Times New Roman" w:cs="Times New Roman"/>
          <w:sz w:val="24"/>
          <w:szCs w:val="24"/>
        </w:rPr>
        <w:lastRenderedPageBreak/>
        <w:t>employment.</w:t>
      </w:r>
      <w:r w:rsidRPr="00807792">
        <w:rPr>
          <w:rStyle w:val="FootnoteReference"/>
          <w:rFonts w:ascii="Times New Roman" w:hAnsi="Times New Roman" w:cs="Times New Roman"/>
          <w:sz w:val="24"/>
          <w:szCs w:val="24"/>
        </w:rPr>
        <w:footnoteReference w:id="1"/>
      </w:r>
      <w:r w:rsidRPr="00807792">
        <w:rPr>
          <w:rFonts w:ascii="Times New Roman" w:hAnsi="Times New Roman" w:cs="Times New Roman"/>
          <w:sz w:val="24"/>
          <w:szCs w:val="24"/>
        </w:rPr>
        <w:t xml:space="preserve"> The government, through the Central Bank of Barbados (CBB), also offers financing and guarantee schemes to support credit and export promotion. There are different types of schemes provided by the CBB,</w:t>
      </w:r>
      <w:r w:rsidRPr="00807792">
        <w:rPr>
          <w:rStyle w:val="FootnoteReference"/>
          <w:rFonts w:ascii="Times New Roman" w:hAnsi="Times New Roman" w:cs="Times New Roman"/>
          <w:sz w:val="24"/>
          <w:szCs w:val="24"/>
        </w:rPr>
        <w:footnoteReference w:id="2"/>
      </w:r>
      <w:r w:rsidRPr="00807792">
        <w:rPr>
          <w:rFonts w:ascii="Times New Roman" w:hAnsi="Times New Roman" w:cs="Times New Roman"/>
          <w:sz w:val="24"/>
          <w:szCs w:val="24"/>
        </w:rPr>
        <w:t xml:space="preserve"> with the most important mechanism being the Enhanced Credit Guarantee Scheme (ECGS) and the Trade Receivables Liquidity Facility (TRLF).</w:t>
      </w:r>
      <w:bookmarkEnd w:id="2"/>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bookmarkStart w:id="3" w:name="_Ref399677874"/>
      <w:r w:rsidRPr="00807792">
        <w:rPr>
          <w:rFonts w:ascii="Times New Roman" w:hAnsi="Times New Roman" w:cs="Times New Roman"/>
          <w:sz w:val="24"/>
          <w:szCs w:val="24"/>
        </w:rPr>
        <w:t>These schemes have had limited effectiveness to address financing needs for SMEs: (i) their eligibility criteria has been sector or niche based, too narrow to support the comprehensive needs of SME financing, (ii) their terms and conditions have not been sufficiently attractive for the financial institutions, (iii) their non-standardized requirements from one scheme to another have created a perception with financial institutions that applying for a guarantee is cumbersome, (iv) there has been limited outreach with financial institutions and potential beneficiaries to developed a sustained pipeline, and (v) the practice when filing claims has created a perception with financial institutions that these can only be submitted once the company has been liquidated and that it can be particularly of contentious justification.</w:t>
      </w:r>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r w:rsidRPr="00807792">
        <w:rPr>
          <w:rFonts w:ascii="Times New Roman" w:hAnsi="Times New Roman" w:cs="Times New Roman"/>
          <w:sz w:val="24"/>
          <w:szCs w:val="24"/>
        </w:rPr>
        <w:t>Taking into consideration these lessons learned, the SME Guarantee Fund proposes to set up a fully differentiated and dedicated scheme for SMEs in Barbados, with sufficiently broad eligibility criteria to comprehensively support SME needs, clear and swift operating regulations to address concerns from the financial institutions, and managed separately to cater to IDB requirements to segregate funds and provide specific reporting).</w:t>
      </w:r>
      <w:r w:rsidRPr="00807792">
        <w:rPr>
          <w:rStyle w:val="FootnoteReference"/>
          <w:rFonts w:ascii="Times New Roman" w:hAnsi="Times New Roman" w:cs="Times New Roman"/>
          <w:sz w:val="24"/>
          <w:szCs w:val="24"/>
        </w:rPr>
        <w:footnoteReference w:id="3"/>
      </w:r>
      <w:r w:rsidRPr="00807792">
        <w:rPr>
          <w:rFonts w:ascii="Times New Roman" w:hAnsi="Times New Roman" w:cs="Times New Roman"/>
          <w:sz w:val="24"/>
          <w:szCs w:val="24"/>
        </w:rPr>
        <w:t xml:space="preserve"> This SME Guarantee Fund has been developed in conjunction with the CBB, representatives of the financial institutions and with representatives of SME to provide an effective public policy instrument to encourage the participation of the banking system in the downscaling efforts of financing to SMEs in Barbados.</w:t>
      </w:r>
      <w:bookmarkEnd w:id="3"/>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r w:rsidRPr="00807792">
        <w:rPr>
          <w:rFonts w:ascii="Times New Roman" w:hAnsi="Times New Roman" w:cs="Times New Roman"/>
          <w:sz w:val="24"/>
          <w:szCs w:val="24"/>
        </w:rPr>
        <w:t>The objective of the proposed project is to contribute to increased productivity of SMEs by facilitating access to medium- and long-term credit for productive investment projects. In particular, the program will assist SMEs in accessing credit, through the provision of partial credit guarantees to IFIs, for medium and long term capital investments that allow the SMEs to modernize and remodel their businesses.</w:t>
      </w:r>
    </w:p>
    <w:p w:rsidR="00E36BCF" w:rsidRPr="00807792" w:rsidRDefault="00E36BCF" w:rsidP="00807792">
      <w:pPr>
        <w:pStyle w:val="ListParagraph"/>
        <w:numPr>
          <w:ilvl w:val="0"/>
          <w:numId w:val="5"/>
        </w:numPr>
        <w:tabs>
          <w:tab w:val="clear" w:pos="1530"/>
          <w:tab w:val="num" w:pos="720"/>
        </w:tabs>
        <w:ind w:left="0" w:firstLine="0"/>
        <w:jc w:val="both"/>
        <w:rPr>
          <w:rFonts w:ascii="Times New Roman" w:hAnsi="Times New Roman" w:cs="Times New Roman"/>
          <w:b/>
          <w:sz w:val="24"/>
          <w:szCs w:val="24"/>
        </w:rPr>
      </w:pPr>
      <w:r w:rsidRPr="00807792">
        <w:rPr>
          <w:rFonts w:ascii="Times New Roman" w:hAnsi="Times New Roman" w:cs="Times New Roman"/>
          <w:b/>
          <w:sz w:val="24"/>
          <w:szCs w:val="24"/>
        </w:rPr>
        <w:t>Lessons Learned in Latin America and the Caribbean.</w:t>
      </w:r>
    </w:p>
    <w:p w:rsidR="0060284B"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r w:rsidRPr="00807792">
        <w:rPr>
          <w:rFonts w:ascii="Times New Roman" w:hAnsi="Times New Roman" w:cs="Times New Roman"/>
          <w:sz w:val="24"/>
          <w:szCs w:val="24"/>
        </w:rPr>
        <w:t xml:space="preserve">There are several successful SME guarantee fund experiences in the region (Chile, Peru and Colombia) on which the program can draw for positive demonstration effect experience and lessons learned. Through these schemes, </w:t>
      </w:r>
      <w:r w:rsidRPr="00807792">
        <w:rPr>
          <w:rFonts w:ascii="Times New Roman" w:hAnsi="Times New Roman" w:cs="Times New Roman"/>
          <w:sz w:val="24"/>
          <w:szCs w:val="24"/>
        </w:rPr>
        <w:lastRenderedPageBreak/>
        <w:t>SMEs were able to obtain suitable financing amounts, terms and conditions relative to their needs, while the intervention showed generally positive trends in investment, productivity, employment, and revenues.</w:t>
      </w:r>
    </w:p>
    <w:p w:rsidR="0060284B" w:rsidRDefault="00E36BCF" w:rsidP="0060284B">
      <w:pPr>
        <w:pStyle w:val="Paragraph"/>
        <w:numPr>
          <w:ilvl w:val="2"/>
          <w:numId w:val="5"/>
        </w:numPr>
        <w:tabs>
          <w:tab w:val="clear" w:pos="2592"/>
          <w:tab w:val="num" w:pos="1170"/>
        </w:tabs>
        <w:ind w:left="1170"/>
        <w:outlineLvl w:val="1"/>
        <w:rPr>
          <w:rFonts w:ascii="Times New Roman" w:hAnsi="Times New Roman" w:cs="Times New Roman"/>
          <w:sz w:val="24"/>
          <w:szCs w:val="24"/>
        </w:rPr>
      </w:pPr>
      <w:r w:rsidRPr="00807792">
        <w:rPr>
          <w:rFonts w:ascii="Times New Roman" w:hAnsi="Times New Roman" w:cs="Times New Roman"/>
          <w:sz w:val="24"/>
          <w:szCs w:val="24"/>
        </w:rPr>
        <w:t>For example, in Chile</w:t>
      </w:r>
      <w:r w:rsidRPr="00807792">
        <w:rPr>
          <w:rStyle w:val="FootnoteReference"/>
          <w:rFonts w:ascii="Times New Roman" w:hAnsi="Times New Roman" w:cs="Times New Roman"/>
          <w:sz w:val="24"/>
          <w:szCs w:val="24"/>
        </w:rPr>
        <w:footnoteReference w:id="4"/>
      </w:r>
      <w:r w:rsidRPr="00807792">
        <w:rPr>
          <w:rFonts w:ascii="Times New Roman" w:hAnsi="Times New Roman" w:cs="Times New Roman"/>
          <w:sz w:val="24"/>
          <w:szCs w:val="24"/>
        </w:rPr>
        <w:t xml:space="preserve"> beneficiaries of the guarantee fund are 14% more likely to obtain credit than non-beneficiaries (SMEs that did not apply for guarantee), contributing to an increase of 40% in volume of credit, in sale</w:t>
      </w:r>
      <w:r w:rsidR="0060284B">
        <w:rPr>
          <w:rFonts w:ascii="Times New Roman" w:hAnsi="Times New Roman" w:cs="Times New Roman"/>
          <w:sz w:val="24"/>
          <w:szCs w:val="24"/>
        </w:rPr>
        <w:t>s of 32% and in profits of 24%.</w:t>
      </w:r>
    </w:p>
    <w:p w:rsidR="0060284B" w:rsidRDefault="00E36BCF" w:rsidP="0060284B">
      <w:pPr>
        <w:pStyle w:val="Paragraph"/>
        <w:numPr>
          <w:ilvl w:val="2"/>
          <w:numId w:val="5"/>
        </w:numPr>
        <w:tabs>
          <w:tab w:val="clear" w:pos="2592"/>
          <w:tab w:val="num" w:pos="1170"/>
        </w:tabs>
        <w:ind w:left="1170"/>
        <w:outlineLvl w:val="1"/>
        <w:rPr>
          <w:rFonts w:ascii="Times New Roman" w:hAnsi="Times New Roman" w:cs="Times New Roman"/>
          <w:sz w:val="24"/>
          <w:szCs w:val="24"/>
        </w:rPr>
      </w:pPr>
      <w:r w:rsidRPr="00807792">
        <w:rPr>
          <w:rFonts w:ascii="Times New Roman" w:hAnsi="Times New Roman" w:cs="Times New Roman"/>
          <w:sz w:val="24"/>
          <w:szCs w:val="24"/>
        </w:rPr>
        <w:t>In the case of Colombia</w:t>
      </w:r>
      <w:r w:rsidRPr="00807792">
        <w:rPr>
          <w:rStyle w:val="FootnoteReference"/>
          <w:rFonts w:ascii="Times New Roman" w:hAnsi="Times New Roman" w:cs="Times New Roman"/>
          <w:sz w:val="24"/>
          <w:szCs w:val="24"/>
        </w:rPr>
        <w:footnoteReference w:id="5"/>
      </w:r>
      <w:r w:rsidRPr="00807792">
        <w:rPr>
          <w:rFonts w:ascii="Times New Roman" w:hAnsi="Times New Roman" w:cs="Times New Roman"/>
          <w:sz w:val="24"/>
          <w:szCs w:val="24"/>
        </w:rPr>
        <w:t>, firms supported increased 6% in terms of sales and 3.7% in terms of employment more than firms that did not benefit from the program (limited because use of a part of the funds was directed towards working capital).</w:t>
      </w:r>
    </w:p>
    <w:p w:rsidR="00E36BCF" w:rsidRPr="00807792" w:rsidRDefault="00E36BCF" w:rsidP="0060284B">
      <w:pPr>
        <w:pStyle w:val="Paragraph"/>
        <w:numPr>
          <w:ilvl w:val="1"/>
          <w:numId w:val="5"/>
        </w:numPr>
        <w:tabs>
          <w:tab w:val="clear" w:pos="2736"/>
        </w:tabs>
        <w:ind w:left="720" w:hanging="720"/>
        <w:outlineLvl w:val="1"/>
        <w:rPr>
          <w:rFonts w:ascii="Times New Roman" w:hAnsi="Times New Roman" w:cs="Times New Roman"/>
          <w:sz w:val="24"/>
          <w:szCs w:val="24"/>
        </w:rPr>
      </w:pPr>
      <w:r w:rsidRPr="00807792">
        <w:rPr>
          <w:rFonts w:ascii="Times New Roman" w:hAnsi="Times New Roman" w:cs="Times New Roman"/>
          <w:sz w:val="24"/>
          <w:szCs w:val="24"/>
        </w:rPr>
        <w:t>Several lessons have been drawn from these experiences to improve the design and implementation of the SME Guarantee Fund in Barbados: (i) the guarantee mechanism has been designed to support medium- to long-term investment loans to maximize the project’s effect on productivity, thus avoiding the pitfall of broad use of proceeds in guarantee schemes that ended up supporting a large proportion of short-term transactions (therefore having a reduced impact on productivity); (ii) the guarantee mechanism is managing a conservative scenario in which the default rate may be higher than the current banking system’s outstanding portfolio (given that the scheme is supporting loans that are currently not being supported), however proper risk mechanisms have been put in place in order to assure proper origination, approval, and monitoring by the IFIs (such as providing a partial credit guarantee so that IFIs commit their own capital to the loans).</w:t>
      </w:r>
      <w:r w:rsidRPr="00807792">
        <w:rPr>
          <w:rStyle w:val="FootnoteReference"/>
          <w:rFonts w:ascii="Times New Roman" w:hAnsi="Times New Roman" w:cs="Times New Roman"/>
          <w:sz w:val="24"/>
          <w:szCs w:val="24"/>
        </w:rPr>
        <w:footnoteReference w:id="6"/>
      </w:r>
      <w:r w:rsidRPr="00807792">
        <w:rPr>
          <w:rFonts w:ascii="Times New Roman" w:hAnsi="Times New Roman" w:cs="Times New Roman"/>
          <w:sz w:val="24"/>
          <w:szCs w:val="24"/>
        </w:rPr>
        <w:t xml:space="preserve"> </w:t>
      </w:r>
    </w:p>
    <w:p w:rsidR="00E36BCF" w:rsidRPr="00807792" w:rsidRDefault="00E36BCF" w:rsidP="00E36BCF">
      <w:pPr>
        <w:pStyle w:val="Paragraph"/>
        <w:numPr>
          <w:ilvl w:val="1"/>
          <w:numId w:val="5"/>
        </w:numPr>
        <w:tabs>
          <w:tab w:val="clear" w:pos="2736"/>
          <w:tab w:val="num" w:pos="720"/>
        </w:tabs>
        <w:ind w:left="720" w:hanging="720"/>
        <w:outlineLvl w:val="1"/>
        <w:rPr>
          <w:rFonts w:ascii="Times New Roman" w:hAnsi="Times New Roman" w:cs="Times New Roman"/>
          <w:sz w:val="24"/>
          <w:szCs w:val="24"/>
        </w:rPr>
      </w:pPr>
      <w:bookmarkStart w:id="5" w:name="_Ref396735820"/>
      <w:r w:rsidRPr="00807792">
        <w:rPr>
          <w:rFonts w:ascii="Times New Roman" w:hAnsi="Times New Roman" w:cs="Times New Roman"/>
          <w:sz w:val="24"/>
          <w:szCs w:val="24"/>
        </w:rPr>
        <w:t>Finally, the need to expand the supply of medium and longer term credit to SMEs for productive investment is justified also by diagnoses and resulting lessons learned from the work undertaken by the Multilateral Investment Fund (MIF) in Barbados in support of small businesses, as well as from the work of Compete Caribbean via the Private Sector Assessment Report.</w:t>
      </w:r>
      <w:bookmarkEnd w:id="5"/>
      <w:r w:rsidRPr="00807792">
        <w:rPr>
          <w:rFonts w:ascii="Times New Roman" w:hAnsi="Times New Roman" w:cs="Times New Roman"/>
          <w:sz w:val="24"/>
          <w:szCs w:val="24"/>
        </w:rPr>
        <w:t xml:space="preserve"> </w:t>
      </w:r>
    </w:p>
    <w:sectPr w:rsidR="00E36BCF" w:rsidRPr="00807792" w:rsidSect="00046593">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EAF" w:rsidRDefault="00424EAF" w:rsidP="00B1414F">
      <w:pPr>
        <w:spacing w:after="0" w:line="240" w:lineRule="auto"/>
      </w:pPr>
      <w:r>
        <w:separator/>
      </w:r>
    </w:p>
  </w:endnote>
  <w:endnote w:type="continuationSeparator" w:id="0">
    <w:p w:rsidR="00424EAF" w:rsidRDefault="00424EAF" w:rsidP="00B14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EAF" w:rsidRDefault="00424EAF" w:rsidP="00B1414F">
      <w:pPr>
        <w:spacing w:after="0" w:line="240" w:lineRule="auto"/>
      </w:pPr>
      <w:r>
        <w:separator/>
      </w:r>
    </w:p>
  </w:footnote>
  <w:footnote w:type="continuationSeparator" w:id="0">
    <w:p w:rsidR="00424EAF" w:rsidRDefault="00424EAF" w:rsidP="00B1414F">
      <w:pPr>
        <w:spacing w:after="0" w:line="240" w:lineRule="auto"/>
      </w:pPr>
      <w:r>
        <w:continuationSeparator/>
      </w:r>
    </w:p>
  </w:footnote>
  <w:footnote w:id="1">
    <w:p w:rsidR="00E36BCF" w:rsidRPr="00E36BCF" w:rsidRDefault="00E36BCF" w:rsidP="007F52C3">
      <w:pPr>
        <w:pStyle w:val="FootnoteText"/>
        <w:tabs>
          <w:tab w:val="left" w:pos="9000"/>
        </w:tabs>
        <w:ind w:left="180" w:hanging="180"/>
        <w:rPr>
          <w:rFonts w:ascii="Times New Roman" w:hAnsi="Times New Roman" w:cs="Times New Roman"/>
        </w:rPr>
      </w:pPr>
      <w:r w:rsidRPr="00E36BCF">
        <w:rPr>
          <w:rStyle w:val="FootnoteReference"/>
          <w:rFonts w:ascii="Times New Roman" w:hAnsi="Times New Roman" w:cs="Times New Roman"/>
        </w:rPr>
        <w:footnoteRef/>
      </w:r>
      <w:r w:rsidR="007F52C3">
        <w:rPr>
          <w:rFonts w:ascii="Times New Roman" w:hAnsi="Times New Roman" w:cs="Times New Roman"/>
        </w:rPr>
        <w:t xml:space="preserve">  </w:t>
      </w:r>
      <w:r w:rsidRPr="00E36BCF">
        <w:rPr>
          <w:rFonts w:ascii="Times New Roman" w:hAnsi="Times New Roman" w:cs="Times New Roman"/>
        </w:rPr>
        <w:t>For a more detailed analysis see Lindsay Holder and Clyde Mascoll, “A Policy Framework To Incentivize The Micro Business Sector In Barbados, The Barbados Private Sector Association, July 2013.</w:t>
      </w:r>
    </w:p>
  </w:footnote>
  <w:footnote w:id="2">
    <w:p w:rsidR="00E36BCF" w:rsidRPr="00E36BCF" w:rsidRDefault="00E36BCF" w:rsidP="00E36BCF">
      <w:pPr>
        <w:pStyle w:val="FootnoteText"/>
        <w:tabs>
          <w:tab w:val="left" w:pos="9000"/>
        </w:tabs>
        <w:ind w:left="180" w:hanging="180"/>
        <w:rPr>
          <w:rFonts w:ascii="Times New Roman" w:hAnsi="Times New Roman" w:cs="Times New Roman"/>
        </w:rPr>
      </w:pPr>
      <w:r w:rsidRPr="00E36BCF">
        <w:rPr>
          <w:rStyle w:val="FootnoteReference"/>
          <w:rFonts w:ascii="Times New Roman" w:hAnsi="Times New Roman" w:cs="Times New Roman"/>
        </w:rPr>
        <w:footnoteRef/>
      </w:r>
      <w:r w:rsidRPr="00E36BCF">
        <w:rPr>
          <w:rFonts w:ascii="Times New Roman" w:hAnsi="Times New Roman" w:cs="Times New Roman"/>
        </w:rPr>
        <w:t xml:space="preserve"> </w:t>
      </w:r>
      <w:r w:rsidR="007F52C3">
        <w:rPr>
          <w:rFonts w:ascii="Times New Roman" w:hAnsi="Times New Roman" w:cs="Times New Roman"/>
        </w:rPr>
        <w:t xml:space="preserve"> </w:t>
      </w:r>
      <w:r w:rsidRPr="00E36BCF">
        <w:rPr>
          <w:rFonts w:ascii="Times New Roman" w:hAnsi="Times New Roman" w:cs="Times New Roman"/>
        </w:rPr>
        <w:t xml:space="preserve">Products managed by the CBB include: Enhanced Credit Guarantee Scheme (ECGS), the Trade Receivables Liquidity Facility (TRLF), Tourism Loan Guarantee Scheme, Barbados Investment Fund, Export Credit Insurance Scheme, Export Finance Guarantee Scheme, Export Rediscount Facility, Industrial Credit Fund. </w:t>
      </w:r>
      <w:hyperlink r:id="rId1" w:history="1">
        <w:r w:rsidRPr="00E36BCF">
          <w:rPr>
            <w:rStyle w:val="Hyperlink"/>
            <w:rFonts w:ascii="Times New Roman" w:hAnsi="Times New Roman" w:cs="Times New Roman"/>
          </w:rPr>
          <w:t>CBB, 2014</w:t>
        </w:r>
      </w:hyperlink>
      <w:r w:rsidRPr="00E36BCF">
        <w:rPr>
          <w:rFonts w:ascii="Times New Roman" w:hAnsi="Times New Roman" w:cs="Times New Roman"/>
        </w:rPr>
        <w:t>. These schemes will continue to operate independently and are not expected to be affected by the project.</w:t>
      </w:r>
    </w:p>
  </w:footnote>
  <w:footnote w:id="3">
    <w:p w:rsidR="00E36BCF" w:rsidRPr="00E36BCF" w:rsidRDefault="00E36BCF" w:rsidP="00E36BCF">
      <w:pPr>
        <w:pStyle w:val="FootnoteText"/>
        <w:tabs>
          <w:tab w:val="left" w:pos="9000"/>
        </w:tabs>
        <w:ind w:left="180" w:hanging="180"/>
        <w:rPr>
          <w:rFonts w:ascii="Times New Roman" w:hAnsi="Times New Roman" w:cs="Times New Roman"/>
        </w:rPr>
      </w:pPr>
      <w:r w:rsidRPr="00E36BCF">
        <w:rPr>
          <w:rStyle w:val="FootnoteReference"/>
          <w:rFonts w:ascii="Times New Roman" w:hAnsi="Times New Roman" w:cs="Times New Roman"/>
        </w:rPr>
        <w:footnoteRef/>
      </w:r>
      <w:r w:rsidRPr="00E36BCF">
        <w:rPr>
          <w:rFonts w:ascii="Times New Roman" w:hAnsi="Times New Roman" w:cs="Times New Roman"/>
        </w:rPr>
        <w:t xml:space="preserve"> </w:t>
      </w:r>
      <w:r w:rsidR="007F52C3">
        <w:rPr>
          <w:rFonts w:ascii="Times New Roman" w:hAnsi="Times New Roman" w:cs="Times New Roman"/>
        </w:rPr>
        <w:t xml:space="preserve"> </w:t>
      </w:r>
      <w:r w:rsidRPr="00E36BCF">
        <w:rPr>
          <w:rFonts w:ascii="Times New Roman" w:hAnsi="Times New Roman" w:cs="Times New Roman"/>
        </w:rPr>
        <w:t xml:space="preserve">See </w:t>
      </w:r>
      <w:hyperlink r:id="rId2" w:history="1">
        <w:r w:rsidRPr="00E36BCF">
          <w:rPr>
            <w:rStyle w:val="Hyperlink"/>
            <w:rFonts w:ascii="Times New Roman" w:hAnsi="Times New Roman" w:cs="Times New Roman"/>
          </w:rPr>
          <w:t>Analysis of SME’s Demand for Investment Credit</w:t>
        </w:r>
      </w:hyperlink>
      <w:r w:rsidRPr="00E36BCF">
        <w:rPr>
          <w:rFonts w:ascii="Times New Roman" w:hAnsi="Times New Roman" w:cs="Times New Roman"/>
        </w:rPr>
        <w:t xml:space="preserve">. </w:t>
      </w:r>
    </w:p>
  </w:footnote>
  <w:footnote w:id="4">
    <w:p w:rsidR="00E36BCF" w:rsidRPr="00E36BCF" w:rsidRDefault="00E36BCF" w:rsidP="007F52C3">
      <w:pPr>
        <w:pStyle w:val="FootnoteText"/>
        <w:tabs>
          <w:tab w:val="left" w:pos="90"/>
        </w:tabs>
        <w:ind w:left="180" w:hanging="180"/>
        <w:rPr>
          <w:rFonts w:ascii="Times New Roman" w:hAnsi="Times New Roman" w:cs="Times New Roman"/>
        </w:rPr>
      </w:pPr>
      <w:r w:rsidRPr="00E36BCF">
        <w:rPr>
          <w:rStyle w:val="FootnoteReference"/>
          <w:rFonts w:ascii="Times New Roman" w:hAnsi="Times New Roman" w:cs="Times New Roman"/>
        </w:rPr>
        <w:footnoteRef/>
      </w:r>
      <w:r w:rsidRPr="00E36BCF">
        <w:rPr>
          <w:rFonts w:ascii="Times New Roman" w:hAnsi="Times New Roman" w:cs="Times New Roman"/>
        </w:rPr>
        <w:t xml:space="preserve"> </w:t>
      </w:r>
      <w:r w:rsidR="007F52C3">
        <w:rPr>
          <w:rFonts w:ascii="Times New Roman" w:hAnsi="Times New Roman" w:cs="Times New Roman"/>
        </w:rPr>
        <w:t xml:space="preserve"> </w:t>
      </w:r>
      <w:r w:rsidRPr="00E36BCF">
        <w:rPr>
          <w:rFonts w:ascii="Times New Roman" w:hAnsi="Times New Roman" w:cs="Times New Roman"/>
        </w:rPr>
        <w:t>OECD, “Facilitating access to finance: discussion paper on credit guarantee schemes”; Juan José Llisteri et al, IDB, “Sistema de garantías de crédito en América Latina: orientaciones operativas”, 2006</w:t>
      </w:r>
    </w:p>
  </w:footnote>
  <w:footnote w:id="5">
    <w:p w:rsidR="00E36BCF" w:rsidRPr="00E36BCF" w:rsidRDefault="00E36BCF" w:rsidP="007F52C3">
      <w:pPr>
        <w:pStyle w:val="FootnoteText"/>
        <w:tabs>
          <w:tab w:val="left" w:pos="180"/>
        </w:tabs>
        <w:ind w:left="180" w:hanging="180"/>
        <w:rPr>
          <w:rFonts w:ascii="Times New Roman" w:hAnsi="Times New Roman" w:cs="Times New Roman"/>
        </w:rPr>
      </w:pPr>
      <w:r w:rsidRPr="00E36BCF">
        <w:rPr>
          <w:rStyle w:val="FootnoteReference"/>
          <w:rFonts w:ascii="Times New Roman" w:hAnsi="Times New Roman" w:cs="Times New Roman"/>
        </w:rPr>
        <w:footnoteRef/>
      </w:r>
      <w:r w:rsidRPr="00E36BCF">
        <w:rPr>
          <w:rFonts w:ascii="Times New Roman" w:hAnsi="Times New Roman" w:cs="Times New Roman"/>
        </w:rPr>
        <w:t xml:space="preserve"> </w:t>
      </w:r>
      <w:r w:rsidR="007F52C3">
        <w:rPr>
          <w:rFonts w:ascii="Times New Roman" w:hAnsi="Times New Roman" w:cs="Times New Roman"/>
        </w:rPr>
        <w:t xml:space="preserve"> </w:t>
      </w:r>
      <w:r w:rsidRPr="00E36BCF">
        <w:rPr>
          <w:rFonts w:ascii="Times New Roman" w:hAnsi="Times New Roman" w:cs="Times New Roman"/>
        </w:rPr>
        <w:t>Irani Arraíz, Marcela Meléndez and Rodolfo Stucchi, Office of the Evaluation and Oversight, IDB, “Partial credit guarantee and firm performance: evidence from the Colombian National Guarantee Fund”, September 2012</w:t>
      </w:r>
    </w:p>
  </w:footnote>
  <w:footnote w:id="6">
    <w:p w:rsidR="00E36BCF" w:rsidRPr="00E36BCF" w:rsidRDefault="00E36BCF" w:rsidP="00E36BCF">
      <w:pPr>
        <w:pStyle w:val="FootnoteText"/>
        <w:ind w:left="180" w:hanging="180"/>
        <w:rPr>
          <w:rFonts w:ascii="Times New Roman" w:hAnsi="Times New Roman" w:cs="Times New Roman"/>
        </w:rPr>
      </w:pPr>
      <w:r w:rsidRPr="00E36BCF">
        <w:rPr>
          <w:rStyle w:val="FootnoteReference"/>
          <w:rFonts w:ascii="Times New Roman" w:hAnsi="Times New Roman" w:cs="Times New Roman"/>
        </w:rPr>
        <w:footnoteRef/>
      </w:r>
      <w:r w:rsidRPr="00E36BCF">
        <w:rPr>
          <w:rFonts w:ascii="Times New Roman" w:hAnsi="Times New Roman" w:cs="Times New Roman"/>
        </w:rPr>
        <w:t xml:space="preserve"> </w:t>
      </w:r>
      <w:r w:rsidR="007F52C3">
        <w:rPr>
          <w:rFonts w:ascii="Times New Roman" w:hAnsi="Times New Roman" w:cs="Times New Roman"/>
        </w:rPr>
        <w:t xml:space="preserve"> </w:t>
      </w:r>
      <w:r w:rsidRPr="00E36BCF">
        <w:rPr>
          <w:rFonts w:ascii="Times New Roman" w:hAnsi="Times New Roman" w:cs="Times New Roman"/>
        </w:rPr>
        <w:t>OECD, “Facilitating access to finance: discussion paper on credit guarantee schemes”; Juan José Llisteri et al, IDB, “Sistema de garantías de crédito en América Latina: orientaciones operativas”, 2006; Cristian Larraín and Jorge Quiroz, Banc</w:t>
      </w:r>
      <w:bookmarkStart w:id="4" w:name="_GoBack"/>
      <w:bookmarkEnd w:id="4"/>
      <w:r w:rsidRPr="00E36BCF">
        <w:rPr>
          <w:rFonts w:ascii="Times New Roman" w:hAnsi="Times New Roman" w:cs="Times New Roman"/>
        </w:rPr>
        <w:t>o del Estado de Chile, “Estudio para el fondo de garantía de pequeños empresarios”, March 2006; Kevin Cowan, Alejandro Drexler and Alvaro Yañez, Central Bank of Chile Working Papers Nº254, “The effect of credit insurance on liquidity constraints and default rates: evidence from a governmental intervention”, August 2009; Irani Arraíz, Marcela Meléndez and Rodolfo Stucchi, Office of the Evaluation and Oversight, IDB, “Partial credit guarantee and firm performance: evidence from the Colombian National Guarantee Fund”, September 2012; Javier Alvarado and Francisco Galarza, Centro Peruano de Estudios Sociales, “Los fondos de garantía para el acceso al crédito en Perú: alcances y limitaciones”, October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757" w:rsidRPr="00E368A0" w:rsidRDefault="00596757" w:rsidP="00596757">
    <w:pPr>
      <w:pStyle w:val="Header"/>
      <w:jc w:val="right"/>
      <w:rPr>
        <w:rFonts w:ascii="Times New Roman" w:hAnsi="Times New Roman" w:cs="Times New Roman"/>
        <w:lang w:val="pt-BR"/>
      </w:rPr>
    </w:pPr>
    <w:r w:rsidRPr="00E368A0">
      <w:rPr>
        <w:rFonts w:ascii="Times New Roman" w:hAnsi="Times New Roman" w:cs="Times New Roman"/>
        <w:lang w:val="pt-BR"/>
      </w:rPr>
      <w:t>PR-L1081</w:t>
    </w:r>
  </w:p>
  <w:p w:rsidR="00596757" w:rsidRPr="00E368A0" w:rsidRDefault="007F52C3">
    <w:pPr>
      <w:pStyle w:val="Header"/>
      <w:jc w:val="right"/>
      <w:rPr>
        <w:rFonts w:ascii="Times New Roman" w:hAnsi="Times New Roman" w:cs="Times New Roman"/>
        <w:lang w:val="pt-BR"/>
      </w:rPr>
    </w:pPr>
    <w:sdt>
      <w:sdtPr>
        <w:rPr>
          <w:rFonts w:ascii="Times New Roman" w:hAnsi="Times New Roman" w:cs="Times New Roman"/>
        </w:rPr>
        <w:id w:val="1477648756"/>
        <w:docPartObj>
          <w:docPartGallery w:val="Page Numbers (Top of Page)"/>
          <w:docPartUnique/>
        </w:docPartObj>
      </w:sdtPr>
      <w:sdtEndPr/>
      <w:sdtContent>
        <w:r w:rsidR="00596757" w:rsidRPr="00E368A0">
          <w:rPr>
            <w:rFonts w:ascii="Times New Roman" w:hAnsi="Times New Roman" w:cs="Times New Roman"/>
            <w:lang w:val="pt-BR"/>
          </w:rPr>
          <w:t xml:space="preserve">Pag </w:t>
        </w:r>
        <w:r w:rsidR="00596757" w:rsidRPr="00E368A0">
          <w:rPr>
            <w:rFonts w:ascii="Times New Roman" w:hAnsi="Times New Roman" w:cs="Times New Roman"/>
            <w:b/>
            <w:bCs/>
            <w:sz w:val="24"/>
            <w:szCs w:val="24"/>
          </w:rPr>
          <w:fldChar w:fldCharType="begin"/>
        </w:r>
        <w:r w:rsidR="00596757" w:rsidRPr="00E368A0">
          <w:rPr>
            <w:rFonts w:ascii="Times New Roman" w:hAnsi="Times New Roman" w:cs="Times New Roman"/>
            <w:b/>
            <w:bCs/>
            <w:lang w:val="pt-BR"/>
          </w:rPr>
          <w:instrText xml:space="preserve"> PAGE </w:instrText>
        </w:r>
        <w:r w:rsidR="00596757" w:rsidRPr="00E368A0">
          <w:rPr>
            <w:rFonts w:ascii="Times New Roman" w:hAnsi="Times New Roman" w:cs="Times New Roman"/>
            <w:b/>
            <w:bCs/>
            <w:sz w:val="24"/>
            <w:szCs w:val="24"/>
          </w:rPr>
          <w:fldChar w:fldCharType="separate"/>
        </w:r>
        <w:r>
          <w:rPr>
            <w:rFonts w:ascii="Times New Roman" w:hAnsi="Times New Roman" w:cs="Times New Roman"/>
            <w:b/>
            <w:bCs/>
            <w:noProof/>
            <w:lang w:val="pt-BR"/>
          </w:rPr>
          <w:t>3</w:t>
        </w:r>
        <w:r w:rsidR="00596757" w:rsidRPr="00E368A0">
          <w:rPr>
            <w:rFonts w:ascii="Times New Roman" w:hAnsi="Times New Roman" w:cs="Times New Roman"/>
            <w:b/>
            <w:bCs/>
            <w:sz w:val="24"/>
            <w:szCs w:val="24"/>
          </w:rPr>
          <w:fldChar w:fldCharType="end"/>
        </w:r>
        <w:r w:rsidR="00596757" w:rsidRPr="00E368A0">
          <w:rPr>
            <w:rFonts w:ascii="Times New Roman" w:hAnsi="Times New Roman" w:cs="Times New Roman"/>
            <w:lang w:val="pt-BR"/>
          </w:rPr>
          <w:t xml:space="preserve"> de </w:t>
        </w:r>
        <w:r w:rsidR="00596757" w:rsidRPr="00E368A0">
          <w:rPr>
            <w:rFonts w:ascii="Times New Roman" w:hAnsi="Times New Roman" w:cs="Times New Roman"/>
            <w:b/>
            <w:bCs/>
            <w:sz w:val="24"/>
            <w:szCs w:val="24"/>
          </w:rPr>
          <w:fldChar w:fldCharType="begin"/>
        </w:r>
        <w:r w:rsidR="00596757" w:rsidRPr="00E368A0">
          <w:rPr>
            <w:rFonts w:ascii="Times New Roman" w:hAnsi="Times New Roman" w:cs="Times New Roman"/>
            <w:b/>
            <w:bCs/>
            <w:lang w:val="pt-BR"/>
          </w:rPr>
          <w:instrText xml:space="preserve"> NUMPAGES  </w:instrText>
        </w:r>
        <w:r w:rsidR="00596757" w:rsidRPr="00E368A0">
          <w:rPr>
            <w:rFonts w:ascii="Times New Roman" w:hAnsi="Times New Roman" w:cs="Times New Roman"/>
            <w:b/>
            <w:bCs/>
            <w:sz w:val="24"/>
            <w:szCs w:val="24"/>
          </w:rPr>
          <w:fldChar w:fldCharType="separate"/>
        </w:r>
        <w:r>
          <w:rPr>
            <w:rFonts w:ascii="Times New Roman" w:hAnsi="Times New Roman" w:cs="Times New Roman"/>
            <w:b/>
            <w:bCs/>
            <w:noProof/>
            <w:lang w:val="pt-BR"/>
          </w:rPr>
          <w:t>4</w:t>
        </w:r>
        <w:r w:rsidR="00596757" w:rsidRPr="00E368A0">
          <w:rPr>
            <w:rFonts w:ascii="Times New Roman" w:hAnsi="Times New Roman" w:cs="Times New Roman"/>
            <w:b/>
            <w:bCs/>
            <w:sz w:val="24"/>
            <w:szCs w:val="24"/>
          </w:rPr>
          <w:fldChar w:fldCharType="end"/>
        </w:r>
      </w:sdtContent>
    </w:sdt>
  </w:p>
  <w:p w:rsidR="00596757" w:rsidRPr="00E368A0" w:rsidRDefault="00596757" w:rsidP="00596757">
    <w:pPr>
      <w:pStyle w:val="Header"/>
      <w:jc w:val="right"/>
      <w:rPr>
        <w:rFonts w:ascii="Times New Roman" w:hAnsi="Times New Roman" w:cs="Times New Roman"/>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78"/>
    <w:multiLevelType w:val="multilevel"/>
    <w:tmpl w:val="EB92DB22"/>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746"/>
        </w:tabs>
        <w:ind w:left="174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0B7A6A21"/>
    <w:multiLevelType w:val="hybridMultilevel"/>
    <w:tmpl w:val="C7D27D24"/>
    <w:lvl w:ilvl="0" w:tplc="127EED06">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A2C5D7E"/>
    <w:multiLevelType w:val="multilevel"/>
    <w:tmpl w:val="8FEA6F26"/>
    <w:lvl w:ilvl="0">
      <w:start w:val="1"/>
      <w:numFmt w:val="upperRoman"/>
      <w:lvlRestart w:val="0"/>
      <w:lvlText w:val="%1."/>
      <w:lvlJc w:val="center"/>
      <w:pPr>
        <w:tabs>
          <w:tab w:val="num" w:pos="1530"/>
        </w:tabs>
        <w:ind w:left="882" w:firstLine="288"/>
      </w:pPr>
      <w:rPr>
        <w:b/>
        <w:i w:val="0"/>
      </w:rPr>
    </w:lvl>
    <w:lvl w:ilvl="1">
      <w:start w:val="1"/>
      <w:numFmt w:val="decimal"/>
      <w:isLgl/>
      <w:lvlText w:val="%1.%2"/>
      <w:lvlJc w:val="left"/>
      <w:pPr>
        <w:tabs>
          <w:tab w:val="num" w:pos="2736"/>
        </w:tabs>
        <w:ind w:left="2736" w:hanging="1296"/>
      </w:pPr>
      <w:rPr>
        <w:b w:val="0"/>
        <w:lang w:val="es-ES_tradnl"/>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nsid w:val="669701EE"/>
    <w:multiLevelType w:val="hybridMultilevel"/>
    <w:tmpl w:val="82AEB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803992"/>
    <w:multiLevelType w:val="hybridMultilevel"/>
    <w:tmpl w:val="F91E96AA"/>
    <w:lvl w:ilvl="0" w:tplc="AA3687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EE23BD"/>
    <w:multiLevelType w:val="hybridMultilevel"/>
    <w:tmpl w:val="6CF0B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E14"/>
    <w:rsid w:val="0004454C"/>
    <w:rsid w:val="00046593"/>
    <w:rsid w:val="000629D9"/>
    <w:rsid w:val="00063E14"/>
    <w:rsid w:val="000A6CEB"/>
    <w:rsid w:val="000B02D5"/>
    <w:rsid w:val="001459E3"/>
    <w:rsid w:val="001963BE"/>
    <w:rsid w:val="001C5E77"/>
    <w:rsid w:val="001C605F"/>
    <w:rsid w:val="002C07F7"/>
    <w:rsid w:val="00323782"/>
    <w:rsid w:val="0035422C"/>
    <w:rsid w:val="003875F4"/>
    <w:rsid w:val="003A6D61"/>
    <w:rsid w:val="003D650F"/>
    <w:rsid w:val="00424EAF"/>
    <w:rsid w:val="004F7FDF"/>
    <w:rsid w:val="00504599"/>
    <w:rsid w:val="00596757"/>
    <w:rsid w:val="0060284B"/>
    <w:rsid w:val="006376BB"/>
    <w:rsid w:val="007F52C3"/>
    <w:rsid w:val="00807792"/>
    <w:rsid w:val="00867764"/>
    <w:rsid w:val="00911E8D"/>
    <w:rsid w:val="009665AE"/>
    <w:rsid w:val="00981354"/>
    <w:rsid w:val="00982F6B"/>
    <w:rsid w:val="00A715FD"/>
    <w:rsid w:val="00B1414F"/>
    <w:rsid w:val="00B26470"/>
    <w:rsid w:val="00B334BB"/>
    <w:rsid w:val="00B41E56"/>
    <w:rsid w:val="00B650ED"/>
    <w:rsid w:val="00CA7968"/>
    <w:rsid w:val="00DC0CF2"/>
    <w:rsid w:val="00DC4C11"/>
    <w:rsid w:val="00E368A0"/>
    <w:rsid w:val="00E36BCF"/>
    <w:rsid w:val="00E64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063E14"/>
    <w:pPr>
      <w:spacing w:after="0" w:line="240" w:lineRule="auto"/>
    </w:pPr>
    <w:rPr>
      <w:rFonts w:ascii="Times New Roman" w:hAnsi="Times New Roman" w:cs="Times New Roman"/>
      <w:sz w:val="20"/>
      <w:szCs w:val="20"/>
    </w:rPr>
  </w:style>
  <w:style w:type="character" w:customStyle="1" w:styleId="CommentTextChar">
    <w:name w:val="Comment Text Char"/>
    <w:basedOn w:val="DefaultParagraphFont"/>
    <w:link w:val="CommentText"/>
    <w:rsid w:val="00063E14"/>
    <w:rPr>
      <w:rFonts w:ascii="Times New Roman" w:hAnsi="Times New Roman" w:cs="Times New Roman"/>
      <w:sz w:val="20"/>
      <w:szCs w:val="20"/>
    </w:rPr>
  </w:style>
  <w:style w:type="paragraph" w:customStyle="1" w:styleId="Chapter">
    <w:name w:val="Chapter"/>
    <w:basedOn w:val="Normal"/>
    <w:rsid w:val="00063E14"/>
    <w:pPr>
      <w:keepNext/>
      <w:numPr>
        <w:numId w:val="1"/>
      </w:numPr>
      <w:spacing w:before="240" w:after="240" w:line="240" w:lineRule="auto"/>
      <w:ind w:left="0"/>
      <w:jc w:val="center"/>
    </w:pPr>
    <w:rPr>
      <w:rFonts w:ascii="Times New Roman" w:hAnsi="Times New Roman" w:cs="Times New Roman"/>
      <w:b/>
      <w:bCs/>
      <w:smallCaps/>
      <w:sz w:val="24"/>
      <w:szCs w:val="24"/>
    </w:rPr>
  </w:style>
  <w:style w:type="character" w:customStyle="1" w:styleId="ParagraphChar">
    <w:name w:val="Paragraph Char"/>
    <w:basedOn w:val="DefaultParagraphFont"/>
    <w:link w:val="Paragraph"/>
    <w:locked/>
    <w:rsid w:val="00063E14"/>
  </w:style>
  <w:style w:type="paragraph" w:customStyle="1" w:styleId="Paragraph">
    <w:name w:val="Paragraph"/>
    <w:aliases w:val="paragraph,p,PARAGRAPH,PG,pa,at"/>
    <w:basedOn w:val="Normal"/>
    <w:link w:val="ParagraphChar"/>
    <w:qFormat/>
    <w:rsid w:val="00063E14"/>
    <w:pPr>
      <w:numPr>
        <w:ilvl w:val="1"/>
        <w:numId w:val="1"/>
      </w:numPr>
      <w:spacing w:before="120" w:after="120" w:line="240" w:lineRule="auto"/>
      <w:ind w:left="720" w:hanging="720"/>
      <w:jc w:val="both"/>
    </w:pPr>
  </w:style>
  <w:style w:type="paragraph" w:customStyle="1" w:styleId="subpar">
    <w:name w:val="subpar"/>
    <w:basedOn w:val="Normal"/>
    <w:rsid w:val="00063E14"/>
    <w:pPr>
      <w:numPr>
        <w:ilvl w:val="2"/>
        <w:numId w:val="1"/>
      </w:numPr>
      <w:spacing w:before="120" w:after="120" w:line="240" w:lineRule="auto"/>
      <w:ind w:left="1152" w:firstLine="0"/>
      <w:jc w:val="both"/>
    </w:pPr>
    <w:rPr>
      <w:rFonts w:ascii="Times New Roman" w:hAnsi="Times New Roman" w:cs="Times New Roman"/>
      <w:sz w:val="24"/>
      <w:szCs w:val="24"/>
    </w:rPr>
  </w:style>
  <w:style w:type="paragraph" w:customStyle="1" w:styleId="SubSubPar">
    <w:name w:val="SubSubPar"/>
    <w:basedOn w:val="Normal"/>
    <w:rsid w:val="00063E14"/>
    <w:pPr>
      <w:numPr>
        <w:ilvl w:val="3"/>
        <w:numId w:val="1"/>
      </w:numPr>
      <w:spacing w:before="120" w:after="120" w:line="240" w:lineRule="auto"/>
      <w:ind w:left="1296"/>
      <w:jc w:val="both"/>
    </w:pPr>
    <w:rPr>
      <w:rFonts w:ascii="Times New Roman" w:hAnsi="Times New Roman" w:cs="Times New Roman"/>
      <w:sz w:val="24"/>
      <w:szCs w:val="24"/>
    </w:rPr>
  </w:style>
  <w:style w:type="character" w:styleId="CommentReference">
    <w:name w:val="annotation reference"/>
    <w:basedOn w:val="DefaultParagraphFont"/>
    <w:unhideWhenUsed/>
    <w:rsid w:val="00063E14"/>
  </w:style>
  <w:style w:type="paragraph" w:styleId="BalloonText">
    <w:name w:val="Balloon Text"/>
    <w:basedOn w:val="Normal"/>
    <w:link w:val="BalloonTextChar"/>
    <w:uiPriority w:val="99"/>
    <w:semiHidden/>
    <w:unhideWhenUsed/>
    <w:rsid w:val="00063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E14"/>
    <w:rPr>
      <w:rFonts w:ascii="Tahoma" w:hAnsi="Tahoma" w:cs="Tahoma"/>
      <w:sz w:val="16"/>
      <w:szCs w:val="16"/>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FOOTNOTES"/>
    <w:basedOn w:val="Normal"/>
    <w:link w:val="FootnoteTextChar"/>
    <w:uiPriority w:val="99"/>
    <w:unhideWhenUsed/>
    <w:rsid w:val="00B1414F"/>
    <w:pPr>
      <w:spacing w:after="0" w:line="240" w:lineRule="auto"/>
    </w:pPr>
    <w:rPr>
      <w:sz w:val="20"/>
      <w:szCs w:val="20"/>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B1414F"/>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
    <w:basedOn w:val="DefaultParagraphFont"/>
    <w:uiPriority w:val="99"/>
    <w:unhideWhenUsed/>
    <w:rsid w:val="00B1414F"/>
    <w:rPr>
      <w:vertAlign w:val="superscript"/>
    </w:rPr>
  </w:style>
  <w:style w:type="paragraph" w:styleId="Header">
    <w:name w:val="header"/>
    <w:basedOn w:val="Normal"/>
    <w:link w:val="HeaderChar"/>
    <w:uiPriority w:val="99"/>
    <w:unhideWhenUsed/>
    <w:rsid w:val="005967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757"/>
  </w:style>
  <w:style w:type="paragraph" w:styleId="Footer">
    <w:name w:val="footer"/>
    <w:basedOn w:val="Normal"/>
    <w:link w:val="FooterChar"/>
    <w:uiPriority w:val="99"/>
    <w:unhideWhenUsed/>
    <w:rsid w:val="005967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757"/>
  </w:style>
  <w:style w:type="paragraph" w:styleId="ListParagraph">
    <w:name w:val="List Paragraph"/>
    <w:basedOn w:val="Normal"/>
    <w:uiPriority w:val="34"/>
    <w:qFormat/>
    <w:rsid w:val="00B26470"/>
    <w:pPr>
      <w:ind w:left="720"/>
      <w:contextualSpacing/>
    </w:pPr>
  </w:style>
  <w:style w:type="character" w:styleId="Hyperlink">
    <w:name w:val="Hyperlink"/>
    <w:rsid w:val="00E36B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063E14"/>
    <w:pPr>
      <w:spacing w:after="0" w:line="240" w:lineRule="auto"/>
    </w:pPr>
    <w:rPr>
      <w:rFonts w:ascii="Times New Roman" w:hAnsi="Times New Roman" w:cs="Times New Roman"/>
      <w:sz w:val="20"/>
      <w:szCs w:val="20"/>
    </w:rPr>
  </w:style>
  <w:style w:type="character" w:customStyle="1" w:styleId="CommentTextChar">
    <w:name w:val="Comment Text Char"/>
    <w:basedOn w:val="DefaultParagraphFont"/>
    <w:link w:val="CommentText"/>
    <w:rsid w:val="00063E14"/>
    <w:rPr>
      <w:rFonts w:ascii="Times New Roman" w:hAnsi="Times New Roman" w:cs="Times New Roman"/>
      <w:sz w:val="20"/>
      <w:szCs w:val="20"/>
    </w:rPr>
  </w:style>
  <w:style w:type="paragraph" w:customStyle="1" w:styleId="Chapter">
    <w:name w:val="Chapter"/>
    <w:basedOn w:val="Normal"/>
    <w:rsid w:val="00063E14"/>
    <w:pPr>
      <w:keepNext/>
      <w:numPr>
        <w:numId w:val="1"/>
      </w:numPr>
      <w:spacing w:before="240" w:after="240" w:line="240" w:lineRule="auto"/>
      <w:ind w:left="0"/>
      <w:jc w:val="center"/>
    </w:pPr>
    <w:rPr>
      <w:rFonts w:ascii="Times New Roman" w:hAnsi="Times New Roman" w:cs="Times New Roman"/>
      <w:b/>
      <w:bCs/>
      <w:smallCaps/>
      <w:sz w:val="24"/>
      <w:szCs w:val="24"/>
    </w:rPr>
  </w:style>
  <w:style w:type="character" w:customStyle="1" w:styleId="ParagraphChar">
    <w:name w:val="Paragraph Char"/>
    <w:basedOn w:val="DefaultParagraphFont"/>
    <w:link w:val="Paragraph"/>
    <w:locked/>
    <w:rsid w:val="00063E14"/>
  </w:style>
  <w:style w:type="paragraph" w:customStyle="1" w:styleId="Paragraph">
    <w:name w:val="Paragraph"/>
    <w:aliases w:val="paragraph,p,PARAGRAPH,PG,pa,at"/>
    <w:basedOn w:val="Normal"/>
    <w:link w:val="ParagraphChar"/>
    <w:qFormat/>
    <w:rsid w:val="00063E14"/>
    <w:pPr>
      <w:numPr>
        <w:ilvl w:val="1"/>
        <w:numId w:val="1"/>
      </w:numPr>
      <w:spacing w:before="120" w:after="120" w:line="240" w:lineRule="auto"/>
      <w:ind w:left="720" w:hanging="720"/>
      <w:jc w:val="both"/>
    </w:pPr>
  </w:style>
  <w:style w:type="paragraph" w:customStyle="1" w:styleId="subpar">
    <w:name w:val="subpar"/>
    <w:basedOn w:val="Normal"/>
    <w:rsid w:val="00063E14"/>
    <w:pPr>
      <w:numPr>
        <w:ilvl w:val="2"/>
        <w:numId w:val="1"/>
      </w:numPr>
      <w:spacing w:before="120" w:after="120" w:line="240" w:lineRule="auto"/>
      <w:ind w:left="1152" w:firstLine="0"/>
      <w:jc w:val="both"/>
    </w:pPr>
    <w:rPr>
      <w:rFonts w:ascii="Times New Roman" w:hAnsi="Times New Roman" w:cs="Times New Roman"/>
      <w:sz w:val="24"/>
      <w:szCs w:val="24"/>
    </w:rPr>
  </w:style>
  <w:style w:type="paragraph" w:customStyle="1" w:styleId="SubSubPar">
    <w:name w:val="SubSubPar"/>
    <w:basedOn w:val="Normal"/>
    <w:rsid w:val="00063E14"/>
    <w:pPr>
      <w:numPr>
        <w:ilvl w:val="3"/>
        <w:numId w:val="1"/>
      </w:numPr>
      <w:spacing w:before="120" w:after="120" w:line="240" w:lineRule="auto"/>
      <w:ind w:left="1296"/>
      <w:jc w:val="both"/>
    </w:pPr>
    <w:rPr>
      <w:rFonts w:ascii="Times New Roman" w:hAnsi="Times New Roman" w:cs="Times New Roman"/>
      <w:sz w:val="24"/>
      <w:szCs w:val="24"/>
    </w:rPr>
  </w:style>
  <w:style w:type="character" w:styleId="CommentReference">
    <w:name w:val="annotation reference"/>
    <w:basedOn w:val="DefaultParagraphFont"/>
    <w:unhideWhenUsed/>
    <w:rsid w:val="00063E14"/>
  </w:style>
  <w:style w:type="paragraph" w:styleId="BalloonText">
    <w:name w:val="Balloon Text"/>
    <w:basedOn w:val="Normal"/>
    <w:link w:val="BalloonTextChar"/>
    <w:uiPriority w:val="99"/>
    <w:semiHidden/>
    <w:unhideWhenUsed/>
    <w:rsid w:val="00063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E14"/>
    <w:rPr>
      <w:rFonts w:ascii="Tahoma" w:hAnsi="Tahoma" w:cs="Tahoma"/>
      <w:sz w:val="16"/>
      <w:szCs w:val="16"/>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FOOTNOTES"/>
    <w:basedOn w:val="Normal"/>
    <w:link w:val="FootnoteTextChar"/>
    <w:uiPriority w:val="99"/>
    <w:unhideWhenUsed/>
    <w:rsid w:val="00B1414F"/>
    <w:pPr>
      <w:spacing w:after="0" w:line="240" w:lineRule="auto"/>
    </w:pPr>
    <w:rPr>
      <w:sz w:val="20"/>
      <w:szCs w:val="20"/>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B1414F"/>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
    <w:basedOn w:val="DefaultParagraphFont"/>
    <w:uiPriority w:val="99"/>
    <w:unhideWhenUsed/>
    <w:rsid w:val="00B1414F"/>
    <w:rPr>
      <w:vertAlign w:val="superscript"/>
    </w:rPr>
  </w:style>
  <w:style w:type="paragraph" w:styleId="Header">
    <w:name w:val="header"/>
    <w:basedOn w:val="Normal"/>
    <w:link w:val="HeaderChar"/>
    <w:uiPriority w:val="99"/>
    <w:unhideWhenUsed/>
    <w:rsid w:val="005967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757"/>
  </w:style>
  <w:style w:type="paragraph" w:styleId="Footer">
    <w:name w:val="footer"/>
    <w:basedOn w:val="Normal"/>
    <w:link w:val="FooterChar"/>
    <w:uiPriority w:val="99"/>
    <w:unhideWhenUsed/>
    <w:rsid w:val="005967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757"/>
  </w:style>
  <w:style w:type="paragraph" w:styleId="ListParagraph">
    <w:name w:val="List Paragraph"/>
    <w:basedOn w:val="Normal"/>
    <w:uiPriority w:val="34"/>
    <w:qFormat/>
    <w:rsid w:val="00B26470"/>
    <w:pPr>
      <w:ind w:left="720"/>
      <w:contextualSpacing/>
    </w:pPr>
  </w:style>
  <w:style w:type="character" w:styleId="Hyperlink">
    <w:name w:val="Hyperlink"/>
    <w:rsid w:val="00E36B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20280">
      <w:bodyDiv w:val="1"/>
      <w:marLeft w:val="0"/>
      <w:marRight w:val="0"/>
      <w:marTop w:val="0"/>
      <w:marBottom w:val="0"/>
      <w:divBdr>
        <w:top w:val="none" w:sz="0" w:space="0" w:color="auto"/>
        <w:left w:val="none" w:sz="0" w:space="0" w:color="auto"/>
        <w:bottom w:val="none" w:sz="0" w:space="0" w:color="auto"/>
        <w:right w:val="none" w:sz="0" w:space="0" w:color="auto"/>
      </w:divBdr>
    </w:div>
    <w:div w:id="270088633">
      <w:bodyDiv w:val="1"/>
      <w:marLeft w:val="0"/>
      <w:marRight w:val="0"/>
      <w:marTop w:val="0"/>
      <w:marBottom w:val="0"/>
      <w:divBdr>
        <w:top w:val="none" w:sz="0" w:space="0" w:color="auto"/>
        <w:left w:val="none" w:sz="0" w:space="0" w:color="auto"/>
        <w:bottom w:val="none" w:sz="0" w:space="0" w:color="auto"/>
        <w:right w:val="none" w:sz="0" w:space="0" w:color="auto"/>
      </w:divBdr>
    </w:div>
    <w:div w:id="594822407">
      <w:bodyDiv w:val="1"/>
      <w:marLeft w:val="0"/>
      <w:marRight w:val="0"/>
      <w:marTop w:val="0"/>
      <w:marBottom w:val="0"/>
      <w:divBdr>
        <w:top w:val="none" w:sz="0" w:space="0" w:color="auto"/>
        <w:left w:val="none" w:sz="0" w:space="0" w:color="auto"/>
        <w:bottom w:val="none" w:sz="0" w:space="0" w:color="auto"/>
        <w:right w:val="none" w:sz="0" w:space="0" w:color="auto"/>
      </w:divBdr>
    </w:div>
    <w:div w:id="604582299">
      <w:bodyDiv w:val="1"/>
      <w:marLeft w:val="0"/>
      <w:marRight w:val="0"/>
      <w:marTop w:val="0"/>
      <w:marBottom w:val="0"/>
      <w:divBdr>
        <w:top w:val="none" w:sz="0" w:space="0" w:color="auto"/>
        <w:left w:val="none" w:sz="0" w:space="0" w:color="auto"/>
        <w:bottom w:val="none" w:sz="0" w:space="0" w:color="auto"/>
        <w:right w:val="none" w:sz="0" w:space="0" w:color="auto"/>
      </w:divBdr>
    </w:div>
    <w:div w:id="869881807">
      <w:bodyDiv w:val="1"/>
      <w:marLeft w:val="0"/>
      <w:marRight w:val="0"/>
      <w:marTop w:val="0"/>
      <w:marBottom w:val="0"/>
      <w:divBdr>
        <w:top w:val="none" w:sz="0" w:space="0" w:color="auto"/>
        <w:left w:val="none" w:sz="0" w:space="0" w:color="auto"/>
        <w:bottom w:val="none" w:sz="0" w:space="0" w:color="auto"/>
        <w:right w:val="none" w:sz="0" w:space="0" w:color="auto"/>
      </w:divBdr>
    </w:div>
    <w:div w:id="1000500385">
      <w:bodyDiv w:val="1"/>
      <w:marLeft w:val="0"/>
      <w:marRight w:val="0"/>
      <w:marTop w:val="0"/>
      <w:marBottom w:val="0"/>
      <w:divBdr>
        <w:top w:val="none" w:sz="0" w:space="0" w:color="auto"/>
        <w:left w:val="none" w:sz="0" w:space="0" w:color="auto"/>
        <w:bottom w:val="none" w:sz="0" w:space="0" w:color="auto"/>
        <w:right w:val="none" w:sz="0" w:space="0" w:color="auto"/>
      </w:divBdr>
    </w:div>
    <w:div w:id="1084032412">
      <w:bodyDiv w:val="1"/>
      <w:marLeft w:val="0"/>
      <w:marRight w:val="0"/>
      <w:marTop w:val="0"/>
      <w:marBottom w:val="0"/>
      <w:divBdr>
        <w:top w:val="none" w:sz="0" w:space="0" w:color="auto"/>
        <w:left w:val="none" w:sz="0" w:space="0" w:color="auto"/>
        <w:bottom w:val="none" w:sz="0" w:space="0" w:color="auto"/>
        <w:right w:val="none" w:sz="0" w:space="0" w:color="auto"/>
      </w:divBdr>
    </w:div>
    <w:div w:id="1093012337">
      <w:bodyDiv w:val="1"/>
      <w:marLeft w:val="0"/>
      <w:marRight w:val="0"/>
      <w:marTop w:val="0"/>
      <w:marBottom w:val="0"/>
      <w:divBdr>
        <w:top w:val="none" w:sz="0" w:space="0" w:color="auto"/>
        <w:left w:val="none" w:sz="0" w:space="0" w:color="auto"/>
        <w:bottom w:val="none" w:sz="0" w:space="0" w:color="auto"/>
        <w:right w:val="none" w:sz="0" w:space="0" w:color="auto"/>
      </w:divBdr>
    </w:div>
    <w:div w:id="1497377482">
      <w:bodyDiv w:val="1"/>
      <w:marLeft w:val="0"/>
      <w:marRight w:val="0"/>
      <w:marTop w:val="0"/>
      <w:marBottom w:val="0"/>
      <w:divBdr>
        <w:top w:val="none" w:sz="0" w:space="0" w:color="auto"/>
        <w:left w:val="none" w:sz="0" w:space="0" w:color="auto"/>
        <w:bottom w:val="none" w:sz="0" w:space="0" w:color="auto"/>
        <w:right w:val="none" w:sz="0" w:space="0" w:color="auto"/>
      </w:divBdr>
      <w:divsChild>
        <w:div w:id="639727830">
          <w:marLeft w:val="0"/>
          <w:marRight w:val="0"/>
          <w:marTop w:val="0"/>
          <w:marBottom w:val="0"/>
          <w:divBdr>
            <w:top w:val="none" w:sz="0" w:space="0" w:color="auto"/>
            <w:left w:val="none" w:sz="0" w:space="0" w:color="auto"/>
            <w:bottom w:val="none" w:sz="0" w:space="0" w:color="auto"/>
            <w:right w:val="none" w:sz="0" w:space="0" w:color="auto"/>
          </w:divBdr>
        </w:div>
      </w:divsChild>
    </w:div>
    <w:div w:id="1556813293">
      <w:bodyDiv w:val="1"/>
      <w:marLeft w:val="0"/>
      <w:marRight w:val="0"/>
      <w:marTop w:val="0"/>
      <w:marBottom w:val="0"/>
      <w:divBdr>
        <w:top w:val="none" w:sz="0" w:space="0" w:color="auto"/>
        <w:left w:val="none" w:sz="0" w:space="0" w:color="auto"/>
        <w:bottom w:val="none" w:sz="0" w:space="0" w:color="auto"/>
        <w:right w:val="none" w:sz="0" w:space="0" w:color="auto"/>
      </w:divBdr>
      <w:divsChild>
        <w:div w:id="465852228">
          <w:marLeft w:val="0"/>
          <w:marRight w:val="0"/>
          <w:marTop w:val="0"/>
          <w:marBottom w:val="0"/>
          <w:divBdr>
            <w:top w:val="none" w:sz="0" w:space="0" w:color="auto"/>
            <w:left w:val="none" w:sz="0" w:space="0" w:color="auto"/>
            <w:bottom w:val="none" w:sz="0" w:space="0" w:color="auto"/>
            <w:right w:val="none" w:sz="0" w:space="0" w:color="auto"/>
          </w:divBdr>
        </w:div>
      </w:divsChild>
    </w:div>
    <w:div w:id="1619484614">
      <w:bodyDiv w:val="1"/>
      <w:marLeft w:val="0"/>
      <w:marRight w:val="0"/>
      <w:marTop w:val="0"/>
      <w:marBottom w:val="0"/>
      <w:divBdr>
        <w:top w:val="none" w:sz="0" w:space="0" w:color="auto"/>
        <w:left w:val="none" w:sz="0" w:space="0" w:color="auto"/>
        <w:bottom w:val="none" w:sz="0" w:space="0" w:color="auto"/>
        <w:right w:val="none" w:sz="0" w:space="0" w:color="auto"/>
      </w:divBdr>
    </w:div>
    <w:div w:id="188582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nomicaffairs.gov.bb/news-detail.php?id=138"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commerce.gov.bb/Legislation/Documents/Small%20Business%20Development%20Act,%20Cap%20318C.p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38995189" TargetMode="External"/><Relationship Id="rId1" Type="http://schemas.openxmlformats.org/officeDocument/2006/relationships/hyperlink" Target="http://www.centralbank.org.bb/WEBCBB.nsf/0/3da4317e82b2ce59042572ec000d0141?Ope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39158674</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Netto de A. C. Schneider, Maria 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BA-L1034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0F9A955D-0B05-4B6D-AD1F-64DFFE23B56B}"/>
</file>

<file path=customXml/itemProps2.xml><?xml version="1.0" encoding="utf-8"?>
<ds:datastoreItem xmlns:ds="http://schemas.openxmlformats.org/officeDocument/2006/customXml" ds:itemID="{7BDA9E66-AD68-4804-BF9F-73FC9F62C693}"/>
</file>

<file path=customXml/itemProps3.xml><?xml version="1.0" encoding="utf-8"?>
<ds:datastoreItem xmlns:ds="http://schemas.openxmlformats.org/officeDocument/2006/customXml" ds:itemID="{2083F72D-7EC8-44D2-8A6C-E913D0FF9D36}"/>
</file>

<file path=customXml/itemProps4.xml><?xml version="1.0" encoding="utf-8"?>
<ds:datastoreItem xmlns:ds="http://schemas.openxmlformats.org/officeDocument/2006/customXml" ds:itemID="{7A860199-B0BD-498B-B900-D47AFAD7A539}"/>
</file>

<file path=customXml/itemProps5.xml><?xml version="1.0" encoding="utf-8"?>
<ds:datastoreItem xmlns:ds="http://schemas.openxmlformats.org/officeDocument/2006/customXml" ds:itemID="{741B5F5C-9BC7-4875-95C8-AD5B2AB37172}"/>
</file>

<file path=customXml/itemProps6.xml><?xml version="1.0" encoding="utf-8"?>
<ds:datastoreItem xmlns:ds="http://schemas.openxmlformats.org/officeDocument/2006/customXml" ds:itemID="{820105A8-B6AF-4E95-8CBD-5111835CB8C2}"/>
</file>

<file path=docProps/app.xml><?xml version="1.0" encoding="utf-8"?>
<Properties xmlns="http://schemas.openxmlformats.org/officeDocument/2006/extended-properties" xmlns:vt="http://schemas.openxmlformats.org/officeDocument/2006/docPropsVTypes">
  <Template>Normal.dotm</Template>
  <TotalTime>4</TotalTime>
  <Pages>4</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Lessons Learned for the Barbados SME Guarantee Fund </dc:title>
  <dc:creator>Test</dc:creator>
  <cp:lastModifiedBy>Test</cp:lastModifiedBy>
  <cp:revision>3</cp:revision>
  <dcterms:created xsi:type="dcterms:W3CDTF">2014-10-15T14:23:00Z</dcterms:created>
  <dcterms:modified xsi:type="dcterms:W3CDTF">2014-10-15T14:25:00Z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0x01010046CF21643EE8D14686A648AA6DAD0892001E63116011BFBB4E99A0456DF4C1B898</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