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9F8" w:rsidRPr="008749F8" w:rsidRDefault="008749F8" w:rsidP="008749F8">
      <w:pPr>
        <w:tabs>
          <w:tab w:val="center" w:pos="6480"/>
          <w:tab w:val="left" w:pos="10067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749F8">
        <w:rPr>
          <w:rFonts w:ascii="Arial" w:hAnsi="Arial" w:cs="Arial"/>
          <w:b/>
          <w:sz w:val="20"/>
          <w:szCs w:val="20"/>
        </w:rPr>
        <w:t>ENHANCED ACCESS TO CREDIT FOR PRODUCTIVITY PROJECT</w:t>
      </w:r>
      <w:r w:rsidRPr="008749F8">
        <w:rPr>
          <w:rFonts w:ascii="Arial" w:hAnsi="Arial" w:cs="Arial"/>
          <w:b/>
          <w:sz w:val="20"/>
          <w:szCs w:val="20"/>
        </w:rPr>
        <w:tab/>
      </w:r>
    </w:p>
    <w:p w:rsidR="008749F8" w:rsidRDefault="008749F8" w:rsidP="008749F8">
      <w:pPr>
        <w:jc w:val="center"/>
        <w:rPr>
          <w:rFonts w:ascii="Arial" w:hAnsi="Arial" w:cs="Arial"/>
          <w:b/>
          <w:sz w:val="20"/>
          <w:szCs w:val="20"/>
        </w:rPr>
      </w:pPr>
      <w:r w:rsidRPr="008749F8">
        <w:rPr>
          <w:rFonts w:ascii="Arial" w:hAnsi="Arial" w:cs="Arial"/>
          <w:b/>
          <w:sz w:val="20"/>
          <w:szCs w:val="20"/>
        </w:rPr>
        <w:t>Project number:  BA-L1034  Loan Contract number 3389/OC-BA &amp; 3390/CH-BA</w:t>
      </w:r>
      <w:bookmarkStart w:id="0" w:name="_Toc384824830"/>
      <w:bookmarkStart w:id="1" w:name="_Toc388819618"/>
    </w:p>
    <w:p w:rsidR="008749F8" w:rsidRPr="008749F8" w:rsidRDefault="008749F8" w:rsidP="008749F8">
      <w:pPr>
        <w:jc w:val="center"/>
        <w:rPr>
          <w:rFonts w:ascii="Arial" w:hAnsi="Arial" w:cs="Arial"/>
          <w:b/>
          <w:lang w:val="en-US"/>
        </w:rPr>
      </w:pPr>
      <w:r w:rsidRPr="008749F8">
        <w:rPr>
          <w:rFonts w:ascii="Arial" w:hAnsi="Arial" w:cs="Arial"/>
          <w:b/>
          <w:lang w:val="en-US"/>
        </w:rPr>
        <w:t>Procurement Plan</w:t>
      </w:r>
      <w:bookmarkEnd w:id="0"/>
      <w:bookmarkEnd w:id="1"/>
    </w:p>
    <w:p w:rsidR="008749F8" w:rsidRPr="008749F8" w:rsidRDefault="008749F8" w:rsidP="008749F8">
      <w:pPr>
        <w:jc w:val="center"/>
        <w:rPr>
          <w:rFonts w:ascii="Arial" w:hAnsi="Arial" w:cs="Arial"/>
          <w:b/>
          <w:sz w:val="20"/>
          <w:szCs w:val="20"/>
        </w:rPr>
      </w:pPr>
      <w:r w:rsidRPr="008749F8">
        <w:rPr>
          <w:rFonts w:ascii="Arial" w:hAnsi="Arial" w:cs="Arial"/>
          <w:b/>
          <w:sz w:val="20"/>
          <w:szCs w:val="20"/>
        </w:rPr>
        <w:t xml:space="preserve">Period included in this Procurement Plan:  From:  </w:t>
      </w:r>
      <w:r w:rsidR="00C956CA">
        <w:rPr>
          <w:rFonts w:ascii="Arial" w:hAnsi="Arial" w:cs="Arial"/>
          <w:b/>
          <w:sz w:val="20"/>
          <w:szCs w:val="20"/>
        </w:rPr>
        <w:t>11</w:t>
      </w:r>
      <w:r w:rsidRPr="008749F8">
        <w:rPr>
          <w:rFonts w:ascii="Arial" w:hAnsi="Arial" w:cs="Arial"/>
          <w:b/>
          <w:sz w:val="20"/>
          <w:szCs w:val="20"/>
        </w:rPr>
        <w:t>/2015 until12/2019</w:t>
      </w:r>
      <w:r w:rsidRPr="008749F8">
        <w:rPr>
          <w:rStyle w:val="FootnoteReference"/>
          <w:rFonts w:ascii="Arial" w:hAnsi="Arial" w:cs="Arial"/>
          <w:b/>
          <w:sz w:val="20"/>
          <w:szCs w:val="20"/>
        </w:rPr>
        <w:footnoteReference w:id="1"/>
      </w:r>
    </w:p>
    <w:tbl>
      <w:tblPr>
        <w:tblW w:w="0" w:type="auto"/>
        <w:tblBorders>
          <w:top w:val="single" w:sz="4" w:space="0" w:color="B1BBCC"/>
          <w:left w:val="single" w:sz="4" w:space="0" w:color="B1BBCC"/>
          <w:bottom w:val="single" w:sz="4" w:space="0" w:color="B1BBCC"/>
          <w:right w:val="single" w:sz="4" w:space="0" w:color="B1BB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207"/>
        <w:gridCol w:w="1180"/>
        <w:gridCol w:w="947"/>
        <w:gridCol w:w="1161"/>
        <w:gridCol w:w="711"/>
        <w:gridCol w:w="881"/>
        <w:gridCol w:w="881"/>
        <w:gridCol w:w="1385"/>
        <w:gridCol w:w="1002"/>
        <w:gridCol w:w="899"/>
        <w:gridCol w:w="1149"/>
        <w:gridCol w:w="1132"/>
      </w:tblGrid>
      <w:tr w:rsidR="00C956CA" w:rsidRPr="00C956CA" w:rsidTr="00C956CA">
        <w:tc>
          <w:tcPr>
            <w:tcW w:w="45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WBS #</w:t>
            </w:r>
          </w:p>
        </w:tc>
        <w:tc>
          <w:tcPr>
            <w:tcW w:w="12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Procurement Description</w:t>
            </w:r>
          </w:p>
        </w:tc>
        <w:tc>
          <w:tcPr>
            <w:tcW w:w="118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Procurement type</w:t>
            </w:r>
          </w:p>
        </w:tc>
        <w:tc>
          <w:tcPr>
            <w:tcW w:w="94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Estimated Contract Cost</w:t>
            </w:r>
          </w:p>
        </w:tc>
        <w:tc>
          <w:tcPr>
            <w:tcW w:w="116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Procurement method</w:t>
            </w:r>
          </w:p>
        </w:tc>
        <w:tc>
          <w:tcPr>
            <w:tcW w:w="71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Review Type</w:t>
            </w:r>
          </w:p>
        </w:tc>
        <w:tc>
          <w:tcPr>
            <w:tcW w:w="88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Financing Source (IDB %)</w:t>
            </w:r>
          </w:p>
        </w:tc>
        <w:tc>
          <w:tcPr>
            <w:tcW w:w="88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Financing Source (GOB %)</w:t>
            </w:r>
          </w:p>
        </w:tc>
        <w:tc>
          <w:tcPr>
            <w:tcW w:w="138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Prequalification (Y/N)</w:t>
            </w:r>
          </w:p>
        </w:tc>
        <w:tc>
          <w:tcPr>
            <w:tcW w:w="1002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Publication of SPN</w:t>
            </w:r>
          </w:p>
        </w:tc>
        <w:tc>
          <w:tcPr>
            <w:tcW w:w="899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Est. Contract Signature Date</w:t>
            </w:r>
          </w:p>
        </w:tc>
        <w:tc>
          <w:tcPr>
            <w:tcW w:w="1149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Procurement Status</w:t>
            </w:r>
          </w:p>
        </w:tc>
        <w:tc>
          <w:tcPr>
            <w:tcW w:w="1132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color w:val="363636"/>
                <w:sz w:val="18"/>
                <w:szCs w:val="20"/>
                <w:shd w:val="clear" w:color="auto" w:fill="DFE3E8"/>
                <w:lang w:val="en-US"/>
              </w:rPr>
              <w:t>Comments</w:t>
            </w:r>
          </w:p>
        </w:tc>
      </w:tr>
      <w:tr w:rsidR="008749F8" w:rsidRPr="00C956CA" w:rsidTr="00C956CA">
        <w:tc>
          <w:tcPr>
            <w:tcW w:w="45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shd w:val="clear" w:color="auto" w:fill="F2F2F2"/>
                <w:lang w:val="en-US"/>
              </w:rPr>
              <w:t>Auditing</w:t>
            </w:r>
          </w:p>
        </w:tc>
        <w:tc>
          <w:tcPr>
            <w:tcW w:w="118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shd w:val="clear" w:color="auto" w:fill="F2F2F2"/>
                <w:lang w:val="en-US"/>
              </w:rPr>
              <w:t>Consulting</w:t>
            </w:r>
          </w:p>
        </w:tc>
        <w:tc>
          <w:tcPr>
            <w:tcW w:w="94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125,000 (25,000 /year)</w:t>
            </w:r>
          </w:p>
        </w:tc>
        <w:tc>
          <w:tcPr>
            <w:tcW w:w="116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SSS</w:t>
            </w:r>
          </w:p>
        </w:tc>
        <w:tc>
          <w:tcPr>
            <w:tcW w:w="71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2F2F2"/>
                <w:lang w:val="en-US"/>
              </w:rPr>
              <w:t>Ex-Ante</w:t>
            </w:r>
          </w:p>
        </w:tc>
        <w:tc>
          <w:tcPr>
            <w:tcW w:w="88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2F2F2"/>
                <w:lang w:val="en-US"/>
              </w:rPr>
              <w:t>100</w:t>
            </w:r>
          </w:p>
        </w:tc>
        <w:tc>
          <w:tcPr>
            <w:tcW w:w="88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2F2F2"/>
                <w:lang w:val="en-US"/>
              </w:rPr>
              <w:t>0</w:t>
            </w:r>
          </w:p>
        </w:tc>
        <w:tc>
          <w:tcPr>
            <w:tcW w:w="138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</w:t>
            </w:r>
          </w:p>
        </w:tc>
        <w:tc>
          <w:tcPr>
            <w:tcW w:w="1002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2F2F2"/>
                <w:lang w:val="en-US"/>
              </w:rPr>
              <w:t>NA</w:t>
            </w:r>
          </w:p>
        </w:tc>
        <w:tc>
          <w:tcPr>
            <w:tcW w:w="899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2F2F2"/>
                <w:lang w:val="en-US"/>
              </w:rPr>
              <w:t>NA</w:t>
            </w:r>
          </w:p>
        </w:tc>
        <w:tc>
          <w:tcPr>
            <w:tcW w:w="1149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8749F8" w:rsidRPr="00C956CA" w:rsidRDefault="00991B31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TBD for the first year.</w:t>
            </w:r>
          </w:p>
        </w:tc>
        <w:tc>
          <w:tcPr>
            <w:tcW w:w="1132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The external audit will be undertaken by an independent audit firm acceptable</w:t>
            </w:r>
          </w:p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to the IDB. The CBB will carry out the hiring of the firm and will have the option of</w:t>
            </w:r>
          </w:p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using: (i) their current auditors, once eligible to audit IDB funded projects; or (ii) a</w:t>
            </w:r>
          </w:p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lastRenderedPageBreak/>
              <w:t>competitive process to select the auditors for the project. In the event that a competitive</w:t>
            </w:r>
          </w:p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process is followed, the IDB’s AF-200 Guide should be used.</w:t>
            </w:r>
          </w:p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8749F8" w:rsidRPr="00C956CA" w:rsidRDefault="008749F8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C956CA" w:rsidRPr="00C956CA" w:rsidTr="00C956CA">
        <w:tc>
          <w:tcPr>
            <w:tcW w:w="45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C956CA" w:rsidRPr="00C956CA" w:rsidRDefault="00C956CA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shd w:val="clear" w:color="auto" w:fill="F2F2F2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shd w:val="clear" w:color="auto" w:fill="F2F2F2"/>
                <w:lang w:val="en-US"/>
              </w:rPr>
              <w:t>Support</w:t>
            </w:r>
            <w:r w:rsidR="006364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shd w:val="clear" w:color="auto" w:fill="F2F2F2"/>
                <w:lang w:val="en-US"/>
              </w:rPr>
              <w:t xml:space="preserve"> Project</w:t>
            </w: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shd w:val="clear" w:color="auto" w:fill="F2F2F2"/>
                <w:lang w:val="en-US"/>
              </w:rPr>
              <w:t xml:space="preserve"> Monitoring</w:t>
            </w:r>
          </w:p>
          <w:p w:rsidR="00C956CA" w:rsidRPr="00C956CA" w:rsidRDefault="00C956CA" w:rsidP="00D432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shd w:val="clear" w:color="auto" w:fill="F2F2F2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shd w:val="clear" w:color="auto" w:fill="F2F2F2"/>
                <w:lang w:val="en-US"/>
              </w:rPr>
              <w:t>(</w:t>
            </w: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shd w:val="clear" w:color="auto" w:fill="F2F2F2"/>
                <w:lang w:val="en-US"/>
              </w:rPr>
              <w:t xml:space="preserve">Activities included: </w:t>
            </w:r>
            <w:r w:rsidRPr="00C956CA">
              <w:rPr>
                <w:rFonts w:ascii="Times New Roman" w:hAnsi="Times New Roman" w:cs="Times New Roman"/>
                <w:sz w:val="18"/>
              </w:rPr>
              <w:t>Data Collection for indicators</w:t>
            </w:r>
            <w:r w:rsidR="00D4329D">
              <w:rPr>
                <w:rFonts w:ascii="Times New Roman" w:hAnsi="Times New Roman" w:cs="Times New Roman"/>
                <w:sz w:val="18"/>
              </w:rPr>
              <w:t>.</w:t>
            </w:r>
            <w:r w:rsidRPr="00C956CA">
              <w:rPr>
                <w:rFonts w:ascii="Times New Roman" w:hAnsi="Times New Roman" w:cs="Times New Roman"/>
                <w:sz w:val="18"/>
              </w:rPr>
              <w:t xml:space="preserve"> Data Analysis and </w:t>
            </w:r>
            <w:r w:rsidRPr="00C956CA">
              <w:rPr>
                <w:rFonts w:ascii="Times New Roman" w:hAnsi="Times New Roman" w:cs="Times New Roman"/>
                <w:sz w:val="18"/>
              </w:rPr>
              <w:t>R</w:t>
            </w:r>
            <w:r w:rsidR="00636432">
              <w:rPr>
                <w:rFonts w:ascii="Times New Roman" w:hAnsi="Times New Roman" w:cs="Times New Roman"/>
                <w:sz w:val="18"/>
              </w:rPr>
              <w:t>eporting</w:t>
            </w:r>
            <w:r w:rsidR="00D4329D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18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shd w:val="clear" w:color="auto" w:fill="F2F2F2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shd w:val="clear" w:color="auto" w:fill="F2F2F2"/>
                <w:lang w:val="en-US"/>
              </w:rPr>
              <w:t>Consulting</w:t>
            </w:r>
          </w:p>
        </w:tc>
        <w:tc>
          <w:tcPr>
            <w:tcW w:w="94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5,000</w:t>
            </w:r>
          </w:p>
        </w:tc>
        <w:tc>
          <w:tcPr>
            <w:tcW w:w="116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FF7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IICC </w:t>
            </w:r>
            <w:r w:rsidR="00FF70C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/</w:t>
            </w: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NICQ</w:t>
            </w:r>
          </w:p>
        </w:tc>
        <w:tc>
          <w:tcPr>
            <w:tcW w:w="71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370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Ex-post</w:t>
            </w:r>
          </w:p>
        </w:tc>
        <w:tc>
          <w:tcPr>
            <w:tcW w:w="88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370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88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370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8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370E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</w:t>
            </w:r>
          </w:p>
        </w:tc>
        <w:tc>
          <w:tcPr>
            <w:tcW w:w="1002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370E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2F2F2"/>
                <w:lang w:val="en-US"/>
              </w:rPr>
              <w:t>NA</w:t>
            </w:r>
          </w:p>
        </w:tc>
        <w:tc>
          <w:tcPr>
            <w:tcW w:w="899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370E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2F2F2"/>
                <w:lang w:val="en-US"/>
              </w:rPr>
              <w:t>NA</w:t>
            </w:r>
          </w:p>
        </w:tc>
        <w:tc>
          <w:tcPr>
            <w:tcW w:w="1149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956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March 2016</w:t>
            </w:r>
          </w:p>
        </w:tc>
        <w:tc>
          <w:tcPr>
            <w:tcW w:w="1132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C956CA" w:rsidRPr="00C956CA" w:rsidRDefault="00C956CA" w:rsidP="00370E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Includes data management and preparation of continous reports (fiduciary and technical) to</w:t>
            </w:r>
            <w:r w:rsidR="0063643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CBB and </w:t>
            </w: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IDB.</w:t>
            </w:r>
          </w:p>
        </w:tc>
      </w:tr>
      <w:tr w:rsidR="00C956CA" w:rsidRPr="00C956CA" w:rsidTr="00C956CA">
        <w:tc>
          <w:tcPr>
            <w:tcW w:w="45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C956CA" w:rsidRPr="00C956CA" w:rsidRDefault="00C956CA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C956CA" w:rsidRPr="00C956CA" w:rsidRDefault="00C956CA" w:rsidP="00C956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shd w:val="clear" w:color="auto" w:fill="F2F2F2"/>
                <w:lang w:val="en-US"/>
              </w:rPr>
              <w:t xml:space="preserve">Evaluation </w:t>
            </w:r>
            <w:r w:rsidRPr="00C956CA">
              <w:rPr>
                <w:rFonts w:ascii="Times New Roman" w:hAnsi="Times New Roman" w:cs="Times New Roman"/>
                <w:sz w:val="18"/>
              </w:rPr>
              <w:t>Survey to define control group values in the ex post C</w:t>
            </w:r>
            <w:r w:rsidR="00636432">
              <w:rPr>
                <w:rFonts w:ascii="Times New Roman" w:hAnsi="Times New Roman" w:cs="Times New Roman"/>
                <w:sz w:val="18"/>
              </w:rPr>
              <w:t xml:space="preserve">ost </w:t>
            </w:r>
            <w:r w:rsidRPr="00C956CA">
              <w:rPr>
                <w:rFonts w:ascii="Times New Roman" w:hAnsi="Times New Roman" w:cs="Times New Roman"/>
                <w:sz w:val="18"/>
              </w:rPr>
              <w:t>B</w:t>
            </w:r>
            <w:r w:rsidR="00636432">
              <w:rPr>
                <w:rFonts w:ascii="Times New Roman" w:hAnsi="Times New Roman" w:cs="Times New Roman"/>
                <w:sz w:val="18"/>
              </w:rPr>
              <w:t>enefit</w:t>
            </w:r>
            <w:r w:rsidRPr="00C956CA">
              <w:rPr>
                <w:rFonts w:ascii="Times New Roman" w:hAnsi="Times New Roman" w:cs="Times New Roman"/>
                <w:sz w:val="18"/>
              </w:rPr>
              <w:t xml:space="preserve"> (120 firms. Includes all stages of the process)</w:t>
            </w:r>
            <w:r w:rsidR="00D4329D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18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  <w:hideMark/>
          </w:tcPr>
          <w:p w:rsidR="00C956CA" w:rsidRPr="00C956CA" w:rsidRDefault="00C956CA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shd w:val="clear" w:color="auto" w:fill="F2F2F2"/>
                <w:lang w:val="en-US"/>
              </w:rPr>
              <w:t>Consulting</w:t>
            </w:r>
          </w:p>
        </w:tc>
        <w:tc>
          <w:tcPr>
            <w:tcW w:w="94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0,000</w:t>
            </w:r>
          </w:p>
        </w:tc>
        <w:tc>
          <w:tcPr>
            <w:tcW w:w="116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FF7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IICC </w:t>
            </w:r>
            <w:bookmarkStart w:id="2" w:name="_GoBack"/>
            <w:bookmarkEnd w:id="2"/>
            <w:r w:rsidR="00FF70C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/</w:t>
            </w: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NICQ</w:t>
            </w:r>
          </w:p>
        </w:tc>
        <w:tc>
          <w:tcPr>
            <w:tcW w:w="71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Ex-post</w:t>
            </w:r>
          </w:p>
        </w:tc>
        <w:tc>
          <w:tcPr>
            <w:tcW w:w="88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881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38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</w:t>
            </w:r>
          </w:p>
        </w:tc>
        <w:tc>
          <w:tcPr>
            <w:tcW w:w="1002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2F2F2"/>
                <w:lang w:val="en-US"/>
              </w:rPr>
              <w:t>NA</w:t>
            </w:r>
          </w:p>
        </w:tc>
        <w:tc>
          <w:tcPr>
            <w:tcW w:w="899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2F2F2"/>
                <w:lang w:val="en-US"/>
              </w:rPr>
              <w:t>NA</w:t>
            </w:r>
          </w:p>
        </w:tc>
        <w:tc>
          <w:tcPr>
            <w:tcW w:w="1149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auto"/>
            <w:vAlign w:val="center"/>
          </w:tcPr>
          <w:p w:rsidR="00C956CA" w:rsidRPr="00C956CA" w:rsidRDefault="00C956CA" w:rsidP="00CB4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Year 2</w:t>
            </w:r>
            <w:r w:rsidRPr="00C956CA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  <w:t>nd</w:t>
            </w:r>
          </w:p>
          <w:p w:rsidR="00C956CA" w:rsidRPr="00C956CA" w:rsidRDefault="00C956CA" w:rsidP="00991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and 4</w:t>
            </w:r>
            <w:r w:rsidRPr="00C956CA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  <w:t>th</w:t>
            </w:r>
          </w:p>
          <w:p w:rsidR="00C956CA" w:rsidRPr="00C956CA" w:rsidRDefault="00C956CA" w:rsidP="00991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C956CA" w:rsidRPr="00C956CA" w:rsidRDefault="00C956CA" w:rsidP="006364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Includes data management and preparation of </w:t>
            </w:r>
            <w:r w:rsidR="00636432"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technical</w:t>
            </w:r>
            <w:r w:rsidR="00636432"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Pr="00C956C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reports.</w:t>
            </w:r>
          </w:p>
        </w:tc>
      </w:tr>
    </w:tbl>
    <w:p w:rsidR="00B33A43" w:rsidRDefault="00B33A43"/>
    <w:sectPr w:rsidR="00B33A43" w:rsidSect="008749F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9F8" w:rsidRDefault="008749F8" w:rsidP="008749F8">
      <w:pPr>
        <w:spacing w:after="0" w:line="240" w:lineRule="auto"/>
      </w:pPr>
      <w:r>
        <w:separator/>
      </w:r>
    </w:p>
  </w:endnote>
  <w:endnote w:type="continuationSeparator" w:id="0">
    <w:p w:rsidR="008749F8" w:rsidRDefault="008749F8" w:rsidP="00874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9F8" w:rsidRDefault="008749F8" w:rsidP="008749F8">
      <w:pPr>
        <w:spacing w:after="0" w:line="240" w:lineRule="auto"/>
      </w:pPr>
      <w:r>
        <w:separator/>
      </w:r>
    </w:p>
  </w:footnote>
  <w:footnote w:type="continuationSeparator" w:id="0">
    <w:p w:rsidR="008749F8" w:rsidRDefault="008749F8" w:rsidP="008749F8">
      <w:pPr>
        <w:spacing w:after="0" w:line="240" w:lineRule="auto"/>
      </w:pPr>
      <w:r>
        <w:continuationSeparator/>
      </w:r>
    </w:p>
  </w:footnote>
  <w:footnote w:id="1">
    <w:p w:rsidR="008749F8" w:rsidRPr="00480AA4" w:rsidRDefault="008749F8" w:rsidP="008749F8">
      <w:pPr>
        <w:pStyle w:val="FootnoteText"/>
        <w:spacing w:before="60" w:after="60"/>
        <w:ind w:left="357" w:hanging="357"/>
        <w:rPr>
          <w:rFonts w:cs="Arial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480AA4">
        <w:rPr>
          <w:rFonts w:cs="Arial"/>
          <w:b/>
          <w:bCs/>
          <w:sz w:val="18"/>
          <w:szCs w:val="18"/>
          <w:u w:val="single"/>
        </w:rPr>
        <w:t>Goods and Works</w:t>
      </w:r>
      <w:r w:rsidRPr="00480AA4">
        <w:rPr>
          <w:rFonts w:cs="Arial"/>
          <w:sz w:val="18"/>
          <w:szCs w:val="18"/>
        </w:rPr>
        <w:t xml:space="preserve">: </w:t>
      </w:r>
      <w:r w:rsidRPr="00480AA4">
        <w:rPr>
          <w:rFonts w:cs="Arial"/>
          <w:b/>
          <w:bCs/>
          <w:sz w:val="18"/>
          <w:szCs w:val="18"/>
        </w:rPr>
        <w:t>ICB</w:t>
      </w:r>
      <w:r w:rsidRPr="00480AA4">
        <w:rPr>
          <w:rFonts w:cs="Arial"/>
          <w:sz w:val="18"/>
          <w:szCs w:val="18"/>
        </w:rPr>
        <w:t xml:space="preserve">: International competitive bidding; </w:t>
      </w:r>
      <w:r w:rsidRPr="00480AA4">
        <w:rPr>
          <w:rFonts w:cs="Arial"/>
          <w:b/>
          <w:bCs/>
          <w:sz w:val="18"/>
          <w:szCs w:val="18"/>
        </w:rPr>
        <w:t>LIB</w:t>
      </w:r>
      <w:r w:rsidRPr="00480AA4">
        <w:rPr>
          <w:rFonts w:cs="Arial"/>
          <w:sz w:val="18"/>
          <w:szCs w:val="18"/>
        </w:rPr>
        <w:t xml:space="preserve">: limited international bidding; </w:t>
      </w:r>
      <w:r w:rsidRPr="00480AA4">
        <w:rPr>
          <w:rFonts w:cs="Arial"/>
          <w:b/>
          <w:bCs/>
          <w:sz w:val="18"/>
          <w:szCs w:val="18"/>
        </w:rPr>
        <w:t>NCB</w:t>
      </w:r>
      <w:r w:rsidRPr="00480AA4">
        <w:rPr>
          <w:rFonts w:cs="Arial"/>
          <w:sz w:val="18"/>
          <w:szCs w:val="18"/>
        </w:rPr>
        <w:t xml:space="preserve">: national competitive bidding; </w:t>
      </w:r>
      <w:r w:rsidRPr="00480AA4">
        <w:rPr>
          <w:rFonts w:cs="Arial"/>
          <w:b/>
          <w:bCs/>
          <w:sz w:val="18"/>
          <w:szCs w:val="18"/>
        </w:rPr>
        <w:t>PC</w:t>
      </w:r>
      <w:r w:rsidRPr="00480AA4">
        <w:rPr>
          <w:rFonts w:cs="Arial"/>
          <w:sz w:val="18"/>
          <w:szCs w:val="18"/>
        </w:rPr>
        <w:t xml:space="preserve">: price comparison; </w:t>
      </w:r>
      <w:r w:rsidRPr="00480AA4">
        <w:rPr>
          <w:rFonts w:cs="Arial"/>
          <w:b/>
          <w:bCs/>
          <w:sz w:val="18"/>
          <w:szCs w:val="18"/>
        </w:rPr>
        <w:t>DC</w:t>
      </w:r>
      <w:r w:rsidRPr="00480AA4">
        <w:rPr>
          <w:rFonts w:cs="Arial"/>
          <w:sz w:val="18"/>
          <w:szCs w:val="18"/>
        </w:rPr>
        <w:t xml:space="preserve">: direct contracting; </w:t>
      </w:r>
      <w:r w:rsidRPr="00480AA4">
        <w:rPr>
          <w:rFonts w:cs="Arial"/>
          <w:b/>
          <w:bCs/>
          <w:sz w:val="18"/>
          <w:szCs w:val="18"/>
        </w:rPr>
        <w:t>FA</w:t>
      </w:r>
      <w:r w:rsidRPr="00480AA4">
        <w:rPr>
          <w:rFonts w:cs="Arial"/>
          <w:sz w:val="18"/>
          <w:szCs w:val="18"/>
        </w:rPr>
        <w:t xml:space="preserve">: force account; </w:t>
      </w:r>
      <w:r w:rsidRPr="00480AA4">
        <w:rPr>
          <w:rFonts w:cs="Arial"/>
          <w:b/>
          <w:bCs/>
          <w:sz w:val="18"/>
          <w:szCs w:val="18"/>
        </w:rPr>
        <w:t>PSA</w:t>
      </w:r>
      <w:r w:rsidRPr="00480AA4">
        <w:rPr>
          <w:rFonts w:cs="Arial"/>
          <w:sz w:val="18"/>
          <w:szCs w:val="18"/>
        </w:rPr>
        <w:t xml:space="preserve">: Procurement through Specialized Agencies; </w:t>
      </w:r>
      <w:r w:rsidRPr="00480AA4">
        <w:rPr>
          <w:rFonts w:cs="Arial"/>
          <w:b/>
          <w:bCs/>
          <w:sz w:val="18"/>
          <w:szCs w:val="18"/>
        </w:rPr>
        <w:t>PA:</w:t>
      </w:r>
      <w:r w:rsidRPr="00480AA4">
        <w:rPr>
          <w:rFonts w:cs="Arial"/>
          <w:sz w:val="18"/>
          <w:szCs w:val="18"/>
        </w:rPr>
        <w:t xml:space="preserve"> Procurement Agents; </w:t>
      </w:r>
      <w:r w:rsidRPr="00480AA4">
        <w:rPr>
          <w:rFonts w:cs="Arial"/>
          <w:b/>
          <w:bCs/>
          <w:sz w:val="18"/>
          <w:szCs w:val="18"/>
        </w:rPr>
        <w:t>IA:</w:t>
      </w:r>
      <w:r w:rsidRPr="00480AA4">
        <w:rPr>
          <w:rFonts w:cs="Arial"/>
          <w:sz w:val="18"/>
          <w:szCs w:val="18"/>
        </w:rPr>
        <w:t xml:space="preserve"> Inspection Agents; </w:t>
      </w:r>
      <w:r w:rsidRPr="00480AA4">
        <w:rPr>
          <w:rFonts w:cs="Arial"/>
          <w:b/>
          <w:bCs/>
          <w:sz w:val="18"/>
          <w:szCs w:val="18"/>
        </w:rPr>
        <w:t>PLFI</w:t>
      </w:r>
      <w:r w:rsidRPr="00480AA4">
        <w:rPr>
          <w:rFonts w:cs="Arial"/>
          <w:sz w:val="18"/>
          <w:szCs w:val="18"/>
        </w:rPr>
        <w:t xml:space="preserve">: Procurement in Loans to Financial Intermediaries; </w:t>
      </w:r>
      <w:r w:rsidRPr="00480AA4">
        <w:rPr>
          <w:rFonts w:cs="Arial"/>
          <w:b/>
          <w:bCs/>
          <w:sz w:val="18"/>
          <w:szCs w:val="18"/>
        </w:rPr>
        <w:t>BOO/BOT/BOOT:</w:t>
      </w:r>
      <w:r w:rsidRPr="00480AA4">
        <w:rPr>
          <w:rFonts w:cs="Arial"/>
          <w:sz w:val="18"/>
          <w:szCs w:val="18"/>
        </w:rPr>
        <w:t xml:space="preserve"> Build, Own, Operate/Build, Operate, Transfer/Build, Own, Operate, Transfer; </w:t>
      </w:r>
      <w:r w:rsidRPr="00480AA4">
        <w:rPr>
          <w:rFonts w:cs="Arial"/>
          <w:b/>
          <w:bCs/>
          <w:sz w:val="18"/>
          <w:szCs w:val="18"/>
        </w:rPr>
        <w:t>PBP</w:t>
      </w:r>
      <w:r w:rsidRPr="00480AA4">
        <w:rPr>
          <w:rFonts w:cs="Arial"/>
          <w:sz w:val="18"/>
          <w:szCs w:val="18"/>
        </w:rPr>
        <w:t xml:space="preserve">: Performance-Based Procurement; </w:t>
      </w:r>
      <w:r w:rsidRPr="00480AA4">
        <w:rPr>
          <w:rFonts w:cs="Arial"/>
          <w:b/>
          <w:bCs/>
          <w:sz w:val="18"/>
          <w:szCs w:val="18"/>
        </w:rPr>
        <w:t>PLGB: </w:t>
      </w:r>
      <w:r w:rsidRPr="00480AA4">
        <w:rPr>
          <w:rFonts w:cs="Arial"/>
          <w:sz w:val="18"/>
          <w:szCs w:val="18"/>
        </w:rPr>
        <w:t xml:space="preserve">Procurement under Loans Guaranteed by the Bank; </w:t>
      </w:r>
      <w:r w:rsidRPr="00480AA4">
        <w:rPr>
          <w:rFonts w:cs="Arial"/>
          <w:b/>
          <w:bCs/>
          <w:sz w:val="18"/>
          <w:szCs w:val="18"/>
        </w:rPr>
        <w:t>PCP</w:t>
      </w:r>
      <w:r w:rsidRPr="00480AA4">
        <w:rPr>
          <w:rFonts w:cs="Arial"/>
          <w:sz w:val="18"/>
          <w:szCs w:val="18"/>
        </w:rPr>
        <w:t xml:space="preserve">: Community participation procurement.  </w:t>
      </w:r>
      <w:r w:rsidRPr="00480AA4">
        <w:rPr>
          <w:rFonts w:cs="Arial"/>
          <w:b/>
          <w:bCs/>
          <w:sz w:val="18"/>
          <w:szCs w:val="18"/>
          <w:u w:val="single"/>
        </w:rPr>
        <w:t>Consulting Firms</w:t>
      </w:r>
      <w:r w:rsidRPr="00480AA4">
        <w:rPr>
          <w:rFonts w:cs="Arial"/>
          <w:sz w:val="18"/>
          <w:szCs w:val="18"/>
          <w:u w:val="single"/>
        </w:rPr>
        <w:t>:</w:t>
      </w:r>
      <w:r w:rsidRPr="00480AA4">
        <w:rPr>
          <w:rFonts w:cs="Arial"/>
          <w:b/>
          <w:bCs/>
          <w:sz w:val="18"/>
          <w:szCs w:val="18"/>
        </w:rPr>
        <w:t>QCBS</w:t>
      </w:r>
      <w:r w:rsidRPr="00480AA4">
        <w:rPr>
          <w:rFonts w:cs="Arial"/>
          <w:sz w:val="18"/>
          <w:szCs w:val="18"/>
        </w:rPr>
        <w:t xml:space="preserve">: Quality- and Cost-Based Selection </w:t>
      </w:r>
      <w:r w:rsidRPr="00480AA4">
        <w:rPr>
          <w:rFonts w:cs="Arial"/>
          <w:b/>
          <w:bCs/>
          <w:sz w:val="18"/>
          <w:szCs w:val="18"/>
        </w:rPr>
        <w:t>QBS</w:t>
      </w:r>
      <w:r w:rsidRPr="00480AA4">
        <w:rPr>
          <w:rFonts w:cs="Arial"/>
          <w:sz w:val="18"/>
          <w:szCs w:val="18"/>
        </w:rPr>
        <w:t xml:space="preserve">: Quality-Based Selection </w:t>
      </w:r>
      <w:r w:rsidRPr="00480AA4">
        <w:rPr>
          <w:rFonts w:cs="Arial"/>
          <w:b/>
          <w:bCs/>
          <w:sz w:val="18"/>
          <w:szCs w:val="18"/>
        </w:rPr>
        <w:t>FBS</w:t>
      </w:r>
      <w:r w:rsidRPr="00480AA4">
        <w:rPr>
          <w:rFonts w:cs="Arial"/>
          <w:sz w:val="18"/>
          <w:szCs w:val="18"/>
        </w:rPr>
        <w:t xml:space="preserve">: Selection under a Fixed Budget; </w:t>
      </w:r>
      <w:r w:rsidRPr="00480AA4">
        <w:rPr>
          <w:rFonts w:cs="Arial"/>
          <w:b/>
          <w:bCs/>
          <w:sz w:val="18"/>
          <w:szCs w:val="18"/>
        </w:rPr>
        <w:t>LCS</w:t>
      </w:r>
      <w:r w:rsidRPr="00480AA4">
        <w:rPr>
          <w:rFonts w:cs="Arial"/>
          <w:sz w:val="18"/>
          <w:szCs w:val="18"/>
        </w:rPr>
        <w:t xml:space="preserve">: Least-Cost Selection; </w:t>
      </w:r>
      <w:r w:rsidRPr="00480AA4">
        <w:rPr>
          <w:rFonts w:cs="Arial"/>
          <w:b/>
          <w:bCs/>
          <w:sz w:val="18"/>
          <w:szCs w:val="18"/>
        </w:rPr>
        <w:t>CQS</w:t>
      </w:r>
      <w:r w:rsidRPr="00480AA4">
        <w:rPr>
          <w:rFonts w:cs="Arial"/>
          <w:sz w:val="18"/>
          <w:szCs w:val="18"/>
        </w:rPr>
        <w:t xml:space="preserve">: Selection based on the Consultants’ Qualifications; </w:t>
      </w:r>
      <w:r w:rsidRPr="00480AA4">
        <w:rPr>
          <w:rFonts w:cs="Arial"/>
          <w:b/>
          <w:bCs/>
          <w:sz w:val="18"/>
          <w:szCs w:val="18"/>
        </w:rPr>
        <w:t>SSS:</w:t>
      </w:r>
      <w:r w:rsidRPr="00480AA4">
        <w:rPr>
          <w:rFonts w:cs="Arial"/>
          <w:sz w:val="18"/>
          <w:szCs w:val="18"/>
        </w:rPr>
        <w:t xml:space="preserve"> Single-Source Selection.  </w:t>
      </w:r>
      <w:r w:rsidRPr="00480AA4">
        <w:rPr>
          <w:rFonts w:cs="Arial"/>
          <w:b/>
          <w:bCs/>
          <w:sz w:val="18"/>
          <w:szCs w:val="18"/>
          <w:u w:val="single"/>
        </w:rPr>
        <w:t>Individual Consultants</w:t>
      </w:r>
      <w:r w:rsidRPr="00480AA4">
        <w:rPr>
          <w:rFonts w:cs="Arial"/>
          <w:sz w:val="18"/>
          <w:szCs w:val="18"/>
        </w:rPr>
        <w:t xml:space="preserve">: </w:t>
      </w:r>
      <w:r w:rsidRPr="00480AA4">
        <w:rPr>
          <w:rFonts w:cs="Arial"/>
          <w:b/>
          <w:bCs/>
          <w:sz w:val="18"/>
          <w:szCs w:val="18"/>
        </w:rPr>
        <w:t>NICQ</w:t>
      </w:r>
      <w:r w:rsidRPr="00480AA4">
        <w:rPr>
          <w:rFonts w:cs="Arial"/>
          <w:sz w:val="18"/>
          <w:szCs w:val="18"/>
        </w:rPr>
        <w:t xml:space="preserve">: National Individual Consultant selection based on Qualifications; </w:t>
      </w:r>
      <w:r w:rsidRPr="00480AA4">
        <w:rPr>
          <w:rFonts w:cs="Arial"/>
          <w:b/>
          <w:bCs/>
          <w:sz w:val="18"/>
          <w:szCs w:val="18"/>
        </w:rPr>
        <w:t>IICC</w:t>
      </w:r>
      <w:r w:rsidRPr="00480AA4">
        <w:rPr>
          <w:rFonts w:cs="Arial"/>
          <w:sz w:val="18"/>
          <w:szCs w:val="18"/>
        </w:rPr>
        <w:t xml:space="preserve">: International Individual Consultant selection based on Qualifications </w:t>
      </w:r>
    </w:p>
    <w:p w:rsidR="008749F8" w:rsidRPr="00181CC1" w:rsidRDefault="008749F8" w:rsidP="008749F8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A1B7B"/>
    <w:multiLevelType w:val="multilevel"/>
    <w:tmpl w:val="66344E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3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9F8"/>
    <w:rsid w:val="00636432"/>
    <w:rsid w:val="008749F8"/>
    <w:rsid w:val="00991B31"/>
    <w:rsid w:val="00A57D0B"/>
    <w:rsid w:val="00B33A43"/>
    <w:rsid w:val="00C956CA"/>
    <w:rsid w:val="00D4329D"/>
    <w:rsid w:val="00D55E1F"/>
    <w:rsid w:val="00FF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9F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9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9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FootnoteText">
    <w:name w:val="footnote text"/>
    <w:basedOn w:val="Normal"/>
    <w:link w:val="FootnoteTextChar"/>
    <w:unhideWhenUsed/>
    <w:rsid w:val="008749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749F8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749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9F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9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9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FootnoteText">
    <w:name w:val="footnote text"/>
    <w:basedOn w:val="Normal"/>
    <w:link w:val="FootnoteTextChar"/>
    <w:unhideWhenUsed/>
    <w:rsid w:val="008749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749F8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74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1E63116011BFBB4E99A0456DF4C1B898" ma:contentTypeVersion="0" ma:contentTypeDescription="A content type to manage public (operations) IDB documents" ma:contentTypeScope="" ma:versionID="a12dd140d54d2a3bc2b7423ed23ef24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ac78227aa40ebe0634e64f1b07ec9c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f10f793-ca0a-45d3-aa23-15b9e4b1309c}" ma:internalName="TaxCatchAll" ma:showField="CatchAllData" ma:web="bf1238c8-2e25-458e-83d0-1fd26af66a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f10f793-ca0a-45d3-aa23-15b9e4b1309c}" ma:internalName="TaxCatchAllLabel" ma:readOnly="true" ma:showField="CatchAllDataLabel" ma:web="bf1238c8-2e25-458e-83d0-1fd26af66a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39857688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CCB/CBA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o5138a91267540169645e33d09c9ddc6>
    <Approval_x0020_Number xmlns="9c571b2f-e523-4ab2-ba2e-09e151a03ef4">3389/OC-BA,3390/CH-BA</Approval_x0020_Number>
    <Document_x0020_Author xmlns="9c571b2f-e523-4ab2-ba2e-09e151a03ef4">Lugo, Gloria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fd0e48b6a66848a9885f717e5bbf40c4>
    <Project_x0020_Number xmlns="9c571b2f-e523-4ab2-ba2e-09e151a03ef4">BA-L1034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WORD&lt;/APPLICATION&gt;&lt;USER_STAGE&gt;Procurement Plan&lt;/USER_STAGE&gt;&lt;PD_OBJ_TYPE&gt;0&lt;/PD_OBJ_TYPE&gt;&lt;MAKERECORD&gt;N&lt;/MAKERECORD&gt;&lt;PD_FILEPT_NO&gt;PO-BA-L1034-GS&lt;/PD_FILEPT_NO&gt;&lt;/Data&gt;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Procurement Plan; Enhanced Access to Credit FULL DOC</Identifier>
    <Disclosure_x0020_Activity xmlns="9c571b2f-e523-4ab2-ba2e-09e151a03ef4">Procurement Plan</Disclosure_x0020_Activity>
    <Webtopic xmlns="9c571b2f-e523-4ab2-ba2e-09e151a03ef4">CM-MFC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27035C59-8BB5-48CB-8065-7565BE06DEB2}"/>
</file>

<file path=customXml/itemProps2.xml><?xml version="1.0" encoding="utf-8"?>
<ds:datastoreItem xmlns:ds="http://schemas.openxmlformats.org/officeDocument/2006/customXml" ds:itemID="{88959F33-9A66-401A-90C9-0E5E2B18F816}"/>
</file>

<file path=customXml/itemProps3.xml><?xml version="1.0" encoding="utf-8"?>
<ds:datastoreItem xmlns:ds="http://schemas.openxmlformats.org/officeDocument/2006/customXml" ds:itemID="{5BBE04DF-B36C-4FD0-89DD-92E9E09B10D0}"/>
</file>

<file path=customXml/itemProps4.xml><?xml version="1.0" encoding="utf-8"?>
<ds:datastoreItem xmlns:ds="http://schemas.openxmlformats.org/officeDocument/2006/customXml" ds:itemID="{A0C782E3-C628-4B29-B98A-4ACC0155019D}"/>
</file>

<file path=customXml/itemProps5.xml><?xml version="1.0" encoding="utf-8"?>
<ds:datastoreItem xmlns:ds="http://schemas.openxmlformats.org/officeDocument/2006/customXml" ds:itemID="{377D9AB3-5E16-4D85-BD92-95505F5829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3389_OC-BA _ 3390_CH-BA - Enhanced Access to Credit for Productivity Project - Procurement Plan - November 2015 to D</dc:title>
  <dc:subject/>
  <dc:creator>Inter-American Development Bank</dc:creator>
  <cp:keywords/>
  <dc:description/>
  <cp:lastModifiedBy>Inter-American Development Bank</cp:lastModifiedBy>
  <cp:revision>7</cp:revision>
  <dcterms:created xsi:type="dcterms:W3CDTF">2015-09-17T18:14:00Z</dcterms:created>
  <dcterms:modified xsi:type="dcterms:W3CDTF">2015-09-28T13:35:00Z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0x01010046CF21643EE8D14686A648AA6DAD0892001E63116011BFBB4E99A0456DF4C1B898</vt:lpwstr>
  </property>
  <property fmtid="{D5CDD505-2E9C-101B-9397-08002B2CF9AE}" pid="3" name="TaxKeyword">
    <vt:lpwstr/>
  </property>
  <property fmtid="{D5CDD505-2E9C-101B-9397-08002B2CF9AE}" pid="4" name="Function Operations IDB">
    <vt:lpwstr>8;#Goods and Services|5bfebf1b-9f1f-4411-b1dd-4c19b807b799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7;#Procurement Administration|d8145667-6247-4db3-9e42-91a14331cc81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7;#Procurement Administration|d8145667-6247-4db3-9e42-91a14331cc81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