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2D3" w:rsidRPr="00C66667" w:rsidRDefault="001E62D3" w:rsidP="001E62D3">
      <w:pPr>
        <w:pStyle w:val="Heading1"/>
        <w:keepNext/>
        <w:keepLines/>
        <w:tabs>
          <w:tab w:val="left" w:pos="1134"/>
        </w:tabs>
        <w:rPr>
          <w:color w:val="244061" w:themeColor="accent1" w:themeShade="80"/>
          <w:sz w:val="40"/>
          <w:lang w:eastAsia="en-CA"/>
        </w:rPr>
      </w:pPr>
      <w:bookmarkStart w:id="0" w:name="_Toc393702131"/>
      <w:r w:rsidRPr="00C66667">
        <w:rPr>
          <w:color w:val="244061" w:themeColor="accent1" w:themeShade="80"/>
          <w:sz w:val="40"/>
          <w:lang w:eastAsia="en-CA"/>
        </w:rPr>
        <w:t>Procurement Plan Update</w:t>
      </w:r>
      <w:bookmarkEnd w:id="0"/>
    </w:p>
    <w:p w:rsidR="009D3AE9" w:rsidRPr="00C66667" w:rsidRDefault="009D3AE9" w:rsidP="009D3AE9">
      <w:pPr>
        <w:rPr>
          <w:rFonts w:ascii="Arial" w:hAnsi="Arial" w:cs="Arial"/>
          <w:sz w:val="20"/>
          <w:szCs w:val="20"/>
        </w:rPr>
      </w:pPr>
      <w:r>
        <w:rPr>
          <w:rFonts w:ascii="Arial" w:hAnsi="Arial" w:cs="Arial"/>
          <w:sz w:val="20"/>
          <w:szCs w:val="20"/>
        </w:rPr>
        <w:t>Procurement Plan</w:t>
      </w:r>
      <w:r w:rsidRPr="00C66667">
        <w:rPr>
          <w:rFonts w:ascii="Arial" w:hAnsi="Arial" w:cs="Arial"/>
          <w:sz w:val="20"/>
          <w:szCs w:val="20"/>
        </w:rPr>
        <w:t xml:space="preserve"> </w:t>
      </w:r>
      <w:r>
        <w:rPr>
          <w:rFonts w:ascii="Arial" w:hAnsi="Arial" w:cs="Arial"/>
          <w:sz w:val="20"/>
          <w:szCs w:val="20"/>
        </w:rPr>
        <w:t xml:space="preserve">for the </w:t>
      </w:r>
      <w:r w:rsidRPr="00C66667">
        <w:rPr>
          <w:rFonts w:ascii="Arial" w:hAnsi="Arial" w:cs="Arial"/>
          <w:sz w:val="20"/>
          <w:szCs w:val="20"/>
        </w:rPr>
        <w:t>Period</w:t>
      </w:r>
      <w:r>
        <w:rPr>
          <w:rFonts w:ascii="Arial" w:hAnsi="Arial" w:cs="Arial"/>
          <w:sz w:val="20"/>
          <w:szCs w:val="20"/>
        </w:rPr>
        <w:t>: J</w:t>
      </w:r>
      <w:r>
        <w:rPr>
          <w:rFonts w:ascii="Arial" w:hAnsi="Arial" w:cs="Arial"/>
          <w:sz w:val="20"/>
          <w:szCs w:val="20"/>
        </w:rPr>
        <w:t xml:space="preserve">uly </w:t>
      </w:r>
      <w:r>
        <w:rPr>
          <w:rFonts w:ascii="Arial" w:hAnsi="Arial" w:cs="Arial"/>
          <w:sz w:val="20"/>
          <w:szCs w:val="20"/>
        </w:rPr>
        <w:t>1</w:t>
      </w:r>
      <w:bookmarkStart w:id="1" w:name="_GoBack"/>
      <w:bookmarkEnd w:id="1"/>
      <w:r w:rsidRPr="001E62D3">
        <w:rPr>
          <w:rFonts w:ascii="Arial" w:hAnsi="Arial" w:cs="Arial"/>
          <w:sz w:val="20"/>
          <w:szCs w:val="20"/>
        </w:rPr>
        <w:t>, 2015</w:t>
      </w:r>
      <w:r>
        <w:rPr>
          <w:rFonts w:ascii="Arial" w:hAnsi="Arial" w:cs="Arial"/>
          <w:sz w:val="20"/>
          <w:szCs w:val="20"/>
        </w:rPr>
        <w:t xml:space="preserve"> to </w:t>
      </w:r>
      <w:r>
        <w:rPr>
          <w:rFonts w:ascii="Arial" w:hAnsi="Arial" w:cs="Arial"/>
          <w:sz w:val="20"/>
          <w:szCs w:val="20"/>
        </w:rPr>
        <w:t>June 19, 2019</w:t>
      </w:r>
    </w:p>
    <w:p w:rsidR="001E62D3" w:rsidRPr="00C66667" w:rsidRDefault="001E62D3" w:rsidP="001E62D3">
      <w:pPr>
        <w:rPr>
          <w:rFonts w:ascii="Arial" w:hAnsi="Arial" w:cs="Arial"/>
          <w:sz w:val="20"/>
          <w:szCs w:val="20"/>
        </w:rPr>
      </w:pPr>
      <w:r w:rsidRPr="00C66667">
        <w:rPr>
          <w:rFonts w:ascii="Arial" w:hAnsi="Arial" w:cs="Arial"/>
          <w:sz w:val="20"/>
          <w:szCs w:val="20"/>
        </w:rPr>
        <w:t>P</w:t>
      </w:r>
      <w:r>
        <w:rPr>
          <w:rFonts w:ascii="Arial" w:hAnsi="Arial" w:cs="Arial"/>
          <w:sz w:val="20"/>
          <w:szCs w:val="20"/>
        </w:rPr>
        <w:t>roject:  Enhanced Access to Credit for Productivity Project</w:t>
      </w:r>
    </w:p>
    <w:p w:rsidR="001E62D3" w:rsidRPr="00C66667" w:rsidRDefault="001E62D3" w:rsidP="001E62D3">
      <w:pPr>
        <w:rPr>
          <w:rFonts w:ascii="Arial" w:hAnsi="Arial" w:cs="Arial"/>
          <w:sz w:val="20"/>
          <w:szCs w:val="20"/>
        </w:rPr>
      </w:pPr>
      <w:r w:rsidRPr="00C66667">
        <w:rPr>
          <w:rFonts w:ascii="Arial" w:hAnsi="Arial" w:cs="Arial"/>
          <w:sz w:val="20"/>
          <w:szCs w:val="20"/>
        </w:rPr>
        <w:t xml:space="preserve">Project number:  </w:t>
      </w:r>
      <w:r>
        <w:rPr>
          <w:rFonts w:ascii="Arial" w:hAnsi="Arial" w:cs="Arial"/>
          <w:sz w:val="20"/>
          <w:szCs w:val="20"/>
        </w:rPr>
        <w:t>BA-L1034</w:t>
      </w:r>
      <w:r w:rsidRPr="00C66667">
        <w:rPr>
          <w:rFonts w:ascii="Arial" w:hAnsi="Arial" w:cs="Arial"/>
          <w:sz w:val="20"/>
          <w:szCs w:val="20"/>
        </w:rPr>
        <w:t xml:space="preserve"> and Loan Contract number: </w:t>
      </w:r>
      <w:r>
        <w:rPr>
          <w:rFonts w:ascii="Arial" w:hAnsi="Arial" w:cs="Arial"/>
          <w:sz w:val="20"/>
          <w:szCs w:val="20"/>
        </w:rPr>
        <w:t>3389/OC-BA &amp; 3390/CH-BA</w:t>
      </w:r>
    </w:p>
    <w:p w:rsidR="001E62D3" w:rsidRPr="00C66667" w:rsidRDefault="001E62D3" w:rsidP="001E62D3">
      <w:pPr>
        <w:rPr>
          <w:rFonts w:ascii="Arial" w:hAnsi="Arial" w:cs="Arial"/>
          <w:b/>
        </w:rPr>
      </w:pPr>
    </w:p>
    <w:tbl>
      <w:tblPr>
        <w:tblW w:w="5000" w:type="pct"/>
        <w:tblBorders>
          <w:top w:val="single" w:sz="4" w:space="0" w:color="B1BBCC"/>
          <w:left w:val="single" w:sz="4" w:space="0" w:color="B1BBCC"/>
          <w:bottom w:val="single" w:sz="4" w:space="0" w:color="B1BBCC"/>
          <w:right w:val="single" w:sz="4" w:space="0" w:color="B1BBCC"/>
        </w:tblBorders>
        <w:tblCellMar>
          <w:top w:w="15" w:type="dxa"/>
          <w:left w:w="15" w:type="dxa"/>
          <w:bottom w:w="15" w:type="dxa"/>
          <w:right w:w="15" w:type="dxa"/>
        </w:tblCellMar>
        <w:tblLook w:val="04A0" w:firstRow="1" w:lastRow="0" w:firstColumn="1" w:lastColumn="0" w:noHBand="0" w:noVBand="1"/>
      </w:tblPr>
      <w:tblGrid>
        <w:gridCol w:w="1566"/>
        <w:gridCol w:w="1567"/>
        <w:gridCol w:w="1112"/>
        <w:gridCol w:w="1421"/>
        <w:gridCol w:w="834"/>
        <w:gridCol w:w="1086"/>
        <w:gridCol w:w="1689"/>
        <w:gridCol w:w="1221"/>
        <w:gridCol w:w="1073"/>
        <w:gridCol w:w="1421"/>
      </w:tblGrid>
      <w:tr w:rsidR="001E62D3" w:rsidRPr="00604D7A" w:rsidTr="00CF5D0A">
        <w:tc>
          <w:tcPr>
            <w:tcW w:w="603" w:type="pct"/>
            <w:tcBorders>
              <w:top w:val="single" w:sz="4" w:space="0" w:color="B1BBCC"/>
              <w:left w:val="single" w:sz="4" w:space="0" w:color="B1BBCC"/>
              <w:bottom w:val="single" w:sz="4" w:space="0" w:color="B1BBCC"/>
              <w:right w:val="single" w:sz="4" w:space="0" w:color="B1BBCC"/>
            </w:tcBorders>
            <w:shd w:val="clear" w:color="auto" w:fill="auto"/>
            <w:vAlign w:val="center"/>
            <w:hideMark/>
          </w:tcPr>
          <w:p w:rsidR="001E62D3" w:rsidRPr="009D3AE9" w:rsidRDefault="001E62D3" w:rsidP="009D3AE9">
            <w:pPr>
              <w:rPr>
                <w:rFonts w:ascii="Arial" w:hAnsi="Arial" w:cs="Arial"/>
                <w:b/>
                <w:sz w:val="20"/>
                <w:szCs w:val="20"/>
              </w:rPr>
            </w:pPr>
            <w:r w:rsidRPr="009D3AE9">
              <w:rPr>
                <w:rFonts w:ascii="Arial" w:hAnsi="Arial" w:cs="Arial"/>
                <w:b/>
                <w:sz w:val="20"/>
                <w:szCs w:val="20"/>
              </w:rPr>
              <w:t>Procurement Description</w:t>
            </w:r>
          </w:p>
        </w:tc>
        <w:tc>
          <w:tcPr>
            <w:tcW w:w="603" w:type="pct"/>
            <w:tcBorders>
              <w:top w:val="single" w:sz="4" w:space="0" w:color="B1BBCC"/>
              <w:left w:val="single" w:sz="4" w:space="0" w:color="B1BBCC"/>
              <w:bottom w:val="single" w:sz="4" w:space="0" w:color="B1BBCC"/>
              <w:right w:val="single" w:sz="4" w:space="0" w:color="B1BBCC"/>
            </w:tcBorders>
            <w:shd w:val="clear" w:color="auto" w:fill="auto"/>
            <w:vAlign w:val="center"/>
            <w:hideMark/>
          </w:tcPr>
          <w:p w:rsidR="001E62D3" w:rsidRPr="009D3AE9" w:rsidRDefault="001E62D3" w:rsidP="009D3AE9">
            <w:pPr>
              <w:rPr>
                <w:rFonts w:ascii="Arial" w:hAnsi="Arial" w:cs="Arial"/>
                <w:b/>
                <w:sz w:val="20"/>
                <w:szCs w:val="20"/>
              </w:rPr>
            </w:pPr>
            <w:r w:rsidRPr="009D3AE9">
              <w:rPr>
                <w:rFonts w:ascii="Arial" w:hAnsi="Arial" w:cs="Arial"/>
                <w:b/>
                <w:sz w:val="20"/>
                <w:szCs w:val="20"/>
              </w:rPr>
              <w:t>Procurement type</w:t>
            </w:r>
          </w:p>
        </w:tc>
        <w:tc>
          <w:tcPr>
            <w:tcW w:w="428" w:type="pct"/>
            <w:tcBorders>
              <w:top w:val="single" w:sz="4" w:space="0" w:color="B1BBCC"/>
              <w:left w:val="single" w:sz="4" w:space="0" w:color="B1BBCC"/>
              <w:bottom w:val="single" w:sz="4" w:space="0" w:color="B1BBCC"/>
              <w:right w:val="single" w:sz="4" w:space="0" w:color="B1BBCC"/>
            </w:tcBorders>
            <w:shd w:val="clear" w:color="auto" w:fill="auto"/>
            <w:vAlign w:val="center"/>
            <w:hideMark/>
          </w:tcPr>
          <w:p w:rsidR="001E62D3" w:rsidRPr="009D3AE9" w:rsidRDefault="001E62D3" w:rsidP="009D3AE9">
            <w:pPr>
              <w:rPr>
                <w:rFonts w:ascii="Arial" w:hAnsi="Arial" w:cs="Arial"/>
                <w:b/>
                <w:sz w:val="20"/>
                <w:szCs w:val="20"/>
              </w:rPr>
            </w:pPr>
            <w:r w:rsidRPr="009D3AE9">
              <w:rPr>
                <w:rFonts w:ascii="Arial" w:hAnsi="Arial" w:cs="Arial"/>
                <w:b/>
                <w:sz w:val="20"/>
                <w:szCs w:val="20"/>
              </w:rPr>
              <w:t>Estimated Contract Cost</w:t>
            </w:r>
          </w:p>
        </w:tc>
        <w:tc>
          <w:tcPr>
            <w:tcW w:w="547" w:type="pct"/>
            <w:tcBorders>
              <w:top w:val="single" w:sz="4" w:space="0" w:color="B1BBCC"/>
              <w:left w:val="single" w:sz="4" w:space="0" w:color="B1BBCC"/>
              <w:bottom w:val="single" w:sz="4" w:space="0" w:color="B1BBCC"/>
              <w:right w:val="single" w:sz="4" w:space="0" w:color="B1BBCC"/>
            </w:tcBorders>
            <w:shd w:val="clear" w:color="auto" w:fill="auto"/>
            <w:vAlign w:val="center"/>
            <w:hideMark/>
          </w:tcPr>
          <w:p w:rsidR="001E62D3" w:rsidRPr="009D3AE9" w:rsidRDefault="001E62D3" w:rsidP="009D3AE9">
            <w:pPr>
              <w:rPr>
                <w:rFonts w:ascii="Arial" w:hAnsi="Arial" w:cs="Arial"/>
                <w:b/>
                <w:sz w:val="20"/>
                <w:szCs w:val="20"/>
              </w:rPr>
            </w:pPr>
            <w:r w:rsidRPr="009D3AE9">
              <w:rPr>
                <w:rFonts w:ascii="Arial" w:hAnsi="Arial" w:cs="Arial"/>
                <w:b/>
                <w:sz w:val="20"/>
                <w:szCs w:val="20"/>
              </w:rPr>
              <w:t>Procurement method</w:t>
            </w:r>
          </w:p>
        </w:tc>
        <w:tc>
          <w:tcPr>
            <w:tcW w:w="321" w:type="pct"/>
            <w:tcBorders>
              <w:top w:val="single" w:sz="4" w:space="0" w:color="B1BBCC"/>
              <w:left w:val="single" w:sz="4" w:space="0" w:color="B1BBCC"/>
              <w:bottom w:val="single" w:sz="4" w:space="0" w:color="B1BBCC"/>
              <w:right w:val="single" w:sz="4" w:space="0" w:color="B1BBCC"/>
            </w:tcBorders>
            <w:shd w:val="clear" w:color="auto" w:fill="auto"/>
            <w:vAlign w:val="center"/>
            <w:hideMark/>
          </w:tcPr>
          <w:p w:rsidR="001E62D3" w:rsidRPr="009D3AE9" w:rsidRDefault="001E62D3" w:rsidP="009D3AE9">
            <w:pPr>
              <w:rPr>
                <w:rFonts w:ascii="Arial" w:hAnsi="Arial" w:cs="Arial"/>
                <w:b/>
                <w:sz w:val="20"/>
                <w:szCs w:val="20"/>
              </w:rPr>
            </w:pPr>
            <w:r w:rsidRPr="009D3AE9">
              <w:rPr>
                <w:rFonts w:ascii="Arial" w:hAnsi="Arial" w:cs="Arial"/>
                <w:b/>
                <w:sz w:val="20"/>
                <w:szCs w:val="20"/>
              </w:rPr>
              <w:t>Review Type</w:t>
            </w:r>
          </w:p>
        </w:tc>
        <w:tc>
          <w:tcPr>
            <w:tcW w:w="418" w:type="pct"/>
            <w:tcBorders>
              <w:top w:val="single" w:sz="4" w:space="0" w:color="B1BBCC"/>
              <w:left w:val="single" w:sz="4" w:space="0" w:color="B1BBCC"/>
              <w:bottom w:val="single" w:sz="4" w:space="0" w:color="B1BBCC"/>
              <w:right w:val="single" w:sz="4" w:space="0" w:color="B1BBCC"/>
            </w:tcBorders>
            <w:shd w:val="clear" w:color="auto" w:fill="auto"/>
            <w:vAlign w:val="center"/>
            <w:hideMark/>
          </w:tcPr>
          <w:p w:rsidR="001E62D3" w:rsidRPr="009D3AE9" w:rsidRDefault="001E62D3" w:rsidP="009D3AE9">
            <w:pPr>
              <w:rPr>
                <w:rFonts w:ascii="Arial" w:hAnsi="Arial" w:cs="Arial"/>
                <w:b/>
                <w:sz w:val="20"/>
                <w:szCs w:val="20"/>
              </w:rPr>
            </w:pPr>
            <w:r w:rsidRPr="009D3AE9">
              <w:rPr>
                <w:rFonts w:ascii="Arial" w:hAnsi="Arial" w:cs="Arial"/>
                <w:b/>
                <w:sz w:val="20"/>
                <w:szCs w:val="20"/>
              </w:rPr>
              <w:t>Financing Source (IDB %)</w:t>
            </w:r>
          </w:p>
        </w:tc>
        <w:tc>
          <w:tcPr>
            <w:tcW w:w="650" w:type="pct"/>
            <w:tcBorders>
              <w:top w:val="single" w:sz="4" w:space="0" w:color="B1BBCC"/>
              <w:left w:val="single" w:sz="4" w:space="0" w:color="B1BBCC"/>
              <w:bottom w:val="single" w:sz="4" w:space="0" w:color="B1BBCC"/>
              <w:right w:val="single" w:sz="4" w:space="0" w:color="B1BBCC"/>
            </w:tcBorders>
            <w:shd w:val="clear" w:color="auto" w:fill="auto"/>
            <w:vAlign w:val="center"/>
            <w:hideMark/>
          </w:tcPr>
          <w:p w:rsidR="001E62D3" w:rsidRPr="009D3AE9" w:rsidRDefault="001E62D3" w:rsidP="009D3AE9">
            <w:pPr>
              <w:rPr>
                <w:rFonts w:ascii="Arial" w:hAnsi="Arial" w:cs="Arial"/>
                <w:b/>
                <w:sz w:val="20"/>
                <w:szCs w:val="20"/>
              </w:rPr>
            </w:pPr>
            <w:r w:rsidRPr="009D3AE9">
              <w:rPr>
                <w:rFonts w:ascii="Arial" w:hAnsi="Arial" w:cs="Arial"/>
                <w:b/>
                <w:sz w:val="20"/>
                <w:szCs w:val="20"/>
              </w:rPr>
              <w:t>Prequalification (Y/N)</w:t>
            </w:r>
          </w:p>
        </w:tc>
        <w:tc>
          <w:tcPr>
            <w:tcW w:w="470" w:type="pct"/>
            <w:tcBorders>
              <w:top w:val="single" w:sz="4" w:space="0" w:color="B1BBCC"/>
              <w:left w:val="single" w:sz="4" w:space="0" w:color="B1BBCC"/>
              <w:bottom w:val="single" w:sz="4" w:space="0" w:color="B1BBCC"/>
              <w:right w:val="single" w:sz="4" w:space="0" w:color="B1BBCC"/>
            </w:tcBorders>
            <w:shd w:val="clear" w:color="auto" w:fill="auto"/>
            <w:vAlign w:val="center"/>
            <w:hideMark/>
          </w:tcPr>
          <w:p w:rsidR="001E62D3" w:rsidRPr="009D3AE9" w:rsidRDefault="001E62D3" w:rsidP="009D3AE9">
            <w:pPr>
              <w:rPr>
                <w:rFonts w:ascii="Arial" w:hAnsi="Arial" w:cs="Arial"/>
                <w:b/>
                <w:sz w:val="20"/>
                <w:szCs w:val="20"/>
              </w:rPr>
            </w:pPr>
            <w:r w:rsidRPr="009D3AE9">
              <w:rPr>
                <w:rFonts w:ascii="Arial" w:hAnsi="Arial" w:cs="Arial"/>
                <w:b/>
                <w:sz w:val="20"/>
                <w:szCs w:val="20"/>
              </w:rPr>
              <w:t>Publication of SPN</w:t>
            </w:r>
          </w:p>
        </w:tc>
        <w:tc>
          <w:tcPr>
            <w:tcW w:w="413" w:type="pct"/>
            <w:tcBorders>
              <w:top w:val="single" w:sz="4" w:space="0" w:color="B1BBCC"/>
              <w:left w:val="single" w:sz="4" w:space="0" w:color="B1BBCC"/>
              <w:bottom w:val="single" w:sz="4" w:space="0" w:color="B1BBCC"/>
              <w:right w:val="single" w:sz="4" w:space="0" w:color="B1BBCC"/>
            </w:tcBorders>
            <w:shd w:val="clear" w:color="auto" w:fill="auto"/>
            <w:vAlign w:val="center"/>
            <w:hideMark/>
          </w:tcPr>
          <w:p w:rsidR="001E62D3" w:rsidRPr="009D3AE9" w:rsidRDefault="001E62D3" w:rsidP="009D3AE9">
            <w:pPr>
              <w:rPr>
                <w:rFonts w:ascii="Arial" w:hAnsi="Arial" w:cs="Arial"/>
                <w:b/>
                <w:sz w:val="20"/>
                <w:szCs w:val="20"/>
              </w:rPr>
            </w:pPr>
            <w:r w:rsidRPr="009D3AE9">
              <w:rPr>
                <w:rFonts w:ascii="Arial" w:hAnsi="Arial" w:cs="Arial"/>
                <w:b/>
                <w:sz w:val="20"/>
                <w:szCs w:val="20"/>
              </w:rPr>
              <w:t>Est. Contract Signature Date</w:t>
            </w:r>
          </w:p>
        </w:tc>
        <w:tc>
          <w:tcPr>
            <w:tcW w:w="547" w:type="pct"/>
            <w:tcBorders>
              <w:top w:val="single" w:sz="4" w:space="0" w:color="B1BBCC"/>
              <w:left w:val="single" w:sz="4" w:space="0" w:color="B1BBCC"/>
              <w:bottom w:val="single" w:sz="4" w:space="0" w:color="B1BBCC"/>
              <w:right w:val="single" w:sz="4" w:space="0" w:color="B1BBCC"/>
            </w:tcBorders>
            <w:shd w:val="clear" w:color="auto" w:fill="auto"/>
            <w:vAlign w:val="center"/>
            <w:hideMark/>
          </w:tcPr>
          <w:p w:rsidR="001E62D3" w:rsidRPr="009D3AE9" w:rsidRDefault="001E62D3" w:rsidP="009D3AE9">
            <w:pPr>
              <w:rPr>
                <w:rFonts w:ascii="Arial" w:hAnsi="Arial" w:cs="Arial"/>
                <w:b/>
                <w:sz w:val="20"/>
                <w:szCs w:val="20"/>
              </w:rPr>
            </w:pPr>
            <w:r w:rsidRPr="009D3AE9">
              <w:rPr>
                <w:rFonts w:ascii="Arial" w:hAnsi="Arial" w:cs="Arial"/>
                <w:b/>
                <w:sz w:val="20"/>
                <w:szCs w:val="20"/>
              </w:rPr>
              <w:t>Procurement Status</w:t>
            </w:r>
          </w:p>
        </w:tc>
      </w:tr>
      <w:tr w:rsidR="001E62D3" w:rsidRPr="00604D7A" w:rsidTr="00CF5D0A">
        <w:tc>
          <w:tcPr>
            <w:tcW w:w="603" w:type="pct"/>
            <w:tcBorders>
              <w:top w:val="single" w:sz="4" w:space="0" w:color="B1BBCC"/>
              <w:left w:val="single" w:sz="4" w:space="0" w:color="B1BBCC"/>
              <w:bottom w:val="single" w:sz="4" w:space="0" w:color="B1BBCC"/>
              <w:right w:val="single" w:sz="4" w:space="0" w:color="B1BBCC"/>
            </w:tcBorders>
            <w:shd w:val="clear" w:color="auto" w:fill="auto"/>
            <w:vAlign w:val="center"/>
            <w:hideMark/>
          </w:tcPr>
          <w:p w:rsidR="001E62D3" w:rsidRPr="00604D7A" w:rsidRDefault="001E62D3" w:rsidP="00CF5D0A">
            <w:pPr>
              <w:rPr>
                <w:rFonts w:ascii="Arial" w:eastAsia="Times New Roman" w:hAnsi="Arial" w:cs="Arial"/>
                <w:sz w:val="20"/>
                <w:szCs w:val="20"/>
                <w:lang w:val="en-US"/>
              </w:rPr>
            </w:pPr>
            <w:r w:rsidRPr="00604D7A">
              <w:rPr>
                <w:rFonts w:ascii="Arial" w:eastAsia="Times New Roman" w:hAnsi="Arial" w:cs="Arial"/>
                <w:b/>
                <w:bCs/>
                <w:color w:val="000000"/>
                <w:sz w:val="20"/>
                <w:szCs w:val="20"/>
                <w:shd w:val="clear" w:color="auto" w:fill="F2F2F2"/>
                <w:lang w:val="en-US"/>
              </w:rPr>
              <w:t>Auditing</w:t>
            </w:r>
          </w:p>
        </w:tc>
        <w:tc>
          <w:tcPr>
            <w:tcW w:w="603" w:type="pct"/>
            <w:tcBorders>
              <w:top w:val="single" w:sz="4" w:space="0" w:color="B1BBCC"/>
              <w:left w:val="single" w:sz="4" w:space="0" w:color="B1BBCC"/>
              <w:bottom w:val="single" w:sz="4" w:space="0" w:color="B1BBCC"/>
              <w:right w:val="single" w:sz="4" w:space="0" w:color="B1BBCC"/>
            </w:tcBorders>
            <w:shd w:val="clear" w:color="auto" w:fill="auto"/>
            <w:vAlign w:val="center"/>
            <w:hideMark/>
          </w:tcPr>
          <w:p w:rsidR="001E62D3" w:rsidRPr="00B65EB6" w:rsidRDefault="001E62D3" w:rsidP="00CF5D0A">
            <w:pPr>
              <w:rPr>
                <w:rFonts w:ascii="Arial" w:eastAsia="Times New Roman" w:hAnsi="Arial" w:cs="Arial"/>
                <w:sz w:val="20"/>
                <w:szCs w:val="20"/>
                <w:lang w:val="en-US"/>
              </w:rPr>
            </w:pPr>
            <w:r w:rsidRPr="00B65EB6">
              <w:rPr>
                <w:rFonts w:ascii="Arial" w:eastAsia="Times New Roman" w:hAnsi="Arial" w:cs="Arial"/>
                <w:b/>
                <w:bCs/>
                <w:color w:val="000000"/>
                <w:sz w:val="20"/>
                <w:szCs w:val="20"/>
                <w:shd w:val="clear" w:color="auto" w:fill="F2F2F2"/>
                <w:lang w:val="en-US"/>
              </w:rPr>
              <w:t>Consulting</w:t>
            </w:r>
          </w:p>
        </w:tc>
        <w:tc>
          <w:tcPr>
            <w:tcW w:w="428" w:type="pct"/>
            <w:tcBorders>
              <w:top w:val="single" w:sz="4" w:space="0" w:color="B1BBCC"/>
              <w:left w:val="single" w:sz="4" w:space="0" w:color="B1BBCC"/>
              <w:bottom w:val="single" w:sz="4" w:space="0" w:color="B1BBCC"/>
              <w:right w:val="single" w:sz="4" w:space="0" w:color="B1BBCC"/>
            </w:tcBorders>
            <w:shd w:val="clear" w:color="auto" w:fill="auto"/>
            <w:vAlign w:val="center"/>
          </w:tcPr>
          <w:p w:rsidR="001E62D3" w:rsidRPr="00B65EB6" w:rsidRDefault="001E62D3" w:rsidP="00CF5D0A">
            <w:pPr>
              <w:rPr>
                <w:rFonts w:ascii="Arial" w:eastAsia="Times New Roman" w:hAnsi="Arial" w:cs="Arial"/>
                <w:sz w:val="20"/>
                <w:szCs w:val="20"/>
                <w:lang w:val="en-US"/>
              </w:rPr>
            </w:pPr>
            <w:r>
              <w:rPr>
                <w:rFonts w:ascii="Arial" w:eastAsia="Times New Roman" w:hAnsi="Arial" w:cs="Arial"/>
                <w:sz w:val="20"/>
                <w:szCs w:val="20"/>
                <w:lang w:val="en-US"/>
              </w:rPr>
              <w:t>75,000 (1</w:t>
            </w:r>
            <w:r w:rsidRPr="00B65EB6">
              <w:rPr>
                <w:rFonts w:ascii="Arial" w:eastAsia="Times New Roman" w:hAnsi="Arial" w:cs="Arial"/>
                <w:sz w:val="20"/>
                <w:szCs w:val="20"/>
                <w:lang w:val="en-US"/>
              </w:rPr>
              <w:t>5,000 /year)</w:t>
            </w:r>
          </w:p>
        </w:tc>
        <w:tc>
          <w:tcPr>
            <w:tcW w:w="547" w:type="pct"/>
            <w:tcBorders>
              <w:top w:val="single" w:sz="4" w:space="0" w:color="B1BBCC"/>
              <w:left w:val="single" w:sz="4" w:space="0" w:color="B1BBCC"/>
              <w:bottom w:val="single" w:sz="4" w:space="0" w:color="B1BBCC"/>
              <w:right w:val="single" w:sz="4" w:space="0" w:color="B1BBCC"/>
            </w:tcBorders>
            <w:shd w:val="clear" w:color="auto" w:fill="auto"/>
            <w:vAlign w:val="center"/>
            <w:hideMark/>
          </w:tcPr>
          <w:p w:rsidR="001E62D3" w:rsidRPr="00B65EB6" w:rsidRDefault="001E62D3" w:rsidP="00CF5D0A">
            <w:pPr>
              <w:jc w:val="center"/>
              <w:rPr>
                <w:rFonts w:ascii="Arial" w:eastAsia="Times New Roman" w:hAnsi="Arial" w:cs="Arial"/>
                <w:sz w:val="20"/>
                <w:szCs w:val="20"/>
                <w:lang w:val="en-US"/>
              </w:rPr>
            </w:pPr>
            <w:r w:rsidRPr="00B65EB6">
              <w:rPr>
                <w:rFonts w:ascii="Arial" w:eastAsia="Times New Roman" w:hAnsi="Arial" w:cs="Arial"/>
                <w:sz w:val="20"/>
                <w:szCs w:val="20"/>
                <w:lang w:val="en-US"/>
              </w:rPr>
              <w:t>SSS</w:t>
            </w:r>
          </w:p>
        </w:tc>
        <w:tc>
          <w:tcPr>
            <w:tcW w:w="321" w:type="pct"/>
            <w:tcBorders>
              <w:top w:val="single" w:sz="4" w:space="0" w:color="B1BBCC"/>
              <w:left w:val="single" w:sz="4" w:space="0" w:color="B1BBCC"/>
              <w:bottom w:val="single" w:sz="4" w:space="0" w:color="B1BBCC"/>
              <w:right w:val="single" w:sz="4" w:space="0" w:color="B1BBCC"/>
            </w:tcBorders>
            <w:shd w:val="clear" w:color="auto" w:fill="auto"/>
            <w:vAlign w:val="center"/>
            <w:hideMark/>
          </w:tcPr>
          <w:p w:rsidR="001E62D3" w:rsidRPr="00B65EB6" w:rsidRDefault="001E62D3" w:rsidP="00CF5D0A">
            <w:pPr>
              <w:jc w:val="center"/>
              <w:rPr>
                <w:rFonts w:ascii="Arial" w:eastAsia="Times New Roman" w:hAnsi="Arial" w:cs="Arial"/>
                <w:sz w:val="20"/>
                <w:szCs w:val="20"/>
                <w:lang w:val="en-US"/>
              </w:rPr>
            </w:pPr>
            <w:r w:rsidRPr="00B65EB6">
              <w:rPr>
                <w:rFonts w:ascii="Arial" w:eastAsia="Times New Roman" w:hAnsi="Arial" w:cs="Arial"/>
                <w:b/>
                <w:bCs/>
                <w:color w:val="000000"/>
                <w:sz w:val="20"/>
                <w:szCs w:val="20"/>
                <w:shd w:val="clear" w:color="auto" w:fill="F2F2F2"/>
                <w:lang w:val="en-US"/>
              </w:rPr>
              <w:t>Ex-Ante</w:t>
            </w:r>
          </w:p>
        </w:tc>
        <w:tc>
          <w:tcPr>
            <w:tcW w:w="418" w:type="pct"/>
            <w:tcBorders>
              <w:top w:val="single" w:sz="4" w:space="0" w:color="B1BBCC"/>
              <w:left w:val="single" w:sz="4" w:space="0" w:color="B1BBCC"/>
              <w:bottom w:val="single" w:sz="4" w:space="0" w:color="B1BBCC"/>
              <w:right w:val="single" w:sz="4" w:space="0" w:color="B1BBCC"/>
            </w:tcBorders>
            <w:shd w:val="clear" w:color="auto" w:fill="auto"/>
            <w:vAlign w:val="center"/>
            <w:hideMark/>
          </w:tcPr>
          <w:p w:rsidR="001E62D3" w:rsidRPr="00B65EB6" w:rsidRDefault="001E62D3" w:rsidP="00CF5D0A">
            <w:pPr>
              <w:jc w:val="center"/>
              <w:rPr>
                <w:rFonts w:ascii="Arial" w:eastAsia="Times New Roman" w:hAnsi="Arial" w:cs="Arial"/>
                <w:sz w:val="20"/>
                <w:szCs w:val="20"/>
                <w:lang w:val="en-US"/>
              </w:rPr>
            </w:pPr>
            <w:r w:rsidRPr="00B65EB6">
              <w:rPr>
                <w:rFonts w:ascii="Arial" w:eastAsia="Times New Roman" w:hAnsi="Arial" w:cs="Arial"/>
                <w:b/>
                <w:bCs/>
                <w:color w:val="000000"/>
                <w:sz w:val="20"/>
                <w:szCs w:val="20"/>
                <w:shd w:val="clear" w:color="auto" w:fill="F2F2F2"/>
                <w:lang w:val="en-US"/>
              </w:rPr>
              <w:t>100</w:t>
            </w:r>
          </w:p>
        </w:tc>
        <w:tc>
          <w:tcPr>
            <w:tcW w:w="650" w:type="pct"/>
            <w:tcBorders>
              <w:top w:val="single" w:sz="4" w:space="0" w:color="B1BBCC"/>
              <w:left w:val="single" w:sz="4" w:space="0" w:color="B1BBCC"/>
              <w:bottom w:val="single" w:sz="4" w:space="0" w:color="B1BBCC"/>
              <w:right w:val="single" w:sz="4" w:space="0" w:color="B1BBCC"/>
            </w:tcBorders>
            <w:shd w:val="clear" w:color="auto" w:fill="auto"/>
            <w:vAlign w:val="center"/>
            <w:hideMark/>
          </w:tcPr>
          <w:p w:rsidR="001E62D3" w:rsidRPr="00B65EB6" w:rsidRDefault="001E62D3" w:rsidP="00CF5D0A">
            <w:pPr>
              <w:jc w:val="center"/>
              <w:rPr>
                <w:rFonts w:ascii="Arial" w:eastAsia="Times New Roman" w:hAnsi="Arial" w:cs="Arial"/>
                <w:sz w:val="20"/>
                <w:szCs w:val="20"/>
                <w:lang w:val="en-US"/>
              </w:rPr>
            </w:pPr>
            <w:r w:rsidRPr="00B65EB6">
              <w:rPr>
                <w:rFonts w:ascii="Arial" w:eastAsia="Times New Roman" w:hAnsi="Arial" w:cs="Arial"/>
                <w:sz w:val="20"/>
                <w:szCs w:val="20"/>
                <w:lang w:val="en-US"/>
              </w:rPr>
              <w:t>N</w:t>
            </w:r>
          </w:p>
        </w:tc>
        <w:tc>
          <w:tcPr>
            <w:tcW w:w="470" w:type="pct"/>
            <w:tcBorders>
              <w:top w:val="single" w:sz="4" w:space="0" w:color="B1BBCC"/>
              <w:left w:val="single" w:sz="4" w:space="0" w:color="B1BBCC"/>
              <w:bottom w:val="single" w:sz="4" w:space="0" w:color="B1BBCC"/>
              <w:right w:val="single" w:sz="4" w:space="0" w:color="B1BBCC"/>
            </w:tcBorders>
            <w:shd w:val="clear" w:color="auto" w:fill="auto"/>
            <w:vAlign w:val="center"/>
            <w:hideMark/>
          </w:tcPr>
          <w:p w:rsidR="001E62D3" w:rsidRPr="00B65EB6" w:rsidRDefault="001E62D3" w:rsidP="00CF5D0A">
            <w:pPr>
              <w:rPr>
                <w:rFonts w:ascii="Arial" w:eastAsia="Times New Roman" w:hAnsi="Arial" w:cs="Arial"/>
                <w:sz w:val="20"/>
                <w:szCs w:val="20"/>
                <w:lang w:val="en-US"/>
              </w:rPr>
            </w:pPr>
            <w:r w:rsidRPr="00B65EB6">
              <w:rPr>
                <w:rFonts w:ascii="Arial" w:eastAsia="Times New Roman" w:hAnsi="Arial" w:cs="Arial"/>
                <w:b/>
                <w:bCs/>
                <w:color w:val="000000"/>
                <w:sz w:val="20"/>
                <w:szCs w:val="20"/>
                <w:shd w:val="clear" w:color="auto" w:fill="F2F2F2"/>
                <w:lang w:val="en-US"/>
              </w:rPr>
              <w:t>NA</w:t>
            </w:r>
          </w:p>
        </w:tc>
        <w:tc>
          <w:tcPr>
            <w:tcW w:w="413" w:type="pct"/>
            <w:tcBorders>
              <w:top w:val="single" w:sz="4" w:space="0" w:color="B1BBCC"/>
              <w:left w:val="single" w:sz="4" w:space="0" w:color="B1BBCC"/>
              <w:bottom w:val="single" w:sz="4" w:space="0" w:color="B1BBCC"/>
              <w:right w:val="single" w:sz="4" w:space="0" w:color="B1BBCC"/>
            </w:tcBorders>
            <w:shd w:val="clear" w:color="auto" w:fill="auto"/>
            <w:vAlign w:val="center"/>
          </w:tcPr>
          <w:p w:rsidR="001E62D3" w:rsidRPr="00B65EB6" w:rsidRDefault="001E62D3" w:rsidP="00CF5D0A">
            <w:pPr>
              <w:rPr>
                <w:rFonts w:ascii="Arial" w:eastAsia="Times New Roman" w:hAnsi="Arial" w:cs="Arial"/>
                <w:sz w:val="20"/>
                <w:szCs w:val="20"/>
                <w:lang w:val="en-US"/>
              </w:rPr>
            </w:pPr>
            <w:r w:rsidRPr="00B65EB6">
              <w:rPr>
                <w:rFonts w:ascii="Arial" w:eastAsia="Times New Roman" w:hAnsi="Arial" w:cs="Arial"/>
                <w:b/>
                <w:bCs/>
                <w:color w:val="000000"/>
                <w:sz w:val="20"/>
                <w:szCs w:val="20"/>
                <w:shd w:val="clear" w:color="auto" w:fill="F2F2F2"/>
                <w:lang w:val="en-US"/>
              </w:rPr>
              <w:t>NA</w:t>
            </w:r>
          </w:p>
        </w:tc>
        <w:tc>
          <w:tcPr>
            <w:tcW w:w="547" w:type="pct"/>
            <w:tcBorders>
              <w:top w:val="single" w:sz="4" w:space="0" w:color="B1BBCC"/>
              <w:left w:val="single" w:sz="4" w:space="0" w:color="B1BBCC"/>
              <w:bottom w:val="single" w:sz="4" w:space="0" w:color="B1BBCC"/>
              <w:right w:val="single" w:sz="4" w:space="0" w:color="B1BBCC"/>
            </w:tcBorders>
            <w:shd w:val="clear" w:color="auto" w:fill="auto"/>
            <w:vAlign w:val="center"/>
          </w:tcPr>
          <w:p w:rsidR="001E62D3" w:rsidRPr="00B65EB6" w:rsidRDefault="001E62D3" w:rsidP="00CF5D0A">
            <w:pPr>
              <w:jc w:val="center"/>
              <w:rPr>
                <w:rFonts w:ascii="Arial" w:eastAsia="Times New Roman" w:hAnsi="Arial" w:cs="Arial"/>
                <w:sz w:val="20"/>
                <w:szCs w:val="20"/>
                <w:lang w:val="en-US"/>
              </w:rPr>
            </w:pPr>
            <w:r w:rsidRPr="00B65EB6">
              <w:rPr>
                <w:rFonts w:ascii="Arial" w:eastAsia="Times New Roman" w:hAnsi="Arial" w:cs="Arial"/>
                <w:sz w:val="20"/>
                <w:szCs w:val="20"/>
                <w:lang w:val="en-US"/>
              </w:rPr>
              <w:t>TBD for the first year</w:t>
            </w:r>
          </w:p>
        </w:tc>
      </w:tr>
      <w:tr w:rsidR="001E62D3" w:rsidRPr="00604D7A" w:rsidTr="00CF5D0A">
        <w:tc>
          <w:tcPr>
            <w:tcW w:w="5000" w:type="pct"/>
            <w:gridSpan w:val="10"/>
            <w:tcBorders>
              <w:top w:val="single" w:sz="4" w:space="0" w:color="B1BBCC"/>
              <w:left w:val="single" w:sz="4" w:space="0" w:color="B1BBCC"/>
              <w:bottom w:val="single" w:sz="4" w:space="0" w:color="B1BBCC"/>
              <w:right w:val="single" w:sz="4" w:space="0" w:color="B1BBCC"/>
            </w:tcBorders>
            <w:shd w:val="clear" w:color="auto" w:fill="auto"/>
            <w:vAlign w:val="center"/>
          </w:tcPr>
          <w:p w:rsidR="001E62D3" w:rsidRPr="00604D7A" w:rsidRDefault="001E62D3" w:rsidP="00CF5D0A">
            <w:pPr>
              <w:rPr>
                <w:rFonts w:ascii="Arial" w:eastAsia="Times New Roman" w:hAnsi="Arial" w:cs="Arial"/>
                <w:sz w:val="20"/>
                <w:szCs w:val="20"/>
                <w:lang w:val="en-US"/>
              </w:rPr>
            </w:pPr>
            <w:r w:rsidRPr="00604D7A">
              <w:rPr>
                <w:rFonts w:ascii="Arial" w:hAnsi="Arial" w:cs="Arial"/>
                <w:sz w:val="20"/>
                <w:szCs w:val="20"/>
              </w:rPr>
              <w:t>The external audit will be undertaken by an independent audit firm acceptable to the IDB. The CBB will carry out the hiring of the firm and will have the option of using: (i) their current auditors, once eligible to audit IDB funded projects; or (ii) a competitive process to select the auditors for the project. In the event that a competitive process is followed, the IDB’s AF-200 Guide should be used.</w:t>
            </w:r>
          </w:p>
        </w:tc>
      </w:tr>
      <w:tr w:rsidR="001E62D3" w:rsidRPr="00604D7A" w:rsidTr="00CF5D0A">
        <w:tc>
          <w:tcPr>
            <w:tcW w:w="603" w:type="pct"/>
            <w:tcBorders>
              <w:top w:val="single" w:sz="4" w:space="0" w:color="B1BBCC"/>
              <w:left w:val="single" w:sz="4" w:space="0" w:color="B1BBCC"/>
              <w:bottom w:val="single" w:sz="4" w:space="0" w:color="B1BBCC"/>
              <w:right w:val="single" w:sz="4" w:space="0" w:color="B1BBCC"/>
            </w:tcBorders>
            <w:shd w:val="clear" w:color="auto" w:fill="auto"/>
            <w:vAlign w:val="center"/>
            <w:hideMark/>
          </w:tcPr>
          <w:p w:rsidR="001E62D3" w:rsidRPr="00604D7A" w:rsidRDefault="001E62D3" w:rsidP="00CF5D0A">
            <w:pPr>
              <w:rPr>
                <w:rFonts w:ascii="Arial" w:eastAsia="Times New Roman" w:hAnsi="Arial" w:cs="Arial"/>
                <w:sz w:val="20"/>
                <w:szCs w:val="20"/>
                <w:lang w:val="en-US"/>
              </w:rPr>
            </w:pPr>
            <w:r w:rsidRPr="00604D7A">
              <w:rPr>
                <w:rFonts w:ascii="Arial" w:eastAsia="Times New Roman" w:hAnsi="Arial" w:cs="Arial"/>
                <w:b/>
                <w:bCs/>
                <w:color w:val="000000"/>
                <w:sz w:val="20"/>
                <w:szCs w:val="20"/>
                <w:shd w:val="clear" w:color="auto" w:fill="F2F2F2"/>
                <w:lang w:val="en-US"/>
              </w:rPr>
              <w:t xml:space="preserve">Support Monitoring and evaluation </w:t>
            </w:r>
          </w:p>
        </w:tc>
        <w:tc>
          <w:tcPr>
            <w:tcW w:w="603" w:type="pct"/>
            <w:tcBorders>
              <w:top w:val="single" w:sz="4" w:space="0" w:color="B1BBCC"/>
              <w:left w:val="single" w:sz="4" w:space="0" w:color="B1BBCC"/>
              <w:bottom w:val="single" w:sz="4" w:space="0" w:color="B1BBCC"/>
              <w:right w:val="single" w:sz="4" w:space="0" w:color="B1BBCC"/>
            </w:tcBorders>
            <w:shd w:val="clear" w:color="auto" w:fill="auto"/>
            <w:vAlign w:val="center"/>
            <w:hideMark/>
          </w:tcPr>
          <w:p w:rsidR="001E62D3" w:rsidRPr="00B65EB6" w:rsidRDefault="001E62D3" w:rsidP="00CF5D0A">
            <w:pPr>
              <w:rPr>
                <w:rFonts w:ascii="Arial" w:eastAsia="Times New Roman" w:hAnsi="Arial" w:cs="Arial"/>
                <w:sz w:val="20"/>
                <w:szCs w:val="20"/>
                <w:lang w:val="en-US"/>
              </w:rPr>
            </w:pPr>
            <w:r w:rsidRPr="00B65EB6">
              <w:rPr>
                <w:rFonts w:ascii="Arial" w:eastAsia="Times New Roman" w:hAnsi="Arial" w:cs="Arial"/>
                <w:b/>
                <w:bCs/>
                <w:color w:val="000000"/>
                <w:sz w:val="20"/>
                <w:szCs w:val="20"/>
                <w:shd w:val="clear" w:color="auto" w:fill="F2F2F2"/>
                <w:lang w:val="en-US"/>
              </w:rPr>
              <w:t>Consulting</w:t>
            </w:r>
          </w:p>
        </w:tc>
        <w:tc>
          <w:tcPr>
            <w:tcW w:w="428" w:type="pct"/>
            <w:tcBorders>
              <w:top w:val="single" w:sz="4" w:space="0" w:color="B1BBCC"/>
              <w:left w:val="single" w:sz="4" w:space="0" w:color="B1BBCC"/>
              <w:bottom w:val="single" w:sz="4" w:space="0" w:color="B1BBCC"/>
              <w:right w:val="single" w:sz="4" w:space="0" w:color="B1BBCC"/>
            </w:tcBorders>
            <w:shd w:val="clear" w:color="auto" w:fill="auto"/>
            <w:vAlign w:val="center"/>
          </w:tcPr>
          <w:p w:rsidR="001E62D3" w:rsidRPr="00B65EB6" w:rsidRDefault="001E62D3" w:rsidP="00CF5D0A">
            <w:pPr>
              <w:rPr>
                <w:rFonts w:ascii="Arial" w:eastAsia="Times New Roman" w:hAnsi="Arial" w:cs="Arial"/>
                <w:sz w:val="20"/>
                <w:szCs w:val="20"/>
                <w:lang w:val="en-US"/>
              </w:rPr>
            </w:pPr>
            <w:r w:rsidRPr="00B65EB6">
              <w:rPr>
                <w:rFonts w:ascii="Arial" w:eastAsia="Times New Roman" w:hAnsi="Arial" w:cs="Arial"/>
                <w:sz w:val="20"/>
                <w:szCs w:val="20"/>
                <w:lang w:val="en-US"/>
              </w:rPr>
              <w:t>75,000</w:t>
            </w:r>
          </w:p>
        </w:tc>
        <w:tc>
          <w:tcPr>
            <w:tcW w:w="547" w:type="pct"/>
            <w:tcBorders>
              <w:top w:val="single" w:sz="4" w:space="0" w:color="B1BBCC"/>
              <w:left w:val="single" w:sz="4" w:space="0" w:color="B1BBCC"/>
              <w:bottom w:val="single" w:sz="4" w:space="0" w:color="B1BBCC"/>
              <w:right w:val="single" w:sz="4" w:space="0" w:color="B1BBCC"/>
            </w:tcBorders>
            <w:shd w:val="clear" w:color="auto" w:fill="auto"/>
            <w:vAlign w:val="center"/>
          </w:tcPr>
          <w:p w:rsidR="001E62D3" w:rsidRPr="00B65EB6" w:rsidRDefault="001E62D3" w:rsidP="00CF5D0A">
            <w:pPr>
              <w:jc w:val="center"/>
              <w:rPr>
                <w:rFonts w:ascii="Arial" w:eastAsia="Times New Roman" w:hAnsi="Arial" w:cs="Arial"/>
                <w:sz w:val="20"/>
                <w:szCs w:val="20"/>
                <w:lang w:val="en-US"/>
              </w:rPr>
            </w:pPr>
            <w:r w:rsidRPr="00B65EB6">
              <w:rPr>
                <w:rFonts w:ascii="Arial" w:eastAsia="Times New Roman" w:hAnsi="Arial" w:cs="Arial"/>
                <w:sz w:val="20"/>
                <w:szCs w:val="20"/>
                <w:lang w:val="en-US"/>
              </w:rPr>
              <w:t>IICC and NICQ</w:t>
            </w:r>
          </w:p>
        </w:tc>
        <w:tc>
          <w:tcPr>
            <w:tcW w:w="321" w:type="pct"/>
            <w:tcBorders>
              <w:top w:val="single" w:sz="4" w:space="0" w:color="B1BBCC"/>
              <w:left w:val="single" w:sz="4" w:space="0" w:color="B1BBCC"/>
              <w:bottom w:val="single" w:sz="4" w:space="0" w:color="B1BBCC"/>
              <w:right w:val="single" w:sz="4" w:space="0" w:color="B1BBCC"/>
            </w:tcBorders>
            <w:shd w:val="clear" w:color="auto" w:fill="auto"/>
            <w:vAlign w:val="center"/>
          </w:tcPr>
          <w:p w:rsidR="001E62D3" w:rsidRPr="00B65EB6" w:rsidRDefault="001E62D3" w:rsidP="00CF5D0A">
            <w:pPr>
              <w:jc w:val="center"/>
              <w:rPr>
                <w:rFonts w:ascii="Arial" w:eastAsia="Times New Roman" w:hAnsi="Arial" w:cs="Arial"/>
                <w:sz w:val="20"/>
                <w:szCs w:val="20"/>
                <w:lang w:val="en-US"/>
              </w:rPr>
            </w:pPr>
            <w:r w:rsidRPr="00B65EB6">
              <w:rPr>
                <w:rFonts w:ascii="Arial" w:eastAsia="Times New Roman" w:hAnsi="Arial" w:cs="Arial"/>
                <w:sz w:val="20"/>
                <w:szCs w:val="20"/>
                <w:lang w:val="en-US"/>
              </w:rPr>
              <w:t>Ex-post</w:t>
            </w:r>
          </w:p>
        </w:tc>
        <w:tc>
          <w:tcPr>
            <w:tcW w:w="418" w:type="pct"/>
            <w:tcBorders>
              <w:top w:val="single" w:sz="4" w:space="0" w:color="B1BBCC"/>
              <w:left w:val="single" w:sz="4" w:space="0" w:color="B1BBCC"/>
              <w:bottom w:val="single" w:sz="4" w:space="0" w:color="B1BBCC"/>
              <w:right w:val="single" w:sz="4" w:space="0" w:color="B1BBCC"/>
            </w:tcBorders>
            <w:shd w:val="clear" w:color="auto" w:fill="auto"/>
            <w:vAlign w:val="center"/>
          </w:tcPr>
          <w:p w:rsidR="001E62D3" w:rsidRPr="00B65EB6" w:rsidRDefault="001E62D3" w:rsidP="00CF5D0A">
            <w:pPr>
              <w:jc w:val="center"/>
              <w:rPr>
                <w:rFonts w:ascii="Arial" w:eastAsia="Times New Roman" w:hAnsi="Arial" w:cs="Arial"/>
                <w:sz w:val="20"/>
                <w:szCs w:val="20"/>
                <w:lang w:val="en-US"/>
              </w:rPr>
            </w:pPr>
            <w:r w:rsidRPr="00B65EB6">
              <w:rPr>
                <w:rFonts w:ascii="Arial" w:eastAsia="Times New Roman" w:hAnsi="Arial" w:cs="Arial"/>
                <w:sz w:val="20"/>
                <w:szCs w:val="20"/>
                <w:lang w:val="en-US"/>
              </w:rPr>
              <w:t>100</w:t>
            </w:r>
          </w:p>
        </w:tc>
        <w:tc>
          <w:tcPr>
            <w:tcW w:w="650" w:type="pct"/>
            <w:tcBorders>
              <w:top w:val="single" w:sz="4" w:space="0" w:color="B1BBCC"/>
              <w:left w:val="single" w:sz="4" w:space="0" w:color="B1BBCC"/>
              <w:bottom w:val="single" w:sz="4" w:space="0" w:color="B1BBCC"/>
              <w:right w:val="single" w:sz="4" w:space="0" w:color="B1BBCC"/>
            </w:tcBorders>
            <w:shd w:val="clear" w:color="auto" w:fill="auto"/>
            <w:vAlign w:val="center"/>
          </w:tcPr>
          <w:p w:rsidR="001E62D3" w:rsidRPr="00B65EB6" w:rsidRDefault="001E62D3" w:rsidP="00CF5D0A">
            <w:pPr>
              <w:jc w:val="center"/>
              <w:rPr>
                <w:rFonts w:ascii="Arial" w:eastAsia="Times New Roman" w:hAnsi="Arial" w:cs="Arial"/>
                <w:sz w:val="20"/>
                <w:szCs w:val="20"/>
                <w:lang w:val="en-US"/>
              </w:rPr>
            </w:pPr>
            <w:r w:rsidRPr="00B65EB6">
              <w:rPr>
                <w:rFonts w:ascii="Arial" w:eastAsia="Times New Roman" w:hAnsi="Arial" w:cs="Arial"/>
                <w:sz w:val="20"/>
                <w:szCs w:val="20"/>
                <w:lang w:val="en-US"/>
              </w:rPr>
              <w:t>N</w:t>
            </w:r>
          </w:p>
        </w:tc>
        <w:tc>
          <w:tcPr>
            <w:tcW w:w="470" w:type="pct"/>
            <w:tcBorders>
              <w:top w:val="single" w:sz="4" w:space="0" w:color="B1BBCC"/>
              <w:left w:val="single" w:sz="4" w:space="0" w:color="B1BBCC"/>
              <w:bottom w:val="single" w:sz="4" w:space="0" w:color="B1BBCC"/>
              <w:right w:val="single" w:sz="4" w:space="0" w:color="B1BBCC"/>
            </w:tcBorders>
            <w:shd w:val="clear" w:color="auto" w:fill="auto"/>
            <w:vAlign w:val="center"/>
          </w:tcPr>
          <w:p w:rsidR="001E62D3" w:rsidRPr="00B65EB6" w:rsidRDefault="001E62D3" w:rsidP="00CF5D0A">
            <w:pPr>
              <w:rPr>
                <w:rFonts w:ascii="Arial" w:eastAsia="Times New Roman" w:hAnsi="Arial" w:cs="Arial"/>
                <w:sz w:val="20"/>
                <w:szCs w:val="20"/>
                <w:lang w:val="en-US"/>
              </w:rPr>
            </w:pPr>
            <w:r w:rsidRPr="00B65EB6">
              <w:rPr>
                <w:rFonts w:ascii="Arial" w:eastAsia="Times New Roman" w:hAnsi="Arial" w:cs="Arial"/>
                <w:b/>
                <w:bCs/>
                <w:color w:val="000000"/>
                <w:sz w:val="20"/>
                <w:szCs w:val="20"/>
                <w:shd w:val="clear" w:color="auto" w:fill="F2F2F2"/>
                <w:lang w:val="en-US"/>
              </w:rPr>
              <w:t>NA</w:t>
            </w:r>
          </w:p>
        </w:tc>
        <w:tc>
          <w:tcPr>
            <w:tcW w:w="413" w:type="pct"/>
            <w:tcBorders>
              <w:top w:val="single" w:sz="4" w:space="0" w:color="B1BBCC"/>
              <w:left w:val="single" w:sz="4" w:space="0" w:color="B1BBCC"/>
              <w:bottom w:val="single" w:sz="4" w:space="0" w:color="B1BBCC"/>
              <w:right w:val="single" w:sz="4" w:space="0" w:color="B1BBCC"/>
            </w:tcBorders>
            <w:shd w:val="clear" w:color="auto" w:fill="auto"/>
            <w:vAlign w:val="center"/>
          </w:tcPr>
          <w:p w:rsidR="001E62D3" w:rsidRPr="00B65EB6" w:rsidRDefault="001E62D3" w:rsidP="00CF5D0A">
            <w:pPr>
              <w:rPr>
                <w:rFonts w:ascii="Arial" w:eastAsia="Times New Roman" w:hAnsi="Arial" w:cs="Arial"/>
                <w:sz w:val="20"/>
                <w:szCs w:val="20"/>
                <w:lang w:val="en-US"/>
              </w:rPr>
            </w:pPr>
            <w:r w:rsidRPr="00B65EB6">
              <w:rPr>
                <w:rFonts w:ascii="Arial" w:eastAsia="Times New Roman" w:hAnsi="Arial" w:cs="Arial"/>
                <w:b/>
                <w:bCs/>
                <w:color w:val="000000"/>
                <w:sz w:val="20"/>
                <w:szCs w:val="20"/>
                <w:shd w:val="clear" w:color="auto" w:fill="F2F2F2"/>
                <w:lang w:val="en-US"/>
              </w:rPr>
              <w:t>NA</w:t>
            </w:r>
          </w:p>
        </w:tc>
        <w:tc>
          <w:tcPr>
            <w:tcW w:w="547" w:type="pct"/>
            <w:tcBorders>
              <w:top w:val="single" w:sz="4" w:space="0" w:color="B1BBCC"/>
              <w:left w:val="single" w:sz="4" w:space="0" w:color="B1BBCC"/>
              <w:bottom w:val="single" w:sz="4" w:space="0" w:color="B1BBCC"/>
              <w:right w:val="single" w:sz="4" w:space="0" w:color="B1BBCC"/>
            </w:tcBorders>
            <w:shd w:val="clear" w:color="auto" w:fill="auto"/>
            <w:vAlign w:val="center"/>
          </w:tcPr>
          <w:p w:rsidR="001E62D3" w:rsidRPr="00B65EB6" w:rsidRDefault="001E62D3" w:rsidP="00CF5D0A">
            <w:pPr>
              <w:jc w:val="center"/>
              <w:rPr>
                <w:rFonts w:ascii="Arial" w:eastAsia="Times New Roman" w:hAnsi="Arial" w:cs="Arial"/>
                <w:sz w:val="20"/>
                <w:szCs w:val="20"/>
                <w:lang w:val="en-US"/>
              </w:rPr>
            </w:pPr>
            <w:r w:rsidRPr="00B65EB6">
              <w:rPr>
                <w:rFonts w:ascii="Arial" w:eastAsia="Times New Roman" w:hAnsi="Arial" w:cs="Arial"/>
                <w:sz w:val="20"/>
                <w:szCs w:val="20"/>
                <w:lang w:val="en-US"/>
              </w:rPr>
              <w:t>March 2016</w:t>
            </w:r>
          </w:p>
        </w:tc>
      </w:tr>
      <w:tr w:rsidR="001E62D3" w:rsidRPr="00604D7A" w:rsidTr="00CF5D0A">
        <w:tc>
          <w:tcPr>
            <w:tcW w:w="5000" w:type="pct"/>
            <w:gridSpan w:val="10"/>
            <w:tcBorders>
              <w:top w:val="single" w:sz="4" w:space="0" w:color="B1BBCC"/>
              <w:left w:val="single" w:sz="4" w:space="0" w:color="B1BBCC"/>
              <w:bottom w:val="single" w:sz="4" w:space="0" w:color="B1BBCC"/>
              <w:right w:val="single" w:sz="4" w:space="0" w:color="B1BBCC"/>
            </w:tcBorders>
            <w:shd w:val="clear" w:color="auto" w:fill="auto"/>
            <w:vAlign w:val="center"/>
          </w:tcPr>
          <w:p w:rsidR="001E62D3" w:rsidRPr="00604D7A" w:rsidRDefault="001E62D3" w:rsidP="00CF5D0A">
            <w:pPr>
              <w:rPr>
                <w:rFonts w:ascii="Arial" w:hAnsi="Arial" w:cs="Arial"/>
                <w:sz w:val="20"/>
                <w:szCs w:val="20"/>
              </w:rPr>
            </w:pPr>
            <w:r w:rsidRPr="00B65EB6">
              <w:rPr>
                <w:rFonts w:ascii="Arial" w:eastAsia="Times New Roman" w:hAnsi="Arial" w:cs="Arial"/>
                <w:bCs/>
                <w:color w:val="000000"/>
                <w:sz w:val="20"/>
                <w:szCs w:val="20"/>
                <w:shd w:val="clear" w:color="auto" w:fill="F2F2F2"/>
              </w:rPr>
              <w:t xml:space="preserve">Activities included: </w:t>
            </w:r>
            <w:r w:rsidRPr="00604D7A">
              <w:rPr>
                <w:rFonts w:ascii="Arial" w:hAnsi="Arial" w:cs="Arial"/>
                <w:sz w:val="20"/>
                <w:szCs w:val="20"/>
              </w:rPr>
              <w:t>Data Collection and Supervision for indicators, Data Analysis and Reporting, Distribution and discussion of the report, Survey to define control group values in the ex post CB (120 firms. Includes all stages of the process)</w:t>
            </w:r>
          </w:p>
          <w:p w:rsidR="001E62D3" w:rsidRPr="00604D7A" w:rsidRDefault="001E62D3" w:rsidP="00CF5D0A">
            <w:pPr>
              <w:rPr>
                <w:rFonts w:ascii="Arial" w:eastAsia="Times New Roman" w:hAnsi="Arial" w:cs="Arial"/>
                <w:sz w:val="20"/>
                <w:szCs w:val="20"/>
                <w:lang w:val="en-US"/>
              </w:rPr>
            </w:pPr>
            <w:r w:rsidRPr="00604D7A">
              <w:rPr>
                <w:rFonts w:ascii="Arial" w:eastAsia="Times New Roman" w:hAnsi="Arial" w:cs="Arial"/>
                <w:sz w:val="20"/>
                <w:szCs w:val="20"/>
                <w:lang w:val="en-US"/>
              </w:rPr>
              <w:t>Comments: Includes data management and preparation of continuous reports (fiduciary and technical) to IDB.</w:t>
            </w:r>
          </w:p>
        </w:tc>
      </w:tr>
      <w:tr w:rsidR="001E62D3" w:rsidRPr="00604D7A" w:rsidTr="00CF5D0A">
        <w:tc>
          <w:tcPr>
            <w:tcW w:w="603" w:type="pct"/>
            <w:tcBorders>
              <w:top w:val="single" w:sz="4" w:space="0" w:color="B1BBCC"/>
              <w:left w:val="single" w:sz="4" w:space="0" w:color="B1BBCC"/>
              <w:bottom w:val="single" w:sz="4" w:space="0" w:color="B1BBCC"/>
              <w:right w:val="single" w:sz="4" w:space="0" w:color="B1BBCC"/>
            </w:tcBorders>
            <w:shd w:val="clear" w:color="auto" w:fill="auto"/>
            <w:vAlign w:val="center"/>
            <w:hideMark/>
          </w:tcPr>
          <w:p w:rsidR="001E62D3" w:rsidRPr="00B65EB6" w:rsidRDefault="001E62D3" w:rsidP="00CF5D0A">
            <w:pPr>
              <w:rPr>
                <w:rFonts w:ascii="Arial" w:eastAsia="Times New Roman" w:hAnsi="Arial" w:cs="Arial"/>
                <w:sz w:val="20"/>
                <w:szCs w:val="20"/>
                <w:lang w:val="en-US"/>
              </w:rPr>
            </w:pPr>
            <w:r w:rsidRPr="00B65EB6">
              <w:rPr>
                <w:rFonts w:ascii="Arial" w:eastAsia="Times New Roman" w:hAnsi="Arial" w:cs="Arial"/>
                <w:b/>
                <w:bCs/>
                <w:color w:val="000000"/>
                <w:sz w:val="20"/>
                <w:szCs w:val="20"/>
                <w:shd w:val="clear" w:color="auto" w:fill="F2F2F2"/>
                <w:lang w:val="en-US"/>
              </w:rPr>
              <w:t xml:space="preserve">Evaluation </w:t>
            </w:r>
          </w:p>
        </w:tc>
        <w:tc>
          <w:tcPr>
            <w:tcW w:w="603" w:type="pct"/>
            <w:tcBorders>
              <w:top w:val="single" w:sz="4" w:space="0" w:color="B1BBCC"/>
              <w:left w:val="single" w:sz="4" w:space="0" w:color="B1BBCC"/>
              <w:bottom w:val="single" w:sz="4" w:space="0" w:color="B1BBCC"/>
              <w:right w:val="single" w:sz="4" w:space="0" w:color="B1BBCC"/>
            </w:tcBorders>
            <w:shd w:val="clear" w:color="auto" w:fill="auto"/>
            <w:vAlign w:val="center"/>
            <w:hideMark/>
          </w:tcPr>
          <w:p w:rsidR="001E62D3" w:rsidRPr="00B65EB6" w:rsidRDefault="001E62D3" w:rsidP="00CF5D0A">
            <w:pPr>
              <w:rPr>
                <w:rFonts w:ascii="Arial" w:eastAsia="Times New Roman" w:hAnsi="Arial" w:cs="Arial"/>
                <w:sz w:val="20"/>
                <w:szCs w:val="20"/>
                <w:lang w:val="en-US"/>
              </w:rPr>
            </w:pPr>
            <w:r w:rsidRPr="00B65EB6">
              <w:rPr>
                <w:rFonts w:ascii="Arial" w:eastAsia="Times New Roman" w:hAnsi="Arial" w:cs="Arial"/>
                <w:b/>
                <w:bCs/>
                <w:color w:val="000000"/>
                <w:sz w:val="20"/>
                <w:szCs w:val="20"/>
                <w:shd w:val="clear" w:color="auto" w:fill="F2F2F2"/>
                <w:lang w:val="en-US"/>
              </w:rPr>
              <w:t>Consulting</w:t>
            </w:r>
          </w:p>
        </w:tc>
        <w:tc>
          <w:tcPr>
            <w:tcW w:w="428" w:type="pct"/>
            <w:tcBorders>
              <w:top w:val="single" w:sz="4" w:space="0" w:color="B1BBCC"/>
              <w:left w:val="single" w:sz="4" w:space="0" w:color="B1BBCC"/>
              <w:bottom w:val="single" w:sz="4" w:space="0" w:color="B1BBCC"/>
              <w:right w:val="single" w:sz="4" w:space="0" w:color="B1BBCC"/>
            </w:tcBorders>
            <w:shd w:val="clear" w:color="auto" w:fill="auto"/>
            <w:vAlign w:val="center"/>
          </w:tcPr>
          <w:p w:rsidR="001E62D3" w:rsidRPr="00B65EB6" w:rsidRDefault="001E62D3" w:rsidP="00CF5D0A">
            <w:pPr>
              <w:rPr>
                <w:rFonts w:ascii="Arial" w:eastAsia="Times New Roman" w:hAnsi="Arial" w:cs="Arial"/>
                <w:sz w:val="20"/>
                <w:szCs w:val="20"/>
                <w:lang w:val="en-US"/>
              </w:rPr>
            </w:pPr>
            <w:r w:rsidRPr="00B65EB6">
              <w:rPr>
                <w:rFonts w:ascii="Arial" w:eastAsia="Times New Roman" w:hAnsi="Arial" w:cs="Arial"/>
                <w:sz w:val="20"/>
                <w:szCs w:val="20"/>
                <w:lang w:val="en-US"/>
              </w:rPr>
              <w:t>50,000</w:t>
            </w:r>
          </w:p>
        </w:tc>
        <w:tc>
          <w:tcPr>
            <w:tcW w:w="547" w:type="pct"/>
            <w:tcBorders>
              <w:top w:val="single" w:sz="4" w:space="0" w:color="B1BBCC"/>
              <w:left w:val="single" w:sz="4" w:space="0" w:color="B1BBCC"/>
              <w:bottom w:val="single" w:sz="4" w:space="0" w:color="B1BBCC"/>
              <w:right w:val="single" w:sz="4" w:space="0" w:color="B1BBCC"/>
            </w:tcBorders>
            <w:shd w:val="clear" w:color="auto" w:fill="auto"/>
            <w:vAlign w:val="center"/>
          </w:tcPr>
          <w:p w:rsidR="001E62D3" w:rsidRPr="00B65EB6" w:rsidRDefault="001E62D3" w:rsidP="00CF5D0A">
            <w:pPr>
              <w:jc w:val="center"/>
              <w:rPr>
                <w:rFonts w:ascii="Arial" w:eastAsia="Times New Roman" w:hAnsi="Arial" w:cs="Arial"/>
                <w:sz w:val="20"/>
                <w:szCs w:val="20"/>
                <w:lang w:val="en-US"/>
              </w:rPr>
            </w:pPr>
            <w:r w:rsidRPr="00B65EB6">
              <w:rPr>
                <w:rFonts w:ascii="Arial" w:eastAsia="Times New Roman" w:hAnsi="Arial" w:cs="Arial"/>
                <w:sz w:val="20"/>
                <w:szCs w:val="20"/>
                <w:lang w:val="en-US"/>
              </w:rPr>
              <w:t>IICC and NICQ</w:t>
            </w:r>
          </w:p>
        </w:tc>
        <w:tc>
          <w:tcPr>
            <w:tcW w:w="321" w:type="pct"/>
            <w:tcBorders>
              <w:top w:val="single" w:sz="4" w:space="0" w:color="B1BBCC"/>
              <w:left w:val="single" w:sz="4" w:space="0" w:color="B1BBCC"/>
              <w:bottom w:val="single" w:sz="4" w:space="0" w:color="B1BBCC"/>
              <w:right w:val="single" w:sz="4" w:space="0" w:color="B1BBCC"/>
            </w:tcBorders>
            <w:shd w:val="clear" w:color="auto" w:fill="auto"/>
            <w:vAlign w:val="center"/>
          </w:tcPr>
          <w:p w:rsidR="001E62D3" w:rsidRPr="00B65EB6" w:rsidRDefault="001E62D3" w:rsidP="00CF5D0A">
            <w:pPr>
              <w:jc w:val="center"/>
              <w:rPr>
                <w:rFonts w:ascii="Arial" w:eastAsia="Times New Roman" w:hAnsi="Arial" w:cs="Arial"/>
                <w:sz w:val="20"/>
                <w:szCs w:val="20"/>
                <w:lang w:val="en-US"/>
              </w:rPr>
            </w:pPr>
            <w:r w:rsidRPr="00B65EB6">
              <w:rPr>
                <w:rFonts w:ascii="Arial" w:eastAsia="Times New Roman" w:hAnsi="Arial" w:cs="Arial"/>
                <w:sz w:val="20"/>
                <w:szCs w:val="20"/>
                <w:lang w:val="en-US"/>
              </w:rPr>
              <w:t>Ex-post</w:t>
            </w:r>
          </w:p>
        </w:tc>
        <w:tc>
          <w:tcPr>
            <w:tcW w:w="418" w:type="pct"/>
            <w:tcBorders>
              <w:top w:val="single" w:sz="4" w:space="0" w:color="B1BBCC"/>
              <w:left w:val="single" w:sz="4" w:space="0" w:color="B1BBCC"/>
              <w:bottom w:val="single" w:sz="4" w:space="0" w:color="B1BBCC"/>
              <w:right w:val="single" w:sz="4" w:space="0" w:color="B1BBCC"/>
            </w:tcBorders>
            <w:shd w:val="clear" w:color="auto" w:fill="auto"/>
            <w:vAlign w:val="center"/>
          </w:tcPr>
          <w:p w:rsidR="001E62D3" w:rsidRPr="00B65EB6" w:rsidRDefault="001E62D3" w:rsidP="00CF5D0A">
            <w:pPr>
              <w:jc w:val="center"/>
              <w:rPr>
                <w:rFonts w:ascii="Arial" w:eastAsia="Times New Roman" w:hAnsi="Arial" w:cs="Arial"/>
                <w:sz w:val="20"/>
                <w:szCs w:val="20"/>
                <w:lang w:val="en-US"/>
              </w:rPr>
            </w:pPr>
            <w:r w:rsidRPr="00B65EB6">
              <w:rPr>
                <w:rFonts w:ascii="Arial" w:eastAsia="Times New Roman" w:hAnsi="Arial" w:cs="Arial"/>
                <w:sz w:val="20"/>
                <w:szCs w:val="20"/>
                <w:lang w:val="en-US"/>
              </w:rPr>
              <w:t>100</w:t>
            </w:r>
          </w:p>
        </w:tc>
        <w:tc>
          <w:tcPr>
            <w:tcW w:w="650" w:type="pct"/>
            <w:tcBorders>
              <w:top w:val="single" w:sz="4" w:space="0" w:color="B1BBCC"/>
              <w:left w:val="single" w:sz="4" w:space="0" w:color="B1BBCC"/>
              <w:bottom w:val="single" w:sz="4" w:space="0" w:color="B1BBCC"/>
              <w:right w:val="single" w:sz="4" w:space="0" w:color="B1BBCC"/>
            </w:tcBorders>
            <w:shd w:val="clear" w:color="auto" w:fill="auto"/>
            <w:vAlign w:val="center"/>
          </w:tcPr>
          <w:p w:rsidR="001E62D3" w:rsidRPr="00B65EB6" w:rsidRDefault="001E62D3" w:rsidP="00CF5D0A">
            <w:pPr>
              <w:jc w:val="center"/>
              <w:rPr>
                <w:rFonts w:ascii="Arial" w:eastAsia="Times New Roman" w:hAnsi="Arial" w:cs="Arial"/>
                <w:sz w:val="20"/>
                <w:szCs w:val="20"/>
                <w:lang w:val="en-US"/>
              </w:rPr>
            </w:pPr>
            <w:r w:rsidRPr="00B65EB6">
              <w:rPr>
                <w:rFonts w:ascii="Arial" w:eastAsia="Times New Roman" w:hAnsi="Arial" w:cs="Arial"/>
                <w:sz w:val="20"/>
                <w:szCs w:val="20"/>
                <w:lang w:val="en-US"/>
              </w:rPr>
              <w:t>N</w:t>
            </w:r>
          </w:p>
        </w:tc>
        <w:tc>
          <w:tcPr>
            <w:tcW w:w="470" w:type="pct"/>
            <w:tcBorders>
              <w:top w:val="single" w:sz="4" w:space="0" w:color="B1BBCC"/>
              <w:left w:val="single" w:sz="4" w:space="0" w:color="B1BBCC"/>
              <w:bottom w:val="single" w:sz="4" w:space="0" w:color="B1BBCC"/>
              <w:right w:val="single" w:sz="4" w:space="0" w:color="B1BBCC"/>
            </w:tcBorders>
            <w:shd w:val="clear" w:color="auto" w:fill="auto"/>
            <w:vAlign w:val="center"/>
          </w:tcPr>
          <w:p w:rsidR="001E62D3" w:rsidRPr="00B65EB6" w:rsidRDefault="001E62D3" w:rsidP="00CF5D0A">
            <w:pPr>
              <w:rPr>
                <w:rFonts w:ascii="Arial" w:eastAsia="Times New Roman" w:hAnsi="Arial" w:cs="Arial"/>
                <w:sz w:val="20"/>
                <w:szCs w:val="20"/>
                <w:lang w:val="en-US"/>
              </w:rPr>
            </w:pPr>
            <w:r w:rsidRPr="00B65EB6">
              <w:rPr>
                <w:rFonts w:ascii="Arial" w:eastAsia="Times New Roman" w:hAnsi="Arial" w:cs="Arial"/>
                <w:b/>
                <w:bCs/>
                <w:color w:val="000000"/>
                <w:sz w:val="20"/>
                <w:szCs w:val="20"/>
                <w:shd w:val="clear" w:color="auto" w:fill="F2F2F2"/>
                <w:lang w:val="en-US"/>
              </w:rPr>
              <w:t>NA</w:t>
            </w:r>
          </w:p>
        </w:tc>
        <w:tc>
          <w:tcPr>
            <w:tcW w:w="413" w:type="pct"/>
            <w:tcBorders>
              <w:top w:val="single" w:sz="4" w:space="0" w:color="B1BBCC"/>
              <w:left w:val="single" w:sz="4" w:space="0" w:color="B1BBCC"/>
              <w:bottom w:val="single" w:sz="4" w:space="0" w:color="B1BBCC"/>
              <w:right w:val="single" w:sz="4" w:space="0" w:color="B1BBCC"/>
            </w:tcBorders>
            <w:shd w:val="clear" w:color="auto" w:fill="auto"/>
            <w:vAlign w:val="center"/>
          </w:tcPr>
          <w:p w:rsidR="001E62D3" w:rsidRPr="00B65EB6" w:rsidRDefault="001E62D3" w:rsidP="00CF5D0A">
            <w:pPr>
              <w:rPr>
                <w:rFonts w:ascii="Arial" w:eastAsia="Times New Roman" w:hAnsi="Arial" w:cs="Arial"/>
                <w:sz w:val="20"/>
                <w:szCs w:val="20"/>
                <w:lang w:val="en-US"/>
              </w:rPr>
            </w:pPr>
            <w:r w:rsidRPr="00B65EB6">
              <w:rPr>
                <w:rFonts w:ascii="Arial" w:eastAsia="Times New Roman" w:hAnsi="Arial" w:cs="Arial"/>
                <w:b/>
                <w:bCs/>
                <w:color w:val="000000"/>
                <w:sz w:val="20"/>
                <w:szCs w:val="20"/>
                <w:shd w:val="clear" w:color="auto" w:fill="F2F2F2"/>
                <w:lang w:val="en-US"/>
              </w:rPr>
              <w:t>NA</w:t>
            </w:r>
          </w:p>
        </w:tc>
        <w:tc>
          <w:tcPr>
            <w:tcW w:w="547" w:type="pct"/>
            <w:tcBorders>
              <w:top w:val="single" w:sz="4" w:space="0" w:color="B1BBCC"/>
              <w:left w:val="single" w:sz="4" w:space="0" w:color="B1BBCC"/>
              <w:bottom w:val="single" w:sz="4" w:space="0" w:color="B1BBCC"/>
              <w:right w:val="single" w:sz="4" w:space="0" w:color="B1BBCC"/>
            </w:tcBorders>
            <w:shd w:val="clear" w:color="auto" w:fill="auto"/>
            <w:vAlign w:val="center"/>
          </w:tcPr>
          <w:p w:rsidR="001E62D3" w:rsidRPr="00B65EB6" w:rsidRDefault="001E62D3" w:rsidP="00CF5D0A">
            <w:pPr>
              <w:jc w:val="center"/>
              <w:rPr>
                <w:rFonts w:ascii="Arial" w:eastAsia="Times New Roman" w:hAnsi="Arial" w:cs="Arial"/>
                <w:sz w:val="20"/>
                <w:szCs w:val="20"/>
                <w:lang w:val="en-US"/>
              </w:rPr>
            </w:pPr>
            <w:r w:rsidRPr="00B65EB6">
              <w:rPr>
                <w:rFonts w:ascii="Arial" w:eastAsia="Times New Roman" w:hAnsi="Arial" w:cs="Arial"/>
                <w:sz w:val="20"/>
                <w:szCs w:val="20"/>
                <w:lang w:val="en-US"/>
              </w:rPr>
              <w:t>Year 2 and Year 4</w:t>
            </w:r>
          </w:p>
        </w:tc>
      </w:tr>
      <w:tr w:rsidR="001E62D3" w:rsidRPr="00604D7A" w:rsidTr="00CF5D0A">
        <w:tc>
          <w:tcPr>
            <w:tcW w:w="5000" w:type="pct"/>
            <w:gridSpan w:val="10"/>
            <w:tcBorders>
              <w:top w:val="single" w:sz="4" w:space="0" w:color="B1BBCC"/>
              <w:left w:val="single" w:sz="4" w:space="0" w:color="B1BBCC"/>
              <w:bottom w:val="single" w:sz="4" w:space="0" w:color="B1BBCC"/>
              <w:right w:val="single" w:sz="4" w:space="0" w:color="B1BBCC"/>
            </w:tcBorders>
            <w:shd w:val="clear" w:color="auto" w:fill="auto"/>
            <w:vAlign w:val="center"/>
          </w:tcPr>
          <w:p w:rsidR="001E62D3" w:rsidRPr="00604D7A" w:rsidRDefault="001E62D3" w:rsidP="00CF5D0A">
            <w:pPr>
              <w:rPr>
                <w:rFonts w:ascii="Arial" w:hAnsi="Arial" w:cs="Arial"/>
                <w:sz w:val="20"/>
                <w:szCs w:val="20"/>
              </w:rPr>
            </w:pPr>
            <w:r w:rsidRPr="00604D7A">
              <w:rPr>
                <w:rFonts w:ascii="Arial" w:hAnsi="Arial" w:cs="Arial"/>
                <w:sz w:val="20"/>
                <w:szCs w:val="20"/>
              </w:rPr>
              <w:t xml:space="preserve">Survey to define control group values in the ex post Cost Benefit (120 firms. Includes all stages of the process). </w:t>
            </w:r>
          </w:p>
          <w:p w:rsidR="001E62D3" w:rsidRPr="00604D7A" w:rsidRDefault="001E62D3" w:rsidP="00CF5D0A">
            <w:pPr>
              <w:rPr>
                <w:rFonts w:ascii="Arial" w:eastAsia="Times New Roman" w:hAnsi="Arial" w:cs="Arial"/>
                <w:sz w:val="20"/>
                <w:szCs w:val="20"/>
                <w:lang w:val="en-US"/>
              </w:rPr>
            </w:pPr>
            <w:r w:rsidRPr="00604D7A">
              <w:rPr>
                <w:rFonts w:ascii="Arial" w:eastAsia="Times New Roman" w:hAnsi="Arial" w:cs="Arial"/>
                <w:sz w:val="20"/>
                <w:szCs w:val="20"/>
                <w:lang w:val="en-US"/>
              </w:rPr>
              <w:t>Includes data management and preparation of technical reports.</w:t>
            </w:r>
          </w:p>
        </w:tc>
      </w:tr>
    </w:tbl>
    <w:p w:rsidR="001E62D3" w:rsidRPr="00C66667" w:rsidRDefault="001E62D3" w:rsidP="001E62D3">
      <w:pPr>
        <w:rPr>
          <w:rFonts w:ascii="Arial" w:hAnsi="Arial" w:cs="Arial"/>
          <w:b/>
        </w:rPr>
      </w:pPr>
    </w:p>
    <w:p w:rsidR="001E62D3" w:rsidRPr="00C66667" w:rsidRDefault="001E62D3" w:rsidP="001E62D3">
      <w:pPr>
        <w:rPr>
          <w:rFonts w:ascii="Arial" w:hAnsi="Arial" w:cs="Arial"/>
        </w:rPr>
      </w:pPr>
    </w:p>
    <w:p w:rsidR="001E62D3" w:rsidRPr="00C66667" w:rsidRDefault="001E62D3" w:rsidP="001E62D3">
      <w:pPr>
        <w:rPr>
          <w:rFonts w:ascii="Arial" w:hAnsi="Arial" w:cs="Arial"/>
        </w:rPr>
      </w:pPr>
    </w:p>
    <w:p w:rsidR="001E62D3" w:rsidRPr="00480AA4" w:rsidRDefault="001E62D3" w:rsidP="001E62D3">
      <w:pPr>
        <w:pStyle w:val="FootnoteText"/>
        <w:spacing w:before="60" w:after="60"/>
        <w:jc w:val="both"/>
        <w:rPr>
          <w:rFonts w:cs="Arial"/>
          <w:sz w:val="18"/>
          <w:szCs w:val="18"/>
        </w:rPr>
      </w:pPr>
      <w:r w:rsidRPr="00480AA4">
        <w:rPr>
          <w:rFonts w:cs="Arial"/>
          <w:b/>
          <w:bCs/>
          <w:sz w:val="18"/>
          <w:szCs w:val="18"/>
          <w:u w:val="single"/>
        </w:rPr>
        <w:t>Goods and Works</w:t>
      </w:r>
      <w:r w:rsidRPr="00480AA4">
        <w:rPr>
          <w:rFonts w:cs="Arial"/>
          <w:sz w:val="18"/>
          <w:szCs w:val="18"/>
        </w:rPr>
        <w:t xml:space="preserve">: </w:t>
      </w:r>
      <w:r w:rsidRPr="00480AA4">
        <w:rPr>
          <w:rFonts w:cs="Arial"/>
          <w:b/>
          <w:bCs/>
          <w:sz w:val="18"/>
          <w:szCs w:val="18"/>
        </w:rPr>
        <w:t>ICB</w:t>
      </w:r>
      <w:r w:rsidRPr="00480AA4">
        <w:rPr>
          <w:rFonts w:cs="Arial"/>
          <w:sz w:val="18"/>
          <w:szCs w:val="18"/>
        </w:rPr>
        <w:t xml:space="preserve">: International competitive bidding; </w:t>
      </w:r>
      <w:r w:rsidRPr="00480AA4">
        <w:rPr>
          <w:rFonts w:cs="Arial"/>
          <w:b/>
          <w:bCs/>
          <w:sz w:val="18"/>
          <w:szCs w:val="18"/>
        </w:rPr>
        <w:t>LIB</w:t>
      </w:r>
      <w:r w:rsidRPr="00480AA4">
        <w:rPr>
          <w:rFonts w:cs="Arial"/>
          <w:sz w:val="18"/>
          <w:szCs w:val="18"/>
        </w:rPr>
        <w:t xml:space="preserve">: limited international bidding; </w:t>
      </w:r>
      <w:r w:rsidRPr="00480AA4">
        <w:rPr>
          <w:rFonts w:cs="Arial"/>
          <w:b/>
          <w:bCs/>
          <w:sz w:val="18"/>
          <w:szCs w:val="18"/>
        </w:rPr>
        <w:t>NCB</w:t>
      </w:r>
      <w:r w:rsidRPr="00480AA4">
        <w:rPr>
          <w:rFonts w:cs="Arial"/>
          <w:sz w:val="18"/>
          <w:szCs w:val="18"/>
        </w:rPr>
        <w:t xml:space="preserve">: national competitive bidding; </w:t>
      </w:r>
      <w:r w:rsidRPr="00480AA4">
        <w:rPr>
          <w:rFonts w:cs="Arial"/>
          <w:b/>
          <w:bCs/>
          <w:sz w:val="18"/>
          <w:szCs w:val="18"/>
        </w:rPr>
        <w:t>PC</w:t>
      </w:r>
      <w:r w:rsidRPr="00480AA4">
        <w:rPr>
          <w:rFonts w:cs="Arial"/>
          <w:sz w:val="18"/>
          <w:szCs w:val="18"/>
        </w:rPr>
        <w:t xml:space="preserve">: price comparison; </w:t>
      </w:r>
      <w:r w:rsidRPr="00480AA4">
        <w:rPr>
          <w:rFonts w:cs="Arial"/>
          <w:b/>
          <w:bCs/>
          <w:sz w:val="18"/>
          <w:szCs w:val="18"/>
        </w:rPr>
        <w:t>DC</w:t>
      </w:r>
      <w:r w:rsidRPr="00480AA4">
        <w:rPr>
          <w:rFonts w:cs="Arial"/>
          <w:sz w:val="18"/>
          <w:szCs w:val="18"/>
        </w:rPr>
        <w:t xml:space="preserve">: direct contracting; </w:t>
      </w:r>
      <w:r w:rsidRPr="00480AA4">
        <w:rPr>
          <w:rFonts w:cs="Arial"/>
          <w:b/>
          <w:bCs/>
          <w:sz w:val="18"/>
          <w:szCs w:val="18"/>
        </w:rPr>
        <w:t>FA</w:t>
      </w:r>
      <w:r w:rsidRPr="00480AA4">
        <w:rPr>
          <w:rFonts w:cs="Arial"/>
          <w:sz w:val="18"/>
          <w:szCs w:val="18"/>
        </w:rPr>
        <w:t xml:space="preserve">: force account; </w:t>
      </w:r>
      <w:r w:rsidRPr="00480AA4">
        <w:rPr>
          <w:rFonts w:cs="Arial"/>
          <w:b/>
          <w:bCs/>
          <w:sz w:val="18"/>
          <w:szCs w:val="18"/>
        </w:rPr>
        <w:t>PSA</w:t>
      </w:r>
      <w:r w:rsidRPr="00480AA4">
        <w:rPr>
          <w:rFonts w:cs="Arial"/>
          <w:sz w:val="18"/>
          <w:szCs w:val="18"/>
        </w:rPr>
        <w:t xml:space="preserve">: Procurement through Specialized Agencies; </w:t>
      </w:r>
      <w:r w:rsidRPr="00480AA4">
        <w:rPr>
          <w:rFonts w:cs="Arial"/>
          <w:b/>
          <w:bCs/>
          <w:sz w:val="18"/>
          <w:szCs w:val="18"/>
        </w:rPr>
        <w:t>PA:</w:t>
      </w:r>
      <w:r w:rsidRPr="00480AA4">
        <w:rPr>
          <w:rFonts w:cs="Arial"/>
          <w:sz w:val="18"/>
          <w:szCs w:val="18"/>
        </w:rPr>
        <w:t xml:space="preserve"> Procurement Agents; </w:t>
      </w:r>
      <w:r w:rsidRPr="00480AA4">
        <w:rPr>
          <w:rFonts w:cs="Arial"/>
          <w:b/>
          <w:bCs/>
          <w:sz w:val="18"/>
          <w:szCs w:val="18"/>
        </w:rPr>
        <w:t>IA:</w:t>
      </w:r>
      <w:r w:rsidRPr="00480AA4">
        <w:rPr>
          <w:rFonts w:cs="Arial"/>
          <w:sz w:val="18"/>
          <w:szCs w:val="18"/>
        </w:rPr>
        <w:t xml:space="preserve"> Inspection Agents; </w:t>
      </w:r>
      <w:r w:rsidRPr="00480AA4">
        <w:rPr>
          <w:rFonts w:cs="Arial"/>
          <w:b/>
          <w:bCs/>
          <w:sz w:val="18"/>
          <w:szCs w:val="18"/>
        </w:rPr>
        <w:t>PLFI</w:t>
      </w:r>
      <w:r w:rsidRPr="00480AA4">
        <w:rPr>
          <w:rFonts w:cs="Arial"/>
          <w:sz w:val="18"/>
          <w:szCs w:val="18"/>
        </w:rPr>
        <w:t xml:space="preserve">: Procurement in Loans to Financial Intermediaries; </w:t>
      </w:r>
      <w:r w:rsidRPr="00480AA4">
        <w:rPr>
          <w:rFonts w:cs="Arial"/>
          <w:b/>
          <w:bCs/>
          <w:sz w:val="18"/>
          <w:szCs w:val="18"/>
        </w:rPr>
        <w:t>BOO/BOT/BOOT:</w:t>
      </w:r>
      <w:r w:rsidRPr="00480AA4">
        <w:rPr>
          <w:rFonts w:cs="Arial"/>
          <w:sz w:val="18"/>
          <w:szCs w:val="18"/>
        </w:rPr>
        <w:t xml:space="preserve"> Build, Own, Operate/Build, Operate, Transfer/Build, Own, Operate, Transfer; </w:t>
      </w:r>
      <w:r w:rsidRPr="00480AA4">
        <w:rPr>
          <w:rFonts w:cs="Arial"/>
          <w:b/>
          <w:bCs/>
          <w:sz w:val="18"/>
          <w:szCs w:val="18"/>
        </w:rPr>
        <w:t>PBP</w:t>
      </w:r>
      <w:r w:rsidRPr="00480AA4">
        <w:rPr>
          <w:rFonts w:cs="Arial"/>
          <w:sz w:val="18"/>
          <w:szCs w:val="18"/>
        </w:rPr>
        <w:t xml:space="preserve">: Performance-Based Procurement; </w:t>
      </w:r>
      <w:r w:rsidRPr="00480AA4">
        <w:rPr>
          <w:rFonts w:cs="Arial"/>
          <w:b/>
          <w:bCs/>
          <w:sz w:val="18"/>
          <w:szCs w:val="18"/>
        </w:rPr>
        <w:t>PLGB: </w:t>
      </w:r>
      <w:r w:rsidRPr="00480AA4">
        <w:rPr>
          <w:rFonts w:cs="Arial"/>
          <w:sz w:val="18"/>
          <w:szCs w:val="18"/>
        </w:rPr>
        <w:t xml:space="preserve">Procurement under Loans Guaranteed by the Bank; </w:t>
      </w:r>
      <w:r w:rsidRPr="00480AA4">
        <w:rPr>
          <w:rFonts w:cs="Arial"/>
          <w:b/>
          <w:bCs/>
          <w:sz w:val="18"/>
          <w:szCs w:val="18"/>
        </w:rPr>
        <w:t>PCP</w:t>
      </w:r>
      <w:r w:rsidRPr="00480AA4">
        <w:rPr>
          <w:rFonts w:cs="Arial"/>
          <w:sz w:val="18"/>
          <w:szCs w:val="18"/>
        </w:rPr>
        <w:t xml:space="preserve">: Community participation procurement.  </w:t>
      </w:r>
      <w:r w:rsidRPr="00480AA4">
        <w:rPr>
          <w:rFonts w:cs="Arial"/>
          <w:b/>
          <w:bCs/>
          <w:sz w:val="18"/>
          <w:szCs w:val="18"/>
          <w:u w:val="single"/>
        </w:rPr>
        <w:t>Consulting Firms</w:t>
      </w:r>
      <w:r w:rsidRPr="00480AA4">
        <w:rPr>
          <w:rFonts w:cs="Arial"/>
          <w:sz w:val="18"/>
          <w:szCs w:val="18"/>
          <w:u w:val="single"/>
        </w:rPr>
        <w:t>:</w:t>
      </w:r>
      <w:r>
        <w:rPr>
          <w:rFonts w:cs="Arial"/>
          <w:sz w:val="18"/>
          <w:szCs w:val="18"/>
          <w:u w:val="single"/>
        </w:rPr>
        <w:t xml:space="preserve"> </w:t>
      </w:r>
      <w:r w:rsidRPr="00480AA4">
        <w:rPr>
          <w:rFonts w:cs="Arial"/>
          <w:b/>
          <w:bCs/>
          <w:sz w:val="18"/>
          <w:szCs w:val="18"/>
        </w:rPr>
        <w:t>QCBS</w:t>
      </w:r>
      <w:r w:rsidRPr="00480AA4">
        <w:rPr>
          <w:rFonts w:cs="Arial"/>
          <w:sz w:val="18"/>
          <w:szCs w:val="18"/>
        </w:rPr>
        <w:t xml:space="preserve">: Quality- and Cost-Based Selection </w:t>
      </w:r>
      <w:r w:rsidRPr="00480AA4">
        <w:rPr>
          <w:rFonts w:cs="Arial"/>
          <w:b/>
          <w:bCs/>
          <w:sz w:val="18"/>
          <w:szCs w:val="18"/>
        </w:rPr>
        <w:t>QBS</w:t>
      </w:r>
      <w:r w:rsidRPr="00480AA4">
        <w:rPr>
          <w:rFonts w:cs="Arial"/>
          <w:sz w:val="18"/>
          <w:szCs w:val="18"/>
        </w:rPr>
        <w:t xml:space="preserve">: Quality-Based Selection </w:t>
      </w:r>
      <w:r w:rsidRPr="00480AA4">
        <w:rPr>
          <w:rFonts w:cs="Arial"/>
          <w:b/>
          <w:bCs/>
          <w:sz w:val="18"/>
          <w:szCs w:val="18"/>
        </w:rPr>
        <w:t>FBS</w:t>
      </w:r>
      <w:r w:rsidRPr="00480AA4">
        <w:rPr>
          <w:rFonts w:cs="Arial"/>
          <w:sz w:val="18"/>
          <w:szCs w:val="18"/>
        </w:rPr>
        <w:t xml:space="preserve">: Selection under a Fixed Budget; </w:t>
      </w:r>
      <w:r w:rsidRPr="00480AA4">
        <w:rPr>
          <w:rFonts w:cs="Arial"/>
          <w:b/>
          <w:bCs/>
          <w:sz w:val="18"/>
          <w:szCs w:val="18"/>
        </w:rPr>
        <w:t>LCS</w:t>
      </w:r>
      <w:r w:rsidRPr="00480AA4">
        <w:rPr>
          <w:rFonts w:cs="Arial"/>
          <w:sz w:val="18"/>
          <w:szCs w:val="18"/>
        </w:rPr>
        <w:t xml:space="preserve">: Least-Cost Selection; </w:t>
      </w:r>
      <w:r w:rsidRPr="00480AA4">
        <w:rPr>
          <w:rFonts w:cs="Arial"/>
          <w:b/>
          <w:bCs/>
          <w:sz w:val="18"/>
          <w:szCs w:val="18"/>
        </w:rPr>
        <w:t>CQS</w:t>
      </w:r>
      <w:r w:rsidRPr="00480AA4">
        <w:rPr>
          <w:rFonts w:cs="Arial"/>
          <w:sz w:val="18"/>
          <w:szCs w:val="18"/>
        </w:rPr>
        <w:t xml:space="preserve">: Selection based on the Consultants’ Qualifications; </w:t>
      </w:r>
      <w:r w:rsidRPr="00480AA4">
        <w:rPr>
          <w:rFonts w:cs="Arial"/>
          <w:b/>
          <w:bCs/>
          <w:sz w:val="18"/>
          <w:szCs w:val="18"/>
        </w:rPr>
        <w:t>SSS:</w:t>
      </w:r>
      <w:r w:rsidRPr="00480AA4">
        <w:rPr>
          <w:rFonts w:cs="Arial"/>
          <w:sz w:val="18"/>
          <w:szCs w:val="18"/>
        </w:rPr>
        <w:t xml:space="preserve"> Single-Source Selection.  </w:t>
      </w:r>
      <w:r w:rsidRPr="00480AA4">
        <w:rPr>
          <w:rFonts w:cs="Arial"/>
          <w:b/>
          <w:bCs/>
          <w:sz w:val="18"/>
          <w:szCs w:val="18"/>
          <w:u w:val="single"/>
        </w:rPr>
        <w:t>Individual Consultants</w:t>
      </w:r>
      <w:r w:rsidRPr="00480AA4">
        <w:rPr>
          <w:rFonts w:cs="Arial"/>
          <w:sz w:val="18"/>
          <w:szCs w:val="18"/>
        </w:rPr>
        <w:t xml:space="preserve">: </w:t>
      </w:r>
      <w:r w:rsidRPr="00480AA4">
        <w:rPr>
          <w:rFonts w:cs="Arial"/>
          <w:b/>
          <w:bCs/>
          <w:sz w:val="18"/>
          <w:szCs w:val="18"/>
        </w:rPr>
        <w:t>NICQ</w:t>
      </w:r>
      <w:r w:rsidRPr="00480AA4">
        <w:rPr>
          <w:rFonts w:cs="Arial"/>
          <w:sz w:val="18"/>
          <w:szCs w:val="18"/>
        </w:rPr>
        <w:t xml:space="preserve">: National Individual Consultant selection based on Qualifications; </w:t>
      </w:r>
      <w:r w:rsidRPr="00480AA4">
        <w:rPr>
          <w:rFonts w:cs="Arial"/>
          <w:b/>
          <w:bCs/>
          <w:sz w:val="18"/>
          <w:szCs w:val="18"/>
        </w:rPr>
        <w:t>IICC</w:t>
      </w:r>
      <w:r w:rsidRPr="00480AA4">
        <w:rPr>
          <w:rFonts w:cs="Arial"/>
          <w:sz w:val="18"/>
          <w:szCs w:val="18"/>
        </w:rPr>
        <w:t xml:space="preserve">: International Individual Consultant selection based on Qualifications </w:t>
      </w:r>
    </w:p>
    <w:p w:rsidR="0025638F" w:rsidRDefault="0025638F"/>
    <w:sectPr w:rsidR="0025638F" w:rsidSect="001E62D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2D3" w:rsidRDefault="001E62D3" w:rsidP="001E62D3">
      <w:r>
        <w:separator/>
      </w:r>
    </w:p>
  </w:endnote>
  <w:endnote w:type="continuationSeparator" w:id="0">
    <w:p w:rsidR="001E62D3" w:rsidRDefault="001E62D3" w:rsidP="001E6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2D3" w:rsidRDefault="001E62D3" w:rsidP="001E62D3">
      <w:r>
        <w:separator/>
      </w:r>
    </w:p>
  </w:footnote>
  <w:footnote w:type="continuationSeparator" w:id="0">
    <w:p w:rsidR="001E62D3" w:rsidRDefault="001E62D3" w:rsidP="001E62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B01EB5"/>
    <w:multiLevelType w:val="hybridMultilevel"/>
    <w:tmpl w:val="610C6E5C"/>
    <w:lvl w:ilvl="0" w:tplc="1CA07D46">
      <w:start w:val="6"/>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2D3"/>
    <w:rsid w:val="00181D04"/>
    <w:rsid w:val="001E62D3"/>
    <w:rsid w:val="0025638F"/>
    <w:rsid w:val="009D3A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2D3"/>
    <w:pPr>
      <w:spacing w:after="0" w:line="240" w:lineRule="auto"/>
    </w:pPr>
    <w:rPr>
      <w:rFonts w:eastAsiaTheme="minorEastAsia"/>
      <w:sz w:val="24"/>
      <w:szCs w:val="24"/>
      <w:lang w:val="en-GB"/>
    </w:rPr>
  </w:style>
  <w:style w:type="paragraph" w:styleId="Heading1">
    <w:name w:val="heading 1"/>
    <w:aliases w:val="Don't Use"/>
    <w:basedOn w:val="Normal"/>
    <w:next w:val="Normal"/>
    <w:link w:val="Heading1Char"/>
    <w:qFormat/>
    <w:rsid w:val="001E62D3"/>
    <w:pPr>
      <w:outlineLvl w:val="0"/>
    </w:pPr>
    <w:rPr>
      <w:rFonts w:ascii="Arial" w:hAnsi="Arial" w:cs="Arial"/>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n't Use Char"/>
    <w:basedOn w:val="DefaultParagraphFont"/>
    <w:link w:val="Heading1"/>
    <w:rsid w:val="001E62D3"/>
    <w:rPr>
      <w:rFonts w:ascii="Arial" w:eastAsiaTheme="minorEastAsia" w:hAnsi="Arial" w:cs="Arial"/>
      <w:b/>
      <w:sz w:val="32"/>
      <w:szCs w:val="32"/>
      <w:lang w:val="en-GB"/>
    </w:rPr>
  </w:style>
  <w:style w:type="paragraph" w:styleId="FootnoteText">
    <w:name w:val="footnote text"/>
    <w:basedOn w:val="Normal"/>
    <w:link w:val="FootnoteTextChar"/>
    <w:unhideWhenUsed/>
    <w:rsid w:val="001E62D3"/>
    <w:rPr>
      <w:rFonts w:eastAsiaTheme="minorHAnsi"/>
      <w:sz w:val="20"/>
      <w:szCs w:val="20"/>
    </w:rPr>
  </w:style>
  <w:style w:type="character" w:customStyle="1" w:styleId="FootnoteTextChar">
    <w:name w:val="Footnote Text Char"/>
    <w:basedOn w:val="DefaultParagraphFont"/>
    <w:link w:val="FootnoteText"/>
    <w:uiPriority w:val="99"/>
    <w:rsid w:val="001E62D3"/>
    <w:rPr>
      <w:sz w:val="20"/>
      <w:szCs w:val="20"/>
      <w:lang w:val="en-GB"/>
    </w:rPr>
  </w:style>
  <w:style w:type="character" w:styleId="FootnoteReference">
    <w:name w:val="footnote reference"/>
    <w:basedOn w:val="DefaultParagraphFont"/>
    <w:uiPriority w:val="99"/>
    <w:semiHidden/>
    <w:unhideWhenUsed/>
    <w:rsid w:val="001E62D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2D3"/>
    <w:pPr>
      <w:spacing w:after="0" w:line="240" w:lineRule="auto"/>
    </w:pPr>
    <w:rPr>
      <w:rFonts w:eastAsiaTheme="minorEastAsia"/>
      <w:sz w:val="24"/>
      <w:szCs w:val="24"/>
      <w:lang w:val="en-GB"/>
    </w:rPr>
  </w:style>
  <w:style w:type="paragraph" w:styleId="Heading1">
    <w:name w:val="heading 1"/>
    <w:aliases w:val="Don't Use"/>
    <w:basedOn w:val="Normal"/>
    <w:next w:val="Normal"/>
    <w:link w:val="Heading1Char"/>
    <w:qFormat/>
    <w:rsid w:val="001E62D3"/>
    <w:pPr>
      <w:outlineLvl w:val="0"/>
    </w:pPr>
    <w:rPr>
      <w:rFonts w:ascii="Arial" w:hAnsi="Arial" w:cs="Arial"/>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n't Use Char"/>
    <w:basedOn w:val="DefaultParagraphFont"/>
    <w:link w:val="Heading1"/>
    <w:rsid w:val="001E62D3"/>
    <w:rPr>
      <w:rFonts w:ascii="Arial" w:eastAsiaTheme="minorEastAsia" w:hAnsi="Arial" w:cs="Arial"/>
      <w:b/>
      <w:sz w:val="32"/>
      <w:szCs w:val="32"/>
      <w:lang w:val="en-GB"/>
    </w:rPr>
  </w:style>
  <w:style w:type="paragraph" w:styleId="FootnoteText">
    <w:name w:val="footnote text"/>
    <w:basedOn w:val="Normal"/>
    <w:link w:val="FootnoteTextChar"/>
    <w:unhideWhenUsed/>
    <w:rsid w:val="001E62D3"/>
    <w:rPr>
      <w:rFonts w:eastAsiaTheme="minorHAnsi"/>
      <w:sz w:val="20"/>
      <w:szCs w:val="20"/>
    </w:rPr>
  </w:style>
  <w:style w:type="character" w:customStyle="1" w:styleId="FootnoteTextChar">
    <w:name w:val="Footnote Text Char"/>
    <w:basedOn w:val="DefaultParagraphFont"/>
    <w:link w:val="FootnoteText"/>
    <w:uiPriority w:val="99"/>
    <w:rsid w:val="001E62D3"/>
    <w:rPr>
      <w:sz w:val="20"/>
      <w:szCs w:val="20"/>
      <w:lang w:val="en-GB"/>
    </w:rPr>
  </w:style>
  <w:style w:type="character" w:styleId="FootnoteReference">
    <w:name w:val="footnote reference"/>
    <w:basedOn w:val="DefaultParagraphFont"/>
    <w:uiPriority w:val="99"/>
    <w:semiHidden/>
    <w:unhideWhenUsed/>
    <w:rsid w:val="001E62D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1E63116011BFBB4E99A0456DF4C1B898" ma:contentTypeVersion="0" ma:contentTypeDescription="A content type to manage public (operations) IDB documents" ma:contentTypeScope="" ma:versionID="a12dd140d54d2a3bc2b7423ed23ef244">
  <xsd:schema xmlns:xsd="http://www.w3.org/2001/XMLSchema" xmlns:xs="http://www.w3.org/2001/XMLSchema" xmlns:p="http://schemas.microsoft.com/office/2006/metadata/properties" xmlns:ns2="9c571b2f-e523-4ab2-ba2e-09e151a03ef4" targetNamespace="http://schemas.microsoft.com/office/2006/metadata/properties" ma:root="true" ma:fieldsID="eac78227aa40ebe0634e64f1b07ec9c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f10f793-ca0a-45d3-aa23-15b9e4b1309c}" ma:internalName="TaxCatchAll" ma:showField="CatchAllData" ma:web="bf1238c8-2e25-458e-83d0-1fd26af66a5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f10f793-ca0a-45d3-aa23-15b9e4b1309c}" ma:internalName="TaxCatchAllLabel" ma:readOnly="true" ma:showField="CatchAllDataLabel" ma:web="bf1238c8-2e25-458e-83d0-1fd26af66a5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40309502</IDBDocs_x0020_Number>
    <TaxCatchAll xmlns="9c571b2f-e523-4ab2-ba2e-09e151a03ef4">
      <Value>8</Value>
      <Value>7</Value>
    </TaxCatchAll>
    <Phase xmlns="9c571b2f-e523-4ab2-ba2e-09e151a03ef4" xsi:nil="true"/>
    <SISCOR_x0020_Number xmlns="9c571b2f-e523-4ab2-ba2e-09e151a03ef4" xsi:nil="true"/>
    <Division_x0020_or_x0020_Unit xmlns="9c571b2f-e523-4ab2-ba2e-09e151a03ef4">CCB/CBA</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Procurement Administration</TermName>
          <TermId xmlns="http://schemas.microsoft.com/office/infopath/2007/PartnerControls">d8145667-6247-4db3-9e42-91a14331cc81</TermId>
        </TermInfo>
      </Terms>
    </o5138a91267540169645e33d09c9ddc6>
    <Approval_x0020_Number xmlns="9c571b2f-e523-4ab2-ba2e-09e151a03ef4">3389/OC-BA,3390/CH-BA</Approval_x0020_Number>
    <Document_x0020_Author xmlns="9c571b2f-e523-4ab2-ba2e-09e151a03ef4">Carryl, Eleanor Indrani</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fd0e48b6a66848a9885f717e5bbf40c4>
    <Project_x0020_Number xmlns="9c571b2f-e523-4ab2-ba2e-09e151a03ef4">BA-L1034</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WORD&lt;/APPLICATION&gt;&lt;USER_STAGE&gt;Procurement Plan&lt;/USER_STAGE&gt;&lt;PD_OBJ_TYPE&gt;0&lt;/PD_OBJ_TYPE&gt;&lt;MAKERECORD&gt;Y&lt;/MAKERECORD&gt;&lt;PD_FILEPT_NO&gt;PO-BA-L1034-GS&lt;/PD_FILEPT_NO&gt;&lt;/Data&gt;</Migration_x0020_Info>
    <Operation_x0020_Type xmlns="9c571b2f-e523-4ab2-ba2e-09e151a03ef4" xsi:nil="true"/>
    <Document_x0020_Language_x0020_IDB xmlns="9c571b2f-e523-4ab2-ba2e-09e151a03ef4">English</Document_x0020_Language_x0020_IDB>
    <Identifier xmlns="9c571b2f-e523-4ab2-ba2e-09e151a03ef4">Procurement Plan FULL DOC</Identifier>
    <Disclosure_x0020_Activity xmlns="9c571b2f-e523-4ab2-ba2e-09e151a03ef4">Procurement Plan</Disclosure_x0020_Activity>
    <Webtopic xmlns="9c571b2f-e523-4ab2-ba2e-09e151a03ef4">CM-MFC</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C6974EDE-D45D-43C1-BFB8-EA2724013808}"/>
</file>

<file path=customXml/itemProps2.xml><?xml version="1.0" encoding="utf-8"?>
<ds:datastoreItem xmlns:ds="http://schemas.openxmlformats.org/officeDocument/2006/customXml" ds:itemID="{C2B66FED-63AA-483C-B4CD-1AAFFF463F28}"/>
</file>

<file path=customXml/itemProps3.xml><?xml version="1.0" encoding="utf-8"?>
<ds:datastoreItem xmlns:ds="http://schemas.openxmlformats.org/officeDocument/2006/customXml" ds:itemID="{6BD1F138-8CFD-4FE6-8642-6CC1FBA09C15}"/>
</file>

<file path=customXml/itemProps4.xml><?xml version="1.0" encoding="utf-8"?>
<ds:datastoreItem xmlns:ds="http://schemas.openxmlformats.org/officeDocument/2006/customXml" ds:itemID="{EF2759E4-9CBA-4AFD-B854-8BBB4C24CAEA}"/>
</file>

<file path=customXml/itemProps5.xml><?xml version="1.0" encoding="utf-8"?>
<ds:datastoreItem xmlns:ds="http://schemas.openxmlformats.org/officeDocument/2006/customXml" ds:itemID="{5145E672-1204-4C94-B23B-FF1F44E05996}"/>
</file>

<file path=docProps/app.xml><?xml version="1.0" encoding="utf-8"?>
<Properties xmlns="http://schemas.openxmlformats.org/officeDocument/2006/extended-properties" xmlns:vt="http://schemas.openxmlformats.org/officeDocument/2006/docPropsVTypes">
  <Template>Normal.dotm</Template>
  <TotalTime>10</TotalTime>
  <Pages>1</Pages>
  <Words>392</Words>
  <Characters>2238</Characters>
  <Application>Microsoft Office Word</Application>
  <DocSecurity>0</DocSecurity>
  <Lines>18</Lines>
  <Paragraphs>5</Paragraphs>
  <ScaleCrop>false</ScaleCrop>
  <Company>Inter-American Development Bank</Company>
  <LinksUpToDate>false</LinksUpToDate>
  <CharactersWithSpaces>2625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3389_OC-BA _ 3390_CH-BA - Procurement Plan for the period July 1, 2015 to June 19, 2019</dc:title>
  <dc:subject/>
  <dc:creator>Inter-American Development Bank</dc:creator>
  <cp:keywords/>
  <dc:description/>
  <cp:lastModifiedBy>Inter-American Development Bank</cp:lastModifiedBy>
  <cp:revision>2</cp:revision>
  <dcterms:created xsi:type="dcterms:W3CDTF">2016-05-31T20:44:00Z</dcterms:created>
  <dcterms:modified xsi:type="dcterms:W3CDTF">2016-05-31T20:58:00Z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0x01010046CF21643EE8D14686A648AA6DAD0892001E63116011BFBB4E99A0456DF4C1B898</vt:lpwstr>
  </property>
  <property fmtid="{D5CDD505-2E9C-101B-9397-08002B2CF9AE}" pid="3" name="TaxKeyword">
    <vt:lpwstr/>
  </property>
  <property fmtid="{D5CDD505-2E9C-101B-9397-08002B2CF9AE}" pid="4" name="Function Operations IDB">
    <vt:lpwstr>8;#Goods and Services|5bfebf1b-9f1f-4411-b1dd-4c19b807b799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7;#Procurement Administration|d8145667-6247-4db3-9e42-91a14331cc81</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7;#Procurement Administration|d8145667-6247-4db3-9e42-91a14331cc81</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