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6553A" w14:textId="77777777" w:rsidR="000C377F" w:rsidRPr="007677EE" w:rsidRDefault="000C377F" w:rsidP="000C377F">
      <w:pPr>
        <w:jc w:val="center"/>
        <w:rPr>
          <w:rFonts w:ascii="Arial" w:hAnsi="Arial" w:cs="Arial"/>
          <w:b/>
          <w:sz w:val="28"/>
          <w:szCs w:val="28"/>
          <w:u w:val="single"/>
        </w:rPr>
      </w:pPr>
      <w:r w:rsidRPr="007677EE">
        <w:rPr>
          <w:rFonts w:ascii="Arial" w:hAnsi="Arial" w:cs="Arial"/>
          <w:b/>
          <w:sz w:val="28"/>
          <w:szCs w:val="28"/>
          <w:u w:val="single"/>
        </w:rPr>
        <w:t>Selecting Government Facilities for EE &amp; EC Retrofits: Methodology</w:t>
      </w:r>
    </w:p>
    <w:p w14:paraId="182C12C2" w14:textId="77777777" w:rsidR="003D43B6" w:rsidRPr="007677EE" w:rsidRDefault="003D43B6" w:rsidP="009E0603">
      <w:pPr>
        <w:rPr>
          <w:rFonts w:ascii="Arial" w:hAnsi="Arial" w:cs="Arial"/>
          <w:b/>
          <w:u w:val="single"/>
        </w:rPr>
      </w:pPr>
    </w:p>
    <w:p w14:paraId="64183E85" w14:textId="15519C5F" w:rsidR="00071D5A" w:rsidRPr="007677EE" w:rsidRDefault="00071D5A" w:rsidP="009E0603">
      <w:pPr>
        <w:rPr>
          <w:rFonts w:ascii="Arial" w:hAnsi="Arial" w:cs="Arial"/>
          <w:b/>
          <w:u w:val="single"/>
        </w:rPr>
      </w:pPr>
      <w:r w:rsidRPr="007677EE">
        <w:rPr>
          <w:rFonts w:ascii="Arial" w:hAnsi="Arial" w:cs="Arial"/>
          <w:b/>
          <w:u w:val="single"/>
        </w:rPr>
        <w:t>1. Review of Existing Audits and JPSCo Information:</w:t>
      </w:r>
    </w:p>
    <w:p w14:paraId="4B861BF4" w14:textId="25570B26" w:rsidR="00091B8F" w:rsidRPr="007677EE" w:rsidRDefault="00747627" w:rsidP="009E0603">
      <w:pPr>
        <w:rPr>
          <w:rFonts w:ascii="Arial" w:hAnsi="Arial" w:cs="Arial"/>
        </w:rPr>
      </w:pPr>
      <w:r w:rsidRPr="007677EE">
        <w:rPr>
          <w:rFonts w:ascii="Arial" w:hAnsi="Arial" w:cs="Arial"/>
        </w:rPr>
        <w:t xml:space="preserve">The building </w:t>
      </w:r>
      <w:r w:rsidR="009E0603" w:rsidRPr="007677EE">
        <w:rPr>
          <w:rFonts w:ascii="Arial" w:hAnsi="Arial" w:cs="Arial"/>
        </w:rPr>
        <w:t xml:space="preserve">selection </w:t>
      </w:r>
      <w:r w:rsidRPr="007677EE">
        <w:rPr>
          <w:rFonts w:ascii="Arial" w:hAnsi="Arial" w:cs="Arial"/>
        </w:rPr>
        <w:t xml:space="preserve">process, for </w:t>
      </w:r>
      <w:r w:rsidR="00091B8F" w:rsidRPr="007677EE">
        <w:rPr>
          <w:rFonts w:ascii="Arial" w:hAnsi="Arial" w:cs="Arial"/>
        </w:rPr>
        <w:t>facilities</w:t>
      </w:r>
      <w:r w:rsidRPr="007677EE">
        <w:rPr>
          <w:rFonts w:ascii="Arial" w:hAnsi="Arial" w:cs="Arial"/>
        </w:rPr>
        <w:t xml:space="preserve"> slated to receive deeper retrofits, started with a consultation with the </w:t>
      </w:r>
      <w:r w:rsidR="00091B8F" w:rsidRPr="007677EE">
        <w:rPr>
          <w:rFonts w:ascii="Arial" w:hAnsi="Arial" w:cs="Arial"/>
        </w:rPr>
        <w:t>Auditors, (DNV</w:t>
      </w:r>
      <w:r w:rsidR="009E0603" w:rsidRPr="007677EE">
        <w:rPr>
          <w:rFonts w:ascii="Arial" w:hAnsi="Arial" w:cs="Arial"/>
        </w:rPr>
        <w:t xml:space="preserve"> GL</w:t>
      </w:r>
      <w:r w:rsidR="00091B8F" w:rsidRPr="007677EE">
        <w:rPr>
          <w:rFonts w:ascii="Arial" w:hAnsi="Arial" w:cs="Arial"/>
        </w:rPr>
        <w:t>) in determining the basic data which was required to complete a literature review.</w:t>
      </w:r>
    </w:p>
    <w:p w14:paraId="72EB3B20" w14:textId="4C4D0E98" w:rsidR="00747627" w:rsidRPr="007677EE" w:rsidRDefault="00747627" w:rsidP="00747627">
      <w:pPr>
        <w:rPr>
          <w:rFonts w:ascii="Arial" w:hAnsi="Arial" w:cs="Arial"/>
        </w:rPr>
      </w:pPr>
      <w:r w:rsidRPr="007677EE">
        <w:rPr>
          <w:rFonts w:ascii="Arial" w:hAnsi="Arial" w:cs="Arial"/>
        </w:rPr>
        <w:t xml:space="preserve">Selecting which buildings require deeper energy efficiency </w:t>
      </w:r>
      <w:r w:rsidR="00091B8F" w:rsidRPr="007677EE">
        <w:rPr>
          <w:rFonts w:ascii="Arial" w:hAnsi="Arial" w:cs="Arial"/>
        </w:rPr>
        <w:t xml:space="preserve">involved the review of a subset of the </w:t>
      </w:r>
      <w:r w:rsidRPr="007677EE">
        <w:rPr>
          <w:rFonts w:ascii="Arial" w:hAnsi="Arial" w:cs="Arial"/>
        </w:rPr>
        <w:t xml:space="preserve"> 106 existing audits and energy data on 4,000</w:t>
      </w:r>
      <w:r w:rsidR="00091B8F" w:rsidRPr="007677EE">
        <w:rPr>
          <w:rFonts w:ascii="Arial" w:hAnsi="Arial" w:cs="Arial"/>
        </w:rPr>
        <w:t xml:space="preserve"> JPSCo</w:t>
      </w:r>
      <w:r w:rsidRPr="007677EE">
        <w:rPr>
          <w:rFonts w:ascii="Arial" w:hAnsi="Arial" w:cs="Arial"/>
        </w:rPr>
        <w:t xml:space="preserve"> meters</w:t>
      </w:r>
      <w:r w:rsidR="00091B8F" w:rsidRPr="007677EE">
        <w:rPr>
          <w:rFonts w:ascii="Arial" w:hAnsi="Arial" w:cs="Arial"/>
        </w:rPr>
        <w:t xml:space="preserve">. A further </w:t>
      </w:r>
      <w:r w:rsidR="00394B1E" w:rsidRPr="007677EE">
        <w:rPr>
          <w:rFonts w:ascii="Arial" w:hAnsi="Arial" w:cs="Arial"/>
        </w:rPr>
        <w:t>consultation</w:t>
      </w:r>
      <w:r w:rsidR="00091B8F" w:rsidRPr="007677EE">
        <w:rPr>
          <w:rFonts w:ascii="Arial" w:hAnsi="Arial" w:cs="Arial"/>
        </w:rPr>
        <w:t xml:space="preserve"> involving </w:t>
      </w:r>
      <w:r w:rsidR="00394B1E" w:rsidRPr="007677EE">
        <w:rPr>
          <w:rFonts w:ascii="Arial" w:hAnsi="Arial" w:cs="Arial"/>
        </w:rPr>
        <w:t>personnel</w:t>
      </w:r>
      <w:r w:rsidR="001340B0" w:rsidRPr="007677EE">
        <w:rPr>
          <w:rFonts w:ascii="Arial" w:hAnsi="Arial" w:cs="Arial"/>
        </w:rPr>
        <w:t xml:space="preserve"> from MSET, DNV, IDB and PCJ,</w:t>
      </w:r>
      <w:r w:rsidR="00394B1E" w:rsidRPr="007677EE">
        <w:rPr>
          <w:rFonts w:ascii="Arial" w:hAnsi="Arial" w:cs="Arial"/>
        </w:rPr>
        <w:t xml:space="preserve"> determined the use of t</w:t>
      </w:r>
      <w:r w:rsidRPr="007677EE">
        <w:rPr>
          <w:rFonts w:ascii="Arial" w:hAnsi="Arial" w:cs="Arial"/>
        </w:rPr>
        <w:t>he following selecti</w:t>
      </w:r>
      <w:r w:rsidR="00394B1E" w:rsidRPr="007677EE">
        <w:rPr>
          <w:rFonts w:ascii="Arial" w:hAnsi="Arial" w:cs="Arial"/>
        </w:rPr>
        <w:t>on criteria</w:t>
      </w:r>
      <w:r w:rsidRPr="007677EE">
        <w:rPr>
          <w:rFonts w:ascii="Arial" w:hAnsi="Arial" w:cs="Arial"/>
        </w:rPr>
        <w:t>:</w:t>
      </w:r>
    </w:p>
    <w:p w14:paraId="45483283" w14:textId="3CE69356" w:rsidR="00747627" w:rsidRPr="007677EE" w:rsidRDefault="00747627" w:rsidP="003347C2">
      <w:pPr>
        <w:pStyle w:val="ListParagraph"/>
        <w:numPr>
          <w:ilvl w:val="0"/>
          <w:numId w:val="1"/>
        </w:numPr>
        <w:rPr>
          <w:rFonts w:ascii="Arial" w:hAnsi="Arial" w:cs="Arial"/>
        </w:rPr>
      </w:pPr>
      <w:r w:rsidRPr="007677EE">
        <w:rPr>
          <w:rFonts w:ascii="Arial" w:hAnsi="Arial" w:cs="Arial"/>
        </w:rPr>
        <w:t>High Energy Users: High energy users provide the biggest immediate impact and result in lower adm</w:t>
      </w:r>
      <w:r w:rsidR="003347C2" w:rsidRPr="007677EE">
        <w:rPr>
          <w:rFonts w:ascii="Arial" w:hAnsi="Arial" w:cs="Arial"/>
        </w:rPr>
        <w:t>inistrative costs per kWh saved</w:t>
      </w:r>
      <w:r w:rsidRPr="007677EE">
        <w:rPr>
          <w:rFonts w:ascii="Arial" w:hAnsi="Arial" w:cs="Arial"/>
        </w:rPr>
        <w:t xml:space="preserve">. </w:t>
      </w:r>
    </w:p>
    <w:p w14:paraId="7DC6970A" w14:textId="77777777" w:rsidR="00747627" w:rsidRPr="007677EE" w:rsidRDefault="00747627" w:rsidP="003347C2">
      <w:pPr>
        <w:pStyle w:val="ListParagraph"/>
        <w:numPr>
          <w:ilvl w:val="0"/>
          <w:numId w:val="1"/>
        </w:numPr>
        <w:rPr>
          <w:rFonts w:ascii="Arial" w:hAnsi="Arial" w:cs="Arial"/>
        </w:rPr>
      </w:pPr>
      <w:r w:rsidRPr="007677EE">
        <w:rPr>
          <w:rFonts w:ascii="Arial" w:hAnsi="Arial" w:cs="Arial"/>
        </w:rPr>
        <w:t>High Profile: Projects which the community will identify with, and which will show up in local news cycles help provide project momentum and expand in-country knowledge</w:t>
      </w:r>
    </w:p>
    <w:p w14:paraId="469D5777" w14:textId="77777777" w:rsidR="00747627" w:rsidRPr="007677EE" w:rsidRDefault="00747627" w:rsidP="003347C2">
      <w:pPr>
        <w:pStyle w:val="ListParagraph"/>
        <w:numPr>
          <w:ilvl w:val="0"/>
          <w:numId w:val="1"/>
        </w:numPr>
        <w:rPr>
          <w:rFonts w:ascii="Arial" w:hAnsi="Arial" w:cs="Arial"/>
        </w:rPr>
      </w:pPr>
      <w:r w:rsidRPr="007677EE">
        <w:rPr>
          <w:rFonts w:ascii="Arial" w:hAnsi="Arial" w:cs="Arial"/>
        </w:rPr>
        <w:t>Best Investments: In order for the loan to be successful, focusing on projects with high ROI and high kWh saved per capital dollar spent is critical</w:t>
      </w:r>
    </w:p>
    <w:p w14:paraId="1D313B63" w14:textId="77777777" w:rsidR="00747627" w:rsidRPr="007677EE" w:rsidRDefault="00747627" w:rsidP="003347C2">
      <w:pPr>
        <w:pStyle w:val="ListParagraph"/>
        <w:numPr>
          <w:ilvl w:val="0"/>
          <w:numId w:val="1"/>
        </w:numPr>
        <w:rPr>
          <w:rFonts w:ascii="Arial" w:hAnsi="Arial" w:cs="Arial"/>
        </w:rPr>
      </w:pPr>
      <w:r w:rsidRPr="007677EE">
        <w:rPr>
          <w:rFonts w:ascii="Arial" w:hAnsi="Arial" w:cs="Arial"/>
        </w:rPr>
        <w:t>Ease of Implementation: Projects that are easy to manage, have eager stakeholders, and are along transit corridors reduce risk.</w:t>
      </w:r>
    </w:p>
    <w:p w14:paraId="04BFFF90" w14:textId="77777777" w:rsidR="00747627" w:rsidRPr="007677EE" w:rsidRDefault="00747627" w:rsidP="003347C2">
      <w:pPr>
        <w:pStyle w:val="ListParagraph"/>
        <w:numPr>
          <w:ilvl w:val="0"/>
          <w:numId w:val="1"/>
        </w:numPr>
        <w:rPr>
          <w:rFonts w:ascii="Arial" w:hAnsi="Arial" w:cs="Arial"/>
        </w:rPr>
      </w:pPr>
      <w:r w:rsidRPr="007677EE">
        <w:rPr>
          <w:rFonts w:ascii="Arial" w:hAnsi="Arial" w:cs="Arial"/>
        </w:rPr>
        <w:t>Facilities Conditions Index (FCI): Knowing the facility is in good enough condition to handle a retrofit is critical to safe and aesthetically pleasing project success.</w:t>
      </w:r>
    </w:p>
    <w:p w14:paraId="54BBEC70" w14:textId="0188C603" w:rsidR="00747627" w:rsidRPr="007677EE" w:rsidRDefault="00747627" w:rsidP="003347C2">
      <w:pPr>
        <w:pStyle w:val="ListParagraph"/>
        <w:numPr>
          <w:ilvl w:val="0"/>
          <w:numId w:val="1"/>
        </w:numPr>
        <w:rPr>
          <w:rFonts w:ascii="Arial" w:hAnsi="Arial" w:cs="Arial"/>
        </w:rPr>
      </w:pPr>
      <w:r w:rsidRPr="007677EE">
        <w:rPr>
          <w:rFonts w:ascii="Arial" w:hAnsi="Arial" w:cs="Arial"/>
        </w:rPr>
        <w:t>Quality of Life Improvements: Projects where the retrofits will include educational opportunities, emergency response</w:t>
      </w:r>
      <w:r w:rsidR="002B033C" w:rsidRPr="007677EE">
        <w:rPr>
          <w:rFonts w:ascii="Arial" w:hAnsi="Arial" w:cs="Arial"/>
        </w:rPr>
        <w:t xml:space="preserve"> (shelters)</w:t>
      </w:r>
      <w:r w:rsidRPr="007677EE">
        <w:rPr>
          <w:rFonts w:ascii="Arial" w:hAnsi="Arial" w:cs="Arial"/>
        </w:rPr>
        <w:t>, thermal comfort, etc.</w:t>
      </w:r>
    </w:p>
    <w:p w14:paraId="12538602" w14:textId="0C74CA0C" w:rsidR="00747627" w:rsidRPr="007677EE" w:rsidRDefault="00BA4B13" w:rsidP="00747627">
      <w:pPr>
        <w:rPr>
          <w:rFonts w:ascii="Arial" w:hAnsi="Arial" w:cs="Arial"/>
        </w:rPr>
      </w:pPr>
      <w:r w:rsidRPr="007677EE">
        <w:rPr>
          <w:rFonts w:ascii="Arial" w:hAnsi="Arial" w:cs="Arial"/>
        </w:rPr>
        <w:t>A review of the existing a</w:t>
      </w:r>
      <w:r w:rsidR="00747627" w:rsidRPr="007677EE">
        <w:rPr>
          <w:rFonts w:ascii="Arial" w:hAnsi="Arial" w:cs="Arial"/>
        </w:rPr>
        <w:t xml:space="preserve">udits </w:t>
      </w:r>
      <w:r w:rsidRPr="007677EE">
        <w:rPr>
          <w:rFonts w:ascii="Arial" w:hAnsi="Arial" w:cs="Arial"/>
        </w:rPr>
        <w:t xml:space="preserve">showed </w:t>
      </w:r>
      <w:r w:rsidR="00747627" w:rsidRPr="007677EE">
        <w:rPr>
          <w:rFonts w:ascii="Arial" w:hAnsi="Arial" w:cs="Arial"/>
        </w:rPr>
        <w:t>var</w:t>
      </w:r>
      <w:r w:rsidRPr="007677EE">
        <w:rPr>
          <w:rFonts w:ascii="Arial" w:hAnsi="Arial" w:cs="Arial"/>
        </w:rPr>
        <w:t xml:space="preserve">iations </w:t>
      </w:r>
      <w:r w:rsidR="00747627" w:rsidRPr="007677EE">
        <w:rPr>
          <w:rFonts w:ascii="Arial" w:hAnsi="Arial" w:cs="Arial"/>
        </w:rPr>
        <w:t>in both scope of work, quality, depth of analysis, and calculation methodology</w:t>
      </w:r>
      <w:r w:rsidRPr="007677EE">
        <w:rPr>
          <w:rFonts w:ascii="Arial" w:hAnsi="Arial" w:cs="Arial"/>
        </w:rPr>
        <w:t>.</w:t>
      </w:r>
    </w:p>
    <w:p w14:paraId="74899D03" w14:textId="2B508CC5" w:rsidR="00747627" w:rsidRPr="007677EE" w:rsidRDefault="00BA4B13" w:rsidP="009E0603">
      <w:pPr>
        <w:rPr>
          <w:rFonts w:ascii="Arial" w:hAnsi="Arial" w:cs="Arial"/>
        </w:rPr>
      </w:pPr>
      <w:r w:rsidRPr="007677EE">
        <w:rPr>
          <w:rFonts w:ascii="Arial" w:hAnsi="Arial" w:cs="Arial"/>
        </w:rPr>
        <w:t>Also c</w:t>
      </w:r>
      <w:r w:rsidR="00747627" w:rsidRPr="007677EE">
        <w:rPr>
          <w:rFonts w:ascii="Arial" w:hAnsi="Arial" w:cs="Arial"/>
        </w:rPr>
        <w:t>apital costs have changed dramatically for some technologies over the past 5 years, this is especially true for solar PV systems and LED lighting</w:t>
      </w:r>
      <w:r w:rsidRPr="007677EE">
        <w:rPr>
          <w:rFonts w:ascii="Arial" w:hAnsi="Arial" w:cs="Arial"/>
        </w:rPr>
        <w:t xml:space="preserve">. There were also some inconsistencies with some audits and whereas </w:t>
      </w:r>
      <w:r w:rsidR="009E0603" w:rsidRPr="007677EE">
        <w:rPr>
          <w:rFonts w:ascii="Arial" w:hAnsi="Arial" w:cs="Arial"/>
        </w:rPr>
        <w:t xml:space="preserve">other </w:t>
      </w:r>
      <w:r w:rsidR="00747627" w:rsidRPr="007677EE">
        <w:rPr>
          <w:rFonts w:ascii="Arial" w:hAnsi="Arial" w:cs="Arial"/>
        </w:rPr>
        <w:t>audits appear slighting more in-depth</w:t>
      </w:r>
      <w:r w:rsidR="009E0603" w:rsidRPr="007677EE">
        <w:rPr>
          <w:rFonts w:ascii="Arial" w:hAnsi="Arial" w:cs="Arial"/>
        </w:rPr>
        <w:t xml:space="preserve">.It was noted that a specific group of audits </w:t>
      </w:r>
      <w:r w:rsidRPr="007677EE">
        <w:rPr>
          <w:rFonts w:ascii="Arial" w:hAnsi="Arial" w:cs="Arial"/>
        </w:rPr>
        <w:t xml:space="preserve"> were </w:t>
      </w:r>
      <w:r w:rsidR="009E0603" w:rsidRPr="007677EE">
        <w:rPr>
          <w:rFonts w:ascii="Arial" w:hAnsi="Arial" w:cs="Arial"/>
        </w:rPr>
        <w:t xml:space="preserve">very </w:t>
      </w:r>
      <w:r w:rsidR="00747627" w:rsidRPr="007677EE">
        <w:rPr>
          <w:rFonts w:ascii="Arial" w:hAnsi="Arial" w:cs="Arial"/>
        </w:rPr>
        <w:t>lighting-centric.</w:t>
      </w:r>
    </w:p>
    <w:p w14:paraId="01DBBD0B" w14:textId="0A97B3BF" w:rsidR="001C0BA5" w:rsidRPr="007677EE" w:rsidRDefault="001C0BA5" w:rsidP="001C0BA5">
      <w:pPr>
        <w:rPr>
          <w:rFonts w:ascii="Arial" w:hAnsi="Arial" w:cs="Arial"/>
        </w:rPr>
      </w:pPr>
      <w:r w:rsidRPr="007677EE">
        <w:rPr>
          <w:rFonts w:ascii="Arial" w:hAnsi="Arial" w:cs="Arial"/>
        </w:rPr>
        <w:t>Some of the inconsistencies noted by DNV</w:t>
      </w:r>
      <w:r w:rsidR="009E0603" w:rsidRPr="007677EE">
        <w:rPr>
          <w:rFonts w:ascii="Arial" w:hAnsi="Arial" w:cs="Arial"/>
        </w:rPr>
        <w:t xml:space="preserve"> GL</w:t>
      </w:r>
      <w:r w:rsidRPr="007677EE">
        <w:rPr>
          <w:rFonts w:ascii="Arial" w:hAnsi="Arial" w:cs="Arial"/>
        </w:rPr>
        <w:t xml:space="preserve"> include:</w:t>
      </w:r>
    </w:p>
    <w:p w14:paraId="65F00C49" w14:textId="77777777" w:rsidR="001C0BA5" w:rsidRPr="007677EE" w:rsidRDefault="001C0BA5" w:rsidP="001C0BA5">
      <w:pPr>
        <w:pStyle w:val="ListParagraph"/>
        <w:numPr>
          <w:ilvl w:val="0"/>
          <w:numId w:val="2"/>
        </w:numPr>
        <w:rPr>
          <w:rFonts w:ascii="Arial" w:hAnsi="Arial" w:cs="Arial"/>
        </w:rPr>
      </w:pPr>
      <w:r w:rsidRPr="007677EE">
        <w:rPr>
          <w:rFonts w:ascii="Arial" w:hAnsi="Arial" w:cs="Arial"/>
        </w:rPr>
        <w:t>Lighting savings sometimes seems over-estimated, especially in APS studies</w:t>
      </w:r>
    </w:p>
    <w:p w14:paraId="45143CB1" w14:textId="77777777" w:rsidR="001C0BA5" w:rsidRPr="007677EE" w:rsidRDefault="001C0BA5" w:rsidP="001C0BA5">
      <w:pPr>
        <w:pStyle w:val="ListParagraph"/>
        <w:numPr>
          <w:ilvl w:val="0"/>
          <w:numId w:val="2"/>
        </w:numPr>
        <w:rPr>
          <w:rFonts w:ascii="Arial" w:hAnsi="Arial" w:cs="Arial"/>
        </w:rPr>
      </w:pPr>
      <w:r w:rsidRPr="007677EE">
        <w:rPr>
          <w:rFonts w:ascii="Arial" w:hAnsi="Arial" w:cs="Arial"/>
        </w:rPr>
        <w:t>No clear evaluations of right-sizing HVAC equipment to ensure optimum efficiency, though this may not be feasible.</w:t>
      </w:r>
    </w:p>
    <w:p w14:paraId="3469198F" w14:textId="77777777" w:rsidR="001C0BA5" w:rsidRPr="007677EE" w:rsidRDefault="001C0BA5" w:rsidP="001C0BA5">
      <w:pPr>
        <w:pStyle w:val="ListParagraph"/>
        <w:numPr>
          <w:ilvl w:val="0"/>
          <w:numId w:val="2"/>
        </w:numPr>
        <w:rPr>
          <w:rFonts w:ascii="Arial" w:hAnsi="Arial" w:cs="Arial"/>
        </w:rPr>
      </w:pPr>
      <w:r w:rsidRPr="007677EE">
        <w:rPr>
          <w:rFonts w:ascii="Arial" w:hAnsi="Arial" w:cs="Arial"/>
        </w:rPr>
        <w:t>The partial year energy use calculations do not always make sense when metered data is also available</w:t>
      </w:r>
    </w:p>
    <w:p w14:paraId="3F0652D3" w14:textId="77777777" w:rsidR="001C0BA5" w:rsidRPr="007677EE" w:rsidRDefault="001C0BA5" w:rsidP="001C0BA5">
      <w:pPr>
        <w:pStyle w:val="ListParagraph"/>
        <w:numPr>
          <w:ilvl w:val="0"/>
          <w:numId w:val="2"/>
        </w:numPr>
        <w:rPr>
          <w:rFonts w:ascii="Arial" w:hAnsi="Arial" w:cs="Arial"/>
        </w:rPr>
      </w:pPr>
      <w:r w:rsidRPr="007677EE">
        <w:rPr>
          <w:rFonts w:ascii="Arial" w:hAnsi="Arial" w:cs="Arial"/>
        </w:rPr>
        <w:t>It does not appear peak load &amp; demand response opportunities were evaluated</w:t>
      </w:r>
    </w:p>
    <w:p w14:paraId="70A43441" w14:textId="77777777" w:rsidR="001C0BA5" w:rsidRPr="007677EE" w:rsidRDefault="001C0BA5" w:rsidP="001C0BA5">
      <w:pPr>
        <w:pStyle w:val="ListParagraph"/>
        <w:numPr>
          <w:ilvl w:val="0"/>
          <w:numId w:val="2"/>
        </w:numPr>
        <w:rPr>
          <w:rFonts w:ascii="Arial" w:hAnsi="Arial" w:cs="Arial"/>
        </w:rPr>
      </w:pPr>
      <w:r w:rsidRPr="007677EE">
        <w:rPr>
          <w:rFonts w:ascii="Arial" w:hAnsi="Arial" w:cs="Arial"/>
        </w:rPr>
        <w:t>Basic building data, like overall square footage, is often lacking</w:t>
      </w:r>
    </w:p>
    <w:p w14:paraId="5143149D" w14:textId="77777777" w:rsidR="001C0BA5" w:rsidRPr="007677EE" w:rsidRDefault="001C0BA5" w:rsidP="00747627">
      <w:pPr>
        <w:rPr>
          <w:rFonts w:ascii="Arial" w:hAnsi="Arial" w:cs="Arial"/>
        </w:rPr>
      </w:pPr>
    </w:p>
    <w:p w14:paraId="6FF15318" w14:textId="044D3693" w:rsidR="008D3282" w:rsidRPr="007677EE" w:rsidRDefault="008D3282" w:rsidP="00747627">
      <w:pPr>
        <w:rPr>
          <w:rFonts w:ascii="Arial" w:hAnsi="Arial" w:cs="Arial"/>
        </w:rPr>
      </w:pPr>
      <w:r w:rsidRPr="007677EE">
        <w:rPr>
          <w:rFonts w:ascii="Arial" w:hAnsi="Arial" w:cs="Arial"/>
        </w:rPr>
        <w:t>As such, even though the existing library of audits were helpful, the decision was taken to complete new audits which would provide more up to date data.</w:t>
      </w:r>
    </w:p>
    <w:p w14:paraId="21336099" w14:textId="148C8AF3" w:rsidR="008D3282" w:rsidRPr="007677EE" w:rsidRDefault="008D3282" w:rsidP="00747627">
      <w:pPr>
        <w:rPr>
          <w:rFonts w:ascii="Arial" w:hAnsi="Arial" w:cs="Arial"/>
        </w:rPr>
      </w:pPr>
      <w:r w:rsidRPr="007677EE">
        <w:rPr>
          <w:rFonts w:ascii="Arial" w:hAnsi="Arial" w:cs="Arial"/>
        </w:rPr>
        <w:t>A summary of the top energy users as per the previously completed audits are given in table 1</w:t>
      </w:r>
    </w:p>
    <w:p w14:paraId="5A04E05D" w14:textId="3E3100E0" w:rsidR="003A297D" w:rsidRPr="007677EE" w:rsidRDefault="003A297D" w:rsidP="00320171">
      <w:pPr>
        <w:pStyle w:val="NoSpacing"/>
        <w:rPr>
          <w:rFonts w:ascii="Arial" w:hAnsi="Arial" w:cs="Arial"/>
          <w:b/>
        </w:rPr>
      </w:pPr>
      <w:r w:rsidRPr="007677EE">
        <w:rPr>
          <w:rFonts w:ascii="Arial" w:hAnsi="Arial" w:cs="Arial"/>
          <w:b/>
        </w:rPr>
        <w:lastRenderedPageBreak/>
        <w:t>TABLE 1</w:t>
      </w:r>
      <w:r w:rsidR="000C377F" w:rsidRPr="007677EE">
        <w:rPr>
          <w:rFonts w:ascii="Arial" w:hAnsi="Arial" w:cs="Arial"/>
          <w:b/>
        </w:rPr>
        <w:t>: Top Electricity Consumers from Previous Audits: Jamaican  Government Facilities</w:t>
      </w:r>
    </w:p>
    <w:tbl>
      <w:tblPr>
        <w:tblpPr w:leftFromText="180" w:rightFromText="180" w:vertAnchor="text" w:horzAnchor="margin" w:tblpXSpec="center" w:tblpY="314"/>
        <w:tblW w:w="10917" w:type="dxa"/>
        <w:tblCellMar>
          <w:left w:w="0" w:type="dxa"/>
          <w:right w:w="0" w:type="dxa"/>
        </w:tblCellMar>
        <w:tblLook w:val="0600" w:firstRow="0" w:lastRow="0" w:firstColumn="0" w:lastColumn="0" w:noHBand="1" w:noVBand="1"/>
      </w:tblPr>
      <w:tblGrid>
        <w:gridCol w:w="794"/>
        <w:gridCol w:w="1758"/>
        <w:gridCol w:w="2887"/>
        <w:gridCol w:w="1403"/>
        <w:gridCol w:w="1147"/>
        <w:gridCol w:w="1144"/>
        <w:gridCol w:w="1784"/>
      </w:tblGrid>
      <w:tr w:rsidR="008D01FC" w:rsidRPr="007677EE" w14:paraId="15D9372D" w14:textId="77777777" w:rsidTr="00BB7454">
        <w:trPr>
          <w:trHeight w:val="887"/>
        </w:trPr>
        <w:tc>
          <w:tcPr>
            <w:tcW w:w="794"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5E597BD7"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Energy Use Rank</w:t>
            </w:r>
          </w:p>
        </w:tc>
        <w:tc>
          <w:tcPr>
            <w:tcW w:w="1758"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29F0DBC5"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Occupancy Type</w:t>
            </w:r>
          </w:p>
        </w:tc>
        <w:tc>
          <w:tcPr>
            <w:tcW w:w="2887"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182BE74A"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Building Name</w:t>
            </w:r>
          </w:p>
        </w:tc>
        <w:tc>
          <w:tcPr>
            <w:tcW w:w="1403"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6754C9BD"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Annual Energy Use (kWh)</w:t>
            </w:r>
          </w:p>
        </w:tc>
        <w:tc>
          <w:tcPr>
            <w:tcW w:w="1147"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3ACC38EB"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Total Retrofit Capital Cost (USD)</w:t>
            </w:r>
          </w:p>
        </w:tc>
        <w:tc>
          <w:tcPr>
            <w:tcW w:w="1144"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47B0605E"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Total Retrofit Savings (USD)</w:t>
            </w:r>
          </w:p>
        </w:tc>
        <w:tc>
          <w:tcPr>
            <w:tcW w:w="1784" w:type="dxa"/>
            <w:tcBorders>
              <w:top w:val="single" w:sz="4" w:space="0" w:color="FFFFFF"/>
              <w:left w:val="single" w:sz="4" w:space="0" w:color="FFFFFF"/>
              <w:bottom w:val="single" w:sz="4" w:space="0" w:color="FFFFFF"/>
              <w:right w:val="single" w:sz="4" w:space="0" w:color="FFFFFF"/>
            </w:tcBorders>
            <w:shd w:val="clear" w:color="auto" w:fill="00B0F0"/>
            <w:tcMar>
              <w:top w:w="3" w:type="dxa"/>
              <w:left w:w="3" w:type="dxa"/>
              <w:bottom w:w="0" w:type="dxa"/>
              <w:right w:w="3" w:type="dxa"/>
            </w:tcMar>
            <w:vAlign w:val="center"/>
            <w:hideMark/>
          </w:tcPr>
          <w:p w14:paraId="546DDD8C" w14:textId="77777777" w:rsidR="00747627" w:rsidRPr="007677EE" w:rsidRDefault="00747627" w:rsidP="008D01FC">
            <w:pPr>
              <w:pStyle w:val="NoSpacing"/>
              <w:rPr>
                <w:rFonts w:ascii="Arial" w:hAnsi="Arial" w:cs="Arial"/>
                <w:sz w:val="20"/>
                <w:szCs w:val="20"/>
              </w:rPr>
            </w:pPr>
            <w:r w:rsidRPr="007677EE">
              <w:rPr>
                <w:rFonts w:ascii="Arial" w:hAnsi="Arial" w:cs="Arial"/>
                <w:sz w:val="20"/>
                <w:szCs w:val="20"/>
              </w:rPr>
              <w:t>Payback</w:t>
            </w:r>
          </w:p>
        </w:tc>
      </w:tr>
      <w:tr w:rsidR="008D01FC" w:rsidRPr="007677EE" w14:paraId="14CE810B" w14:textId="77777777" w:rsidTr="00804862">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3" w:type="dxa"/>
              <w:left w:w="3" w:type="dxa"/>
              <w:bottom w:w="0" w:type="dxa"/>
              <w:right w:w="3" w:type="dxa"/>
            </w:tcMar>
            <w:vAlign w:val="center"/>
            <w:hideMark/>
          </w:tcPr>
          <w:p w14:paraId="492681B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54BA83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Hospital</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2822D0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KPH</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7069C4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319,779,144</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3A6C3E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$423,583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FB6936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$201,333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A4143A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2.1 years</w:t>
            </w:r>
          </w:p>
        </w:tc>
      </w:tr>
      <w:tr w:rsidR="008D01FC" w:rsidRPr="007677EE" w14:paraId="40163808" w14:textId="77777777" w:rsidTr="00804862">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51394F1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E9D471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Hospital</w:t>
            </w:r>
          </w:p>
        </w:tc>
        <w:tc>
          <w:tcPr>
            <w:tcW w:w="2887" w:type="dxa"/>
            <w:tcBorders>
              <w:top w:val="single" w:sz="4" w:space="0" w:color="FFFFFF"/>
              <w:left w:val="single" w:sz="4" w:space="0" w:color="FFFFFF"/>
              <w:bottom w:val="single" w:sz="4" w:space="0" w:color="FFFFFF"/>
              <w:right w:val="single" w:sz="4" w:space="0" w:color="FFFFFF"/>
            </w:tcBorders>
            <w:shd w:val="clear" w:color="auto" w:fill="DEEAF6" w:themeFill="accent1" w:themeFillTint="33"/>
            <w:tcMar>
              <w:top w:w="7" w:type="dxa"/>
              <w:left w:w="3" w:type="dxa"/>
              <w:bottom w:w="7" w:type="dxa"/>
              <w:right w:w="3" w:type="dxa"/>
            </w:tcMar>
            <w:vAlign w:val="center"/>
            <w:hideMark/>
          </w:tcPr>
          <w:p w14:paraId="12BCBCE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sz w:val="20"/>
                <w:szCs w:val="20"/>
              </w:rPr>
              <w:t>May Pen Hospital</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DA7E6A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30,458,087</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D493EE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$41,546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DFE3B3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$17,070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7D339CE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 years</w:t>
            </w:r>
          </w:p>
        </w:tc>
      </w:tr>
      <w:tr w:rsidR="008D01FC" w:rsidRPr="007677EE" w14:paraId="14A59E64" w14:textId="77777777" w:rsidTr="00804862">
        <w:trPr>
          <w:trHeight w:val="68"/>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2F70721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7D56E0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1EB4A6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JDF Newcastle</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A912F6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19,023,620</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ED5275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$43,017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252032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$20,927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F50AA6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2.1 years</w:t>
            </w:r>
          </w:p>
        </w:tc>
      </w:tr>
      <w:tr w:rsidR="008D01FC" w:rsidRPr="007677EE" w14:paraId="2B46180F" w14:textId="77777777" w:rsidTr="00804862">
        <w:trPr>
          <w:trHeight w:val="166"/>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30BA108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4</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D1A1A8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 (Campus)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D79CD4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HEART Trust Ebony Park</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4C4AA8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10,481,280</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7CDF9E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$67,627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3F98B2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$68,147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775C4EC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1.0 years</w:t>
            </w:r>
          </w:p>
        </w:tc>
      </w:tr>
      <w:tr w:rsidR="008D01FC" w:rsidRPr="007677EE" w14:paraId="68BD3850" w14:textId="77777777" w:rsidTr="00804862">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3B15B81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B45010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14486B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Ministry of Agriculture &amp; Fisheries</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CF0DDE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6,238,186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F7E462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$33,826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A553DF3"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$18,408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3366493"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1.8 years</w:t>
            </w:r>
          </w:p>
        </w:tc>
      </w:tr>
      <w:tr w:rsidR="008D01FC" w:rsidRPr="007677EE" w14:paraId="5D645E20" w14:textId="77777777" w:rsidTr="00804862">
        <w:trPr>
          <w:trHeight w:val="439"/>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3E2637E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6</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B3B161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4CA8E2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JDF Up Park Camp</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9BB367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5,563,776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E247E9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$965,948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91861A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$219,903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7665F5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4.4 years</w:t>
            </w:r>
          </w:p>
        </w:tc>
      </w:tr>
      <w:tr w:rsidR="008D01FC" w:rsidRPr="007677EE" w14:paraId="535EE4C7" w14:textId="77777777" w:rsidTr="00804862">
        <w:trPr>
          <w:trHeight w:val="221"/>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6E7BE37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7</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1D13C8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30B857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JCF Greater Portmore Police Station</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C0C2D8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5,119,836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A3C55D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$62,723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7B6B86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$20,994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7CC4AD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3.0 years</w:t>
            </w:r>
          </w:p>
        </w:tc>
      </w:tr>
      <w:tr w:rsidR="008D01FC" w:rsidRPr="007677EE" w14:paraId="1E822676" w14:textId="77777777" w:rsidTr="00804862">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7A7B909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8</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167CD9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Office/Community Center</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64641A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Kindstron &amp; St. Andrew Cooperation</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051F8B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5,023,352</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3BE614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$23,995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9A7163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$10,120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7A0B4C7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 years</w:t>
            </w:r>
          </w:p>
        </w:tc>
      </w:tr>
      <w:tr w:rsidR="008D01FC" w:rsidRPr="007677EE" w14:paraId="3CF741C6" w14:textId="77777777" w:rsidTr="00804862">
        <w:trPr>
          <w:trHeight w:val="166"/>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020A48A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9</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F90C7B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School</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04B7E8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Jamaica College</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B42860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3,623,868</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21C3A6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$68,098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FF900B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$28,078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E9E60E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 years</w:t>
            </w:r>
          </w:p>
        </w:tc>
      </w:tr>
      <w:tr w:rsidR="008D01FC" w:rsidRPr="007677EE" w14:paraId="06D3A266" w14:textId="77777777" w:rsidTr="00804862">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74A31EF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10</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0E717D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Hospital</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C8A323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Falmouth Hospital</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CB4B6F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3,014,688</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BDC769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$34,188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3BECD5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$13,044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9D90CF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2.6 years</w:t>
            </w:r>
          </w:p>
        </w:tc>
      </w:tr>
      <w:tr w:rsidR="008D01FC" w:rsidRPr="007677EE" w14:paraId="1E11375C" w14:textId="77777777" w:rsidTr="00804862">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0009D2C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11</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3E8378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EA7B71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JCF Constant Spring Police Station</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3290FC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2,925,876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94EFBB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$10,122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61A8A3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$4,311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334724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2.3 years</w:t>
            </w:r>
          </w:p>
        </w:tc>
      </w:tr>
      <w:tr w:rsidR="008D01FC" w:rsidRPr="007677EE" w14:paraId="5E170DFA" w14:textId="77777777" w:rsidTr="00804862">
        <w:trPr>
          <w:trHeight w:val="166"/>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158579E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12</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CA320B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92BA98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Ministry of Finance &amp; Planning</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B12B89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2,721,924</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83F727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$239,807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515EB8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$106,672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4FAA19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2.2 years</w:t>
            </w:r>
          </w:p>
        </w:tc>
      </w:tr>
      <w:tr w:rsidR="008D01FC" w:rsidRPr="007677EE" w14:paraId="4179AF82" w14:textId="77777777" w:rsidTr="00804862">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3580190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13</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E4CAF8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EF7B32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National Housing Trust</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FA0AD7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2,497,056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22BA75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$788,641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FBE964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$162,705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D98296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4.8 years</w:t>
            </w:r>
          </w:p>
        </w:tc>
      </w:tr>
      <w:tr w:rsidR="008D01FC" w:rsidRPr="007677EE" w14:paraId="27FF8300" w14:textId="77777777" w:rsidTr="00804862">
        <w:trPr>
          <w:trHeight w:val="330"/>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744EEC8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14</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2D61E1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B4D20D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Electoral Office Downtown</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8F097D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2,472,828</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0FDE97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$39,646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7F3978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$17,468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70939E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2.3 years</w:t>
            </w:r>
          </w:p>
        </w:tc>
      </w:tr>
      <w:tr w:rsidR="008D01FC" w:rsidRPr="007677EE" w14:paraId="7A68CBBB" w14:textId="77777777" w:rsidTr="00804862">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10516B4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15</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E8E035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Hospital</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92344C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Chapleton Hospital</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91238C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2,437,003</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7B19ADE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$24,367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331F8F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$10,120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F2931D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 years</w:t>
            </w:r>
          </w:p>
        </w:tc>
      </w:tr>
      <w:tr w:rsidR="008D01FC" w:rsidRPr="007677EE" w14:paraId="7D15DB59" w14:textId="77777777" w:rsidTr="00804862">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215CB69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16</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CD5FA8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Hospital</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7F9CD7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Linstead Hospital</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54B0FD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2,288,459</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BAB6FE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$13,063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AF04DE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$4,469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FEA5D9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2.9 years</w:t>
            </w:r>
          </w:p>
        </w:tc>
      </w:tr>
      <w:tr w:rsidR="008D01FC" w:rsidRPr="007677EE" w14:paraId="350FBE5B" w14:textId="77777777" w:rsidTr="00804862">
        <w:trPr>
          <w:trHeight w:val="166"/>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4A8CCF9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17</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704507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B90783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Ministry of Education Port Antonio</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060C7A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2,241,562</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BD7F3D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$33,655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6B22BF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$12,985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C4E5B43"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2.6 years</w:t>
            </w:r>
          </w:p>
        </w:tc>
      </w:tr>
      <w:tr w:rsidR="008D01FC" w:rsidRPr="007677EE" w14:paraId="4E0B8441" w14:textId="77777777" w:rsidTr="00804862">
        <w:trPr>
          <w:trHeight w:val="221"/>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3806788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18</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B4BD51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Hospital</w:t>
            </w:r>
          </w:p>
        </w:tc>
        <w:tc>
          <w:tcPr>
            <w:tcW w:w="2887" w:type="dxa"/>
            <w:tcBorders>
              <w:top w:val="single" w:sz="4" w:space="0" w:color="FFFFFF"/>
              <w:left w:val="single" w:sz="4" w:space="0" w:color="FFFFFF"/>
              <w:bottom w:val="single" w:sz="4" w:space="0" w:color="FFFFFF"/>
              <w:right w:val="single" w:sz="4" w:space="0" w:color="FFFFFF"/>
            </w:tcBorders>
            <w:shd w:val="clear" w:color="auto" w:fill="DEEAF6" w:themeFill="accent1" w:themeFillTint="33"/>
            <w:tcMar>
              <w:top w:w="7" w:type="dxa"/>
              <w:left w:w="3" w:type="dxa"/>
              <w:bottom w:w="7" w:type="dxa"/>
              <w:right w:w="3" w:type="dxa"/>
            </w:tcMar>
            <w:vAlign w:val="center"/>
            <w:hideMark/>
          </w:tcPr>
          <w:p w14:paraId="573A0C8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Savanna-la-mar Hospital</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9003E2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1,924,725</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95E7D6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$26,446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8FE64B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$9,300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26B6B9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2.8 years</w:t>
            </w:r>
          </w:p>
        </w:tc>
      </w:tr>
      <w:tr w:rsidR="008D01FC" w:rsidRPr="007677EE" w14:paraId="61DC3A89" w14:textId="77777777" w:rsidTr="00804862">
        <w:trPr>
          <w:trHeight w:val="38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2ADD89E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19</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FFF558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180FF3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Urban Development Corporation</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CCD009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1,824,300</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F9D29A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$439,313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B53C25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$78,709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754235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5.6 years</w:t>
            </w:r>
          </w:p>
        </w:tc>
      </w:tr>
      <w:tr w:rsidR="008D01FC" w:rsidRPr="007677EE" w14:paraId="4B3D18E6" w14:textId="77777777" w:rsidTr="00804862">
        <w:trPr>
          <w:trHeight w:val="33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58BE7E9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20</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F0C865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E8A4C4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PCJ</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A9D6B7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1,599,612</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430204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$87,939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553F7A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$23,168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151693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3.8 years</w:t>
            </w:r>
          </w:p>
        </w:tc>
      </w:tr>
      <w:tr w:rsidR="008D01FC" w:rsidRPr="007677EE" w14:paraId="71E1A853" w14:textId="77777777" w:rsidTr="00804862">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01F10DD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21</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7ABD1B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599E5B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Central Sorting Office</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C0EE58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1,418,460</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288B83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$136,194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22103B8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$88,771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3C75A5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1.5 years</w:t>
            </w:r>
          </w:p>
        </w:tc>
      </w:tr>
      <w:tr w:rsidR="008D01FC" w:rsidRPr="007677EE" w14:paraId="5FA5E963" w14:textId="77777777" w:rsidTr="00804862">
        <w:trPr>
          <w:trHeight w:val="166"/>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7903677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22</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2A649F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 (Campus)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070E9B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Ministry of Education</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6C3E36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1,245,552</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3F7EE4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$671,246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97C663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$124,644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46B339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5.4 years</w:t>
            </w:r>
          </w:p>
        </w:tc>
      </w:tr>
      <w:tr w:rsidR="008D01FC" w:rsidRPr="007677EE" w14:paraId="257CA2EF" w14:textId="77777777" w:rsidTr="00804862">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7AF75F2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23</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F09E2A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 (Campus)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9494D8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Development Bank of Jamaica</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C300FA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1,238,748</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AD665A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$655,275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E073AB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$120,976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66395F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5.4 years</w:t>
            </w:r>
          </w:p>
        </w:tc>
      </w:tr>
      <w:tr w:rsidR="008D01FC" w:rsidRPr="007677EE" w14:paraId="43663B93" w14:textId="77777777" w:rsidTr="00804862">
        <w:trPr>
          <w:trHeight w:val="417"/>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398376E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24</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374573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Airport</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1431C7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Norman Manley International Airport</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6A7FD9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1,150,356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5B9379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$479,764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7D96879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$184,077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2DD006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2.6 years</w:t>
            </w:r>
          </w:p>
        </w:tc>
      </w:tr>
      <w:tr w:rsidR="008D01FC" w:rsidRPr="007677EE" w14:paraId="055AD551" w14:textId="77777777" w:rsidTr="00804862">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4408586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25</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0F347E1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BD669A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Vocational Training and Development Institute</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B9F62E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1,128,996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CA2769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$73,463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FAD231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$23,266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0027790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3.2 years</w:t>
            </w:r>
          </w:p>
        </w:tc>
      </w:tr>
      <w:tr w:rsidR="008D01FC" w:rsidRPr="007677EE" w14:paraId="639C2144" w14:textId="77777777" w:rsidTr="00804862">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08B63AC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26</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1F8B40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 (Campus)</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D201147"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 of the Prime Minister</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243BBF0"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1,090,860</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B8DDCA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$530,272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C56ACCF"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$104,810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4307F9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5.1 years</w:t>
            </w:r>
          </w:p>
        </w:tc>
      </w:tr>
      <w:tr w:rsidR="008D01FC" w:rsidRPr="007677EE" w14:paraId="2D1880A2" w14:textId="77777777" w:rsidTr="00804862">
        <w:trPr>
          <w:trHeight w:val="114"/>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77B5243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27</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B3C1FA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Hotel</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C96843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Heart Trust Runaway Bay</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455AD6E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1,045,944</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8F3E44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$151,366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F88D7F3"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$49,294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FD1578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3.1 years</w:t>
            </w:r>
          </w:p>
        </w:tc>
      </w:tr>
      <w:tr w:rsidR="008D01FC" w:rsidRPr="007677EE" w14:paraId="7A27990B" w14:textId="77777777" w:rsidTr="00804862">
        <w:trPr>
          <w:trHeight w:val="166"/>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200B9A7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28</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831E2B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CD30FEC"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Ministry of Education (Region 5, Mandeville)</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3816A66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980,049</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7F9A25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$28,963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1ED4D76B"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$19,950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658DD1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1.5 years</w:t>
            </w:r>
          </w:p>
        </w:tc>
      </w:tr>
      <w:tr w:rsidR="008D01FC" w:rsidRPr="007677EE" w14:paraId="3B35540D" w14:textId="77777777" w:rsidTr="00804862">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5C273055"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29</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6676181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5B877483"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Ministry of Agriculture</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68DA1F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950,316</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28BCC3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$195,096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38270086"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$56,716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B4BEFA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3.4 years</w:t>
            </w:r>
          </w:p>
        </w:tc>
      </w:tr>
      <w:tr w:rsidR="008D01FC" w:rsidRPr="007677EE" w14:paraId="6228BEE5" w14:textId="77777777" w:rsidTr="00804862">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D1F3FF"/>
            <w:tcMar>
              <w:top w:w="7" w:type="dxa"/>
              <w:left w:w="3" w:type="dxa"/>
              <w:bottom w:w="7" w:type="dxa"/>
              <w:right w:w="3" w:type="dxa"/>
            </w:tcMar>
            <w:vAlign w:val="center"/>
            <w:hideMark/>
          </w:tcPr>
          <w:p w14:paraId="07E638A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30</w:t>
            </w:r>
          </w:p>
        </w:tc>
        <w:tc>
          <w:tcPr>
            <w:tcW w:w="1758"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26187F3E"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Office</w:t>
            </w:r>
          </w:p>
        </w:tc>
        <w:tc>
          <w:tcPr>
            <w:tcW w:w="288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14D62AD1"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Civil Aviation Authority</w:t>
            </w:r>
          </w:p>
        </w:tc>
        <w:tc>
          <w:tcPr>
            <w:tcW w:w="1403"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7" w:type="dxa"/>
              <w:left w:w="3" w:type="dxa"/>
              <w:bottom w:w="7" w:type="dxa"/>
              <w:right w:w="3" w:type="dxa"/>
            </w:tcMar>
            <w:vAlign w:val="center"/>
            <w:hideMark/>
          </w:tcPr>
          <w:p w14:paraId="77355DBA"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913,500</w:t>
            </w:r>
          </w:p>
        </w:tc>
        <w:tc>
          <w:tcPr>
            <w:tcW w:w="1147"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5559A58D"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$912,197 </w:t>
            </w:r>
          </w:p>
        </w:tc>
        <w:tc>
          <w:tcPr>
            <w:tcW w:w="114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6B30EB2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 xml:space="preserve">$164,588 </w:t>
            </w:r>
          </w:p>
        </w:tc>
        <w:tc>
          <w:tcPr>
            <w:tcW w:w="1784" w:type="dxa"/>
            <w:tcBorders>
              <w:top w:val="single" w:sz="4" w:space="0" w:color="FFFFFF"/>
              <w:left w:val="single" w:sz="4" w:space="0" w:color="FFFFFF"/>
              <w:bottom w:val="single" w:sz="4" w:space="0" w:color="FFFFFF"/>
              <w:right w:val="single" w:sz="4" w:space="0" w:color="FFFFFF"/>
            </w:tcBorders>
            <w:shd w:val="clear" w:color="auto" w:fill="BDD6EE" w:themeFill="accent1" w:themeFillTint="66"/>
            <w:tcMar>
              <w:top w:w="3" w:type="dxa"/>
              <w:left w:w="3" w:type="dxa"/>
              <w:bottom w:w="0" w:type="dxa"/>
              <w:right w:w="3" w:type="dxa"/>
            </w:tcMar>
            <w:vAlign w:val="center"/>
            <w:hideMark/>
          </w:tcPr>
          <w:p w14:paraId="4EBA750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color w:val="000000"/>
                <w:kern w:val="24"/>
                <w:sz w:val="20"/>
                <w:szCs w:val="20"/>
              </w:rPr>
              <w:t>5.5 years</w:t>
            </w:r>
          </w:p>
        </w:tc>
      </w:tr>
      <w:tr w:rsidR="008D01FC" w:rsidRPr="007677EE" w14:paraId="3798ECEC" w14:textId="77777777" w:rsidTr="008D01FC">
        <w:trPr>
          <w:trHeight w:val="112"/>
        </w:trPr>
        <w:tc>
          <w:tcPr>
            <w:tcW w:w="794" w:type="dxa"/>
            <w:tcBorders>
              <w:top w:val="single" w:sz="4" w:space="0" w:color="FFFFFF"/>
              <w:left w:val="single" w:sz="4" w:space="0" w:color="FFFFFF"/>
              <w:bottom w:val="single" w:sz="4" w:space="0" w:color="FFFFFF"/>
              <w:right w:val="single" w:sz="4" w:space="0" w:color="FFFFFF"/>
            </w:tcBorders>
            <w:shd w:val="clear" w:color="auto" w:fill="auto"/>
            <w:tcMar>
              <w:top w:w="7" w:type="dxa"/>
              <w:left w:w="3" w:type="dxa"/>
              <w:bottom w:w="7" w:type="dxa"/>
              <w:right w:w="3" w:type="dxa"/>
            </w:tcMar>
            <w:vAlign w:val="center"/>
            <w:hideMark/>
          </w:tcPr>
          <w:p w14:paraId="50305538" w14:textId="77777777" w:rsidR="00747627" w:rsidRPr="007677EE" w:rsidRDefault="00747627" w:rsidP="008D01FC">
            <w:pPr>
              <w:spacing w:after="0" w:line="240" w:lineRule="auto"/>
              <w:rPr>
                <w:rFonts w:ascii="Arial" w:eastAsia="Times New Roman" w:hAnsi="Arial" w:cs="Arial"/>
                <w:sz w:val="20"/>
                <w:szCs w:val="20"/>
              </w:rPr>
            </w:pPr>
          </w:p>
        </w:tc>
        <w:tc>
          <w:tcPr>
            <w:tcW w:w="1758" w:type="dxa"/>
            <w:tcBorders>
              <w:top w:val="single" w:sz="4" w:space="0" w:color="FFFFFF"/>
              <w:left w:val="single" w:sz="4" w:space="0" w:color="FFFFFF"/>
              <w:bottom w:val="single" w:sz="4" w:space="0" w:color="FFFFFF"/>
              <w:right w:val="single" w:sz="4" w:space="0" w:color="FFFFFF"/>
            </w:tcBorders>
            <w:shd w:val="clear" w:color="auto" w:fill="auto"/>
            <w:tcMar>
              <w:top w:w="7" w:type="dxa"/>
              <w:left w:w="3" w:type="dxa"/>
              <w:bottom w:w="7" w:type="dxa"/>
              <w:right w:w="3" w:type="dxa"/>
            </w:tcMar>
            <w:vAlign w:val="center"/>
            <w:hideMark/>
          </w:tcPr>
          <w:p w14:paraId="6942331D" w14:textId="77777777" w:rsidR="00747627" w:rsidRPr="007677EE" w:rsidRDefault="00747627" w:rsidP="008D01FC">
            <w:pPr>
              <w:spacing w:after="0" w:line="240" w:lineRule="auto"/>
              <w:rPr>
                <w:rFonts w:ascii="Arial" w:eastAsia="Times New Roman" w:hAnsi="Arial" w:cs="Arial"/>
                <w:sz w:val="20"/>
                <w:szCs w:val="20"/>
              </w:rPr>
            </w:pPr>
          </w:p>
        </w:tc>
        <w:tc>
          <w:tcPr>
            <w:tcW w:w="2887" w:type="dxa"/>
            <w:tcBorders>
              <w:top w:val="single" w:sz="4" w:space="0" w:color="FFFFFF"/>
              <w:left w:val="single" w:sz="4" w:space="0" w:color="FFFFFF"/>
              <w:bottom w:val="single" w:sz="4" w:space="0" w:color="FFFFFF"/>
              <w:right w:val="single" w:sz="4" w:space="0" w:color="FFFFFF"/>
            </w:tcBorders>
            <w:shd w:val="clear" w:color="auto" w:fill="009FDA"/>
            <w:tcMar>
              <w:top w:w="7" w:type="dxa"/>
              <w:left w:w="3" w:type="dxa"/>
              <w:bottom w:w="7" w:type="dxa"/>
              <w:right w:w="3" w:type="dxa"/>
            </w:tcMar>
            <w:vAlign w:val="center"/>
            <w:hideMark/>
          </w:tcPr>
          <w:p w14:paraId="2BAFBD59"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b/>
                <w:bCs/>
                <w:color w:val="FFFFFF" w:themeColor="background1"/>
                <w:kern w:val="24"/>
                <w:sz w:val="20"/>
                <w:szCs w:val="20"/>
              </w:rPr>
              <w:t>Total</w:t>
            </w:r>
          </w:p>
        </w:tc>
        <w:tc>
          <w:tcPr>
            <w:tcW w:w="1403" w:type="dxa"/>
            <w:tcBorders>
              <w:top w:val="single" w:sz="4" w:space="0" w:color="FFFFFF"/>
              <w:left w:val="single" w:sz="4" w:space="0" w:color="FFFFFF"/>
              <w:bottom w:val="single" w:sz="4" w:space="0" w:color="FFFFFF"/>
              <w:right w:val="single" w:sz="4" w:space="0" w:color="FFFFFF"/>
            </w:tcBorders>
            <w:shd w:val="clear" w:color="auto" w:fill="009FDA"/>
            <w:tcMar>
              <w:top w:w="7" w:type="dxa"/>
              <w:left w:w="3" w:type="dxa"/>
              <w:bottom w:w="7" w:type="dxa"/>
              <w:right w:w="3" w:type="dxa"/>
            </w:tcMar>
            <w:vAlign w:val="center"/>
            <w:hideMark/>
          </w:tcPr>
          <w:p w14:paraId="0FFFC2B2"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b/>
                <w:bCs/>
                <w:color w:val="FFFFFF" w:themeColor="background1"/>
                <w:kern w:val="24"/>
                <w:sz w:val="20"/>
                <w:szCs w:val="20"/>
              </w:rPr>
              <w:t>442,421,963</w:t>
            </w:r>
          </w:p>
        </w:tc>
        <w:tc>
          <w:tcPr>
            <w:tcW w:w="1147" w:type="dxa"/>
            <w:tcBorders>
              <w:top w:val="single" w:sz="4" w:space="0" w:color="FFFFFF"/>
              <w:left w:val="single" w:sz="4" w:space="0" w:color="FFFFFF"/>
              <w:bottom w:val="single" w:sz="4" w:space="0" w:color="FFFFFF"/>
              <w:right w:val="single" w:sz="4" w:space="0" w:color="FFFFFF"/>
            </w:tcBorders>
            <w:shd w:val="clear" w:color="auto" w:fill="009FDA"/>
            <w:tcMar>
              <w:top w:w="3" w:type="dxa"/>
              <w:left w:w="3" w:type="dxa"/>
              <w:bottom w:w="0" w:type="dxa"/>
              <w:right w:w="3" w:type="dxa"/>
            </w:tcMar>
            <w:vAlign w:val="center"/>
            <w:hideMark/>
          </w:tcPr>
          <w:p w14:paraId="61DCE574"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b/>
                <w:bCs/>
                <w:color w:val="FFFFFF" w:themeColor="background1"/>
                <w:kern w:val="24"/>
                <w:sz w:val="20"/>
                <w:szCs w:val="20"/>
              </w:rPr>
              <w:t>$7,301,382</w:t>
            </w:r>
          </w:p>
        </w:tc>
        <w:tc>
          <w:tcPr>
            <w:tcW w:w="1144" w:type="dxa"/>
            <w:tcBorders>
              <w:top w:val="single" w:sz="4" w:space="0" w:color="FFFFFF"/>
              <w:left w:val="single" w:sz="4" w:space="0" w:color="FFFFFF"/>
              <w:bottom w:val="single" w:sz="4" w:space="0" w:color="FFFFFF"/>
              <w:right w:val="single" w:sz="4" w:space="0" w:color="FFFFFF"/>
            </w:tcBorders>
            <w:shd w:val="clear" w:color="auto" w:fill="009FDA"/>
            <w:tcMar>
              <w:top w:w="3" w:type="dxa"/>
              <w:left w:w="3" w:type="dxa"/>
              <w:bottom w:w="0" w:type="dxa"/>
              <w:right w:w="3" w:type="dxa"/>
            </w:tcMar>
            <w:vAlign w:val="center"/>
            <w:hideMark/>
          </w:tcPr>
          <w:p w14:paraId="725B7538" w14:textId="77777777" w:rsidR="00747627" w:rsidRPr="007677EE" w:rsidRDefault="00747627" w:rsidP="008D01FC">
            <w:pPr>
              <w:spacing w:after="0" w:line="240" w:lineRule="auto"/>
              <w:jc w:val="center"/>
              <w:textAlignment w:val="bottom"/>
              <w:rPr>
                <w:rFonts w:ascii="Arial" w:eastAsia="Times New Roman" w:hAnsi="Arial" w:cs="Arial"/>
                <w:sz w:val="20"/>
                <w:szCs w:val="20"/>
              </w:rPr>
            </w:pPr>
            <w:r w:rsidRPr="007677EE">
              <w:rPr>
                <w:rFonts w:ascii="Arial" w:eastAsia="Times New Roman" w:hAnsi="Arial" w:cs="Arial"/>
                <w:b/>
                <w:bCs/>
                <w:color w:val="FFFFFF" w:themeColor="background1"/>
                <w:kern w:val="24"/>
                <w:sz w:val="20"/>
                <w:szCs w:val="20"/>
              </w:rPr>
              <w:t>$1,985,027</w:t>
            </w:r>
          </w:p>
        </w:tc>
        <w:tc>
          <w:tcPr>
            <w:tcW w:w="1784" w:type="dxa"/>
            <w:tcBorders>
              <w:top w:val="single" w:sz="4" w:space="0" w:color="FFFFFF"/>
              <w:left w:val="single" w:sz="4" w:space="0" w:color="FFFFFF"/>
              <w:bottom w:val="single" w:sz="4" w:space="0" w:color="FFFFFF"/>
              <w:right w:val="single" w:sz="4" w:space="0" w:color="FFFFFF"/>
            </w:tcBorders>
            <w:shd w:val="clear" w:color="auto" w:fill="auto"/>
            <w:tcMar>
              <w:top w:w="3" w:type="dxa"/>
              <w:left w:w="3" w:type="dxa"/>
              <w:bottom w:w="0" w:type="dxa"/>
              <w:right w:w="3" w:type="dxa"/>
            </w:tcMar>
            <w:vAlign w:val="center"/>
            <w:hideMark/>
          </w:tcPr>
          <w:p w14:paraId="39ACDCA1" w14:textId="77777777" w:rsidR="00747627" w:rsidRPr="007677EE" w:rsidRDefault="00747627" w:rsidP="008D01FC">
            <w:pPr>
              <w:spacing w:after="0" w:line="240" w:lineRule="auto"/>
              <w:rPr>
                <w:rFonts w:ascii="Arial" w:eastAsia="Times New Roman" w:hAnsi="Arial" w:cs="Arial"/>
                <w:sz w:val="20"/>
                <w:szCs w:val="20"/>
              </w:rPr>
            </w:pPr>
          </w:p>
        </w:tc>
      </w:tr>
    </w:tbl>
    <w:p w14:paraId="0FC2A333" w14:textId="77777777" w:rsidR="000C377F" w:rsidRPr="007677EE" w:rsidRDefault="000C377F">
      <w:pPr>
        <w:rPr>
          <w:rFonts w:ascii="Arial" w:hAnsi="Arial" w:cs="Arial"/>
        </w:rPr>
      </w:pPr>
      <w:r w:rsidRPr="007677EE">
        <w:rPr>
          <w:rFonts w:ascii="Arial" w:hAnsi="Arial" w:cs="Arial"/>
        </w:rPr>
        <w:br w:type="page"/>
      </w:r>
    </w:p>
    <w:p w14:paraId="24D28112" w14:textId="4C3528BF" w:rsidR="00DD1173" w:rsidRPr="007677EE" w:rsidRDefault="007C6A63" w:rsidP="00572FA4">
      <w:pPr>
        <w:rPr>
          <w:rFonts w:ascii="Arial" w:hAnsi="Arial" w:cs="Arial"/>
        </w:rPr>
      </w:pPr>
      <w:r w:rsidRPr="007677EE">
        <w:rPr>
          <w:rFonts w:ascii="Arial" w:hAnsi="Arial" w:cs="Arial"/>
        </w:rPr>
        <w:lastRenderedPageBreak/>
        <w:t xml:space="preserve">It is important to understand the context of the audited buildings as compared to the total municipal energy demands on the island. </w:t>
      </w:r>
      <w:r w:rsidR="004E6095" w:rsidRPr="007677EE">
        <w:rPr>
          <w:rFonts w:ascii="Arial" w:hAnsi="Arial" w:cs="Arial"/>
        </w:rPr>
        <w:t>A further review of the JPSCo billing data was used to overlay the audits-review wh</w:t>
      </w:r>
      <w:r w:rsidR="002C0262" w:rsidRPr="007677EE">
        <w:rPr>
          <w:rFonts w:ascii="Arial" w:hAnsi="Arial" w:cs="Arial"/>
        </w:rPr>
        <w:t>i</w:t>
      </w:r>
      <w:r w:rsidR="004E6095" w:rsidRPr="007677EE">
        <w:rPr>
          <w:rFonts w:ascii="Arial" w:hAnsi="Arial" w:cs="Arial"/>
        </w:rPr>
        <w:t xml:space="preserve">ch was completed by DNV. </w:t>
      </w:r>
      <w:r w:rsidRPr="007677EE">
        <w:rPr>
          <w:rFonts w:ascii="Arial" w:hAnsi="Arial" w:cs="Arial"/>
        </w:rPr>
        <w:t xml:space="preserve">This is presented in table 2. </w:t>
      </w:r>
    </w:p>
    <w:p w14:paraId="4167A4DC" w14:textId="77777777" w:rsidR="000C377F" w:rsidRPr="007677EE" w:rsidRDefault="000C377F" w:rsidP="00572FA4">
      <w:pPr>
        <w:rPr>
          <w:rFonts w:ascii="Arial" w:hAnsi="Arial" w:cs="Arial"/>
        </w:rPr>
      </w:pPr>
    </w:p>
    <w:p w14:paraId="68B0176F" w14:textId="09E215B6" w:rsidR="00747627" w:rsidRPr="007677EE" w:rsidRDefault="002C0262" w:rsidP="00747627">
      <w:pPr>
        <w:rPr>
          <w:rFonts w:ascii="Arial" w:hAnsi="Arial" w:cs="Arial"/>
          <w:b/>
        </w:rPr>
      </w:pPr>
      <w:r w:rsidRPr="007677EE">
        <w:rPr>
          <w:rFonts w:ascii="Arial" w:hAnsi="Arial" w:cs="Arial"/>
          <w:b/>
        </w:rPr>
        <w:t>Table 2</w:t>
      </w:r>
      <w:r w:rsidR="000C377F" w:rsidRPr="007677EE">
        <w:rPr>
          <w:rFonts w:ascii="Arial" w:hAnsi="Arial" w:cs="Arial"/>
          <w:b/>
        </w:rPr>
        <w:t xml:space="preserve"> Top Electricity Consumers from JPSCo Billing Data: Jamaica Government Facilities</w:t>
      </w:r>
    </w:p>
    <w:tbl>
      <w:tblPr>
        <w:tblW w:w="10417" w:type="dxa"/>
        <w:tblInd w:w="-170" w:type="dxa"/>
        <w:tblCellMar>
          <w:left w:w="0" w:type="dxa"/>
          <w:right w:w="0" w:type="dxa"/>
        </w:tblCellMar>
        <w:tblLook w:val="0600" w:firstRow="0" w:lastRow="0" w:firstColumn="0" w:lastColumn="0" w:noHBand="1" w:noVBand="1"/>
      </w:tblPr>
      <w:tblGrid>
        <w:gridCol w:w="558"/>
        <w:gridCol w:w="5547"/>
        <w:gridCol w:w="1636"/>
        <w:gridCol w:w="1959"/>
        <w:gridCol w:w="717"/>
      </w:tblGrid>
      <w:tr w:rsidR="00747627" w:rsidRPr="007677EE" w14:paraId="749512D2"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000000"/>
            <w:tcMar>
              <w:top w:w="10" w:type="dxa"/>
              <w:left w:w="10" w:type="dxa"/>
              <w:bottom w:w="0" w:type="dxa"/>
              <w:right w:w="10" w:type="dxa"/>
            </w:tcMar>
            <w:vAlign w:val="center"/>
            <w:hideMark/>
          </w:tcPr>
          <w:p w14:paraId="467FE33A"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b/>
                <w:bCs/>
                <w:color w:val="FFFFFF"/>
                <w:kern w:val="24"/>
              </w:rPr>
              <w:t>Rank</w:t>
            </w:r>
          </w:p>
        </w:tc>
        <w:tc>
          <w:tcPr>
            <w:tcW w:w="5564" w:type="dxa"/>
            <w:tcBorders>
              <w:top w:val="single" w:sz="4" w:space="0" w:color="808080"/>
              <w:left w:val="single" w:sz="4" w:space="0" w:color="808080"/>
              <w:bottom w:val="single" w:sz="4" w:space="0" w:color="808080"/>
              <w:right w:val="single" w:sz="4" w:space="0" w:color="808080"/>
            </w:tcBorders>
            <w:shd w:val="clear" w:color="auto" w:fill="000000"/>
            <w:tcMar>
              <w:top w:w="10" w:type="dxa"/>
              <w:left w:w="10" w:type="dxa"/>
              <w:bottom w:w="0" w:type="dxa"/>
              <w:right w:w="10" w:type="dxa"/>
            </w:tcMar>
            <w:vAlign w:val="center"/>
            <w:hideMark/>
          </w:tcPr>
          <w:p w14:paraId="333D031C"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b/>
                <w:bCs/>
                <w:color w:val="FFFFFF"/>
                <w:kern w:val="24"/>
              </w:rPr>
              <w:t>Customer and Address</w:t>
            </w:r>
          </w:p>
        </w:tc>
        <w:tc>
          <w:tcPr>
            <w:tcW w:w="1637" w:type="dxa"/>
            <w:tcBorders>
              <w:top w:val="single" w:sz="4" w:space="0" w:color="808080"/>
              <w:left w:val="single" w:sz="4" w:space="0" w:color="808080"/>
              <w:bottom w:val="single" w:sz="4" w:space="0" w:color="808080"/>
              <w:right w:val="single" w:sz="4" w:space="0" w:color="808080"/>
            </w:tcBorders>
            <w:shd w:val="clear" w:color="auto" w:fill="000000"/>
            <w:tcMar>
              <w:top w:w="10" w:type="dxa"/>
              <w:left w:w="10" w:type="dxa"/>
              <w:bottom w:w="0" w:type="dxa"/>
              <w:right w:w="10" w:type="dxa"/>
            </w:tcMar>
            <w:vAlign w:val="center"/>
            <w:hideMark/>
          </w:tcPr>
          <w:p w14:paraId="46AD173F"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b/>
                <w:bCs/>
                <w:color w:val="FFFFFF"/>
                <w:kern w:val="24"/>
              </w:rPr>
              <w:t>Annual Consumption (kWh)</w:t>
            </w:r>
          </w:p>
        </w:tc>
        <w:tc>
          <w:tcPr>
            <w:tcW w:w="1962" w:type="dxa"/>
            <w:tcBorders>
              <w:top w:val="single" w:sz="4" w:space="0" w:color="808080"/>
              <w:left w:val="single" w:sz="4" w:space="0" w:color="808080"/>
              <w:bottom w:val="single" w:sz="4" w:space="0" w:color="808080"/>
              <w:right w:val="single" w:sz="4" w:space="0" w:color="808080"/>
            </w:tcBorders>
            <w:shd w:val="clear" w:color="auto" w:fill="000000"/>
            <w:tcMar>
              <w:top w:w="10" w:type="dxa"/>
              <w:left w:w="10" w:type="dxa"/>
              <w:bottom w:w="0" w:type="dxa"/>
              <w:right w:w="10" w:type="dxa"/>
            </w:tcMar>
            <w:vAlign w:val="center"/>
            <w:hideMark/>
          </w:tcPr>
          <w:p w14:paraId="7961B010"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b/>
                <w:bCs/>
                <w:color w:val="FFFFFF"/>
                <w:kern w:val="24"/>
              </w:rPr>
              <w:t>Annual Cost (USD)</w:t>
            </w:r>
          </w:p>
        </w:tc>
        <w:tc>
          <w:tcPr>
            <w:tcW w:w="707" w:type="dxa"/>
            <w:tcBorders>
              <w:top w:val="nil"/>
              <w:left w:val="single" w:sz="4" w:space="0" w:color="808080"/>
              <w:bottom w:val="single" w:sz="4" w:space="0" w:color="808080"/>
              <w:right w:val="single" w:sz="4" w:space="0" w:color="808080"/>
            </w:tcBorders>
            <w:shd w:val="clear" w:color="auto" w:fill="000000"/>
            <w:tcMar>
              <w:top w:w="10" w:type="dxa"/>
              <w:left w:w="10" w:type="dxa"/>
              <w:bottom w:w="0" w:type="dxa"/>
              <w:right w:w="10" w:type="dxa"/>
            </w:tcMar>
            <w:vAlign w:val="center"/>
            <w:hideMark/>
          </w:tcPr>
          <w:p w14:paraId="33AC506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b/>
                <w:bCs/>
                <w:color w:val="FFFFFF"/>
                <w:kern w:val="24"/>
              </w:rPr>
              <w:t>Has Audit?</w:t>
            </w:r>
          </w:p>
        </w:tc>
      </w:tr>
      <w:tr w:rsidR="00747627" w:rsidRPr="007677EE" w14:paraId="7B487D3C"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16000438"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9C0006"/>
                <w:kern w:val="24"/>
              </w:rPr>
              <w:t>1</w:t>
            </w:r>
          </w:p>
        </w:tc>
        <w:tc>
          <w:tcPr>
            <w:tcW w:w="5564"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19AE8AA0"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color w:val="9C0006"/>
                <w:kern w:val="24"/>
              </w:rPr>
              <w:t xml:space="preserve">Ministry of Health: Victoria Jubilee Hospital Kingston C.S.O.,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5808CB07"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9C0006"/>
                <w:kern w:val="24"/>
              </w:rPr>
              <w:t>6,243,408 kWh</w:t>
            </w:r>
          </w:p>
        </w:tc>
        <w:tc>
          <w:tcPr>
            <w:tcW w:w="1962"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6461C081"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9C0006"/>
                <w:kern w:val="24"/>
              </w:rPr>
              <w:t>$1,873,022</w:t>
            </w:r>
          </w:p>
        </w:tc>
        <w:tc>
          <w:tcPr>
            <w:tcW w:w="707"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15230376"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9C0006"/>
                <w:kern w:val="24"/>
              </w:rPr>
              <w:t>Yes</w:t>
            </w:r>
          </w:p>
        </w:tc>
      </w:tr>
      <w:tr w:rsidR="00747627" w:rsidRPr="007677EE" w14:paraId="50AF189C"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26F96FEB"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9C0006"/>
                <w:kern w:val="24"/>
              </w:rPr>
              <w:t>2</w:t>
            </w:r>
          </w:p>
        </w:tc>
        <w:tc>
          <w:tcPr>
            <w:tcW w:w="5564"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4A474D6E"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color w:val="9C0006"/>
                <w:kern w:val="24"/>
              </w:rPr>
              <w:t xml:space="preserve">Ministry of Health: Cornwall Regional Hospital Montego Bay #1 P.O., St. James </w:t>
            </w:r>
          </w:p>
        </w:tc>
        <w:tc>
          <w:tcPr>
            <w:tcW w:w="1637"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2C72649B"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9C0006"/>
                <w:kern w:val="24"/>
              </w:rPr>
              <w:t>4,633,200 kWh</w:t>
            </w:r>
          </w:p>
        </w:tc>
        <w:tc>
          <w:tcPr>
            <w:tcW w:w="1962"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3B8A5A83"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9C0006"/>
                <w:kern w:val="24"/>
              </w:rPr>
              <w:t>$1,389,960</w:t>
            </w:r>
          </w:p>
        </w:tc>
        <w:tc>
          <w:tcPr>
            <w:tcW w:w="707"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45BF2304"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9C0006"/>
                <w:kern w:val="24"/>
              </w:rPr>
              <w:t>No</w:t>
            </w:r>
          </w:p>
        </w:tc>
      </w:tr>
      <w:tr w:rsidR="00747627" w:rsidRPr="007677EE" w14:paraId="2520F51F"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684FEF70"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3</w:t>
            </w:r>
          </w:p>
        </w:tc>
        <w:tc>
          <w:tcPr>
            <w:tcW w:w="5564"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5DA18290"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color w:val="000000"/>
                <w:kern w:val="24"/>
              </w:rPr>
              <w:t xml:space="preserve">National Housing Trust: 4 Park BLVD Kingston 5,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181AB737"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2,319,912 kWh</w:t>
            </w:r>
          </w:p>
        </w:tc>
        <w:tc>
          <w:tcPr>
            <w:tcW w:w="1962"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53F377D8"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$695,974</w:t>
            </w:r>
          </w:p>
        </w:tc>
        <w:tc>
          <w:tcPr>
            <w:tcW w:w="70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3E49828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Yes</w:t>
            </w:r>
          </w:p>
        </w:tc>
      </w:tr>
      <w:tr w:rsidR="00747627" w:rsidRPr="007677EE" w14:paraId="77C6737A"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7C6860B4"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4</w:t>
            </w:r>
          </w:p>
        </w:tc>
        <w:tc>
          <w:tcPr>
            <w:tcW w:w="5564"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4B52CD4E"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color w:val="000000"/>
                <w:kern w:val="24"/>
              </w:rPr>
              <w:t xml:space="preserve">Portland Parish Council: Orange Grove - Hart Hill Windsor Castle P.O., Portland </w:t>
            </w:r>
          </w:p>
        </w:tc>
        <w:tc>
          <w:tcPr>
            <w:tcW w:w="163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429B032D"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2,185,368 kWh</w:t>
            </w:r>
          </w:p>
        </w:tc>
        <w:tc>
          <w:tcPr>
            <w:tcW w:w="1962"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4FD5A70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$655,610</w:t>
            </w:r>
          </w:p>
        </w:tc>
        <w:tc>
          <w:tcPr>
            <w:tcW w:w="70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52754434"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No</w:t>
            </w:r>
          </w:p>
        </w:tc>
      </w:tr>
      <w:tr w:rsidR="00A446F0" w:rsidRPr="007677EE" w14:paraId="2A8E44CD"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3490170" w14:textId="77777777" w:rsidR="00747627" w:rsidRPr="007677EE" w:rsidRDefault="00747627" w:rsidP="00A446F0">
            <w:pPr>
              <w:spacing w:after="0" w:line="240" w:lineRule="auto"/>
              <w:textAlignment w:val="bottom"/>
              <w:rPr>
                <w:rFonts w:ascii="Arial" w:eastAsia="Times New Roman" w:hAnsi="Arial" w:cs="Arial"/>
                <w:kern w:val="24"/>
              </w:rPr>
            </w:pPr>
            <w:r w:rsidRPr="007677EE">
              <w:rPr>
                <w:rFonts w:ascii="Arial" w:eastAsia="Times New Roman" w:hAnsi="Arial" w:cs="Arial"/>
                <w:kern w:val="24"/>
              </w:rPr>
              <w:t>5</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72C8F1BD" w14:textId="77777777" w:rsidR="00747627" w:rsidRPr="007677EE" w:rsidRDefault="00747627" w:rsidP="00A446F0">
            <w:pPr>
              <w:spacing w:after="0" w:line="240" w:lineRule="auto"/>
              <w:textAlignment w:val="bottom"/>
              <w:rPr>
                <w:rFonts w:ascii="Arial" w:eastAsia="Times New Roman" w:hAnsi="Arial" w:cs="Arial"/>
                <w:kern w:val="24"/>
              </w:rPr>
            </w:pPr>
            <w:r w:rsidRPr="007677EE">
              <w:rPr>
                <w:rFonts w:ascii="Arial" w:eastAsia="Times New Roman" w:hAnsi="Arial" w:cs="Arial"/>
                <w:kern w:val="24"/>
              </w:rPr>
              <w:t xml:space="preserve">Ministry of Health: St Anns Bay Hospital St.Anns Bay P.O., St. Ann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21EEC783" w14:textId="77777777" w:rsidR="00747627" w:rsidRPr="007677EE" w:rsidRDefault="00747627" w:rsidP="00A446F0">
            <w:pPr>
              <w:spacing w:after="0" w:line="240" w:lineRule="auto"/>
              <w:textAlignment w:val="bottom"/>
              <w:rPr>
                <w:rFonts w:ascii="Arial" w:eastAsia="Times New Roman" w:hAnsi="Arial" w:cs="Arial"/>
                <w:kern w:val="24"/>
              </w:rPr>
            </w:pPr>
            <w:r w:rsidRPr="007677EE">
              <w:rPr>
                <w:rFonts w:ascii="Arial" w:eastAsia="Times New Roman" w:hAnsi="Arial" w:cs="Arial"/>
                <w:kern w:val="24"/>
              </w:rPr>
              <w:t>2,054,232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068BD23" w14:textId="77777777" w:rsidR="00747627" w:rsidRPr="007677EE" w:rsidRDefault="00747627" w:rsidP="00A446F0">
            <w:pPr>
              <w:spacing w:after="0" w:line="240" w:lineRule="auto"/>
              <w:textAlignment w:val="bottom"/>
              <w:rPr>
                <w:rFonts w:ascii="Arial" w:eastAsia="Times New Roman" w:hAnsi="Arial" w:cs="Arial"/>
                <w:kern w:val="24"/>
              </w:rPr>
            </w:pPr>
            <w:r w:rsidRPr="007677EE">
              <w:rPr>
                <w:rFonts w:ascii="Arial" w:eastAsia="Times New Roman" w:hAnsi="Arial" w:cs="Arial"/>
                <w:kern w:val="24"/>
              </w:rPr>
              <w:t>$616,270</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2D2CCBAC" w14:textId="77777777" w:rsidR="00747627" w:rsidRPr="007677EE" w:rsidRDefault="00747627" w:rsidP="00A446F0">
            <w:pPr>
              <w:spacing w:after="0" w:line="240" w:lineRule="auto"/>
              <w:textAlignment w:val="bottom"/>
              <w:rPr>
                <w:rFonts w:ascii="Arial" w:eastAsia="Times New Roman" w:hAnsi="Arial" w:cs="Arial"/>
                <w:kern w:val="24"/>
              </w:rPr>
            </w:pPr>
            <w:r w:rsidRPr="007677EE">
              <w:rPr>
                <w:rFonts w:ascii="Arial" w:eastAsia="Times New Roman" w:hAnsi="Arial" w:cs="Arial"/>
                <w:kern w:val="24"/>
              </w:rPr>
              <w:t>No</w:t>
            </w:r>
          </w:p>
        </w:tc>
      </w:tr>
      <w:tr w:rsidR="00747627" w:rsidRPr="007677EE" w14:paraId="789B10AC"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2EF2329B"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6</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C8C3EC0"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Ministry of Health: Bustamante Children Hospital Kingston 5,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4B500871"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1,718,496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860B5D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$515,549</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12CA3F8"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r w:rsidR="00747627" w:rsidRPr="007677EE" w14:paraId="0BE56128"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6FDB7D6F"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7</w:t>
            </w:r>
          </w:p>
        </w:tc>
        <w:tc>
          <w:tcPr>
            <w:tcW w:w="5564"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5267FB57"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color w:val="000000"/>
                <w:kern w:val="24"/>
              </w:rPr>
              <w:t xml:space="preserve">Ministry of Nat Sec &amp; Justice: Twickenham Park Spanish Town #1 P.O., St. Catherine </w:t>
            </w:r>
          </w:p>
        </w:tc>
        <w:tc>
          <w:tcPr>
            <w:tcW w:w="163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7A2227B9"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1,567,354 kWh</w:t>
            </w:r>
          </w:p>
        </w:tc>
        <w:tc>
          <w:tcPr>
            <w:tcW w:w="1962"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0B5ACC5C"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$470,206</w:t>
            </w:r>
          </w:p>
        </w:tc>
        <w:tc>
          <w:tcPr>
            <w:tcW w:w="70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355EAB7B"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No</w:t>
            </w:r>
          </w:p>
        </w:tc>
      </w:tr>
      <w:tr w:rsidR="00747627" w:rsidRPr="007677EE" w14:paraId="6C113733"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79CCFC57"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9C0006"/>
                <w:kern w:val="24"/>
              </w:rPr>
              <w:t>8</w:t>
            </w:r>
          </w:p>
        </w:tc>
        <w:tc>
          <w:tcPr>
            <w:tcW w:w="5564"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47F99A61"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color w:val="9C0006"/>
                <w:kern w:val="24"/>
              </w:rPr>
              <w:t xml:space="preserve">Min Of Health: Mandeville Public Hospital Mandeville P.O., Manchester </w:t>
            </w:r>
          </w:p>
        </w:tc>
        <w:tc>
          <w:tcPr>
            <w:tcW w:w="1637"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4DA44FFB"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9C0006"/>
                <w:kern w:val="24"/>
              </w:rPr>
              <w:t>1,563,072 kWh</w:t>
            </w:r>
          </w:p>
        </w:tc>
        <w:tc>
          <w:tcPr>
            <w:tcW w:w="1962"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339D3ABC"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9C0006"/>
                <w:kern w:val="24"/>
              </w:rPr>
              <w:t>$468,922</w:t>
            </w:r>
          </w:p>
        </w:tc>
        <w:tc>
          <w:tcPr>
            <w:tcW w:w="707" w:type="dxa"/>
            <w:tcBorders>
              <w:top w:val="single" w:sz="4" w:space="0" w:color="808080"/>
              <w:left w:val="single" w:sz="4" w:space="0" w:color="808080"/>
              <w:bottom w:val="single" w:sz="4" w:space="0" w:color="808080"/>
              <w:right w:val="single" w:sz="4" w:space="0" w:color="808080"/>
            </w:tcBorders>
            <w:shd w:val="clear" w:color="auto" w:fill="FFC7CE"/>
            <w:tcMar>
              <w:top w:w="10" w:type="dxa"/>
              <w:left w:w="10" w:type="dxa"/>
              <w:bottom w:w="0" w:type="dxa"/>
              <w:right w:w="10" w:type="dxa"/>
            </w:tcMar>
            <w:vAlign w:val="bottom"/>
            <w:hideMark/>
          </w:tcPr>
          <w:p w14:paraId="31E2FD03"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9C0006"/>
                <w:kern w:val="24"/>
              </w:rPr>
              <w:t>No</w:t>
            </w:r>
          </w:p>
        </w:tc>
      </w:tr>
      <w:tr w:rsidR="00747627" w:rsidRPr="007677EE" w14:paraId="184696B0"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B7F9AEF"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9</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967A2F6"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Ministry of Health: 21 Slipe Pen Public Health RD Kingston 5,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7E36CA4"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1,489,997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2ACBAF0A"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$446,999</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306D5D7"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r w:rsidR="00747627" w:rsidRPr="007677EE" w14:paraId="2D7CEB8E"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670FA1E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10</w:t>
            </w:r>
          </w:p>
        </w:tc>
        <w:tc>
          <w:tcPr>
            <w:tcW w:w="5564"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5DC2C4BA"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color w:val="000000"/>
                <w:kern w:val="24"/>
              </w:rPr>
              <w:t xml:space="preserve">Urban Development Corporation: Kingston Mall Office Centre Kingston C.S.O.,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1401FB0D"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1,450,944 kWh</w:t>
            </w:r>
          </w:p>
        </w:tc>
        <w:tc>
          <w:tcPr>
            <w:tcW w:w="1962"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2B08CF48"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$435,283</w:t>
            </w:r>
          </w:p>
        </w:tc>
        <w:tc>
          <w:tcPr>
            <w:tcW w:w="70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0C04C16B"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No</w:t>
            </w:r>
          </w:p>
        </w:tc>
      </w:tr>
      <w:tr w:rsidR="00747627" w:rsidRPr="007677EE" w14:paraId="398BF78C"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2C657D94"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11</w:t>
            </w:r>
          </w:p>
        </w:tc>
        <w:tc>
          <w:tcPr>
            <w:tcW w:w="5564"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4C8F6C2F"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color w:val="000000"/>
                <w:kern w:val="24"/>
              </w:rPr>
              <w:t xml:space="preserve">Urban Development Corporation: Complant Bldg, Convention Cent Montego Bay #1 P.O., St. James </w:t>
            </w:r>
          </w:p>
        </w:tc>
        <w:tc>
          <w:tcPr>
            <w:tcW w:w="163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3536239D"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1,396,080 kWh</w:t>
            </w:r>
          </w:p>
        </w:tc>
        <w:tc>
          <w:tcPr>
            <w:tcW w:w="1962"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7900FE0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$418,824</w:t>
            </w:r>
          </w:p>
        </w:tc>
        <w:tc>
          <w:tcPr>
            <w:tcW w:w="707" w:type="dxa"/>
            <w:tcBorders>
              <w:top w:val="single" w:sz="4" w:space="0" w:color="808080"/>
              <w:left w:val="single" w:sz="4" w:space="0" w:color="808080"/>
              <w:bottom w:val="single" w:sz="4" w:space="0" w:color="808080"/>
              <w:right w:val="single" w:sz="4" w:space="0" w:color="808080"/>
            </w:tcBorders>
            <w:shd w:val="clear" w:color="auto" w:fill="auto"/>
            <w:tcMar>
              <w:top w:w="10" w:type="dxa"/>
              <w:left w:w="10" w:type="dxa"/>
              <w:bottom w:w="0" w:type="dxa"/>
              <w:right w:w="10" w:type="dxa"/>
            </w:tcMar>
            <w:vAlign w:val="bottom"/>
            <w:hideMark/>
          </w:tcPr>
          <w:p w14:paraId="361E0AAA"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color w:val="000000"/>
                <w:kern w:val="24"/>
              </w:rPr>
              <w:t>No</w:t>
            </w:r>
          </w:p>
        </w:tc>
      </w:tr>
      <w:tr w:rsidR="00747627" w:rsidRPr="007677EE" w14:paraId="06A2D835"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49A47CE4"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12</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46581829"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Ministry of Health: May Pen Hospital New Denbigh P.O., Clarendon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CA3B4DC"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1,364,976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F5E3F33"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$409,493</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DAB7B38"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Yes</w:t>
            </w:r>
          </w:p>
        </w:tc>
      </w:tr>
      <w:tr w:rsidR="00747627" w:rsidRPr="007677EE" w14:paraId="412B36BD"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04D19F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13</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8E9A865"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Urban Development Corporation: 11 Duke BLVD, Port Royal Kingston C.S.O.,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6EDDCBE"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1,360,800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7E3A4BBF"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$408,240</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D78DFB7"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r w:rsidR="00747627" w:rsidRPr="007677EE" w14:paraId="681FC1F3"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1DFC089"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14</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FEA135F"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Central Sorting Office: South Camp RD Kingston 4,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1F607EB"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1,336,435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69A8522"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$400,931</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0F23D21"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Yes</w:t>
            </w:r>
          </w:p>
        </w:tc>
      </w:tr>
      <w:tr w:rsidR="00747627" w:rsidRPr="007677EE" w14:paraId="742467FD"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25607281"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15</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0157B09"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Heart Trust/NTA: Runaway Bay Runaway Bay P.O., St. Ann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31DB646"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1,052,611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5E68980"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$315,783</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835D475"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Yes</w:t>
            </w:r>
          </w:p>
        </w:tc>
      </w:tr>
      <w:tr w:rsidR="00747627" w:rsidRPr="007677EE" w14:paraId="5295DE05"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3B64CCC"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16</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73ACF98F"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Min Of Transport &amp; Works: Half Way Tree/Oxford RD Kingston 5,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4DEEDFC7"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897,996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00BC6CF"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$269,399</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ED6D428"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Yes</w:t>
            </w:r>
          </w:p>
        </w:tc>
      </w:tr>
      <w:tr w:rsidR="00747627" w:rsidRPr="007677EE" w14:paraId="44A640EC"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A733756"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17</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11ED010"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Urban Development Corporation: 8 Ocean BLVD BLK 6, Kingston C.S.O.,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620A5EA"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1,003,440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D89F361"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$301,032</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04A7CE6"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r w:rsidR="00747627" w:rsidRPr="007677EE" w14:paraId="53446322"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9156E82"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18</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63D521D"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Urban Development Corporation: Caymanas Estate Spanish Town #1 P.O., St. Catherine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7983D0B0"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963,130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0E9EBF1"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$288,939</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390D6E11"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r w:rsidR="00747627" w:rsidRPr="007677EE" w14:paraId="6B1FDCBB"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019BEAD8"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19</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58D0BA0"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Ministry of Nat Sec &amp; Justice: King ST, Supreme Court Kingston C.S.O., Kingston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F03EAF2"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930,874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7459017B"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$279,262</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159AB509"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r w:rsidR="00747627" w:rsidRPr="007677EE" w14:paraId="46CC1D87" w14:textId="77777777" w:rsidTr="00071D5A">
        <w:trPr>
          <w:trHeight w:val="204"/>
        </w:trPr>
        <w:tc>
          <w:tcPr>
            <w:tcW w:w="54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4063D032"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20</w:t>
            </w:r>
          </w:p>
        </w:tc>
        <w:tc>
          <w:tcPr>
            <w:tcW w:w="5564"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036D51F" w14:textId="77777777" w:rsidR="00747627" w:rsidRPr="007677EE" w:rsidRDefault="00747627" w:rsidP="00747627">
            <w:pPr>
              <w:spacing w:after="0" w:line="240" w:lineRule="auto"/>
              <w:textAlignment w:val="bottom"/>
              <w:rPr>
                <w:rFonts w:ascii="Arial" w:eastAsia="Times New Roman" w:hAnsi="Arial" w:cs="Arial"/>
              </w:rPr>
            </w:pPr>
            <w:r w:rsidRPr="007677EE">
              <w:rPr>
                <w:rFonts w:ascii="Arial" w:eastAsia="Times New Roman" w:hAnsi="Arial" w:cs="Arial"/>
                <w:kern w:val="24"/>
              </w:rPr>
              <w:t xml:space="preserve">Ministry of Health: Burke RD Spanish Town #1 P.O., St. Catherine </w:t>
            </w:r>
          </w:p>
        </w:tc>
        <w:tc>
          <w:tcPr>
            <w:tcW w:w="163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29AE0A0"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866,232 kWh</w:t>
            </w:r>
          </w:p>
        </w:tc>
        <w:tc>
          <w:tcPr>
            <w:tcW w:w="1962"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6AA83636"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$259,870</w:t>
            </w:r>
          </w:p>
        </w:tc>
        <w:tc>
          <w:tcPr>
            <w:tcW w:w="707" w:type="dxa"/>
            <w:tcBorders>
              <w:top w:val="single" w:sz="4" w:space="0" w:color="808080"/>
              <w:left w:val="single" w:sz="4" w:space="0" w:color="808080"/>
              <w:bottom w:val="single" w:sz="4" w:space="0" w:color="808080"/>
              <w:right w:val="single" w:sz="4" w:space="0" w:color="808080"/>
            </w:tcBorders>
            <w:shd w:val="clear" w:color="auto" w:fill="FFFFFF" w:themeFill="background1"/>
            <w:tcMar>
              <w:top w:w="10" w:type="dxa"/>
              <w:left w:w="10" w:type="dxa"/>
              <w:bottom w:w="0" w:type="dxa"/>
              <w:right w:w="10" w:type="dxa"/>
            </w:tcMar>
            <w:vAlign w:val="bottom"/>
            <w:hideMark/>
          </w:tcPr>
          <w:p w14:paraId="52349886" w14:textId="77777777" w:rsidR="00747627" w:rsidRPr="007677EE" w:rsidRDefault="00747627" w:rsidP="00747627">
            <w:pPr>
              <w:spacing w:after="0" w:line="240" w:lineRule="auto"/>
              <w:jc w:val="center"/>
              <w:textAlignment w:val="bottom"/>
              <w:rPr>
                <w:rFonts w:ascii="Arial" w:eastAsia="Times New Roman" w:hAnsi="Arial" w:cs="Arial"/>
              </w:rPr>
            </w:pPr>
            <w:r w:rsidRPr="007677EE">
              <w:rPr>
                <w:rFonts w:ascii="Arial" w:eastAsia="Times New Roman" w:hAnsi="Arial" w:cs="Arial"/>
                <w:kern w:val="24"/>
              </w:rPr>
              <w:t>No</w:t>
            </w:r>
          </w:p>
        </w:tc>
      </w:tr>
    </w:tbl>
    <w:p w14:paraId="64BCD927" w14:textId="043EF790" w:rsidR="000C377F" w:rsidRPr="007677EE" w:rsidRDefault="000C377F" w:rsidP="000C377F">
      <w:pPr>
        <w:rPr>
          <w:rFonts w:ascii="Arial" w:hAnsi="Arial" w:cs="Arial"/>
        </w:rPr>
      </w:pPr>
      <w:bookmarkStart w:id="0" w:name="_GoBack"/>
      <w:bookmarkEnd w:id="0"/>
      <w:r w:rsidRPr="007677EE">
        <w:rPr>
          <w:rFonts w:ascii="Arial" w:hAnsi="Arial" w:cs="Arial"/>
        </w:rPr>
        <w:lastRenderedPageBreak/>
        <w:t>In reviewing of the Energy Consumption data in Table 3, which was provided by compiling the JPSCo bills for the Public Sector Facilities-2015, the agencies which showed the highest consumption (after NWC and Street lights) were the Health, Education and Public Agencies combined sectors</w:t>
      </w:r>
    </w:p>
    <w:p w14:paraId="3BE3A4E7" w14:textId="0E76333C" w:rsidR="000C377F" w:rsidRPr="007677EE" w:rsidRDefault="000C377F" w:rsidP="000C377F">
      <w:pPr>
        <w:pStyle w:val="NoSpacing"/>
        <w:jc w:val="center"/>
        <w:rPr>
          <w:rFonts w:ascii="Arial" w:hAnsi="Arial" w:cs="Arial"/>
          <w:b/>
          <w:u w:val="single"/>
        </w:rPr>
      </w:pPr>
      <w:r w:rsidRPr="007677EE">
        <w:rPr>
          <w:rFonts w:ascii="Arial" w:hAnsi="Arial" w:cs="Arial"/>
          <w:b/>
          <w:u w:val="single"/>
        </w:rPr>
        <w:t>TABLE 3: Summary of Public Sector (and sub-sectors) Electricity Consumption 2015</w:t>
      </w:r>
    </w:p>
    <w:tbl>
      <w:tblPr>
        <w:tblW w:w="11294" w:type="dxa"/>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0"/>
        <w:gridCol w:w="2238"/>
        <w:gridCol w:w="1628"/>
        <w:gridCol w:w="1978"/>
        <w:gridCol w:w="1990"/>
      </w:tblGrid>
      <w:tr w:rsidR="000C377F" w:rsidRPr="007677EE" w14:paraId="6264BEF5" w14:textId="77777777" w:rsidTr="000C377F">
        <w:trPr>
          <w:trHeight w:val="855"/>
        </w:trPr>
        <w:tc>
          <w:tcPr>
            <w:tcW w:w="3460" w:type="dxa"/>
            <w:shd w:val="clear" w:color="000000" w:fill="FFFFFF"/>
            <w:noWrap/>
            <w:vAlign w:val="center"/>
            <w:hideMark/>
          </w:tcPr>
          <w:p w14:paraId="273A15CD"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Sector (2015 Figures)</w:t>
            </w:r>
          </w:p>
        </w:tc>
        <w:tc>
          <w:tcPr>
            <w:tcW w:w="2238" w:type="dxa"/>
            <w:shd w:val="clear" w:color="000000" w:fill="FFFFFF"/>
            <w:vAlign w:val="center"/>
            <w:hideMark/>
          </w:tcPr>
          <w:p w14:paraId="7A6311D1"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Annual consumption</w:t>
            </w:r>
            <w:r w:rsidRPr="007677EE">
              <w:rPr>
                <w:rFonts w:ascii="Arial" w:eastAsia="Times New Roman" w:hAnsi="Arial" w:cs="Arial"/>
                <w:b/>
                <w:bCs/>
                <w:color w:val="000000"/>
                <w:sz w:val="20"/>
                <w:szCs w:val="20"/>
              </w:rPr>
              <w:br/>
              <w:t>(GWh)</w:t>
            </w:r>
          </w:p>
        </w:tc>
        <w:tc>
          <w:tcPr>
            <w:tcW w:w="1628" w:type="dxa"/>
            <w:shd w:val="clear" w:color="000000" w:fill="FFFFFF"/>
            <w:vAlign w:val="center"/>
            <w:hideMark/>
          </w:tcPr>
          <w:p w14:paraId="45AF6F8B"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Share of annual consumption</w:t>
            </w:r>
            <w:r w:rsidRPr="007677EE">
              <w:rPr>
                <w:rFonts w:ascii="Arial" w:eastAsia="Times New Roman" w:hAnsi="Arial" w:cs="Arial"/>
                <w:b/>
                <w:bCs/>
                <w:color w:val="000000"/>
                <w:sz w:val="20"/>
                <w:szCs w:val="20"/>
              </w:rPr>
              <w:br/>
              <w:t>(%)</w:t>
            </w:r>
          </w:p>
        </w:tc>
        <w:tc>
          <w:tcPr>
            <w:tcW w:w="1978" w:type="dxa"/>
            <w:shd w:val="clear" w:color="000000" w:fill="FFFFFF"/>
            <w:vAlign w:val="center"/>
            <w:hideMark/>
          </w:tcPr>
          <w:p w14:paraId="765701A2"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Average annual consumption</w:t>
            </w:r>
            <w:r w:rsidRPr="007677EE">
              <w:rPr>
                <w:rFonts w:ascii="Arial" w:eastAsia="Times New Roman" w:hAnsi="Arial" w:cs="Arial"/>
                <w:b/>
                <w:bCs/>
                <w:color w:val="000000"/>
                <w:sz w:val="20"/>
                <w:szCs w:val="20"/>
              </w:rPr>
              <w:br/>
              <w:t>(GWh)</w:t>
            </w:r>
          </w:p>
        </w:tc>
        <w:tc>
          <w:tcPr>
            <w:tcW w:w="1990" w:type="dxa"/>
            <w:shd w:val="clear" w:color="000000" w:fill="FFFFFF"/>
            <w:vAlign w:val="center"/>
            <w:hideMark/>
          </w:tcPr>
          <w:p w14:paraId="02E69167"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Annual cost per sector</w:t>
            </w:r>
            <w:r w:rsidRPr="007677EE">
              <w:rPr>
                <w:rFonts w:ascii="Arial" w:eastAsia="Times New Roman" w:hAnsi="Arial" w:cs="Arial"/>
                <w:b/>
                <w:bCs/>
                <w:color w:val="000000"/>
                <w:sz w:val="20"/>
                <w:szCs w:val="20"/>
              </w:rPr>
              <w:br/>
              <w:t>(US$ million)</w:t>
            </w:r>
          </w:p>
        </w:tc>
      </w:tr>
      <w:tr w:rsidR="000C377F" w:rsidRPr="007677EE" w14:paraId="791F08FB" w14:textId="77777777" w:rsidTr="000C377F">
        <w:trPr>
          <w:trHeight w:val="485"/>
        </w:trPr>
        <w:tc>
          <w:tcPr>
            <w:tcW w:w="3460" w:type="dxa"/>
            <w:shd w:val="clear" w:color="000000" w:fill="FFFFFF"/>
            <w:noWrap/>
            <w:vAlign w:val="center"/>
            <w:hideMark/>
          </w:tcPr>
          <w:p w14:paraId="4DFEB318"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National Water Commission</w:t>
            </w:r>
          </w:p>
        </w:tc>
        <w:tc>
          <w:tcPr>
            <w:tcW w:w="2238" w:type="dxa"/>
            <w:shd w:val="clear" w:color="000000" w:fill="FFFFFF"/>
            <w:noWrap/>
            <w:vAlign w:val="bottom"/>
            <w:hideMark/>
          </w:tcPr>
          <w:p w14:paraId="3F297463"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174.10</w:t>
            </w:r>
          </w:p>
        </w:tc>
        <w:tc>
          <w:tcPr>
            <w:tcW w:w="1628" w:type="dxa"/>
            <w:shd w:val="clear" w:color="000000" w:fill="FFFFFF"/>
            <w:noWrap/>
            <w:vAlign w:val="bottom"/>
            <w:hideMark/>
          </w:tcPr>
          <w:p w14:paraId="3462DD8C"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44.2%</w:t>
            </w:r>
          </w:p>
        </w:tc>
        <w:tc>
          <w:tcPr>
            <w:tcW w:w="1978" w:type="dxa"/>
            <w:shd w:val="clear" w:color="000000" w:fill="FFFFFF"/>
            <w:noWrap/>
            <w:vAlign w:val="center"/>
            <w:hideMark/>
          </w:tcPr>
          <w:p w14:paraId="4FDA06B2"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14.51 </w:t>
            </w:r>
          </w:p>
        </w:tc>
        <w:tc>
          <w:tcPr>
            <w:tcW w:w="1990" w:type="dxa"/>
            <w:shd w:val="clear" w:color="000000" w:fill="FFFFFF"/>
            <w:noWrap/>
            <w:vAlign w:val="bottom"/>
            <w:hideMark/>
          </w:tcPr>
          <w:p w14:paraId="7A3FB566"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44.09 </w:t>
            </w:r>
          </w:p>
        </w:tc>
      </w:tr>
      <w:tr w:rsidR="000C377F" w:rsidRPr="007677EE" w14:paraId="7EBABD6E" w14:textId="77777777" w:rsidTr="000C377F">
        <w:trPr>
          <w:trHeight w:val="377"/>
        </w:trPr>
        <w:tc>
          <w:tcPr>
            <w:tcW w:w="3460" w:type="dxa"/>
            <w:shd w:val="clear" w:color="000000" w:fill="FFFFFF"/>
            <w:noWrap/>
            <w:vAlign w:val="center"/>
            <w:hideMark/>
          </w:tcPr>
          <w:p w14:paraId="36A879D9"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 xml:space="preserve">Street Lighting </w:t>
            </w:r>
          </w:p>
        </w:tc>
        <w:tc>
          <w:tcPr>
            <w:tcW w:w="2238" w:type="dxa"/>
            <w:shd w:val="clear" w:color="000000" w:fill="FFFFFF"/>
            <w:noWrap/>
            <w:vAlign w:val="center"/>
            <w:hideMark/>
          </w:tcPr>
          <w:p w14:paraId="78574CA0"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69.80 </w:t>
            </w:r>
          </w:p>
        </w:tc>
        <w:tc>
          <w:tcPr>
            <w:tcW w:w="1628" w:type="dxa"/>
            <w:shd w:val="clear" w:color="000000" w:fill="FFFFFF"/>
            <w:noWrap/>
            <w:vAlign w:val="bottom"/>
            <w:hideMark/>
          </w:tcPr>
          <w:p w14:paraId="48238B50"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17.7%</w:t>
            </w:r>
          </w:p>
        </w:tc>
        <w:tc>
          <w:tcPr>
            <w:tcW w:w="1978" w:type="dxa"/>
            <w:shd w:val="clear" w:color="000000" w:fill="FFFFFF"/>
            <w:noWrap/>
            <w:vAlign w:val="center"/>
            <w:hideMark/>
          </w:tcPr>
          <w:p w14:paraId="16A45934"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5.82 </w:t>
            </w:r>
          </w:p>
        </w:tc>
        <w:tc>
          <w:tcPr>
            <w:tcW w:w="1990" w:type="dxa"/>
            <w:shd w:val="clear" w:color="000000" w:fill="FFFFFF"/>
            <w:noWrap/>
            <w:vAlign w:val="bottom"/>
            <w:hideMark/>
          </w:tcPr>
          <w:p w14:paraId="39FECAE6"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18.45 </w:t>
            </w:r>
          </w:p>
        </w:tc>
      </w:tr>
      <w:tr w:rsidR="000C377F" w:rsidRPr="007677EE" w14:paraId="5A2911AD" w14:textId="77777777" w:rsidTr="000C377F">
        <w:trPr>
          <w:trHeight w:val="300"/>
        </w:trPr>
        <w:tc>
          <w:tcPr>
            <w:tcW w:w="3460" w:type="dxa"/>
            <w:shd w:val="clear" w:color="000000" w:fill="8DB4E2"/>
            <w:noWrap/>
            <w:vAlign w:val="center"/>
            <w:hideMark/>
          </w:tcPr>
          <w:p w14:paraId="5D022A08"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Public Agencies Combined</w:t>
            </w:r>
          </w:p>
        </w:tc>
        <w:tc>
          <w:tcPr>
            <w:tcW w:w="2238" w:type="dxa"/>
            <w:shd w:val="clear" w:color="000000" w:fill="8DB4E2"/>
            <w:noWrap/>
            <w:vAlign w:val="center"/>
            <w:hideMark/>
          </w:tcPr>
          <w:p w14:paraId="37136586"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34.07 </w:t>
            </w:r>
          </w:p>
        </w:tc>
        <w:tc>
          <w:tcPr>
            <w:tcW w:w="1628" w:type="dxa"/>
            <w:shd w:val="clear" w:color="000000" w:fill="8DB4E2"/>
            <w:noWrap/>
            <w:vAlign w:val="bottom"/>
            <w:hideMark/>
          </w:tcPr>
          <w:p w14:paraId="7E2A9FBD"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8.7%</w:t>
            </w:r>
          </w:p>
        </w:tc>
        <w:tc>
          <w:tcPr>
            <w:tcW w:w="1978" w:type="dxa"/>
            <w:shd w:val="clear" w:color="000000" w:fill="8DB4E2"/>
            <w:noWrap/>
            <w:vAlign w:val="center"/>
            <w:hideMark/>
          </w:tcPr>
          <w:p w14:paraId="443F229A"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2.84 </w:t>
            </w:r>
          </w:p>
        </w:tc>
        <w:tc>
          <w:tcPr>
            <w:tcW w:w="1990" w:type="dxa"/>
            <w:shd w:val="clear" w:color="000000" w:fill="8DB4E2"/>
            <w:noWrap/>
            <w:vAlign w:val="bottom"/>
            <w:hideMark/>
          </w:tcPr>
          <w:p w14:paraId="451F3B0C"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9.65 </w:t>
            </w:r>
          </w:p>
        </w:tc>
      </w:tr>
      <w:tr w:rsidR="000C377F" w:rsidRPr="007677EE" w14:paraId="69BF42F7" w14:textId="77777777" w:rsidTr="000C377F">
        <w:trPr>
          <w:trHeight w:val="300"/>
        </w:trPr>
        <w:tc>
          <w:tcPr>
            <w:tcW w:w="3460" w:type="dxa"/>
            <w:shd w:val="clear" w:color="000000" w:fill="8DB4E2"/>
            <w:noWrap/>
            <w:vAlign w:val="center"/>
            <w:hideMark/>
          </w:tcPr>
          <w:p w14:paraId="7497FD46"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 xml:space="preserve">Ministry of Health </w:t>
            </w:r>
          </w:p>
        </w:tc>
        <w:tc>
          <w:tcPr>
            <w:tcW w:w="2238" w:type="dxa"/>
            <w:shd w:val="clear" w:color="000000" w:fill="8DB4E2"/>
            <w:noWrap/>
            <w:vAlign w:val="center"/>
            <w:hideMark/>
          </w:tcPr>
          <w:p w14:paraId="05DC680F"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30.59 </w:t>
            </w:r>
          </w:p>
        </w:tc>
        <w:tc>
          <w:tcPr>
            <w:tcW w:w="1628" w:type="dxa"/>
            <w:shd w:val="clear" w:color="000000" w:fill="8DB4E2"/>
            <w:noWrap/>
            <w:vAlign w:val="bottom"/>
            <w:hideMark/>
          </w:tcPr>
          <w:p w14:paraId="7390C410"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7.8%</w:t>
            </w:r>
          </w:p>
        </w:tc>
        <w:tc>
          <w:tcPr>
            <w:tcW w:w="1978" w:type="dxa"/>
            <w:shd w:val="clear" w:color="000000" w:fill="8DB4E2"/>
            <w:noWrap/>
            <w:vAlign w:val="center"/>
            <w:hideMark/>
          </w:tcPr>
          <w:p w14:paraId="13BE97FF"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2.55 </w:t>
            </w:r>
          </w:p>
        </w:tc>
        <w:tc>
          <w:tcPr>
            <w:tcW w:w="1990" w:type="dxa"/>
            <w:shd w:val="clear" w:color="000000" w:fill="8DB4E2"/>
            <w:noWrap/>
            <w:vAlign w:val="bottom"/>
            <w:hideMark/>
          </w:tcPr>
          <w:p w14:paraId="11D9C09F"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7.41 </w:t>
            </w:r>
          </w:p>
        </w:tc>
      </w:tr>
      <w:tr w:rsidR="000C377F" w:rsidRPr="007677EE" w14:paraId="2074C467" w14:textId="77777777" w:rsidTr="000C377F">
        <w:trPr>
          <w:trHeight w:val="300"/>
        </w:trPr>
        <w:tc>
          <w:tcPr>
            <w:tcW w:w="3460" w:type="dxa"/>
            <w:shd w:val="clear" w:color="000000" w:fill="8DB4E2"/>
            <w:noWrap/>
            <w:vAlign w:val="center"/>
            <w:hideMark/>
          </w:tcPr>
          <w:p w14:paraId="6978E834"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Ministry of Education</w:t>
            </w:r>
          </w:p>
        </w:tc>
        <w:tc>
          <w:tcPr>
            <w:tcW w:w="2238" w:type="dxa"/>
            <w:shd w:val="clear" w:color="000000" w:fill="8DB4E2"/>
            <w:noWrap/>
            <w:vAlign w:val="center"/>
            <w:hideMark/>
          </w:tcPr>
          <w:p w14:paraId="5E70F100"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23.73 </w:t>
            </w:r>
          </w:p>
        </w:tc>
        <w:tc>
          <w:tcPr>
            <w:tcW w:w="1628" w:type="dxa"/>
            <w:shd w:val="clear" w:color="000000" w:fill="8DB4E2"/>
            <w:noWrap/>
            <w:vAlign w:val="bottom"/>
            <w:hideMark/>
          </w:tcPr>
          <w:p w14:paraId="2DDA6C3C"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6.0%</w:t>
            </w:r>
          </w:p>
        </w:tc>
        <w:tc>
          <w:tcPr>
            <w:tcW w:w="1978" w:type="dxa"/>
            <w:shd w:val="clear" w:color="000000" w:fill="8DB4E2"/>
            <w:noWrap/>
            <w:vAlign w:val="center"/>
            <w:hideMark/>
          </w:tcPr>
          <w:p w14:paraId="2F770E78"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1.98 </w:t>
            </w:r>
          </w:p>
        </w:tc>
        <w:tc>
          <w:tcPr>
            <w:tcW w:w="1990" w:type="dxa"/>
            <w:shd w:val="clear" w:color="000000" w:fill="8DB4E2"/>
            <w:noWrap/>
            <w:vAlign w:val="bottom"/>
            <w:hideMark/>
          </w:tcPr>
          <w:p w14:paraId="0572CED0"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6.64 </w:t>
            </w:r>
          </w:p>
        </w:tc>
      </w:tr>
      <w:tr w:rsidR="000C377F" w:rsidRPr="007677EE" w14:paraId="4020B5F6" w14:textId="77777777" w:rsidTr="000C377F">
        <w:trPr>
          <w:trHeight w:val="300"/>
        </w:trPr>
        <w:tc>
          <w:tcPr>
            <w:tcW w:w="3460" w:type="dxa"/>
            <w:shd w:val="clear" w:color="000000" w:fill="FFFFFF"/>
            <w:noWrap/>
            <w:vAlign w:val="center"/>
            <w:hideMark/>
          </w:tcPr>
          <w:p w14:paraId="3A9F57CB"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Civil Aviation</w:t>
            </w:r>
          </w:p>
        </w:tc>
        <w:tc>
          <w:tcPr>
            <w:tcW w:w="2238" w:type="dxa"/>
            <w:shd w:val="clear" w:color="000000" w:fill="FFFFFF"/>
            <w:noWrap/>
            <w:vAlign w:val="center"/>
            <w:hideMark/>
          </w:tcPr>
          <w:p w14:paraId="0DF7DF51"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16.90 </w:t>
            </w:r>
          </w:p>
        </w:tc>
        <w:tc>
          <w:tcPr>
            <w:tcW w:w="1628" w:type="dxa"/>
            <w:shd w:val="clear" w:color="000000" w:fill="FFFFFF"/>
            <w:noWrap/>
            <w:vAlign w:val="bottom"/>
            <w:hideMark/>
          </w:tcPr>
          <w:p w14:paraId="793ECE5C"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4.3%</w:t>
            </w:r>
          </w:p>
        </w:tc>
        <w:tc>
          <w:tcPr>
            <w:tcW w:w="1978" w:type="dxa"/>
            <w:shd w:val="clear" w:color="000000" w:fill="FFFFFF"/>
            <w:noWrap/>
            <w:vAlign w:val="center"/>
            <w:hideMark/>
          </w:tcPr>
          <w:p w14:paraId="797F9881"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1.41 </w:t>
            </w:r>
          </w:p>
        </w:tc>
        <w:tc>
          <w:tcPr>
            <w:tcW w:w="1990" w:type="dxa"/>
            <w:shd w:val="clear" w:color="000000" w:fill="FFFFFF"/>
            <w:noWrap/>
            <w:vAlign w:val="bottom"/>
            <w:hideMark/>
          </w:tcPr>
          <w:p w14:paraId="2F0A7B16"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4.46 </w:t>
            </w:r>
          </w:p>
        </w:tc>
      </w:tr>
      <w:tr w:rsidR="000C377F" w:rsidRPr="007677EE" w14:paraId="5538A169" w14:textId="77777777" w:rsidTr="000C377F">
        <w:trPr>
          <w:trHeight w:val="350"/>
        </w:trPr>
        <w:tc>
          <w:tcPr>
            <w:tcW w:w="3460" w:type="dxa"/>
            <w:shd w:val="clear" w:color="000000" w:fill="FFFFFF"/>
            <w:noWrap/>
            <w:vAlign w:val="center"/>
            <w:hideMark/>
          </w:tcPr>
          <w:p w14:paraId="41F17655"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Security and Justice</w:t>
            </w:r>
          </w:p>
        </w:tc>
        <w:tc>
          <w:tcPr>
            <w:tcW w:w="2238" w:type="dxa"/>
            <w:shd w:val="clear" w:color="000000" w:fill="FFFFFF"/>
            <w:noWrap/>
            <w:vAlign w:val="center"/>
            <w:hideMark/>
          </w:tcPr>
          <w:p w14:paraId="67557E28"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19.11 </w:t>
            </w:r>
          </w:p>
        </w:tc>
        <w:tc>
          <w:tcPr>
            <w:tcW w:w="1628" w:type="dxa"/>
            <w:shd w:val="clear" w:color="000000" w:fill="FFFFFF"/>
            <w:noWrap/>
            <w:vAlign w:val="bottom"/>
            <w:hideMark/>
          </w:tcPr>
          <w:p w14:paraId="55D5B838"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4.9%</w:t>
            </w:r>
          </w:p>
        </w:tc>
        <w:tc>
          <w:tcPr>
            <w:tcW w:w="1978" w:type="dxa"/>
            <w:shd w:val="clear" w:color="000000" w:fill="FFFFFF"/>
            <w:noWrap/>
            <w:vAlign w:val="center"/>
            <w:hideMark/>
          </w:tcPr>
          <w:p w14:paraId="03092792"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1.59 </w:t>
            </w:r>
          </w:p>
        </w:tc>
        <w:tc>
          <w:tcPr>
            <w:tcW w:w="1990" w:type="dxa"/>
            <w:shd w:val="clear" w:color="000000" w:fill="FFFFFF"/>
            <w:noWrap/>
            <w:vAlign w:val="bottom"/>
            <w:hideMark/>
          </w:tcPr>
          <w:p w14:paraId="113FBCBF"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5.48 </w:t>
            </w:r>
          </w:p>
        </w:tc>
      </w:tr>
      <w:tr w:rsidR="000C377F" w:rsidRPr="007677EE" w14:paraId="4FA2DD5B" w14:textId="77777777" w:rsidTr="000C377F">
        <w:trPr>
          <w:trHeight w:val="300"/>
        </w:trPr>
        <w:tc>
          <w:tcPr>
            <w:tcW w:w="3460" w:type="dxa"/>
            <w:shd w:val="clear" w:color="000000" w:fill="FFFFFF"/>
            <w:noWrap/>
            <w:vAlign w:val="center"/>
            <w:hideMark/>
          </w:tcPr>
          <w:p w14:paraId="7895288F"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Irrigation</w:t>
            </w:r>
          </w:p>
        </w:tc>
        <w:tc>
          <w:tcPr>
            <w:tcW w:w="2238" w:type="dxa"/>
            <w:shd w:val="clear" w:color="000000" w:fill="FFFFFF"/>
            <w:noWrap/>
            <w:vAlign w:val="center"/>
            <w:hideMark/>
          </w:tcPr>
          <w:p w14:paraId="0D41F9FA"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15.01 </w:t>
            </w:r>
          </w:p>
        </w:tc>
        <w:tc>
          <w:tcPr>
            <w:tcW w:w="1628" w:type="dxa"/>
            <w:shd w:val="clear" w:color="000000" w:fill="FFFFFF"/>
            <w:noWrap/>
            <w:vAlign w:val="bottom"/>
            <w:hideMark/>
          </w:tcPr>
          <w:p w14:paraId="371FA13F"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3.8%</w:t>
            </w:r>
          </w:p>
        </w:tc>
        <w:tc>
          <w:tcPr>
            <w:tcW w:w="1978" w:type="dxa"/>
            <w:shd w:val="clear" w:color="000000" w:fill="FFFFFF"/>
            <w:noWrap/>
            <w:vAlign w:val="center"/>
            <w:hideMark/>
          </w:tcPr>
          <w:p w14:paraId="5379B4EB"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1.25 </w:t>
            </w:r>
          </w:p>
        </w:tc>
        <w:tc>
          <w:tcPr>
            <w:tcW w:w="1990" w:type="dxa"/>
            <w:shd w:val="clear" w:color="000000" w:fill="FFFFFF"/>
            <w:noWrap/>
            <w:vAlign w:val="bottom"/>
            <w:hideMark/>
          </w:tcPr>
          <w:p w14:paraId="7F1E7CB3"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3.92 </w:t>
            </w:r>
          </w:p>
        </w:tc>
      </w:tr>
      <w:tr w:rsidR="000C377F" w:rsidRPr="007677EE" w14:paraId="40BB0125" w14:textId="77777777" w:rsidTr="000C377F">
        <w:trPr>
          <w:trHeight w:val="315"/>
        </w:trPr>
        <w:tc>
          <w:tcPr>
            <w:tcW w:w="3460" w:type="dxa"/>
            <w:shd w:val="clear" w:color="000000" w:fill="FFFFFF"/>
            <w:noWrap/>
            <w:vAlign w:val="center"/>
            <w:hideMark/>
          </w:tcPr>
          <w:p w14:paraId="3612CF57" w14:textId="77777777" w:rsidR="000C377F" w:rsidRPr="007677EE" w:rsidRDefault="000C377F" w:rsidP="000C377F">
            <w:pPr>
              <w:spacing w:after="0" w:line="240" w:lineRule="auto"/>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Defense</w:t>
            </w:r>
          </w:p>
        </w:tc>
        <w:tc>
          <w:tcPr>
            <w:tcW w:w="2238" w:type="dxa"/>
            <w:shd w:val="clear" w:color="000000" w:fill="FFFFFF"/>
            <w:noWrap/>
            <w:vAlign w:val="center"/>
            <w:hideMark/>
          </w:tcPr>
          <w:p w14:paraId="0AA909EF"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10.25 </w:t>
            </w:r>
          </w:p>
        </w:tc>
        <w:tc>
          <w:tcPr>
            <w:tcW w:w="1628" w:type="dxa"/>
            <w:shd w:val="clear" w:color="000000" w:fill="FFFFFF"/>
            <w:noWrap/>
            <w:vAlign w:val="bottom"/>
            <w:hideMark/>
          </w:tcPr>
          <w:p w14:paraId="11EEDAB0"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2.6%</w:t>
            </w:r>
          </w:p>
        </w:tc>
        <w:tc>
          <w:tcPr>
            <w:tcW w:w="1978" w:type="dxa"/>
            <w:shd w:val="clear" w:color="000000" w:fill="FFFFFF"/>
            <w:noWrap/>
            <w:vAlign w:val="center"/>
            <w:hideMark/>
          </w:tcPr>
          <w:p w14:paraId="134842A5"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0.85 </w:t>
            </w:r>
          </w:p>
        </w:tc>
        <w:tc>
          <w:tcPr>
            <w:tcW w:w="1990" w:type="dxa"/>
            <w:shd w:val="clear" w:color="000000" w:fill="FFFFFF"/>
            <w:noWrap/>
            <w:vAlign w:val="bottom"/>
            <w:hideMark/>
          </w:tcPr>
          <w:p w14:paraId="563169F7" w14:textId="77777777" w:rsidR="000C377F" w:rsidRPr="007677EE" w:rsidRDefault="000C377F" w:rsidP="000C377F">
            <w:pPr>
              <w:spacing w:after="0" w:line="240" w:lineRule="auto"/>
              <w:jc w:val="center"/>
              <w:rPr>
                <w:rFonts w:ascii="Arial" w:eastAsia="Times New Roman" w:hAnsi="Arial" w:cs="Arial"/>
                <w:color w:val="000000"/>
                <w:sz w:val="20"/>
                <w:szCs w:val="20"/>
              </w:rPr>
            </w:pPr>
            <w:r w:rsidRPr="007677EE">
              <w:rPr>
                <w:rFonts w:ascii="Arial" w:eastAsia="Times New Roman" w:hAnsi="Arial" w:cs="Arial"/>
                <w:color w:val="000000"/>
                <w:sz w:val="20"/>
                <w:szCs w:val="20"/>
              </w:rPr>
              <w:t xml:space="preserve">                               2.50 </w:t>
            </w:r>
          </w:p>
        </w:tc>
      </w:tr>
      <w:tr w:rsidR="000C377F" w:rsidRPr="007677EE" w14:paraId="7B7CA591" w14:textId="77777777" w:rsidTr="000C377F">
        <w:trPr>
          <w:trHeight w:val="300"/>
        </w:trPr>
        <w:tc>
          <w:tcPr>
            <w:tcW w:w="3460" w:type="dxa"/>
            <w:shd w:val="clear" w:color="000000" w:fill="FFFFFF"/>
            <w:noWrap/>
            <w:vAlign w:val="center"/>
            <w:hideMark/>
          </w:tcPr>
          <w:p w14:paraId="6127CF2B" w14:textId="77777777" w:rsidR="000C377F" w:rsidRPr="007677EE" w:rsidRDefault="000C377F" w:rsidP="000C377F">
            <w:pPr>
              <w:spacing w:after="0" w:line="240" w:lineRule="auto"/>
              <w:jc w:val="right"/>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TOTAL</w:t>
            </w:r>
          </w:p>
        </w:tc>
        <w:tc>
          <w:tcPr>
            <w:tcW w:w="2238" w:type="dxa"/>
            <w:shd w:val="clear" w:color="000000" w:fill="FFFFFF"/>
            <w:noWrap/>
            <w:vAlign w:val="center"/>
            <w:hideMark/>
          </w:tcPr>
          <w:p w14:paraId="4F437F95"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 xml:space="preserve">                                393.56 </w:t>
            </w:r>
          </w:p>
        </w:tc>
        <w:tc>
          <w:tcPr>
            <w:tcW w:w="1628" w:type="dxa"/>
            <w:shd w:val="clear" w:color="000000" w:fill="FFFFFF"/>
            <w:noWrap/>
            <w:vAlign w:val="bottom"/>
            <w:hideMark/>
          </w:tcPr>
          <w:p w14:paraId="6B826499"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100.0%</w:t>
            </w:r>
          </w:p>
        </w:tc>
        <w:tc>
          <w:tcPr>
            <w:tcW w:w="1978" w:type="dxa"/>
            <w:shd w:val="clear" w:color="000000" w:fill="FFFFFF"/>
            <w:noWrap/>
            <w:vAlign w:val="center"/>
            <w:hideMark/>
          </w:tcPr>
          <w:p w14:paraId="045A29E3"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 xml:space="preserve">                             32.80 </w:t>
            </w:r>
          </w:p>
        </w:tc>
        <w:tc>
          <w:tcPr>
            <w:tcW w:w="1990" w:type="dxa"/>
            <w:shd w:val="clear" w:color="000000" w:fill="FFFFFF"/>
            <w:noWrap/>
            <w:vAlign w:val="center"/>
            <w:hideMark/>
          </w:tcPr>
          <w:p w14:paraId="120596F3" w14:textId="77777777" w:rsidR="000C377F" w:rsidRPr="007677EE" w:rsidRDefault="000C377F" w:rsidP="000C377F">
            <w:pPr>
              <w:spacing w:after="0" w:line="240" w:lineRule="auto"/>
              <w:jc w:val="center"/>
              <w:rPr>
                <w:rFonts w:ascii="Arial" w:eastAsia="Times New Roman" w:hAnsi="Arial" w:cs="Arial"/>
                <w:b/>
                <w:bCs/>
                <w:color w:val="000000"/>
                <w:sz w:val="20"/>
                <w:szCs w:val="20"/>
              </w:rPr>
            </w:pPr>
            <w:r w:rsidRPr="007677EE">
              <w:rPr>
                <w:rFonts w:ascii="Arial" w:eastAsia="Times New Roman" w:hAnsi="Arial" w:cs="Arial"/>
                <w:b/>
                <w:bCs/>
                <w:color w:val="000000"/>
                <w:sz w:val="20"/>
                <w:szCs w:val="20"/>
              </w:rPr>
              <w:t xml:space="preserve">                           102.61 </w:t>
            </w:r>
          </w:p>
        </w:tc>
      </w:tr>
    </w:tbl>
    <w:p w14:paraId="77E89BD7" w14:textId="77777777" w:rsidR="000C377F" w:rsidRPr="007677EE" w:rsidRDefault="000C377F" w:rsidP="000C377F">
      <w:pPr>
        <w:rPr>
          <w:rFonts w:ascii="Arial" w:hAnsi="Arial" w:cs="Arial"/>
        </w:rPr>
      </w:pPr>
    </w:p>
    <w:p w14:paraId="5F8C884D" w14:textId="5BACE3AC" w:rsidR="00071D5A" w:rsidRPr="007677EE" w:rsidRDefault="00E33F17" w:rsidP="00747627">
      <w:pPr>
        <w:rPr>
          <w:rFonts w:ascii="Arial" w:hAnsi="Arial" w:cs="Arial"/>
        </w:rPr>
      </w:pPr>
      <w:r w:rsidRPr="007677EE">
        <w:rPr>
          <w:rFonts w:ascii="Arial" w:hAnsi="Arial" w:cs="Arial"/>
        </w:rPr>
        <w:t>Based on the selection criteria which included facilities which can be used as shelters,  six buildings for the walk-through and subsequent</w:t>
      </w:r>
      <w:r w:rsidR="00071D5A" w:rsidRPr="007677EE">
        <w:rPr>
          <w:rFonts w:ascii="Arial" w:hAnsi="Arial" w:cs="Arial"/>
        </w:rPr>
        <w:t xml:space="preserve"> Investment Grade Audits </w:t>
      </w:r>
      <w:r w:rsidRPr="007677EE">
        <w:rPr>
          <w:rFonts w:ascii="Arial" w:hAnsi="Arial" w:cs="Arial"/>
        </w:rPr>
        <w:t xml:space="preserve"> </w:t>
      </w:r>
      <w:r w:rsidR="00071D5A" w:rsidRPr="007677EE">
        <w:rPr>
          <w:rFonts w:ascii="Arial" w:hAnsi="Arial" w:cs="Arial"/>
        </w:rPr>
        <w:t>(</w:t>
      </w:r>
      <w:r w:rsidRPr="007677EE">
        <w:rPr>
          <w:rFonts w:ascii="Arial" w:hAnsi="Arial" w:cs="Arial"/>
        </w:rPr>
        <w:t>IGAs</w:t>
      </w:r>
      <w:r w:rsidR="00071D5A" w:rsidRPr="007677EE">
        <w:rPr>
          <w:rFonts w:ascii="Arial" w:hAnsi="Arial" w:cs="Arial"/>
        </w:rPr>
        <w:t>)</w:t>
      </w:r>
      <w:r w:rsidRPr="007677EE">
        <w:rPr>
          <w:rFonts w:ascii="Arial" w:hAnsi="Arial" w:cs="Arial"/>
        </w:rPr>
        <w:t xml:space="preserve"> were selected</w:t>
      </w:r>
      <w:r w:rsidR="00386454" w:rsidRPr="007677EE">
        <w:rPr>
          <w:rFonts w:ascii="Arial" w:hAnsi="Arial" w:cs="Arial"/>
        </w:rPr>
        <w:t xml:space="preserve">. </w:t>
      </w:r>
    </w:p>
    <w:p w14:paraId="74D7727A" w14:textId="77777777" w:rsidR="00071D5A" w:rsidRPr="007677EE" w:rsidRDefault="00071D5A" w:rsidP="00747627">
      <w:pPr>
        <w:rPr>
          <w:rFonts w:ascii="Arial" w:hAnsi="Arial" w:cs="Arial"/>
        </w:rPr>
      </w:pPr>
    </w:p>
    <w:p w14:paraId="084F9754" w14:textId="00FA67D6" w:rsidR="00071D5A" w:rsidRPr="007677EE" w:rsidRDefault="00071D5A" w:rsidP="00747627">
      <w:pPr>
        <w:rPr>
          <w:rFonts w:ascii="Arial" w:hAnsi="Arial" w:cs="Arial"/>
          <w:b/>
          <w:u w:val="single"/>
        </w:rPr>
      </w:pPr>
      <w:r w:rsidRPr="007677EE">
        <w:rPr>
          <w:rFonts w:ascii="Arial" w:hAnsi="Arial" w:cs="Arial"/>
          <w:b/>
          <w:u w:val="single"/>
        </w:rPr>
        <w:t>2. Selecting the Sample Six Facilities:</w:t>
      </w:r>
    </w:p>
    <w:p w14:paraId="37E79527" w14:textId="77777777" w:rsidR="00071D5A" w:rsidRPr="007677EE" w:rsidRDefault="00071D5A" w:rsidP="00071D5A">
      <w:pPr>
        <w:rPr>
          <w:rFonts w:ascii="Arial" w:hAnsi="Arial" w:cs="Arial"/>
        </w:rPr>
      </w:pPr>
      <w:r w:rsidRPr="007677EE">
        <w:rPr>
          <w:rFonts w:ascii="Arial" w:hAnsi="Arial" w:cs="Arial"/>
        </w:rPr>
        <w:t xml:space="preserve">Hospitals represent 6 of the top ten energy users among GoJ facilities. Due to their high energy use, public-facing nature, and importance to the community in extreme weather events, it was determined that the project should specifically focus on hospitals as one occupancy type.  As the single highest energy user, Kingston Public/Victoria Jubilee Hospital was chosen for further diagnosis. In addition Cornwall Regional and Mandeville Public Hospitals were each chosen due to their high energy use and regional significance. </w:t>
      </w:r>
    </w:p>
    <w:p w14:paraId="4A51C406" w14:textId="77777777" w:rsidR="00071D5A" w:rsidRPr="007677EE" w:rsidRDefault="00071D5A" w:rsidP="00071D5A">
      <w:pPr>
        <w:rPr>
          <w:rFonts w:ascii="Arial" w:hAnsi="Arial" w:cs="Arial"/>
        </w:rPr>
      </w:pPr>
      <w:r w:rsidRPr="007677EE">
        <w:rPr>
          <w:rFonts w:ascii="Arial" w:hAnsi="Arial" w:cs="Arial"/>
        </w:rPr>
        <w:t xml:space="preserve">It is important not to focus on a single building type. Schools were selected as a major opportunity. They are extremely high profile within their local communities, and provide an opportunity to educate the future leaders of Jamaica on climate change. They also tend to use a great deal of energy and many have been audited previously, allowing the team an opportunity to leverage the work of previous efforts. Marcus Garvey High School was included based on the emergency shelter criteria as well as the results of a CALATEL/PCJ audit of schools. Many of the schools in the CALATEL audits have since received a number of retrofits and Marcus Garvey was selected as they have not received any interventions, and the relatively high energy consumption. Ebony HEART Trust Academy was chosen as it is an important resource for the </w:t>
      </w:r>
      <w:r w:rsidRPr="007677EE">
        <w:rPr>
          <w:rFonts w:ascii="Arial" w:hAnsi="Arial" w:cs="Arial"/>
        </w:rPr>
        <w:lastRenderedPageBreak/>
        <w:t>community; provide technical education opportunities to the surrounding community. Its proximity to Mandeville also allows for more manageable travel by the contractor during installation.</w:t>
      </w:r>
    </w:p>
    <w:p w14:paraId="3DD9F644" w14:textId="77777777" w:rsidR="00071D5A" w:rsidRPr="007677EE" w:rsidRDefault="00071D5A" w:rsidP="00071D5A">
      <w:pPr>
        <w:rPr>
          <w:rFonts w:ascii="Arial" w:hAnsi="Arial" w:cs="Arial"/>
        </w:rPr>
      </w:pPr>
      <w:r w:rsidRPr="007677EE">
        <w:rPr>
          <w:rFonts w:ascii="Arial" w:hAnsi="Arial" w:cs="Arial"/>
        </w:rPr>
        <w:t xml:space="preserve">The Ministries of Health and Education combined account for 14% of total GoJ electricity usage, and are a critical components of the regional energy strategy. The six buildings chosen for Investment Grade Audits represent 25% of the electricity consumed by the Health and Education Ministries. Hospitals represent 6 of the top ten energy users among GoJ facilities and due to their high energy use, public-facing nature, and importance to the community in extreme weather events.  Schools were selected as a second major opportunity for receiving retrofits given their electricity consumption, their high profile within their local communities and natural platform to educate the future leaders of Jamaica on climate change.   Importantly all these facilities had been audited previously, allowing a better understanding of the condition of the buildings in advance. </w:t>
      </w:r>
    </w:p>
    <w:p w14:paraId="6DC9719B" w14:textId="77777777" w:rsidR="00071D5A" w:rsidRPr="007677EE" w:rsidRDefault="00071D5A" w:rsidP="00071D5A">
      <w:pPr>
        <w:rPr>
          <w:rFonts w:ascii="Arial" w:hAnsi="Arial" w:cs="Arial"/>
        </w:rPr>
      </w:pPr>
      <w:r w:rsidRPr="007677EE">
        <w:rPr>
          <w:rFonts w:ascii="Arial" w:hAnsi="Arial" w:cs="Arial"/>
        </w:rPr>
        <w:t xml:space="preserve">A similar process was used to select additional 24  HEPA facilities to be considered for financing with this Project in that an understanding of the buildings was based on previous audits (including the CALATEL) and JPSCo billing data. Projections were calculated by using kilowatt hour consumption in each building and relating this to the main factors that drive their energy use and estimating the capital investment required, given a limited Project budget. For example, 7 additional hospital selected were analyzed based on their kWhs per bed energy consumption  and for schools, the average annual KWh use per student was estimated.  Approximately 10 public administrative facilities were selected based on the most recent audits already performed and for the single LED lighting intervention across the 50 public sector facilities, an existing lighting audit and comparable-estimate was used whose technical specifications were completed but not procured during the previous IDB loan (JA-L1025). </w:t>
      </w:r>
    </w:p>
    <w:p w14:paraId="706D1F4B" w14:textId="77777777" w:rsidR="00071D5A" w:rsidRPr="007677EE" w:rsidRDefault="00071D5A" w:rsidP="00747627">
      <w:pPr>
        <w:rPr>
          <w:rFonts w:ascii="Arial" w:hAnsi="Arial" w:cs="Arial"/>
        </w:rPr>
      </w:pPr>
    </w:p>
    <w:p w14:paraId="7146AA82" w14:textId="216E4041" w:rsidR="00071D5A" w:rsidRPr="007677EE" w:rsidRDefault="00071D5A" w:rsidP="00071D5A">
      <w:pPr>
        <w:pStyle w:val="Default"/>
        <w:rPr>
          <w:rFonts w:ascii="Arial" w:hAnsi="Arial" w:cs="Arial"/>
          <w:u w:val="single"/>
        </w:rPr>
      </w:pPr>
      <w:r w:rsidRPr="007677EE">
        <w:rPr>
          <w:rFonts w:ascii="Arial" w:hAnsi="Arial" w:cs="Arial"/>
          <w:b/>
          <w:bCs/>
          <w:u w:val="single"/>
        </w:rPr>
        <w:t xml:space="preserve">3. Detailed Diagnostic Audit: Investment Grade Audits (IGAs) </w:t>
      </w:r>
    </w:p>
    <w:p w14:paraId="3F082CDF" w14:textId="56BE623D" w:rsidR="00071D5A" w:rsidRPr="007677EE" w:rsidRDefault="00071D5A" w:rsidP="00071D5A">
      <w:pPr>
        <w:rPr>
          <w:rFonts w:ascii="Arial" w:hAnsi="Arial" w:cs="Arial"/>
          <w:sz w:val="24"/>
          <w:szCs w:val="24"/>
        </w:rPr>
      </w:pPr>
      <w:r w:rsidRPr="007677EE">
        <w:rPr>
          <w:rFonts w:ascii="Arial" w:hAnsi="Arial" w:cs="Arial"/>
          <w:sz w:val="24"/>
          <w:szCs w:val="24"/>
        </w:rPr>
        <w:t>For detailed energy audits, more detailed data and information were required. Measurements and a data inventory were conducted over two to three days and different energy systems (pump, fan, compressed air, steam, process heating, etc.) were assessed in detail. The results of these audits are more comprehensive and useful since they gave a more accurate picture of the energy performance of the plant and more specific recommendation for improvements.</w:t>
      </w:r>
    </w:p>
    <w:p w14:paraId="37AE3337" w14:textId="77777777" w:rsidR="00071D5A" w:rsidRPr="007677EE" w:rsidRDefault="00071D5A" w:rsidP="00071D5A">
      <w:pPr>
        <w:pStyle w:val="Default"/>
        <w:rPr>
          <w:rFonts w:ascii="Arial" w:hAnsi="Arial" w:cs="Arial"/>
          <w:b/>
          <w:bCs/>
        </w:rPr>
      </w:pPr>
      <w:r w:rsidRPr="007677EE">
        <w:rPr>
          <w:rFonts w:ascii="Arial" w:hAnsi="Arial" w:cs="Arial"/>
          <w:b/>
          <w:bCs/>
        </w:rPr>
        <w:t>The Energy Use Profile</w:t>
      </w:r>
    </w:p>
    <w:p w14:paraId="721D21EF" w14:textId="64FBA4E2" w:rsidR="00071D5A" w:rsidRPr="007677EE" w:rsidRDefault="00071D5A" w:rsidP="00071D5A">
      <w:pPr>
        <w:rPr>
          <w:rFonts w:ascii="Arial" w:hAnsi="Arial" w:cs="Arial"/>
          <w:sz w:val="24"/>
          <w:szCs w:val="24"/>
        </w:rPr>
      </w:pPr>
      <w:r w:rsidRPr="007677EE">
        <w:rPr>
          <w:rFonts w:ascii="Arial" w:hAnsi="Arial" w:cs="Arial"/>
          <w:sz w:val="24"/>
          <w:szCs w:val="24"/>
        </w:rPr>
        <w:t>Different options were deployed determine the Energy profiles. These included:</w:t>
      </w:r>
    </w:p>
    <w:p w14:paraId="62ABCAF4" w14:textId="77777777" w:rsidR="00071D5A" w:rsidRPr="007677EE" w:rsidRDefault="00071D5A" w:rsidP="00071D5A">
      <w:pPr>
        <w:pStyle w:val="Default"/>
        <w:numPr>
          <w:ilvl w:val="0"/>
          <w:numId w:val="6"/>
        </w:numPr>
        <w:rPr>
          <w:rFonts w:ascii="Arial" w:hAnsi="Arial" w:cs="Arial"/>
        </w:rPr>
      </w:pPr>
      <w:r w:rsidRPr="007677EE">
        <w:rPr>
          <w:rFonts w:ascii="Arial" w:hAnsi="Arial" w:cs="Arial"/>
          <w:bCs/>
        </w:rPr>
        <w:t>Load Inventory</w:t>
      </w:r>
    </w:p>
    <w:p w14:paraId="7395D984" w14:textId="77777777" w:rsidR="00071D5A" w:rsidRPr="007677EE" w:rsidRDefault="00071D5A" w:rsidP="00071D5A">
      <w:pPr>
        <w:pStyle w:val="Default"/>
        <w:numPr>
          <w:ilvl w:val="0"/>
          <w:numId w:val="6"/>
        </w:numPr>
        <w:rPr>
          <w:rFonts w:ascii="Arial" w:hAnsi="Arial" w:cs="Arial"/>
        </w:rPr>
      </w:pPr>
      <w:r w:rsidRPr="007677EE">
        <w:rPr>
          <w:rFonts w:ascii="Arial" w:hAnsi="Arial" w:cs="Arial"/>
          <w:bCs/>
        </w:rPr>
        <w:t xml:space="preserve">Measurement of energy use </w:t>
      </w:r>
    </w:p>
    <w:p w14:paraId="56C685DA" w14:textId="77777777" w:rsidR="00071D5A" w:rsidRPr="007677EE" w:rsidRDefault="00071D5A" w:rsidP="00071D5A">
      <w:pPr>
        <w:pStyle w:val="Default"/>
        <w:numPr>
          <w:ilvl w:val="0"/>
          <w:numId w:val="6"/>
        </w:numPr>
        <w:rPr>
          <w:rFonts w:ascii="Arial" w:hAnsi="Arial" w:cs="Arial"/>
        </w:rPr>
      </w:pPr>
      <w:r w:rsidRPr="007677EE">
        <w:rPr>
          <w:rFonts w:ascii="Arial" w:hAnsi="Arial" w:cs="Arial"/>
          <w:bCs/>
        </w:rPr>
        <w:t xml:space="preserve">Benchmarking and comparative energy performance analysis </w:t>
      </w:r>
    </w:p>
    <w:p w14:paraId="7DA448E4" w14:textId="77777777" w:rsidR="00071D5A" w:rsidRPr="007677EE" w:rsidRDefault="00071D5A" w:rsidP="00071D5A">
      <w:pPr>
        <w:pStyle w:val="Default"/>
        <w:rPr>
          <w:rFonts w:ascii="Arial" w:hAnsi="Arial" w:cs="Arial"/>
        </w:rPr>
      </w:pPr>
    </w:p>
    <w:p w14:paraId="19181E53" w14:textId="77777777" w:rsidR="00071D5A" w:rsidRPr="007677EE" w:rsidRDefault="00071D5A" w:rsidP="00071D5A">
      <w:pPr>
        <w:pStyle w:val="Default"/>
        <w:rPr>
          <w:rFonts w:ascii="Arial" w:hAnsi="Arial" w:cs="Arial"/>
          <w:b/>
          <w:bCs/>
        </w:rPr>
      </w:pPr>
      <w:r w:rsidRPr="007677EE">
        <w:rPr>
          <w:rFonts w:ascii="Arial" w:hAnsi="Arial" w:cs="Arial"/>
          <w:b/>
          <w:bCs/>
        </w:rPr>
        <w:t>Load Inventory</w:t>
      </w:r>
    </w:p>
    <w:p w14:paraId="4D501099" w14:textId="77777777" w:rsidR="00071D5A" w:rsidRPr="007677EE" w:rsidRDefault="00071D5A" w:rsidP="00071D5A">
      <w:pPr>
        <w:pStyle w:val="Default"/>
        <w:rPr>
          <w:rFonts w:ascii="Arial" w:hAnsi="Arial" w:cs="Arial"/>
        </w:rPr>
      </w:pPr>
      <w:r w:rsidRPr="007677EE">
        <w:rPr>
          <w:rFonts w:ascii="Arial" w:hAnsi="Arial" w:cs="Arial"/>
        </w:rPr>
        <w:t>An inventory of the uses of electricity was completed to help develop a baseline that would allow the team to focus the required energy management efforts upon the areas of greatest opportunity.</w:t>
      </w:r>
    </w:p>
    <w:p w14:paraId="13998B23" w14:textId="77777777" w:rsidR="00071D5A" w:rsidRPr="007677EE" w:rsidRDefault="00071D5A" w:rsidP="00071D5A">
      <w:pPr>
        <w:pStyle w:val="Default"/>
        <w:rPr>
          <w:rFonts w:ascii="Arial" w:hAnsi="Arial" w:cs="Arial"/>
        </w:rPr>
      </w:pPr>
    </w:p>
    <w:p w14:paraId="047B711F" w14:textId="77777777" w:rsidR="00071D5A" w:rsidRPr="007677EE" w:rsidRDefault="00071D5A" w:rsidP="00071D5A">
      <w:pPr>
        <w:pStyle w:val="Default"/>
        <w:rPr>
          <w:rFonts w:ascii="Arial" w:hAnsi="Arial" w:cs="Arial"/>
        </w:rPr>
      </w:pPr>
      <w:r w:rsidRPr="007677EE">
        <w:rPr>
          <w:rFonts w:ascii="Arial" w:hAnsi="Arial" w:cs="Arial"/>
        </w:rPr>
        <w:lastRenderedPageBreak/>
        <w:t>Thus discussions with the Facilities’ Managers and the preparation of the inventory list of all loads in the facilities, would answer two important questions:</w:t>
      </w:r>
    </w:p>
    <w:p w14:paraId="0EAF569B" w14:textId="77777777" w:rsidR="00071D5A" w:rsidRPr="007677EE" w:rsidRDefault="00071D5A" w:rsidP="00071D5A">
      <w:pPr>
        <w:pStyle w:val="Default"/>
        <w:numPr>
          <w:ilvl w:val="0"/>
          <w:numId w:val="7"/>
        </w:numPr>
        <w:rPr>
          <w:rFonts w:ascii="Arial" w:hAnsi="Arial" w:cs="Arial"/>
        </w:rPr>
      </w:pPr>
      <w:r w:rsidRPr="007677EE">
        <w:rPr>
          <w:rFonts w:ascii="Arial" w:hAnsi="Arial" w:cs="Arial"/>
        </w:rPr>
        <w:t>Where is the electricity used?</w:t>
      </w:r>
    </w:p>
    <w:p w14:paraId="779A2F74" w14:textId="77777777" w:rsidR="00071D5A" w:rsidRPr="007677EE" w:rsidRDefault="00071D5A" w:rsidP="00071D5A">
      <w:pPr>
        <w:pStyle w:val="Default"/>
        <w:numPr>
          <w:ilvl w:val="0"/>
          <w:numId w:val="7"/>
        </w:numPr>
        <w:rPr>
          <w:rFonts w:ascii="Arial" w:hAnsi="Arial" w:cs="Arial"/>
        </w:rPr>
      </w:pPr>
      <w:r w:rsidRPr="007677EE">
        <w:rPr>
          <w:rFonts w:ascii="Arial" w:hAnsi="Arial" w:cs="Arial"/>
        </w:rPr>
        <w:t>How much and how fast is electricity used in each category?</w:t>
      </w:r>
    </w:p>
    <w:p w14:paraId="711B695A" w14:textId="77777777" w:rsidR="00071D5A" w:rsidRPr="007677EE" w:rsidRDefault="00071D5A" w:rsidP="00071D5A">
      <w:pPr>
        <w:pStyle w:val="Default"/>
        <w:rPr>
          <w:rFonts w:ascii="Arial" w:hAnsi="Arial" w:cs="Arial"/>
        </w:rPr>
      </w:pPr>
    </w:p>
    <w:p w14:paraId="43A59768" w14:textId="77777777" w:rsidR="00071D5A" w:rsidRPr="007677EE" w:rsidRDefault="00071D5A" w:rsidP="00071D5A">
      <w:pPr>
        <w:pStyle w:val="Default"/>
        <w:rPr>
          <w:rFonts w:ascii="Arial" w:hAnsi="Arial" w:cs="Arial"/>
        </w:rPr>
      </w:pPr>
      <w:r w:rsidRPr="007677EE">
        <w:rPr>
          <w:rFonts w:ascii="Arial" w:hAnsi="Arial" w:cs="Arial"/>
        </w:rPr>
        <w:t>The building electrical use profile was divided into different end-use categories such as those shown on the pie chart below for KPH/VJH.</w:t>
      </w:r>
    </w:p>
    <w:p w14:paraId="42AE5868" w14:textId="77777777" w:rsidR="00071D5A" w:rsidRPr="007677EE" w:rsidRDefault="00071D5A" w:rsidP="00071D5A">
      <w:pPr>
        <w:pStyle w:val="Default"/>
        <w:jc w:val="center"/>
        <w:rPr>
          <w:rFonts w:ascii="Arial" w:hAnsi="Arial" w:cs="Arial"/>
        </w:rPr>
      </w:pPr>
      <w:r w:rsidRPr="007677EE">
        <w:rPr>
          <w:rFonts w:ascii="Arial" w:hAnsi="Arial" w:cs="Arial"/>
          <w:noProof/>
          <w:lang w:eastAsia="zh-CN"/>
        </w:rPr>
        <w:drawing>
          <wp:inline distT="0" distB="0" distL="0" distR="0" wp14:anchorId="1912BECE" wp14:editId="7F2EAC64">
            <wp:extent cx="2778760" cy="2339340"/>
            <wp:effectExtent l="0" t="0" r="254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78760" cy="2339340"/>
                    </a:xfrm>
                    <a:prstGeom prst="rect">
                      <a:avLst/>
                    </a:prstGeom>
                    <a:noFill/>
                    <a:ln>
                      <a:noFill/>
                    </a:ln>
                  </pic:spPr>
                </pic:pic>
              </a:graphicData>
            </a:graphic>
          </wp:inline>
        </w:drawing>
      </w:r>
    </w:p>
    <w:p w14:paraId="6801A298" w14:textId="77777777" w:rsidR="00071D5A" w:rsidRPr="007677EE" w:rsidRDefault="00071D5A" w:rsidP="00071D5A">
      <w:pPr>
        <w:pStyle w:val="Default"/>
        <w:rPr>
          <w:rFonts w:ascii="Arial" w:hAnsi="Arial" w:cs="Arial"/>
        </w:rPr>
      </w:pPr>
      <w:r w:rsidRPr="007677EE">
        <w:rPr>
          <w:rFonts w:ascii="Arial" w:hAnsi="Arial" w:cs="Arial"/>
        </w:rPr>
        <w:t>The IGAs also indicated that more accuracy could be garnered by adding sub-metering systems throughout the facility</w:t>
      </w:r>
    </w:p>
    <w:p w14:paraId="21C78E04" w14:textId="77777777" w:rsidR="00071D5A" w:rsidRPr="007677EE" w:rsidRDefault="00071D5A" w:rsidP="00071D5A">
      <w:pPr>
        <w:pStyle w:val="Default"/>
        <w:rPr>
          <w:rFonts w:ascii="Arial" w:hAnsi="Arial" w:cs="Arial"/>
          <w:b/>
          <w:bCs/>
        </w:rPr>
      </w:pPr>
    </w:p>
    <w:p w14:paraId="7F9FFF66" w14:textId="77777777" w:rsidR="00071D5A" w:rsidRPr="007677EE" w:rsidRDefault="00071D5A" w:rsidP="00071D5A">
      <w:pPr>
        <w:pStyle w:val="Default"/>
        <w:rPr>
          <w:rFonts w:ascii="Arial" w:hAnsi="Arial" w:cs="Arial"/>
          <w:b/>
          <w:bCs/>
        </w:rPr>
      </w:pPr>
    </w:p>
    <w:p w14:paraId="3815E4FD" w14:textId="77777777" w:rsidR="00071D5A" w:rsidRPr="007677EE" w:rsidRDefault="00071D5A" w:rsidP="00071D5A">
      <w:pPr>
        <w:pStyle w:val="Default"/>
        <w:rPr>
          <w:rFonts w:ascii="Arial" w:hAnsi="Arial" w:cs="Arial"/>
          <w:b/>
          <w:bCs/>
        </w:rPr>
      </w:pPr>
      <w:r w:rsidRPr="007677EE">
        <w:rPr>
          <w:rFonts w:ascii="Arial" w:hAnsi="Arial" w:cs="Arial"/>
          <w:b/>
          <w:bCs/>
        </w:rPr>
        <w:t>Measurement-Sub Meters and Data Loggers</w:t>
      </w:r>
    </w:p>
    <w:p w14:paraId="3AFE9E32" w14:textId="77777777" w:rsidR="00071D5A" w:rsidRPr="007677EE" w:rsidRDefault="00071D5A" w:rsidP="00071D5A">
      <w:pPr>
        <w:pStyle w:val="Default"/>
        <w:rPr>
          <w:rFonts w:ascii="Arial" w:hAnsi="Arial" w:cs="Arial"/>
        </w:rPr>
      </w:pPr>
    </w:p>
    <w:p w14:paraId="5507A74D" w14:textId="77777777" w:rsidR="00071D5A" w:rsidRPr="007677EE" w:rsidRDefault="00071D5A" w:rsidP="00071D5A">
      <w:pPr>
        <w:pStyle w:val="Default"/>
        <w:rPr>
          <w:rFonts w:ascii="Arial" w:hAnsi="Arial" w:cs="Arial"/>
        </w:rPr>
      </w:pPr>
      <w:r w:rsidRPr="007677EE">
        <w:rPr>
          <w:rFonts w:ascii="Arial" w:hAnsi="Arial" w:cs="Arial"/>
        </w:rPr>
        <w:t xml:space="preserve">Recommendations were made in the IGAs for each facility to also consider sub-metering. </w:t>
      </w:r>
    </w:p>
    <w:p w14:paraId="21AA0539" w14:textId="77777777" w:rsidR="00071D5A" w:rsidRPr="007677EE" w:rsidRDefault="00071D5A" w:rsidP="00071D5A">
      <w:pPr>
        <w:pStyle w:val="Default"/>
        <w:rPr>
          <w:rFonts w:ascii="Arial" w:hAnsi="Arial" w:cs="Arial"/>
        </w:rPr>
      </w:pPr>
    </w:p>
    <w:p w14:paraId="129723CB" w14:textId="77777777" w:rsidR="00071D5A" w:rsidRPr="007677EE" w:rsidRDefault="00071D5A" w:rsidP="00071D5A">
      <w:pPr>
        <w:pStyle w:val="Default"/>
        <w:rPr>
          <w:rFonts w:ascii="Arial" w:hAnsi="Arial" w:cs="Arial"/>
        </w:rPr>
      </w:pPr>
      <w:r w:rsidRPr="007677EE">
        <w:rPr>
          <w:rFonts w:ascii="Arial" w:hAnsi="Arial" w:cs="Arial"/>
        </w:rPr>
        <w:t>In its simplest form, sub-metering involves installing separate meters downstream of the primary billing meter. These meters monitor specific points in the system. In campus settings, for example, sub-meters might be set up on a building-by-building basis to allocate energy costs among departments</w:t>
      </w:r>
    </w:p>
    <w:p w14:paraId="4B44CC2E" w14:textId="77777777" w:rsidR="00071D5A" w:rsidRPr="007677EE" w:rsidRDefault="00071D5A" w:rsidP="00071D5A">
      <w:pPr>
        <w:pStyle w:val="Default"/>
        <w:rPr>
          <w:rFonts w:ascii="Arial" w:hAnsi="Arial" w:cs="Arial"/>
        </w:rPr>
      </w:pPr>
    </w:p>
    <w:p w14:paraId="2959EBB6" w14:textId="77777777" w:rsidR="00071D5A" w:rsidRPr="007677EE" w:rsidRDefault="00071D5A" w:rsidP="00071D5A">
      <w:pPr>
        <w:pStyle w:val="Default"/>
        <w:rPr>
          <w:rFonts w:ascii="Arial" w:hAnsi="Arial" w:cs="Arial"/>
        </w:rPr>
      </w:pPr>
      <w:r w:rsidRPr="007677EE">
        <w:rPr>
          <w:rFonts w:ascii="Arial" w:hAnsi="Arial" w:cs="Arial"/>
        </w:rPr>
        <w:t>The IGAs pointed out that there are multiple buildings at some of the facility locations and that they are used on inconsistent schedules and with dissimilar equipment. As such the installation of sub meters would allow the facility managers to track the energy use of the individual activities more closely.</w:t>
      </w:r>
    </w:p>
    <w:p w14:paraId="79B46747" w14:textId="77777777" w:rsidR="00071D5A" w:rsidRPr="007677EE" w:rsidRDefault="00071D5A" w:rsidP="00071D5A">
      <w:pPr>
        <w:pStyle w:val="Default"/>
        <w:rPr>
          <w:rFonts w:ascii="Arial" w:hAnsi="Arial" w:cs="Arial"/>
        </w:rPr>
      </w:pPr>
    </w:p>
    <w:p w14:paraId="18EAF78C" w14:textId="77777777" w:rsidR="00071D5A" w:rsidRPr="007677EE" w:rsidRDefault="00071D5A" w:rsidP="00071D5A">
      <w:pPr>
        <w:pStyle w:val="Default"/>
        <w:rPr>
          <w:rFonts w:ascii="Arial" w:hAnsi="Arial" w:cs="Arial"/>
        </w:rPr>
      </w:pPr>
      <w:r w:rsidRPr="007677EE">
        <w:rPr>
          <w:rFonts w:ascii="Arial" w:hAnsi="Arial" w:cs="Arial"/>
        </w:rPr>
        <w:t>Even though the IGAs did not incorporate the use of sub meters, they did utilize data logging. Data logging helps to identify opportunities to save energy as well as any performance issues with supply and equipment. The information can also help to verify information collected in the load inventory.</w:t>
      </w:r>
    </w:p>
    <w:p w14:paraId="092766CB" w14:textId="77777777" w:rsidR="00071D5A" w:rsidRPr="007677EE" w:rsidRDefault="00071D5A" w:rsidP="00071D5A">
      <w:pPr>
        <w:pStyle w:val="Default"/>
        <w:rPr>
          <w:rFonts w:ascii="Arial" w:hAnsi="Arial" w:cs="Arial"/>
        </w:rPr>
      </w:pPr>
    </w:p>
    <w:p w14:paraId="479F1E50" w14:textId="77777777" w:rsidR="00071D5A" w:rsidRPr="007677EE" w:rsidRDefault="00071D5A" w:rsidP="00071D5A">
      <w:pPr>
        <w:pStyle w:val="Default"/>
        <w:rPr>
          <w:rFonts w:ascii="Arial" w:hAnsi="Arial" w:cs="Arial"/>
        </w:rPr>
      </w:pPr>
      <w:r w:rsidRPr="007677EE">
        <w:rPr>
          <w:rFonts w:ascii="Arial" w:hAnsi="Arial" w:cs="Arial"/>
          <w:b/>
          <w:bCs/>
        </w:rPr>
        <w:t xml:space="preserve">Benchmarking and comparative energy performance analysis </w:t>
      </w:r>
    </w:p>
    <w:p w14:paraId="3E5AAF1D" w14:textId="77777777" w:rsidR="00071D5A" w:rsidRPr="007677EE" w:rsidRDefault="00071D5A" w:rsidP="00071D5A">
      <w:pPr>
        <w:rPr>
          <w:rFonts w:ascii="Arial" w:hAnsi="Arial" w:cs="Arial"/>
          <w:color w:val="000000"/>
          <w:sz w:val="24"/>
          <w:szCs w:val="24"/>
        </w:rPr>
      </w:pPr>
      <w:r w:rsidRPr="007677EE">
        <w:rPr>
          <w:rFonts w:ascii="Arial" w:hAnsi="Arial" w:cs="Arial"/>
          <w:color w:val="000000"/>
          <w:sz w:val="24"/>
          <w:szCs w:val="24"/>
        </w:rPr>
        <w:t xml:space="preserve">Energy use benchmarking is defined as the process that compares the energy use of a building with other similar structures. It is a critical evaluation for organizations with a </w:t>
      </w:r>
      <w:r w:rsidRPr="007677EE">
        <w:rPr>
          <w:rFonts w:ascii="Arial" w:hAnsi="Arial" w:cs="Arial"/>
          <w:color w:val="000000"/>
          <w:sz w:val="24"/>
          <w:szCs w:val="24"/>
        </w:rPr>
        <w:lastRenderedPageBreak/>
        <w:t xml:space="preserve">large building portfolio to identify building performance and the factors that drive their energy use. </w:t>
      </w:r>
    </w:p>
    <w:p w14:paraId="37FCD363" w14:textId="77777777" w:rsidR="00071D5A" w:rsidRPr="007677EE" w:rsidRDefault="00071D5A" w:rsidP="00071D5A">
      <w:pPr>
        <w:rPr>
          <w:rFonts w:ascii="Arial" w:hAnsi="Arial" w:cs="Arial"/>
          <w:sz w:val="24"/>
          <w:szCs w:val="24"/>
        </w:rPr>
      </w:pPr>
      <w:r w:rsidRPr="007677EE">
        <w:rPr>
          <w:rFonts w:ascii="Arial" w:hAnsi="Arial" w:cs="Arial"/>
          <w:color w:val="000000"/>
          <w:sz w:val="24"/>
          <w:szCs w:val="24"/>
        </w:rPr>
        <w:t>Load profiles referenced in the IGAs identify Typical Electric End-Use Breakdown. The end-use energy factors are based on the California Commercial End-Use Survey (CEUS) with adjustment based on engineering judgment from site observations.</w:t>
      </w:r>
    </w:p>
    <w:p w14:paraId="79464D5C" w14:textId="77777777" w:rsidR="00071D5A" w:rsidRPr="007677EE" w:rsidRDefault="00071D5A" w:rsidP="00071D5A">
      <w:pPr>
        <w:rPr>
          <w:rFonts w:ascii="Arial" w:hAnsi="Arial" w:cs="Arial"/>
        </w:rPr>
      </w:pPr>
    </w:p>
    <w:p w14:paraId="546F4312" w14:textId="2FD40C5B" w:rsidR="00071D5A" w:rsidRPr="007677EE" w:rsidRDefault="00071D5A" w:rsidP="00747627">
      <w:pPr>
        <w:rPr>
          <w:rFonts w:ascii="Arial" w:hAnsi="Arial" w:cs="Arial"/>
          <w:b/>
        </w:rPr>
      </w:pPr>
      <w:r w:rsidRPr="007677EE">
        <w:rPr>
          <w:rFonts w:ascii="Arial" w:hAnsi="Arial" w:cs="Arial"/>
          <w:b/>
          <w:u w:val="single"/>
        </w:rPr>
        <w:t xml:space="preserve">4. </w:t>
      </w:r>
      <w:r w:rsidR="003D43B6" w:rsidRPr="007677EE">
        <w:rPr>
          <w:rFonts w:ascii="Arial" w:hAnsi="Arial" w:cs="Arial"/>
          <w:b/>
          <w:u w:val="single"/>
        </w:rPr>
        <w:t xml:space="preserve">Technologies Selected and Measures for </w:t>
      </w:r>
      <w:r w:rsidR="00527FE0">
        <w:rPr>
          <w:rFonts w:ascii="Arial" w:hAnsi="Arial" w:cs="Arial"/>
          <w:b/>
          <w:u w:val="single"/>
        </w:rPr>
        <w:t>all buildings for deep energy retrofits</w:t>
      </w:r>
      <w:r w:rsidRPr="007677EE">
        <w:rPr>
          <w:rFonts w:ascii="Arial" w:hAnsi="Arial" w:cs="Arial"/>
          <w:b/>
        </w:rPr>
        <w:t xml:space="preserve">: </w:t>
      </w:r>
    </w:p>
    <w:p w14:paraId="3FEE92A8" w14:textId="6DD540A6" w:rsidR="00607764" w:rsidRPr="007677EE" w:rsidRDefault="00607764" w:rsidP="00607764">
      <w:pPr>
        <w:rPr>
          <w:rFonts w:ascii="Arial" w:hAnsi="Arial" w:cs="Arial"/>
        </w:rPr>
      </w:pPr>
      <w:r w:rsidRPr="007677EE">
        <w:rPr>
          <w:rFonts w:ascii="Arial" w:hAnsi="Arial" w:cs="Arial"/>
        </w:rPr>
        <w:t xml:space="preserve">The investment grade audits for the sample 6 buildings had provided sufficiently detailed information to the determine the type of EE and RE technologies (see Table 4)  suited to each building along with the capital investment required and the simple payback. From this analysis it was clear that LED lighting provided the fastest payback with an average of 1 year return value; HVAC second at 3 years average and building envelope measures the third with a 5-year payback average. So when packaged together to form a “deep” or comprehensive retrofit, a </w:t>
      </w:r>
      <w:r w:rsidRPr="003E24C4">
        <w:rPr>
          <w:rFonts w:ascii="Arial" w:hAnsi="Arial" w:cs="Arial"/>
        </w:rPr>
        <w:t xml:space="preserve">high rate of return on investment of </w:t>
      </w:r>
      <w:r w:rsidR="003E24C4" w:rsidRPr="00804862">
        <w:rPr>
          <w:rFonts w:ascii="Arial" w:hAnsi="Arial" w:cs="Arial"/>
        </w:rPr>
        <w:t>5.7</w:t>
      </w:r>
      <w:r w:rsidR="003E24C4" w:rsidRPr="003E24C4">
        <w:rPr>
          <w:rFonts w:ascii="Arial" w:hAnsi="Arial" w:cs="Arial"/>
        </w:rPr>
        <w:t xml:space="preserve"> </w:t>
      </w:r>
      <w:r w:rsidRPr="003E24C4">
        <w:rPr>
          <w:rFonts w:ascii="Arial" w:hAnsi="Arial" w:cs="Arial"/>
        </w:rPr>
        <w:t xml:space="preserve">years was possible for the </w:t>
      </w:r>
      <w:r w:rsidR="003E24C4" w:rsidRPr="00804862">
        <w:rPr>
          <w:rFonts w:ascii="Arial" w:hAnsi="Arial" w:cs="Arial"/>
        </w:rPr>
        <w:t>23</w:t>
      </w:r>
      <w:r w:rsidR="003E24C4" w:rsidRPr="003E24C4">
        <w:rPr>
          <w:rFonts w:ascii="Arial" w:hAnsi="Arial" w:cs="Arial"/>
        </w:rPr>
        <w:t xml:space="preserve"> </w:t>
      </w:r>
      <w:r w:rsidRPr="003E24C4">
        <w:rPr>
          <w:rFonts w:ascii="Arial" w:hAnsi="Arial" w:cs="Arial"/>
        </w:rPr>
        <w:t>facilities considered for the Project.</w:t>
      </w:r>
      <w:r w:rsidRPr="007677EE">
        <w:rPr>
          <w:rFonts w:ascii="Arial" w:hAnsi="Arial" w:cs="Arial"/>
        </w:rPr>
        <w:t xml:space="preserve"> </w:t>
      </w:r>
    </w:p>
    <w:p w14:paraId="0196A0EA" w14:textId="54B0C791" w:rsidR="00607764" w:rsidRPr="007677EE" w:rsidRDefault="00607764" w:rsidP="00607764">
      <w:pPr>
        <w:rPr>
          <w:rFonts w:ascii="Arial" w:hAnsi="Arial" w:cs="Arial"/>
        </w:rPr>
      </w:pPr>
      <w:r w:rsidRPr="007677EE">
        <w:rPr>
          <w:rFonts w:ascii="Arial" w:hAnsi="Arial" w:cs="Arial"/>
        </w:rPr>
        <w:t xml:space="preserve"> The EE and RE technologies and measures for the </w:t>
      </w:r>
      <w:r w:rsidR="003E24C4">
        <w:rPr>
          <w:rFonts w:ascii="Arial" w:hAnsi="Arial" w:cs="Arial"/>
        </w:rPr>
        <w:t>23</w:t>
      </w:r>
      <w:r w:rsidR="003E24C4" w:rsidRPr="007677EE">
        <w:rPr>
          <w:rFonts w:ascii="Arial" w:hAnsi="Arial" w:cs="Arial"/>
        </w:rPr>
        <w:t xml:space="preserve"> </w:t>
      </w:r>
      <w:r w:rsidRPr="007677EE">
        <w:rPr>
          <w:rFonts w:ascii="Arial" w:hAnsi="Arial" w:cs="Arial"/>
        </w:rPr>
        <w:t xml:space="preserve">buildings were selected after comparing them international best practice and norms for energy savings in education facilities. For heating, ventilation and air conditioning (HVAC) technologies recommended by the audits are in keeping with other types of retrofits which have provided comparable electricity reductions in previous energy efficiency programs. Other mechanical technologies selected include variable frequency drive (VFD) installation on kitchen fans, on chiller pumps, compressed air leakage and centralized chiller controls. Solar systems selected have been sized for load-matching, and as such the projected amount of electricity generated by the systems use the average amount required for tropical climates, annually. The building envelope technologies selected for use in the </w:t>
      </w:r>
      <w:r w:rsidR="003E24C4">
        <w:rPr>
          <w:rFonts w:ascii="Arial" w:hAnsi="Arial" w:cs="Arial"/>
        </w:rPr>
        <w:t xml:space="preserve">23 </w:t>
      </w:r>
      <w:r w:rsidRPr="007677EE">
        <w:rPr>
          <w:rFonts w:ascii="Arial" w:hAnsi="Arial" w:cs="Arial"/>
        </w:rPr>
        <w:t>buildings include simple and effective measures such as air seals on doors and windows, automatic door closers, replacing split systems with high efficiency, inverter-driven units. Finally, lighting interventions from the audit are in keeping with other types of retrofits which have provided comparable electricity reductions in previous energy efficiency programs and  include fluorescent to LED fixture retrofit; occupancy sensor for interior lights and solar tubes.</w:t>
      </w:r>
    </w:p>
    <w:p w14:paraId="02F735AD" w14:textId="77777777" w:rsidR="00071D5A" w:rsidRPr="007677EE" w:rsidRDefault="00071D5A" w:rsidP="00607764">
      <w:pPr>
        <w:rPr>
          <w:rFonts w:ascii="Arial" w:hAnsi="Arial" w:cs="Arial"/>
        </w:rPr>
      </w:pPr>
    </w:p>
    <w:p w14:paraId="60D2E2BF" w14:textId="77777777" w:rsidR="00071D5A" w:rsidRPr="007677EE" w:rsidRDefault="00071D5A" w:rsidP="00607764">
      <w:pPr>
        <w:rPr>
          <w:rFonts w:ascii="Arial" w:hAnsi="Arial" w:cs="Arial"/>
        </w:rPr>
      </w:pPr>
    </w:p>
    <w:p w14:paraId="31500958" w14:textId="77777777" w:rsidR="00607764" w:rsidRPr="007677EE" w:rsidRDefault="00607764" w:rsidP="000C377F">
      <w:pPr>
        <w:rPr>
          <w:rFonts w:ascii="Arial" w:hAnsi="Arial" w:cs="Arial"/>
        </w:rPr>
        <w:sectPr w:rsidR="00607764" w:rsidRPr="007677EE" w:rsidSect="00804862">
          <w:headerReference w:type="default" r:id="rId9"/>
          <w:pgSz w:w="12240" w:h="15840"/>
          <w:pgMar w:top="1260" w:right="1440" w:bottom="1080" w:left="1440" w:header="720" w:footer="720" w:gutter="0"/>
          <w:cols w:space="720"/>
          <w:docGrid w:linePitch="360"/>
        </w:sectPr>
      </w:pPr>
    </w:p>
    <w:p w14:paraId="2C02AF10" w14:textId="7C7778F2" w:rsidR="00607764" w:rsidRPr="007677EE" w:rsidRDefault="00607764" w:rsidP="00071D5A">
      <w:pPr>
        <w:jc w:val="center"/>
        <w:rPr>
          <w:rFonts w:ascii="Arial" w:hAnsi="Arial" w:cs="Arial"/>
          <w:b/>
        </w:rPr>
      </w:pPr>
      <w:r w:rsidRPr="007677EE">
        <w:rPr>
          <w:rFonts w:ascii="Arial" w:hAnsi="Arial" w:cs="Arial"/>
          <w:b/>
        </w:rPr>
        <w:lastRenderedPageBreak/>
        <w:t>Table 4: Energy Efficient and Conservation Technologies and Measures Identified in the 6 Audits:  Savings and Payback</w:t>
      </w:r>
    </w:p>
    <w:p w14:paraId="1F7A25A3" w14:textId="1CE4E1C4" w:rsidR="00607764" w:rsidRPr="007677EE" w:rsidRDefault="00607764" w:rsidP="000C377F">
      <w:pPr>
        <w:rPr>
          <w:rFonts w:ascii="Arial" w:hAnsi="Arial" w:cs="Arial"/>
        </w:rPr>
        <w:sectPr w:rsidR="00607764" w:rsidRPr="007677EE" w:rsidSect="00071D5A">
          <w:pgSz w:w="15840" w:h="12240" w:orient="landscape"/>
          <w:pgMar w:top="1440" w:right="1440" w:bottom="1440" w:left="1260" w:header="720" w:footer="720" w:gutter="0"/>
          <w:cols w:space="720"/>
          <w:docGrid w:linePitch="360"/>
        </w:sectPr>
      </w:pPr>
      <w:r w:rsidRPr="007677EE">
        <w:rPr>
          <w:rFonts w:ascii="Arial" w:hAnsi="Arial" w:cs="Arial"/>
          <w:noProof/>
          <w:lang w:eastAsia="zh-CN"/>
        </w:rPr>
        <w:drawing>
          <wp:inline distT="0" distB="0" distL="0" distR="0" wp14:anchorId="08F7B8B8" wp14:editId="227625AA">
            <wp:extent cx="8229600" cy="537805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29600" cy="5378051"/>
                    </a:xfrm>
                    <a:prstGeom prst="rect">
                      <a:avLst/>
                    </a:prstGeom>
                    <a:noFill/>
                    <a:ln>
                      <a:noFill/>
                    </a:ln>
                  </pic:spPr>
                </pic:pic>
              </a:graphicData>
            </a:graphic>
          </wp:inline>
        </w:drawing>
      </w:r>
    </w:p>
    <w:p w14:paraId="28CE276B" w14:textId="79E1B6BF" w:rsidR="000C377F" w:rsidRPr="007677EE" w:rsidRDefault="000C377F" w:rsidP="000C377F">
      <w:pPr>
        <w:rPr>
          <w:rFonts w:ascii="Arial" w:hAnsi="Arial" w:cs="Arial"/>
          <w:b/>
          <w:u w:val="single"/>
        </w:rPr>
      </w:pPr>
      <w:r w:rsidRPr="007677EE">
        <w:rPr>
          <w:rFonts w:ascii="Arial" w:hAnsi="Arial" w:cs="Arial"/>
          <w:b/>
          <w:u w:val="single"/>
        </w:rPr>
        <w:lastRenderedPageBreak/>
        <w:t>Education</w:t>
      </w:r>
      <w:r w:rsidR="003D43B6" w:rsidRPr="007677EE">
        <w:rPr>
          <w:rFonts w:ascii="Arial" w:hAnsi="Arial" w:cs="Arial"/>
          <w:b/>
          <w:u w:val="single"/>
        </w:rPr>
        <w:t xml:space="preserve"> Facilities</w:t>
      </w:r>
    </w:p>
    <w:p w14:paraId="07CB04F2" w14:textId="77777777" w:rsidR="000C377F" w:rsidRPr="007677EE" w:rsidRDefault="000C377F" w:rsidP="000C377F">
      <w:pPr>
        <w:rPr>
          <w:rFonts w:ascii="Arial" w:hAnsi="Arial" w:cs="Arial"/>
        </w:rPr>
      </w:pPr>
      <w:r w:rsidRPr="007677EE">
        <w:rPr>
          <w:rFonts w:ascii="Arial" w:hAnsi="Arial" w:cs="Arial"/>
        </w:rPr>
        <w:t xml:space="preserve">The results of the audits, the JPSCo data and the CALATEL/PCJ reports were used to select the seven (7) additional educational facilities. </w:t>
      </w:r>
    </w:p>
    <w:p w14:paraId="12897FEC" w14:textId="77777777" w:rsidR="000C377F" w:rsidRPr="007677EE" w:rsidRDefault="000C377F" w:rsidP="000C377F">
      <w:pPr>
        <w:rPr>
          <w:rFonts w:ascii="Arial" w:hAnsi="Arial" w:cs="Arial"/>
        </w:rPr>
      </w:pPr>
      <w:r w:rsidRPr="007677EE">
        <w:rPr>
          <w:rFonts w:ascii="Arial" w:hAnsi="Arial" w:cs="Arial"/>
        </w:rPr>
        <w:t>In addition, further consultations with PCJ, provided the names of facilities which should be included, based on their internal reviews and recommendations.</w:t>
      </w:r>
    </w:p>
    <w:p w14:paraId="3FFD4991" w14:textId="77777777" w:rsidR="000C377F" w:rsidRPr="007677EE" w:rsidRDefault="000C377F" w:rsidP="000C377F">
      <w:pPr>
        <w:rPr>
          <w:rFonts w:ascii="Arial" w:hAnsi="Arial" w:cs="Arial"/>
        </w:rPr>
      </w:pPr>
      <w:r w:rsidRPr="007677EE">
        <w:rPr>
          <w:rFonts w:ascii="Arial" w:hAnsi="Arial" w:cs="Arial"/>
        </w:rPr>
        <w:t>Based on the selection criteria outlined above, the schools were also selected based on:</w:t>
      </w:r>
    </w:p>
    <w:p w14:paraId="72FC086E" w14:textId="77777777" w:rsidR="000C377F" w:rsidRPr="007677EE" w:rsidRDefault="000C377F" w:rsidP="000C377F">
      <w:pPr>
        <w:pStyle w:val="ListParagraph"/>
        <w:numPr>
          <w:ilvl w:val="0"/>
          <w:numId w:val="1"/>
        </w:numPr>
        <w:rPr>
          <w:rFonts w:ascii="Arial" w:hAnsi="Arial" w:cs="Arial"/>
        </w:rPr>
      </w:pPr>
      <w:r w:rsidRPr="007677EE">
        <w:rPr>
          <w:rFonts w:ascii="Arial" w:hAnsi="Arial" w:cs="Arial"/>
        </w:rPr>
        <w:t xml:space="preserve">High Energy Users: High energy users provide the biggest immediate impact and result in lower administrative costs per kWh saved. </w:t>
      </w:r>
    </w:p>
    <w:p w14:paraId="49DC4C1C" w14:textId="77777777" w:rsidR="000C377F" w:rsidRPr="007677EE" w:rsidRDefault="000C377F" w:rsidP="000C377F">
      <w:pPr>
        <w:pStyle w:val="ListParagraph"/>
        <w:numPr>
          <w:ilvl w:val="0"/>
          <w:numId w:val="1"/>
        </w:numPr>
        <w:rPr>
          <w:rFonts w:ascii="Arial" w:hAnsi="Arial" w:cs="Arial"/>
        </w:rPr>
      </w:pPr>
      <w:r w:rsidRPr="007677EE">
        <w:rPr>
          <w:rFonts w:ascii="Arial" w:hAnsi="Arial" w:cs="Arial"/>
        </w:rPr>
        <w:t>High Profile: Projects which the community will identify with, and which will show up in local news cycles help provide project momentum and expand in-country knowledge</w:t>
      </w:r>
    </w:p>
    <w:p w14:paraId="2360BA72" w14:textId="77777777" w:rsidR="000C377F" w:rsidRPr="007677EE" w:rsidRDefault="000C377F" w:rsidP="000C377F">
      <w:pPr>
        <w:pStyle w:val="ListParagraph"/>
        <w:numPr>
          <w:ilvl w:val="0"/>
          <w:numId w:val="1"/>
        </w:numPr>
        <w:rPr>
          <w:rFonts w:ascii="Arial" w:hAnsi="Arial" w:cs="Arial"/>
        </w:rPr>
      </w:pPr>
      <w:r w:rsidRPr="007677EE">
        <w:rPr>
          <w:rFonts w:ascii="Arial" w:hAnsi="Arial" w:cs="Arial"/>
        </w:rPr>
        <w:t>Quality of Life Improvements: Projects where the retrofits will include educational opportunities, emergency response (shelters), thermal comfort, etc.</w:t>
      </w:r>
    </w:p>
    <w:p w14:paraId="50DD6CF2" w14:textId="77777777" w:rsidR="000C377F" w:rsidRPr="007677EE" w:rsidRDefault="000C377F" w:rsidP="000C377F">
      <w:pPr>
        <w:rPr>
          <w:rFonts w:ascii="Arial" w:hAnsi="Arial" w:cs="Arial"/>
        </w:rPr>
      </w:pPr>
    </w:p>
    <w:p w14:paraId="59A96F55" w14:textId="77777777" w:rsidR="000C377F" w:rsidRPr="007677EE" w:rsidRDefault="000C377F" w:rsidP="000C377F">
      <w:pPr>
        <w:rPr>
          <w:rFonts w:ascii="Arial" w:hAnsi="Arial" w:cs="Arial"/>
        </w:rPr>
      </w:pPr>
      <w:r w:rsidRPr="007677EE">
        <w:rPr>
          <w:rFonts w:ascii="Arial" w:hAnsi="Arial" w:cs="Arial"/>
        </w:rPr>
        <w:t>Benchmarking</w:t>
      </w:r>
    </w:p>
    <w:p w14:paraId="5420ED8A" w14:textId="77777777" w:rsidR="000C377F" w:rsidRPr="007677EE" w:rsidRDefault="000C377F" w:rsidP="000C377F">
      <w:pPr>
        <w:rPr>
          <w:rFonts w:ascii="Arial" w:hAnsi="Arial" w:cs="Arial"/>
        </w:rPr>
      </w:pPr>
      <w:r w:rsidRPr="007677EE">
        <w:rPr>
          <w:rFonts w:ascii="Arial" w:hAnsi="Arial" w:cs="Arial"/>
        </w:rPr>
        <w:t xml:space="preserve">To allow an understandable comparison between the values from different countries, studies suggest that examining final energy consumption, (the value that comes on monthly energy bills) should be used as the unit for benchmark for schools. This recommendation is proposed by studies completed by University of Coimbra and ADAI in Portugal and the Department of Energy in Italy. </w:t>
      </w:r>
    </w:p>
    <w:p w14:paraId="0E45A2EC" w14:textId="77777777" w:rsidR="000C377F" w:rsidRPr="007677EE" w:rsidRDefault="000C377F" w:rsidP="000C377F">
      <w:pPr>
        <w:rPr>
          <w:rFonts w:ascii="Arial" w:hAnsi="Arial" w:cs="Arial"/>
        </w:rPr>
      </w:pPr>
      <w:r w:rsidRPr="007677EE">
        <w:rPr>
          <w:rFonts w:ascii="Arial" w:hAnsi="Arial" w:cs="Arial"/>
        </w:rPr>
        <w:t>As such, instead of relying only on the kWhrs/student ratio, a more representative benchmark would analyze the electricity consumption of individual categories such as lighting, HVAC systems and electrical equipment, per student.</w:t>
      </w:r>
    </w:p>
    <w:p w14:paraId="2087FEC5" w14:textId="77777777" w:rsidR="000C377F" w:rsidRPr="007677EE" w:rsidRDefault="000C377F" w:rsidP="000C377F">
      <w:pPr>
        <w:rPr>
          <w:rFonts w:ascii="Arial" w:hAnsi="Arial" w:cs="Arial"/>
        </w:rPr>
      </w:pPr>
      <w:r w:rsidRPr="007677EE">
        <w:rPr>
          <w:rFonts w:ascii="Arial" w:hAnsi="Arial" w:cs="Arial"/>
        </w:rPr>
        <w:t>Projection</w:t>
      </w:r>
    </w:p>
    <w:p w14:paraId="1C45868A" w14:textId="77777777" w:rsidR="000C377F" w:rsidRPr="007677EE" w:rsidRDefault="000C377F" w:rsidP="000C377F">
      <w:pPr>
        <w:rPr>
          <w:rFonts w:ascii="Arial" w:hAnsi="Arial" w:cs="Arial"/>
        </w:rPr>
      </w:pPr>
      <w:r w:rsidRPr="007677EE">
        <w:rPr>
          <w:rFonts w:ascii="Arial" w:hAnsi="Arial" w:cs="Arial"/>
        </w:rPr>
        <w:t>In the interim, the electricity consumption per student can be used to project the anticipated electricity consumption reduction in schools.</w:t>
      </w:r>
    </w:p>
    <w:p w14:paraId="32470DBD" w14:textId="77777777" w:rsidR="000C377F" w:rsidRPr="007677EE" w:rsidRDefault="000C377F" w:rsidP="000C377F">
      <w:pPr>
        <w:rPr>
          <w:rFonts w:ascii="Arial" w:hAnsi="Arial" w:cs="Arial"/>
        </w:rPr>
      </w:pPr>
      <w:r w:rsidRPr="007677EE">
        <w:rPr>
          <w:rFonts w:ascii="Arial" w:hAnsi="Arial" w:cs="Arial"/>
        </w:rPr>
        <w:t>The additional selected seven (7) schools in the EMEP programme currently use an average of 99 kWhrs per student, annually. The selected EEMS and RE solutions will reduce this to approximately 22 kWhrs per student annually, which will significantly improve the Facilities’ energy efficiencies</w:t>
      </w:r>
    </w:p>
    <w:p w14:paraId="6AE6C893" w14:textId="77777777" w:rsidR="000C377F" w:rsidRPr="007677EE" w:rsidRDefault="000C377F" w:rsidP="000C377F">
      <w:pPr>
        <w:rPr>
          <w:rFonts w:ascii="Arial" w:hAnsi="Arial" w:cs="Arial"/>
        </w:rPr>
      </w:pPr>
    </w:p>
    <w:p w14:paraId="324D6BAA" w14:textId="77777777" w:rsidR="003E24C4" w:rsidRDefault="003E24C4">
      <w:pPr>
        <w:rPr>
          <w:rFonts w:ascii="Arial" w:hAnsi="Arial" w:cs="Arial"/>
          <w:b/>
          <w:u w:val="single"/>
        </w:rPr>
      </w:pPr>
      <w:r>
        <w:rPr>
          <w:rFonts w:ascii="Arial" w:hAnsi="Arial" w:cs="Arial"/>
          <w:b/>
          <w:u w:val="single"/>
        </w:rPr>
        <w:br w:type="page"/>
      </w:r>
    </w:p>
    <w:p w14:paraId="32A9A318" w14:textId="5B42F211" w:rsidR="000C377F" w:rsidRPr="007677EE" w:rsidRDefault="000C377F" w:rsidP="000C377F">
      <w:pPr>
        <w:rPr>
          <w:rFonts w:ascii="Arial" w:hAnsi="Arial" w:cs="Arial"/>
          <w:b/>
          <w:u w:val="single"/>
        </w:rPr>
      </w:pPr>
      <w:r w:rsidRPr="007677EE">
        <w:rPr>
          <w:rFonts w:ascii="Arial" w:hAnsi="Arial" w:cs="Arial"/>
          <w:b/>
          <w:u w:val="single"/>
        </w:rPr>
        <w:lastRenderedPageBreak/>
        <w:t>Public Agencies Combined</w:t>
      </w:r>
      <w:r w:rsidR="003D43B6" w:rsidRPr="007677EE">
        <w:rPr>
          <w:rFonts w:ascii="Arial" w:hAnsi="Arial" w:cs="Arial"/>
          <w:b/>
          <w:u w:val="single"/>
        </w:rPr>
        <w:t xml:space="preserve"> Facilities </w:t>
      </w:r>
      <w:r w:rsidRPr="007677EE">
        <w:rPr>
          <w:rFonts w:ascii="Arial" w:hAnsi="Arial" w:cs="Arial"/>
          <w:b/>
          <w:u w:val="single"/>
        </w:rPr>
        <w:t xml:space="preserve"> and Lighting Retrofits</w:t>
      </w:r>
    </w:p>
    <w:p w14:paraId="30E29494" w14:textId="77777777" w:rsidR="000C377F" w:rsidRPr="007677EE" w:rsidRDefault="000C377F" w:rsidP="000C377F">
      <w:pPr>
        <w:rPr>
          <w:rFonts w:ascii="Arial" w:hAnsi="Arial" w:cs="Arial"/>
        </w:rPr>
      </w:pPr>
      <w:r w:rsidRPr="007677EE">
        <w:rPr>
          <w:rFonts w:ascii="Arial" w:hAnsi="Arial" w:cs="Arial"/>
        </w:rPr>
        <w:t>The buildings in the Public Agencies combined sector, were selected based on Audits, completed by the Energy Efficiency Conservation Technical Assistance report of 2011. These buildings also meet the following criteria:</w:t>
      </w:r>
    </w:p>
    <w:p w14:paraId="7F6AC8D4" w14:textId="77777777" w:rsidR="000C377F" w:rsidRPr="007677EE" w:rsidRDefault="000C377F" w:rsidP="000C377F">
      <w:pPr>
        <w:pStyle w:val="ListParagraph"/>
        <w:numPr>
          <w:ilvl w:val="0"/>
          <w:numId w:val="1"/>
        </w:numPr>
        <w:rPr>
          <w:rFonts w:ascii="Arial" w:hAnsi="Arial" w:cs="Arial"/>
        </w:rPr>
      </w:pPr>
      <w:r w:rsidRPr="007677EE">
        <w:rPr>
          <w:rFonts w:ascii="Arial" w:hAnsi="Arial" w:cs="Arial"/>
        </w:rPr>
        <w:t>High Profile: Projects which the community will identify with, and which will show up in local news cycles help provide project momentum and expand in-country knowledge</w:t>
      </w:r>
    </w:p>
    <w:p w14:paraId="3EA76FC4" w14:textId="77777777" w:rsidR="000C377F" w:rsidRPr="007677EE" w:rsidRDefault="000C377F" w:rsidP="000C377F">
      <w:pPr>
        <w:pStyle w:val="ListParagraph"/>
        <w:numPr>
          <w:ilvl w:val="0"/>
          <w:numId w:val="1"/>
        </w:numPr>
        <w:rPr>
          <w:rFonts w:ascii="Arial" w:hAnsi="Arial" w:cs="Arial"/>
        </w:rPr>
      </w:pPr>
      <w:r w:rsidRPr="007677EE">
        <w:rPr>
          <w:rFonts w:ascii="Arial" w:hAnsi="Arial" w:cs="Arial"/>
        </w:rPr>
        <w:t>Best Investments: In order for the loan to be successful, focusing on projects with high ROI and high kWh saved per capital dollar spent is critical</w:t>
      </w:r>
    </w:p>
    <w:p w14:paraId="38778AB2" w14:textId="77777777" w:rsidR="000C377F" w:rsidRPr="007677EE" w:rsidRDefault="000C377F" w:rsidP="000C377F">
      <w:pPr>
        <w:pStyle w:val="ListParagraph"/>
        <w:numPr>
          <w:ilvl w:val="0"/>
          <w:numId w:val="1"/>
        </w:numPr>
        <w:rPr>
          <w:rFonts w:ascii="Arial" w:hAnsi="Arial" w:cs="Arial"/>
        </w:rPr>
      </w:pPr>
      <w:r w:rsidRPr="007677EE">
        <w:rPr>
          <w:rFonts w:ascii="Arial" w:hAnsi="Arial" w:cs="Arial"/>
        </w:rPr>
        <w:t xml:space="preserve">Ease of Implementation: Projects that are easy to manage, have eager stakeholders, and are along transit corridors reduce risk. </w:t>
      </w:r>
    </w:p>
    <w:p w14:paraId="5D1095FF" w14:textId="77777777" w:rsidR="000C377F" w:rsidRPr="007677EE" w:rsidRDefault="000C377F" w:rsidP="000C377F">
      <w:pPr>
        <w:rPr>
          <w:rFonts w:ascii="Arial" w:hAnsi="Arial" w:cs="Arial"/>
        </w:rPr>
      </w:pPr>
    </w:p>
    <w:p w14:paraId="60572E7A" w14:textId="77777777" w:rsidR="000C377F" w:rsidRPr="007677EE" w:rsidRDefault="000C377F" w:rsidP="000C377F">
      <w:pPr>
        <w:rPr>
          <w:rFonts w:ascii="Arial" w:hAnsi="Arial" w:cs="Arial"/>
        </w:rPr>
      </w:pPr>
      <w:r w:rsidRPr="007677EE">
        <w:rPr>
          <w:rFonts w:ascii="Arial" w:hAnsi="Arial" w:cs="Arial"/>
        </w:rPr>
        <w:t>Finally, the lighting selections were made based on a lighting audits and comparables-estimate, which was completed during the previous IDB loan.</w:t>
      </w:r>
    </w:p>
    <w:p w14:paraId="6E4A7F5B" w14:textId="668FA1C4" w:rsidR="000C377F" w:rsidRPr="007677EE" w:rsidRDefault="000C377F">
      <w:pPr>
        <w:rPr>
          <w:rFonts w:ascii="Arial" w:hAnsi="Arial" w:cs="Arial"/>
        </w:rPr>
      </w:pPr>
      <w:r w:rsidRPr="007677EE">
        <w:rPr>
          <w:rFonts w:ascii="Arial" w:hAnsi="Arial" w:cs="Arial"/>
        </w:rPr>
        <w:t xml:space="preserve">The technical specifications for that lighting contract were previously given the IDB’s non-objection. As noted by DNV however, capital costs have changed dramatically for some technologies over the past 5 years, this is especially true for solar PV systems and LED lighting. As such a technical/financial review will have to be completed re the lighting component. </w:t>
      </w:r>
    </w:p>
    <w:p w14:paraId="415A444A" w14:textId="77777777" w:rsidR="00071D5A" w:rsidRPr="007677EE" w:rsidRDefault="00071D5A" w:rsidP="00071D5A">
      <w:pPr>
        <w:pStyle w:val="Default"/>
        <w:rPr>
          <w:rFonts w:ascii="Arial" w:hAnsi="Arial" w:cs="Arial"/>
        </w:rPr>
      </w:pPr>
    </w:p>
    <w:sectPr w:rsidR="00071D5A" w:rsidRPr="007677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BE9FA" w14:textId="77777777" w:rsidR="00E04B00" w:rsidRDefault="00E04B00" w:rsidP="000C377F">
      <w:pPr>
        <w:spacing w:after="0" w:line="240" w:lineRule="auto"/>
      </w:pPr>
      <w:r>
        <w:separator/>
      </w:r>
    </w:p>
  </w:endnote>
  <w:endnote w:type="continuationSeparator" w:id="0">
    <w:p w14:paraId="272A4F82" w14:textId="77777777" w:rsidR="00E04B00" w:rsidRDefault="00E04B00" w:rsidP="000C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3E95A" w14:textId="77777777" w:rsidR="00E04B00" w:rsidRDefault="00E04B00" w:rsidP="000C377F">
      <w:pPr>
        <w:spacing w:after="0" w:line="240" w:lineRule="auto"/>
      </w:pPr>
      <w:r>
        <w:separator/>
      </w:r>
    </w:p>
  </w:footnote>
  <w:footnote w:type="continuationSeparator" w:id="0">
    <w:p w14:paraId="5FD64929" w14:textId="77777777" w:rsidR="00E04B00" w:rsidRDefault="00E04B00" w:rsidP="000C3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3229979"/>
      <w:docPartObj>
        <w:docPartGallery w:val="Page Numbers (Top of Page)"/>
        <w:docPartUnique/>
      </w:docPartObj>
    </w:sdtPr>
    <w:sdtEndPr>
      <w:rPr>
        <w:noProof/>
      </w:rPr>
    </w:sdtEndPr>
    <w:sdtContent>
      <w:p w14:paraId="19C51A24" w14:textId="52B78CF8" w:rsidR="00527FE0" w:rsidRDefault="00527FE0">
        <w:pPr>
          <w:pStyle w:val="Header"/>
          <w:jc w:val="right"/>
        </w:pPr>
        <w:r>
          <w:fldChar w:fldCharType="begin"/>
        </w:r>
        <w:r>
          <w:instrText xml:space="preserve"> PAGE   \* MERGEFORMAT </w:instrText>
        </w:r>
        <w:r>
          <w:fldChar w:fldCharType="separate"/>
        </w:r>
        <w:r w:rsidR="00804862">
          <w:rPr>
            <w:noProof/>
          </w:rPr>
          <w:t>10</w:t>
        </w:r>
        <w:r>
          <w:rPr>
            <w:noProof/>
          </w:rPr>
          <w:fldChar w:fldCharType="end"/>
        </w:r>
      </w:p>
    </w:sdtContent>
  </w:sdt>
  <w:p w14:paraId="724A1369" w14:textId="77777777" w:rsidR="00527FE0" w:rsidRDefault="00527F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A2B35"/>
    <w:multiLevelType w:val="multilevel"/>
    <w:tmpl w:val="2B5845E0"/>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1476"/>
        </w:tabs>
        <w:ind w:left="1476" w:hanging="1296"/>
      </w:pPr>
      <w:rPr>
        <w:rFonts w:ascii="Arial" w:hAnsi="Arial" w:cs="Arial" w:hint="default"/>
        <w:b w:val="0"/>
        <w:sz w:val="22"/>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 w15:restartNumberingAfterBreak="0">
    <w:nsid w:val="23B21C43"/>
    <w:multiLevelType w:val="hybridMultilevel"/>
    <w:tmpl w:val="B4E8D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0D5074"/>
    <w:multiLevelType w:val="hybridMultilevel"/>
    <w:tmpl w:val="1F347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855386"/>
    <w:multiLevelType w:val="hybridMultilevel"/>
    <w:tmpl w:val="A43AE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C8B52D2"/>
    <w:multiLevelType w:val="hybridMultilevel"/>
    <w:tmpl w:val="1304E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5CF6A97"/>
    <w:multiLevelType w:val="hybridMultilevel"/>
    <w:tmpl w:val="8CE48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2B2AC1"/>
    <w:multiLevelType w:val="hybridMultilevel"/>
    <w:tmpl w:val="A01CE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627"/>
    <w:rsid w:val="000110B4"/>
    <w:rsid w:val="00071D5A"/>
    <w:rsid w:val="00091B8F"/>
    <w:rsid w:val="000C377F"/>
    <w:rsid w:val="001340B0"/>
    <w:rsid w:val="001C0BA5"/>
    <w:rsid w:val="001C68AF"/>
    <w:rsid w:val="001C6CF1"/>
    <w:rsid w:val="002B033C"/>
    <w:rsid w:val="002B6D97"/>
    <w:rsid w:val="002C0262"/>
    <w:rsid w:val="00320171"/>
    <w:rsid w:val="003347C2"/>
    <w:rsid w:val="00386454"/>
    <w:rsid w:val="00394B1E"/>
    <w:rsid w:val="003A297D"/>
    <w:rsid w:val="003D3FC1"/>
    <w:rsid w:val="003D43B6"/>
    <w:rsid w:val="003E24C4"/>
    <w:rsid w:val="003F1E2B"/>
    <w:rsid w:val="004E6095"/>
    <w:rsid w:val="00527FE0"/>
    <w:rsid w:val="00572FA4"/>
    <w:rsid w:val="00607764"/>
    <w:rsid w:val="006147AF"/>
    <w:rsid w:val="006207E6"/>
    <w:rsid w:val="00621E2D"/>
    <w:rsid w:val="0069364B"/>
    <w:rsid w:val="00747627"/>
    <w:rsid w:val="00761860"/>
    <w:rsid w:val="007677EE"/>
    <w:rsid w:val="007C6A63"/>
    <w:rsid w:val="00804862"/>
    <w:rsid w:val="008D01FC"/>
    <w:rsid w:val="008D2DFA"/>
    <w:rsid w:val="008D3282"/>
    <w:rsid w:val="00971E38"/>
    <w:rsid w:val="009E0603"/>
    <w:rsid w:val="00A446F0"/>
    <w:rsid w:val="00A96FBF"/>
    <w:rsid w:val="00AE191D"/>
    <w:rsid w:val="00B231B4"/>
    <w:rsid w:val="00BA4B13"/>
    <w:rsid w:val="00BB7454"/>
    <w:rsid w:val="00BD03D2"/>
    <w:rsid w:val="00BE25FE"/>
    <w:rsid w:val="00CF6077"/>
    <w:rsid w:val="00D108EC"/>
    <w:rsid w:val="00D87748"/>
    <w:rsid w:val="00DD1173"/>
    <w:rsid w:val="00E04B00"/>
    <w:rsid w:val="00E33F17"/>
    <w:rsid w:val="00EA1EC9"/>
    <w:rsid w:val="00F15FFB"/>
    <w:rsid w:val="00FD7E6C"/>
    <w:rsid w:val="00FF19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D610"/>
  <w15:docId w15:val="{E0729AF1-6197-421F-8A96-813DAC917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762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347C2"/>
    <w:pPr>
      <w:ind w:left="720"/>
      <w:contextualSpacing/>
    </w:pPr>
  </w:style>
  <w:style w:type="paragraph" w:styleId="NoSpacing">
    <w:name w:val="No Spacing"/>
    <w:uiPriority w:val="1"/>
    <w:qFormat/>
    <w:rsid w:val="00320171"/>
    <w:pPr>
      <w:spacing w:after="0" w:line="240" w:lineRule="auto"/>
    </w:pPr>
  </w:style>
  <w:style w:type="paragraph" w:styleId="BalloonText">
    <w:name w:val="Balloon Text"/>
    <w:basedOn w:val="Normal"/>
    <w:link w:val="BalloonTextChar"/>
    <w:uiPriority w:val="99"/>
    <w:semiHidden/>
    <w:unhideWhenUsed/>
    <w:rsid w:val="009E0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603"/>
    <w:rPr>
      <w:rFonts w:ascii="Tahoma" w:hAnsi="Tahoma" w:cs="Tahoma"/>
      <w:sz w:val="16"/>
      <w:szCs w:val="16"/>
    </w:rPr>
  </w:style>
  <w:style w:type="paragraph" w:customStyle="1" w:styleId="Chapter">
    <w:name w:val="Chapter"/>
    <w:basedOn w:val="Normal"/>
    <w:next w:val="Normal"/>
    <w:uiPriority w:val="99"/>
    <w:rsid w:val="00FF19B8"/>
    <w:pPr>
      <w:keepNext/>
      <w:numPr>
        <w:numId w:val="3"/>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FF19B8"/>
    <w:pPr>
      <w:numPr>
        <w:ilvl w:val="1"/>
        <w:numId w:val="3"/>
      </w:numPr>
      <w:tabs>
        <w:tab w:val="clear" w:pos="1476"/>
      </w:tabs>
      <w:ind w:left="360" w:firstLine="0"/>
    </w:pPr>
  </w:style>
  <w:style w:type="paragraph" w:customStyle="1" w:styleId="subpar">
    <w:name w:val="subpar"/>
    <w:basedOn w:val="BodyTextIndent3"/>
    <w:uiPriority w:val="99"/>
    <w:rsid w:val="00FF19B8"/>
    <w:pPr>
      <w:numPr>
        <w:ilvl w:val="2"/>
        <w:numId w:val="3"/>
      </w:numPr>
      <w:tabs>
        <w:tab w:val="clear" w:pos="2304"/>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FF19B8"/>
    <w:pPr>
      <w:numPr>
        <w:ilvl w:val="3"/>
      </w:numPr>
      <w:tabs>
        <w:tab w:val="clear" w:pos="2736"/>
        <w:tab w:val="left" w:pos="0"/>
        <w:tab w:val="num" w:pos="360"/>
        <w:tab w:val="num" w:pos="1296"/>
      </w:tabs>
      <w:ind w:left="1296"/>
    </w:pPr>
  </w:style>
  <w:style w:type="table" w:styleId="TableGrid">
    <w:name w:val="Table Grid"/>
    <w:basedOn w:val="TableNormal"/>
    <w:uiPriority w:val="59"/>
    <w:rsid w:val="00FF19B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basedOn w:val="DefaultParagraphFont"/>
    <w:link w:val="Paragraph"/>
    <w:rsid w:val="00FF19B8"/>
  </w:style>
  <w:style w:type="paragraph" w:styleId="BodyTextIndent">
    <w:name w:val="Body Text Indent"/>
    <w:basedOn w:val="Normal"/>
    <w:link w:val="BodyTextIndentChar"/>
    <w:uiPriority w:val="99"/>
    <w:semiHidden/>
    <w:unhideWhenUsed/>
    <w:rsid w:val="00FF19B8"/>
    <w:pPr>
      <w:spacing w:after="120"/>
      <w:ind w:left="360"/>
    </w:pPr>
  </w:style>
  <w:style w:type="character" w:customStyle="1" w:styleId="BodyTextIndentChar">
    <w:name w:val="Body Text Indent Char"/>
    <w:basedOn w:val="DefaultParagraphFont"/>
    <w:link w:val="BodyTextIndent"/>
    <w:uiPriority w:val="99"/>
    <w:semiHidden/>
    <w:rsid w:val="00FF19B8"/>
  </w:style>
  <w:style w:type="paragraph" w:styleId="BodyTextIndent3">
    <w:name w:val="Body Text Indent 3"/>
    <w:basedOn w:val="Normal"/>
    <w:link w:val="BodyTextIndent3Char"/>
    <w:uiPriority w:val="99"/>
    <w:semiHidden/>
    <w:unhideWhenUsed/>
    <w:rsid w:val="00FF19B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F19B8"/>
    <w:rPr>
      <w:sz w:val="16"/>
      <w:szCs w:val="16"/>
    </w:rPr>
  </w:style>
  <w:style w:type="paragraph" w:styleId="Header">
    <w:name w:val="header"/>
    <w:basedOn w:val="Normal"/>
    <w:link w:val="HeaderChar"/>
    <w:uiPriority w:val="99"/>
    <w:unhideWhenUsed/>
    <w:rsid w:val="000C3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377F"/>
  </w:style>
  <w:style w:type="paragraph" w:styleId="Footer">
    <w:name w:val="footer"/>
    <w:basedOn w:val="Normal"/>
    <w:link w:val="FooterChar"/>
    <w:uiPriority w:val="99"/>
    <w:unhideWhenUsed/>
    <w:rsid w:val="000C3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377F"/>
  </w:style>
  <w:style w:type="paragraph" w:customStyle="1" w:styleId="Default">
    <w:name w:val="Default"/>
    <w:rsid w:val="00071D5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078053">
      <w:bodyDiv w:val="1"/>
      <w:marLeft w:val="0"/>
      <w:marRight w:val="0"/>
      <w:marTop w:val="0"/>
      <w:marBottom w:val="0"/>
      <w:divBdr>
        <w:top w:val="none" w:sz="0" w:space="0" w:color="auto"/>
        <w:left w:val="none" w:sz="0" w:space="0" w:color="auto"/>
        <w:bottom w:val="none" w:sz="0" w:space="0" w:color="auto"/>
        <w:right w:val="none" w:sz="0" w:space="0" w:color="auto"/>
      </w:divBdr>
    </w:div>
    <w:div w:id="1796483585">
      <w:bodyDiv w:val="1"/>
      <w:marLeft w:val="0"/>
      <w:marRight w:val="0"/>
      <w:marTop w:val="0"/>
      <w:marBottom w:val="0"/>
      <w:divBdr>
        <w:top w:val="none" w:sz="0" w:space="0" w:color="auto"/>
        <w:left w:val="none" w:sz="0" w:space="0" w:color="auto"/>
        <w:bottom w:val="none" w:sz="0" w:space="0" w:color="auto"/>
        <w:right w:val="none" w:sz="0" w:space="0" w:color="auto"/>
      </w:divBdr>
    </w:div>
    <w:div w:id="209836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1ED3B-37B9-45C4-BABB-9694C09FF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3249</Words>
  <Characters>18520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Williams</dc:creator>
  <cp:lastModifiedBy>MalaikaMasson</cp:lastModifiedBy>
  <cp:revision>2</cp:revision>
  <dcterms:created xsi:type="dcterms:W3CDTF">2017-05-17T22:47:00Z</dcterms:created>
  <dcterms:modified xsi:type="dcterms:W3CDTF">2017-05-17T22:47:00Z</dcterms:modified>
</cp:coreProperties>
</file>