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A940B" w14:textId="77777777" w:rsidR="00232DCD" w:rsidRPr="007C0236" w:rsidRDefault="00232DCD" w:rsidP="00232DCD">
      <w:pPr>
        <w:jc w:val="center"/>
      </w:pPr>
    </w:p>
    <w:p w14:paraId="3C5E23FE" w14:textId="77777777" w:rsidR="00232DCD" w:rsidRPr="001C38FF" w:rsidRDefault="00232DCD" w:rsidP="00232DCD">
      <w:pPr>
        <w:jc w:val="center"/>
        <w:rPr>
          <w:rFonts w:ascii="Arial" w:hAnsi="Arial" w:cs="Arial"/>
          <w:b/>
          <w:smallCaps/>
        </w:rPr>
      </w:pPr>
      <w:r w:rsidRPr="001C38FF">
        <w:rPr>
          <w:rFonts w:ascii="Arial" w:hAnsi="Arial" w:cs="Arial"/>
          <w:b/>
          <w:smallCaps/>
        </w:rPr>
        <w:t>Document of the Inter-American Development Bank</w:t>
      </w:r>
    </w:p>
    <w:p w14:paraId="02979162" w14:textId="77777777" w:rsidR="00232DCD" w:rsidRPr="001C38FF" w:rsidRDefault="00232DCD" w:rsidP="00232DCD">
      <w:pPr>
        <w:rPr>
          <w:rFonts w:ascii="Arial" w:hAnsi="Arial" w:cs="Arial"/>
          <w:smallCaps/>
        </w:rPr>
      </w:pPr>
    </w:p>
    <w:p w14:paraId="0BB10DD5" w14:textId="77777777" w:rsidR="00232DCD" w:rsidRPr="001C38FF" w:rsidRDefault="00232DCD" w:rsidP="00232DCD">
      <w:pPr>
        <w:rPr>
          <w:rFonts w:ascii="Arial" w:hAnsi="Arial" w:cs="Arial"/>
          <w:smallCaps/>
        </w:rPr>
      </w:pPr>
    </w:p>
    <w:p w14:paraId="226C64D2" w14:textId="77777777" w:rsidR="00232DCD" w:rsidRPr="001C38FF" w:rsidRDefault="00232DCD" w:rsidP="00232DCD">
      <w:pPr>
        <w:rPr>
          <w:rFonts w:ascii="Arial" w:hAnsi="Arial" w:cs="Arial"/>
          <w:smallCaps/>
        </w:rPr>
      </w:pPr>
    </w:p>
    <w:p w14:paraId="33649EDA" w14:textId="77777777" w:rsidR="00232DCD" w:rsidRPr="001C38FF" w:rsidRDefault="00232DCD" w:rsidP="00232DCD">
      <w:pPr>
        <w:rPr>
          <w:rFonts w:ascii="Arial" w:hAnsi="Arial" w:cs="Arial"/>
          <w:smallCaps/>
        </w:rPr>
      </w:pPr>
    </w:p>
    <w:p w14:paraId="362EE23B" w14:textId="77777777" w:rsidR="00232DCD" w:rsidRPr="001C38FF" w:rsidRDefault="00232DCD" w:rsidP="00232DCD">
      <w:pPr>
        <w:jc w:val="center"/>
        <w:rPr>
          <w:rFonts w:ascii="Arial" w:hAnsi="Arial" w:cs="Arial"/>
          <w:smallCaps/>
        </w:rPr>
      </w:pPr>
      <w:r w:rsidRPr="001C38FF">
        <w:rPr>
          <w:rFonts w:ascii="Arial" w:hAnsi="Arial" w:cs="Arial"/>
          <w:noProof/>
        </w:rPr>
        <w:drawing>
          <wp:inline distT="0" distB="0" distL="0" distR="0" wp14:anchorId="30434ACC" wp14:editId="20994F26">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14:paraId="3FA9C923" w14:textId="77777777" w:rsidR="00232DCD" w:rsidRPr="001C38FF" w:rsidRDefault="00232DCD" w:rsidP="00232DCD">
      <w:pPr>
        <w:rPr>
          <w:rFonts w:ascii="Arial" w:hAnsi="Arial" w:cs="Arial"/>
          <w:smallCaps/>
        </w:rPr>
      </w:pPr>
    </w:p>
    <w:p w14:paraId="6F9621D2" w14:textId="77777777" w:rsidR="00232DCD" w:rsidRPr="001C38FF" w:rsidRDefault="00232DCD" w:rsidP="00232DCD">
      <w:pPr>
        <w:rPr>
          <w:rFonts w:ascii="Arial" w:hAnsi="Arial" w:cs="Arial"/>
          <w:smallCaps/>
        </w:rPr>
      </w:pPr>
    </w:p>
    <w:p w14:paraId="6D9C7AE2" w14:textId="77777777" w:rsidR="00BF7B32" w:rsidRPr="00901FFF" w:rsidRDefault="00BF7B32" w:rsidP="00BF7B32">
      <w:pPr>
        <w:jc w:val="center"/>
        <w:rPr>
          <w:rFonts w:ascii="Arial" w:hAnsi="Arial" w:cs="Arial"/>
          <w:b/>
          <w:smallCaps/>
        </w:rPr>
      </w:pPr>
      <w:r>
        <w:rPr>
          <w:rFonts w:ascii="Arial" w:hAnsi="Arial" w:cs="Arial"/>
          <w:b/>
          <w:smallCaps/>
        </w:rPr>
        <w:t>Jamaica</w:t>
      </w:r>
    </w:p>
    <w:p w14:paraId="27232B36" w14:textId="77777777" w:rsidR="00BF7B32" w:rsidRDefault="00BF7B32" w:rsidP="00BF7B32">
      <w:pPr>
        <w:jc w:val="center"/>
        <w:rPr>
          <w:rFonts w:ascii="Arial" w:hAnsi="Arial" w:cs="Arial"/>
          <w:b/>
          <w:smallCaps/>
        </w:rPr>
      </w:pPr>
      <w:r>
        <w:rPr>
          <w:rFonts w:ascii="Arial" w:hAnsi="Arial" w:cs="Arial"/>
          <w:b/>
          <w:smallCaps/>
        </w:rPr>
        <w:t>Energy Management a</w:t>
      </w:r>
      <w:r w:rsidRPr="00FB7F13">
        <w:rPr>
          <w:rFonts w:ascii="Arial" w:hAnsi="Arial" w:cs="Arial"/>
          <w:b/>
          <w:smallCaps/>
        </w:rPr>
        <w:t>nd Efficiency Program (EMEP)</w:t>
      </w:r>
    </w:p>
    <w:p w14:paraId="0B3D7AE1" w14:textId="77777777" w:rsidR="00BF7B32" w:rsidRDefault="00BF7B32" w:rsidP="00BF7B32">
      <w:pPr>
        <w:jc w:val="center"/>
        <w:rPr>
          <w:rFonts w:ascii="Arial" w:hAnsi="Arial" w:cs="Arial"/>
          <w:b/>
          <w:smallCaps/>
        </w:rPr>
      </w:pPr>
      <w:r>
        <w:rPr>
          <w:rFonts w:ascii="Arial" w:hAnsi="Arial" w:cs="Arial"/>
          <w:b/>
          <w:smallCaps/>
        </w:rPr>
        <w:t>JA</w:t>
      </w:r>
      <w:r w:rsidRPr="005F7746">
        <w:rPr>
          <w:rFonts w:ascii="Arial" w:hAnsi="Arial" w:cs="Arial"/>
          <w:b/>
          <w:smallCaps/>
        </w:rPr>
        <w:t>-</w:t>
      </w:r>
      <w:r>
        <w:rPr>
          <w:rFonts w:ascii="Arial" w:hAnsi="Arial" w:cs="Arial"/>
          <w:b/>
          <w:smallCaps/>
        </w:rPr>
        <w:t>G</w:t>
      </w:r>
      <w:r w:rsidRPr="005F7746">
        <w:rPr>
          <w:rFonts w:ascii="Arial" w:hAnsi="Arial" w:cs="Arial"/>
          <w:b/>
          <w:smallCaps/>
        </w:rPr>
        <w:t>1</w:t>
      </w:r>
      <w:r>
        <w:rPr>
          <w:rFonts w:ascii="Arial" w:hAnsi="Arial" w:cs="Arial"/>
          <w:b/>
          <w:smallCaps/>
        </w:rPr>
        <w:t>00</w:t>
      </w:r>
      <w:r w:rsidR="00EC4954">
        <w:rPr>
          <w:rFonts w:ascii="Arial" w:hAnsi="Arial" w:cs="Arial"/>
          <w:b/>
          <w:smallCaps/>
        </w:rPr>
        <w:t>3</w:t>
      </w:r>
    </w:p>
    <w:p w14:paraId="509FCF6C" w14:textId="77777777" w:rsidR="00232DCD" w:rsidRPr="006F7063" w:rsidRDefault="00232DCD" w:rsidP="00232DCD">
      <w:pPr>
        <w:jc w:val="center"/>
        <w:rPr>
          <w:rFonts w:ascii="Arial" w:hAnsi="Arial" w:cs="Arial"/>
          <w:smallCaps/>
        </w:rPr>
      </w:pPr>
    </w:p>
    <w:p w14:paraId="1DE5393B" w14:textId="77777777" w:rsidR="00232DCD" w:rsidRPr="006F7063" w:rsidRDefault="00232DCD" w:rsidP="00232DCD">
      <w:pPr>
        <w:jc w:val="center"/>
        <w:rPr>
          <w:rFonts w:ascii="Arial" w:hAnsi="Arial" w:cs="Arial"/>
          <w:smallCaps/>
        </w:rPr>
      </w:pPr>
    </w:p>
    <w:p w14:paraId="7DD13B7C" w14:textId="77777777" w:rsidR="00232DCD" w:rsidRPr="006F7063" w:rsidRDefault="00232DCD" w:rsidP="00232DCD">
      <w:pPr>
        <w:jc w:val="center"/>
        <w:rPr>
          <w:rFonts w:ascii="Arial" w:hAnsi="Arial" w:cs="Arial"/>
          <w:smallCaps/>
        </w:rPr>
      </w:pPr>
    </w:p>
    <w:p w14:paraId="5EE406F2" w14:textId="77777777" w:rsidR="00232DCD" w:rsidRPr="006F7063" w:rsidRDefault="00232DCD" w:rsidP="00232DCD">
      <w:pPr>
        <w:jc w:val="center"/>
        <w:rPr>
          <w:rFonts w:ascii="Arial" w:hAnsi="Arial" w:cs="Arial"/>
          <w:smallCaps/>
        </w:rPr>
      </w:pPr>
    </w:p>
    <w:p w14:paraId="6CEB5857" w14:textId="77777777" w:rsidR="00232DCD" w:rsidRPr="006F7063" w:rsidRDefault="00232DCD" w:rsidP="00232DCD">
      <w:pPr>
        <w:jc w:val="center"/>
        <w:rPr>
          <w:rFonts w:ascii="Arial" w:hAnsi="Arial" w:cs="Arial"/>
          <w:b/>
          <w:bCs/>
          <w:caps/>
        </w:rPr>
      </w:pPr>
      <w:r w:rsidRPr="006F7063">
        <w:rPr>
          <w:rFonts w:ascii="Arial" w:hAnsi="Arial" w:cs="Arial"/>
          <w:b/>
          <w:bCs/>
          <w:caps/>
        </w:rPr>
        <w:t>Environmental and Social MANAGEMENT REPORT</w:t>
      </w:r>
    </w:p>
    <w:p w14:paraId="1BA8E710" w14:textId="77777777" w:rsidR="00232DCD" w:rsidRPr="006F7063" w:rsidRDefault="00232DCD" w:rsidP="00232DCD">
      <w:pPr>
        <w:jc w:val="center"/>
        <w:rPr>
          <w:rFonts w:ascii="Arial" w:hAnsi="Arial" w:cs="Arial"/>
          <w:b/>
          <w:smallCaps/>
        </w:rPr>
      </w:pPr>
      <w:r w:rsidRPr="006F7063">
        <w:rPr>
          <w:rFonts w:ascii="Arial" w:hAnsi="Arial" w:cs="Arial"/>
          <w:b/>
          <w:smallCaps/>
        </w:rPr>
        <w:t>(ES</w:t>
      </w:r>
      <w:r w:rsidR="00C53ABB" w:rsidRPr="006F7063">
        <w:rPr>
          <w:rFonts w:ascii="Arial" w:hAnsi="Arial" w:cs="Arial"/>
          <w:b/>
          <w:smallCaps/>
        </w:rPr>
        <w:t>MR</w:t>
      </w:r>
      <w:r w:rsidRPr="006F7063">
        <w:rPr>
          <w:rFonts w:ascii="Arial" w:hAnsi="Arial" w:cs="Arial"/>
          <w:b/>
          <w:smallCaps/>
        </w:rPr>
        <w:t>)</w:t>
      </w:r>
    </w:p>
    <w:p w14:paraId="39B50231" w14:textId="77777777" w:rsidR="00BF7B32" w:rsidRPr="00901FFF" w:rsidRDefault="00712462" w:rsidP="00BF7B32">
      <w:pPr>
        <w:jc w:val="center"/>
        <w:rPr>
          <w:rFonts w:ascii="Arial" w:hAnsi="Arial" w:cs="Arial"/>
          <w:smallCaps/>
        </w:rPr>
      </w:pPr>
      <w:r>
        <w:rPr>
          <w:rFonts w:ascii="Arial" w:hAnsi="Arial" w:cs="Arial"/>
          <w:smallCaps/>
        </w:rPr>
        <w:t>23</w:t>
      </w:r>
      <w:r w:rsidR="00BF7B32">
        <w:rPr>
          <w:rFonts w:ascii="Arial" w:hAnsi="Arial" w:cs="Arial"/>
          <w:smallCaps/>
        </w:rPr>
        <w:t>/05/2017</w:t>
      </w:r>
    </w:p>
    <w:p w14:paraId="7021E02C" w14:textId="77777777" w:rsidR="00232DCD" w:rsidRPr="00C53ABB" w:rsidRDefault="00232DCD" w:rsidP="00232DCD">
      <w:pPr>
        <w:jc w:val="center"/>
        <w:rPr>
          <w:rFonts w:ascii="Arial" w:hAnsi="Arial" w:cs="Arial"/>
          <w:smallCaps/>
          <w:sz w:val="22"/>
          <w:szCs w:val="22"/>
        </w:rPr>
      </w:pPr>
    </w:p>
    <w:p w14:paraId="5EA1F809" w14:textId="77777777" w:rsidR="00232DCD" w:rsidRPr="007C0236" w:rsidRDefault="00232DCD" w:rsidP="00232DCD">
      <w:pPr>
        <w:jc w:val="center"/>
        <w:rPr>
          <w:rFonts w:ascii="Arial" w:hAnsi="Arial" w:cs="Arial"/>
          <w:smallCaps/>
        </w:rPr>
      </w:pPr>
    </w:p>
    <w:p w14:paraId="06B55B72" w14:textId="77777777" w:rsidR="00232DCD" w:rsidRPr="007C0236" w:rsidRDefault="00232DCD" w:rsidP="00232DCD">
      <w:pPr>
        <w:jc w:val="center"/>
        <w:rPr>
          <w:rFonts w:ascii="Arial" w:hAnsi="Arial" w:cs="Arial"/>
          <w:smallCaps/>
        </w:rPr>
      </w:pPr>
    </w:p>
    <w:p w14:paraId="7681E6A6" w14:textId="77777777" w:rsidR="00232DCD" w:rsidRPr="007C0236" w:rsidRDefault="00232DCD" w:rsidP="00232DCD">
      <w:pPr>
        <w:jc w:val="center"/>
        <w:rPr>
          <w:rFonts w:ascii="Arial" w:hAnsi="Arial" w:cs="Arial"/>
          <w:smallCaps/>
        </w:rPr>
      </w:pPr>
    </w:p>
    <w:p w14:paraId="707A5E05" w14:textId="77777777" w:rsidR="00232DCD" w:rsidRPr="007C0236" w:rsidRDefault="00232DCD" w:rsidP="00232DCD">
      <w:pPr>
        <w:jc w:val="center"/>
        <w:rPr>
          <w:rFonts w:ascii="Arial" w:hAnsi="Arial" w:cs="Arial"/>
          <w:smallCaps/>
        </w:rPr>
      </w:pPr>
    </w:p>
    <w:p w14:paraId="2175DF6D" w14:textId="77777777" w:rsidR="00232DCD" w:rsidRPr="007C0236" w:rsidRDefault="00232DCD" w:rsidP="00232DCD">
      <w:pPr>
        <w:jc w:val="center"/>
        <w:rPr>
          <w:rFonts w:ascii="Arial" w:hAnsi="Arial" w:cs="Arial"/>
          <w:smallCaps/>
        </w:rPr>
      </w:pPr>
    </w:p>
    <w:p w14:paraId="42092AF2" w14:textId="77777777" w:rsidR="00232DCD" w:rsidRPr="007C0236" w:rsidRDefault="00232DCD" w:rsidP="00232DCD">
      <w:pPr>
        <w:jc w:val="center"/>
        <w:rPr>
          <w:rFonts w:ascii="Arial" w:hAnsi="Arial" w:cs="Arial"/>
          <w:smallCaps/>
        </w:rPr>
      </w:pPr>
    </w:p>
    <w:p w14:paraId="74C1514A" w14:textId="77777777" w:rsidR="00232DCD" w:rsidRPr="007C0236" w:rsidRDefault="00232DCD" w:rsidP="00232DCD">
      <w:pPr>
        <w:jc w:val="center"/>
        <w:rPr>
          <w:rFonts w:ascii="Arial" w:hAnsi="Arial" w:cs="Arial"/>
          <w:smallCaps/>
        </w:rPr>
      </w:pPr>
    </w:p>
    <w:p w14:paraId="375879BF" w14:textId="77777777" w:rsidR="00C53ABB" w:rsidRDefault="00C53ABB"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sidRPr="005E54D2">
        <w:rPr>
          <w:rFonts w:ascii="Arial" w:hAnsi="Arial" w:cs="Arial"/>
          <w:sz w:val="18"/>
          <w:szCs w:val="18"/>
        </w:rPr>
        <w:t>This document was prepared by</w:t>
      </w:r>
      <w:r>
        <w:rPr>
          <w:rFonts w:ascii="Arial" w:hAnsi="Arial" w:cs="Arial"/>
          <w:sz w:val="18"/>
          <w:szCs w:val="18"/>
        </w:rPr>
        <w:t xml:space="preserve">: </w:t>
      </w:r>
    </w:p>
    <w:p w14:paraId="58436396" w14:textId="77777777" w:rsidR="00C53ABB" w:rsidRDefault="00BF7B32"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Pr>
          <w:rFonts w:ascii="Arial" w:hAnsi="Arial" w:cs="Arial"/>
          <w:i/>
          <w:sz w:val="18"/>
          <w:szCs w:val="18"/>
        </w:rPr>
        <w:t xml:space="preserve">Luca Marini </w:t>
      </w:r>
      <w:r w:rsidRPr="000637C3">
        <w:rPr>
          <w:rFonts w:ascii="Arial" w:hAnsi="Arial" w:cs="Arial"/>
          <w:i/>
          <w:sz w:val="18"/>
          <w:szCs w:val="18"/>
        </w:rPr>
        <w:t>(</w:t>
      </w:r>
      <w:r>
        <w:rPr>
          <w:rFonts w:ascii="Arial" w:hAnsi="Arial" w:cs="Arial"/>
          <w:i/>
          <w:sz w:val="18"/>
          <w:szCs w:val="18"/>
        </w:rPr>
        <w:t>VPS</w:t>
      </w:r>
      <w:r w:rsidRPr="000637C3">
        <w:rPr>
          <w:rFonts w:ascii="Arial" w:hAnsi="Arial" w:cs="Arial"/>
          <w:i/>
          <w:sz w:val="18"/>
          <w:szCs w:val="18"/>
        </w:rPr>
        <w:t>/</w:t>
      </w:r>
      <w:r>
        <w:rPr>
          <w:rFonts w:ascii="Arial" w:hAnsi="Arial" w:cs="Arial"/>
          <w:i/>
          <w:sz w:val="18"/>
          <w:szCs w:val="18"/>
        </w:rPr>
        <w:t>ESG</w:t>
      </w:r>
      <w:r w:rsidRPr="000637C3">
        <w:rPr>
          <w:rFonts w:ascii="Arial" w:hAnsi="Arial" w:cs="Arial"/>
          <w:i/>
          <w:sz w:val="18"/>
          <w:szCs w:val="18"/>
        </w:rPr>
        <w:t>)</w:t>
      </w:r>
    </w:p>
    <w:p w14:paraId="2C504B1C" w14:textId="77777777" w:rsidR="00232DCD" w:rsidRPr="007C0236" w:rsidRDefault="00232DCD"/>
    <w:p w14:paraId="1F5E2DF1" w14:textId="77777777" w:rsidR="00232DCD" w:rsidRPr="007C0236" w:rsidRDefault="00232DCD"/>
    <w:p w14:paraId="7B1535F0" w14:textId="77777777" w:rsidR="00232DCD" w:rsidRPr="007C0236" w:rsidRDefault="00232DCD"/>
    <w:p w14:paraId="77C32BA6" w14:textId="77777777" w:rsidR="00232DCD" w:rsidRPr="007C0236" w:rsidRDefault="00232DCD"/>
    <w:p w14:paraId="156E7C10" w14:textId="77777777" w:rsidR="00232DCD" w:rsidRPr="007C0236" w:rsidRDefault="00232DCD"/>
    <w:p w14:paraId="4A9A35EC" w14:textId="77777777" w:rsidR="00C53ABB" w:rsidRDefault="00C53ABB">
      <w: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B51A3B" w14:paraId="1BA949B5"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19137CD9" w14:textId="77777777" w:rsidR="00B01F04" w:rsidRPr="00C53ABB" w:rsidRDefault="00232DCD" w:rsidP="00232DCD">
            <w:pPr>
              <w:jc w:val="center"/>
              <w:rPr>
                <w:rFonts w:ascii="Arial" w:eastAsia="Times New Roman" w:hAnsi="Arial" w:cs="Arial"/>
                <w:b/>
                <w:bCs/>
                <w:sz w:val="27"/>
                <w:szCs w:val="27"/>
              </w:rPr>
            </w:pPr>
            <w:r w:rsidRPr="00C53ABB">
              <w:rPr>
                <w:rFonts w:ascii="Arial" w:eastAsia="Times New Roman" w:hAnsi="Arial" w:cs="Arial"/>
                <w:b/>
                <w:bCs/>
                <w:sz w:val="27"/>
                <w:szCs w:val="27"/>
              </w:rPr>
              <w:lastRenderedPageBreak/>
              <w:t>ENVIRONMENTAL AND SOCIAL MANAGEMENT REPORT (ESMR)</w:t>
            </w:r>
          </w:p>
        </w:tc>
      </w:tr>
      <w:tr w:rsidR="00BF7B32" w:rsidRPr="007C0236" w14:paraId="0C6CD7BF"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87D530F"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Operation Name:</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AE84A08" w14:textId="77777777" w:rsidR="00BF7B32" w:rsidRPr="007C0236" w:rsidRDefault="00BF7B32" w:rsidP="00BF7B32">
            <w:pPr>
              <w:rPr>
                <w:rFonts w:ascii="Arial" w:eastAsia="Times New Roman" w:hAnsi="Arial" w:cs="Arial"/>
                <w:sz w:val="20"/>
                <w:szCs w:val="20"/>
              </w:rPr>
            </w:pPr>
            <w:r w:rsidRPr="00FB7F13">
              <w:rPr>
                <w:rFonts w:ascii="Arial" w:eastAsia="Times New Roman" w:hAnsi="Arial" w:cs="Arial"/>
                <w:sz w:val="22"/>
                <w:szCs w:val="22"/>
              </w:rPr>
              <w:t xml:space="preserve">Energy Management </w:t>
            </w:r>
            <w:r>
              <w:rPr>
                <w:rFonts w:ascii="Arial" w:eastAsia="Times New Roman" w:hAnsi="Arial" w:cs="Arial"/>
                <w:sz w:val="22"/>
                <w:szCs w:val="22"/>
              </w:rPr>
              <w:t>a</w:t>
            </w:r>
            <w:r w:rsidRPr="00FB7F13">
              <w:rPr>
                <w:rFonts w:ascii="Arial" w:eastAsia="Times New Roman" w:hAnsi="Arial" w:cs="Arial"/>
                <w:sz w:val="22"/>
                <w:szCs w:val="22"/>
              </w:rPr>
              <w:t>nd Efficiency Program (EMEP)</w:t>
            </w:r>
          </w:p>
        </w:tc>
      </w:tr>
      <w:tr w:rsidR="00BF7B32" w:rsidRPr="007C0236" w14:paraId="75BBEF14"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69D6EC3"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Operation Number: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0AF0768" w14:textId="77777777" w:rsidR="00BF7B32" w:rsidRPr="007C0236" w:rsidRDefault="00BF7B32" w:rsidP="00BF7B32">
            <w:pPr>
              <w:rPr>
                <w:rFonts w:ascii="Arial" w:eastAsia="Times New Roman" w:hAnsi="Arial" w:cs="Arial"/>
                <w:sz w:val="20"/>
                <w:szCs w:val="20"/>
              </w:rPr>
            </w:pPr>
            <w:r w:rsidRPr="00FB7F13">
              <w:rPr>
                <w:rFonts w:ascii="Arial" w:eastAsia="Times New Roman" w:hAnsi="Arial" w:cs="Arial"/>
                <w:sz w:val="22"/>
                <w:szCs w:val="22"/>
              </w:rPr>
              <w:t>JA-G1003</w:t>
            </w:r>
          </w:p>
        </w:tc>
      </w:tr>
      <w:tr w:rsidR="00232DCD" w:rsidRPr="007C0236" w14:paraId="4FB9038D"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45CFCB5A" w14:textId="77777777" w:rsidR="00232DCD" w:rsidRPr="00966D25" w:rsidRDefault="005354FC" w:rsidP="00966D25">
            <w:pPr>
              <w:pStyle w:val="ListParagraph"/>
              <w:numPr>
                <w:ilvl w:val="0"/>
                <w:numId w:val="39"/>
              </w:numPr>
              <w:ind w:left="318" w:hanging="318"/>
              <w:rPr>
                <w:rFonts w:ascii="Arial" w:eastAsia="Times New Roman" w:hAnsi="Arial" w:cs="Arial"/>
                <w:sz w:val="20"/>
                <w:szCs w:val="20"/>
              </w:rPr>
            </w:pPr>
            <w:r w:rsidRPr="00966D25">
              <w:rPr>
                <w:rFonts w:ascii="Arial" w:eastAsia="Times New Roman" w:hAnsi="Arial" w:cs="Arial"/>
                <w:b/>
                <w:bCs/>
                <w:sz w:val="27"/>
                <w:szCs w:val="27"/>
              </w:rPr>
              <w:t xml:space="preserve">Operation </w:t>
            </w:r>
            <w:r w:rsidR="00232DCD" w:rsidRPr="00966D25">
              <w:rPr>
                <w:rFonts w:ascii="Arial" w:eastAsia="Times New Roman" w:hAnsi="Arial" w:cs="Arial"/>
                <w:b/>
                <w:bCs/>
                <w:sz w:val="27"/>
                <w:szCs w:val="27"/>
              </w:rPr>
              <w:t>Details</w:t>
            </w:r>
          </w:p>
        </w:tc>
      </w:tr>
      <w:tr w:rsidR="00BF7B32" w:rsidRPr="007C0236" w14:paraId="11FD7E9D"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7CA197C"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IDB Sector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F4054AE" w14:textId="77777777" w:rsidR="00BF7B32" w:rsidRPr="007C0236" w:rsidRDefault="00BF7B32" w:rsidP="00BF7B32">
            <w:pPr>
              <w:rPr>
                <w:rFonts w:ascii="Arial" w:eastAsia="Times New Roman" w:hAnsi="Arial" w:cs="Arial"/>
                <w:sz w:val="20"/>
                <w:szCs w:val="20"/>
              </w:rPr>
            </w:pPr>
            <w:r>
              <w:rPr>
                <w:rFonts w:ascii="Arial" w:eastAsia="Times New Roman" w:hAnsi="Arial" w:cs="Arial"/>
                <w:sz w:val="22"/>
                <w:szCs w:val="22"/>
              </w:rPr>
              <w:t xml:space="preserve">Energy - </w:t>
            </w:r>
            <w:r w:rsidRPr="00FB7F13">
              <w:rPr>
                <w:rFonts w:ascii="Arial" w:eastAsia="Times New Roman" w:hAnsi="Arial" w:cs="Arial"/>
                <w:sz w:val="22"/>
                <w:szCs w:val="22"/>
              </w:rPr>
              <w:t xml:space="preserve">Energy Efficiency </w:t>
            </w:r>
            <w:r>
              <w:rPr>
                <w:rFonts w:ascii="Arial" w:eastAsia="Times New Roman" w:hAnsi="Arial" w:cs="Arial"/>
                <w:sz w:val="22"/>
                <w:szCs w:val="22"/>
              </w:rPr>
              <w:t>and Renewable Energy i</w:t>
            </w:r>
            <w:r w:rsidRPr="00FB7F13">
              <w:rPr>
                <w:rFonts w:ascii="Arial" w:eastAsia="Times New Roman" w:hAnsi="Arial" w:cs="Arial"/>
                <w:sz w:val="22"/>
                <w:szCs w:val="22"/>
              </w:rPr>
              <w:t>n End Use</w:t>
            </w:r>
          </w:p>
        </w:tc>
      </w:tr>
      <w:tr w:rsidR="00BF7B32" w:rsidRPr="007C0236" w14:paraId="4F1E4D8E"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4EF19FD"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Type of Operation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23C4C74B" w14:textId="7B05E84D" w:rsidR="00BF7B32" w:rsidRPr="007C0236" w:rsidRDefault="00BF7B32" w:rsidP="00BF7B32">
            <w:pPr>
              <w:rPr>
                <w:rFonts w:ascii="Arial" w:eastAsia="Times New Roman" w:hAnsi="Arial" w:cs="Arial"/>
                <w:sz w:val="20"/>
                <w:szCs w:val="20"/>
              </w:rPr>
            </w:pPr>
            <w:r w:rsidRPr="00FB7F13">
              <w:rPr>
                <w:rFonts w:ascii="Arial" w:eastAsia="Times New Roman" w:hAnsi="Arial" w:cs="Arial"/>
                <w:sz w:val="22"/>
                <w:szCs w:val="22"/>
              </w:rPr>
              <w:t>IGR - Investment Grant</w:t>
            </w:r>
          </w:p>
        </w:tc>
      </w:tr>
      <w:tr w:rsidR="00BF7B32" w:rsidRPr="007C0236" w14:paraId="76DA7E78"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8921B19"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Impact Categorization</w:t>
            </w:r>
            <w:r w:rsidRPr="006F7063">
              <w:rPr>
                <w:rStyle w:val="FootnoteReference"/>
                <w:rFonts w:ascii="Arial" w:eastAsia="Times New Roman" w:hAnsi="Arial" w:cs="Arial"/>
                <w:b/>
                <w:bCs/>
                <w:sz w:val="22"/>
                <w:szCs w:val="22"/>
              </w:rPr>
              <w:footnoteReference w:id="1"/>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826781A" w14:textId="77777777" w:rsidR="00BF7B32" w:rsidRPr="007C0236" w:rsidRDefault="00BF7B32" w:rsidP="00BF7B32">
            <w:pPr>
              <w:rPr>
                <w:rFonts w:ascii="Arial" w:eastAsia="Times New Roman" w:hAnsi="Arial" w:cs="Arial"/>
                <w:sz w:val="20"/>
                <w:szCs w:val="20"/>
              </w:rPr>
            </w:pPr>
            <w:r w:rsidRPr="006E645C">
              <w:rPr>
                <w:rFonts w:ascii="Arial" w:eastAsia="Times New Roman" w:hAnsi="Arial" w:cs="Arial"/>
                <w:sz w:val="20"/>
                <w:szCs w:val="20"/>
              </w:rPr>
              <w:t>B</w:t>
            </w:r>
          </w:p>
        </w:tc>
      </w:tr>
      <w:tr w:rsidR="00BF7B32" w:rsidRPr="007C0236" w14:paraId="334485BA"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732B9B4" w14:textId="77777777" w:rsidR="00BF7B32" w:rsidRPr="006F7063" w:rsidDel="007813EB"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Disaster Risk Rating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00B0ED3" w14:textId="77777777" w:rsidR="00BF7B32" w:rsidRPr="007C0236" w:rsidRDefault="00BF7B32" w:rsidP="00BF7B32">
            <w:pPr>
              <w:rPr>
                <w:rFonts w:ascii="Arial" w:eastAsia="Times New Roman" w:hAnsi="Arial" w:cs="Arial"/>
                <w:sz w:val="20"/>
                <w:szCs w:val="20"/>
              </w:rPr>
            </w:pPr>
            <w:r>
              <w:rPr>
                <w:rFonts w:ascii="Arial" w:eastAsia="Times New Roman" w:hAnsi="Arial" w:cs="Arial"/>
                <w:sz w:val="22"/>
                <w:szCs w:val="22"/>
              </w:rPr>
              <w:t>Moderate</w:t>
            </w:r>
          </w:p>
        </w:tc>
      </w:tr>
      <w:tr w:rsidR="00BF7B32" w:rsidRPr="007C0236" w14:paraId="3DCFCC56"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6CAF893"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Borrower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3AF0E99" w14:textId="77777777" w:rsidR="00BF7B32" w:rsidRPr="007C0236" w:rsidRDefault="00BF7B32" w:rsidP="00BF7B32">
            <w:pPr>
              <w:rPr>
                <w:rFonts w:ascii="Arial" w:eastAsia="Times New Roman" w:hAnsi="Arial" w:cs="Arial"/>
                <w:sz w:val="20"/>
                <w:szCs w:val="20"/>
              </w:rPr>
            </w:pPr>
            <w:r>
              <w:rPr>
                <w:rFonts w:ascii="Arial" w:eastAsia="Times New Roman" w:hAnsi="Arial" w:cs="Arial"/>
                <w:sz w:val="22"/>
                <w:szCs w:val="22"/>
              </w:rPr>
              <w:t xml:space="preserve">Government of </w:t>
            </w:r>
            <w:r w:rsidRPr="00FB7F13">
              <w:rPr>
                <w:rFonts w:ascii="Arial" w:eastAsia="Times New Roman" w:hAnsi="Arial" w:cs="Arial"/>
                <w:sz w:val="22"/>
                <w:szCs w:val="22"/>
              </w:rPr>
              <w:t>Jamaica</w:t>
            </w:r>
          </w:p>
        </w:tc>
      </w:tr>
      <w:tr w:rsidR="00BF7B32" w:rsidRPr="007C0236" w14:paraId="1045807B"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7DEE764"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Executing Agency</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D5FD399" w14:textId="77777777" w:rsidR="00BF7B32" w:rsidRPr="007C0236" w:rsidRDefault="00BF7B32" w:rsidP="00BF7B32">
            <w:pPr>
              <w:rPr>
                <w:rFonts w:ascii="Arial" w:eastAsia="Times New Roman" w:hAnsi="Arial" w:cs="Arial"/>
                <w:sz w:val="20"/>
                <w:szCs w:val="20"/>
              </w:rPr>
            </w:pPr>
            <w:r w:rsidRPr="00FB7F13">
              <w:rPr>
                <w:rFonts w:ascii="Arial" w:hAnsi="Arial" w:cs="Arial"/>
                <w:sz w:val="22"/>
                <w:szCs w:val="22"/>
              </w:rPr>
              <w:t>Petroleum Corporation of Jamaica (PCJ)</w:t>
            </w:r>
          </w:p>
        </w:tc>
      </w:tr>
      <w:tr w:rsidR="00BF7B32" w:rsidRPr="007C0236" w14:paraId="13A84494"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55EB7BD" w14:textId="130C8526" w:rsidR="00BF7B32" w:rsidRPr="006F7063" w:rsidRDefault="007415E3" w:rsidP="00BF7B32">
            <w:pPr>
              <w:rPr>
                <w:rFonts w:ascii="Arial" w:eastAsia="Times New Roman" w:hAnsi="Arial" w:cs="Arial"/>
                <w:b/>
                <w:bCs/>
                <w:sz w:val="22"/>
                <w:szCs w:val="22"/>
              </w:rPr>
            </w:pPr>
            <w:r>
              <w:rPr>
                <w:rFonts w:ascii="Arial" w:eastAsia="Times New Roman" w:hAnsi="Arial" w:cs="Arial"/>
                <w:b/>
                <w:bCs/>
                <w:sz w:val="22"/>
                <w:szCs w:val="22"/>
              </w:rPr>
              <w:t>IDB (EU-CIF)</w:t>
            </w:r>
            <w:r w:rsidR="00BF7B32" w:rsidRPr="006F7063">
              <w:rPr>
                <w:rFonts w:ascii="Arial" w:eastAsia="Times New Roman" w:hAnsi="Arial" w:cs="Arial"/>
                <w:b/>
                <w:bCs/>
                <w:sz w:val="22"/>
                <w:szCs w:val="22"/>
              </w:rPr>
              <w:t xml:space="preserve"> US$ (and total project cost)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DBBAB52" w14:textId="77777777" w:rsidR="00BF7B32" w:rsidRPr="007C0236" w:rsidRDefault="00BF7B32" w:rsidP="00BF7B32">
            <w:pPr>
              <w:rPr>
                <w:rFonts w:ascii="Arial" w:eastAsia="Times New Roman" w:hAnsi="Arial" w:cs="Arial"/>
                <w:sz w:val="20"/>
                <w:szCs w:val="20"/>
              </w:rPr>
            </w:pPr>
            <w:r w:rsidRPr="00FB7F13">
              <w:rPr>
                <w:rFonts w:ascii="Arial" w:eastAsia="Times New Roman" w:hAnsi="Arial" w:cs="Arial"/>
                <w:sz w:val="22"/>
                <w:szCs w:val="22"/>
              </w:rPr>
              <w:t>US$ 10 million (US$ 10 million)</w:t>
            </w:r>
          </w:p>
        </w:tc>
      </w:tr>
      <w:tr w:rsidR="00BF7B32" w:rsidRPr="007C0236" w14:paraId="78F77603"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95BA8CC" w14:textId="77777777" w:rsidR="00BF7B32" w:rsidRPr="006F7063" w:rsidRDefault="00BF7B32" w:rsidP="00BF7B32">
            <w:pPr>
              <w:rPr>
                <w:rFonts w:ascii="Arial" w:eastAsia="Times New Roman" w:hAnsi="Arial" w:cs="Arial"/>
                <w:b/>
                <w:bCs/>
                <w:sz w:val="22"/>
                <w:szCs w:val="22"/>
              </w:rPr>
            </w:pPr>
            <w:r w:rsidRPr="006F7063">
              <w:rPr>
                <w:rFonts w:ascii="Arial" w:eastAsia="Times New Roman" w:hAnsi="Arial" w:cs="Arial"/>
                <w:b/>
                <w:bCs/>
                <w:sz w:val="22"/>
                <w:szCs w:val="22"/>
              </w:rPr>
              <w:t xml:space="preserve">Applicable Policies/Directives </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C677B72" w14:textId="2DEAB70C" w:rsidR="00BF7B32" w:rsidRPr="007C0236" w:rsidRDefault="00BF7B32" w:rsidP="00BF7B32">
            <w:pPr>
              <w:rPr>
                <w:rFonts w:ascii="Arial" w:eastAsia="Times New Roman" w:hAnsi="Arial" w:cs="Arial"/>
                <w:sz w:val="20"/>
                <w:szCs w:val="20"/>
              </w:rPr>
            </w:pPr>
            <w:r w:rsidRPr="00FB4800">
              <w:rPr>
                <w:rFonts w:ascii="Arial" w:eastAsia="Times New Roman" w:hAnsi="Arial" w:cs="Arial"/>
                <w:sz w:val="22"/>
                <w:szCs w:val="22"/>
              </w:rPr>
              <w:t xml:space="preserve">OP-102; OP-704; OP-761; OP-703 (B.1, B.2, B.3, B.4, B.5, B.6, B.7, B.10, B.11, </w:t>
            </w:r>
            <w:bookmarkStart w:id="0" w:name="_GoBack"/>
            <w:bookmarkEnd w:id="0"/>
            <w:r w:rsidRPr="00FB4800">
              <w:rPr>
                <w:rFonts w:ascii="Arial" w:eastAsia="Times New Roman" w:hAnsi="Arial" w:cs="Arial"/>
                <w:sz w:val="22"/>
                <w:szCs w:val="22"/>
              </w:rPr>
              <w:t>B.17)</w:t>
            </w:r>
          </w:p>
        </w:tc>
      </w:tr>
      <w:tr w:rsidR="00BF7B32" w:rsidRPr="007C0236" w14:paraId="25E0ABB3"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8775ABC" w14:textId="77777777" w:rsidR="00BF7B32" w:rsidRPr="00966D25" w:rsidRDefault="0012636E" w:rsidP="00BF7B32">
            <w:pPr>
              <w:pStyle w:val="ListParagraph"/>
              <w:numPr>
                <w:ilvl w:val="0"/>
                <w:numId w:val="39"/>
              </w:numPr>
              <w:ind w:left="318" w:hanging="318"/>
              <w:rPr>
                <w:rFonts w:ascii="Arial" w:eastAsia="Times New Roman" w:hAnsi="Arial" w:cs="Arial"/>
                <w:b/>
                <w:bCs/>
                <w:sz w:val="27"/>
                <w:szCs w:val="27"/>
              </w:rPr>
            </w:pPr>
            <w:r>
              <w:rPr>
                <w:rFonts w:ascii="Arial" w:eastAsia="Times New Roman" w:hAnsi="Arial" w:cs="Arial"/>
                <w:b/>
                <w:bCs/>
                <w:sz w:val="27"/>
                <w:szCs w:val="27"/>
              </w:rPr>
              <w:t>Executive Summary</w:t>
            </w:r>
          </w:p>
        </w:tc>
      </w:tr>
      <w:tr w:rsidR="00BF7B32" w:rsidRPr="007C0236" w14:paraId="0AAB4D82" w14:textId="77777777" w:rsidTr="0012636E">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727BDDB" w14:textId="3FA0B654" w:rsidR="00BF7B32" w:rsidRPr="0012636E" w:rsidRDefault="0012636E" w:rsidP="0012636E">
            <w:pPr>
              <w:ind w:right="165"/>
              <w:jc w:val="both"/>
              <w:rPr>
                <w:rFonts w:ascii="Arial" w:hAnsi="Arial" w:cs="Arial"/>
                <w:sz w:val="22"/>
                <w:szCs w:val="22"/>
              </w:rPr>
            </w:pPr>
            <w:r w:rsidRPr="00A12925">
              <w:rPr>
                <w:rFonts w:ascii="Arial" w:hAnsi="Arial" w:cs="Arial"/>
                <w:sz w:val="22"/>
                <w:szCs w:val="22"/>
              </w:rPr>
              <w:t xml:space="preserve">The project has been classified as Category B, </w:t>
            </w:r>
            <w:r w:rsidR="000019D9">
              <w:rPr>
                <w:rFonts w:ascii="Arial" w:hAnsi="Arial" w:cs="Arial"/>
                <w:sz w:val="22"/>
                <w:szCs w:val="22"/>
              </w:rPr>
              <w:t>and</w:t>
            </w:r>
            <w:r w:rsidRPr="00A12925">
              <w:rPr>
                <w:rFonts w:ascii="Arial" w:hAnsi="Arial" w:cs="Arial"/>
                <w:sz w:val="22"/>
                <w:szCs w:val="22"/>
              </w:rPr>
              <w:t xml:space="preserve"> a</w:t>
            </w:r>
            <w:r w:rsidRPr="00A12925">
              <w:rPr>
                <w:rFonts w:ascii="Arial" w:eastAsia="Times New Roman" w:hAnsi="Arial" w:cs="Arial"/>
                <w:sz w:val="22"/>
                <w:szCs w:val="22"/>
                <w:shd w:val="clear" w:color="auto" w:fill="FFFFFF"/>
              </w:rPr>
              <w:t>n operational Environmental and Social Analysis (ESA) was prepared by Acorn International LLC on behalf of the GOJ for the IDB.</w:t>
            </w:r>
            <w:r>
              <w:rPr>
                <w:rFonts w:ascii="Arial" w:eastAsia="Times New Roman" w:hAnsi="Arial" w:cs="Arial"/>
                <w:sz w:val="22"/>
                <w:szCs w:val="22"/>
                <w:shd w:val="clear" w:color="auto" w:fill="FFFFFF"/>
              </w:rPr>
              <w:t xml:space="preserve"> </w:t>
            </w:r>
            <w:r w:rsidRPr="00A12925">
              <w:rPr>
                <w:rFonts w:ascii="Arial" w:eastAsia="Times New Roman" w:hAnsi="Arial" w:cs="Arial"/>
                <w:sz w:val="22"/>
                <w:szCs w:val="22"/>
                <w:shd w:val="clear" w:color="auto" w:fill="FFFFFF"/>
              </w:rPr>
              <w:t xml:space="preserve">Key risks and impacts identified in the ESA relates to solid and hazardous waste management, soil and groundwater contamination, occupational and community health and safety, and natural disasters risks. </w:t>
            </w:r>
            <w:r w:rsidR="00712462">
              <w:rPr>
                <w:rFonts w:ascii="Arial" w:eastAsia="Times New Roman" w:hAnsi="Arial" w:cs="Arial"/>
                <w:sz w:val="22"/>
                <w:szCs w:val="22"/>
                <w:shd w:val="clear" w:color="auto" w:fill="FFFFFF"/>
              </w:rPr>
              <w:t>An</w:t>
            </w:r>
            <w:r w:rsidRPr="00A12925">
              <w:rPr>
                <w:rFonts w:ascii="Arial" w:eastAsia="Times New Roman" w:hAnsi="Arial" w:cs="Arial"/>
                <w:sz w:val="22"/>
                <w:szCs w:val="22"/>
                <w:shd w:val="clear" w:color="auto" w:fill="FFFFFF"/>
              </w:rPr>
              <w:t xml:space="preserve"> Environmental and Social Management System and Plan (ESMS-ESMP) are set out, identifying the necessary plans that will be required (the plans themselves will be prepared by either the </w:t>
            </w:r>
            <w:r w:rsidR="00665D55">
              <w:rPr>
                <w:rFonts w:ascii="Arial" w:eastAsia="Times New Roman" w:hAnsi="Arial" w:cs="Arial"/>
                <w:sz w:val="22"/>
                <w:szCs w:val="22"/>
                <w:shd w:val="clear" w:color="auto" w:fill="FFFFFF"/>
              </w:rPr>
              <w:t xml:space="preserve">Beneficiary </w:t>
            </w:r>
            <w:r w:rsidRPr="00A12925">
              <w:rPr>
                <w:rFonts w:ascii="Arial" w:eastAsia="Times New Roman" w:hAnsi="Arial" w:cs="Arial"/>
                <w:sz w:val="22"/>
                <w:szCs w:val="22"/>
                <w:shd w:val="clear" w:color="auto" w:fill="FFFFFF"/>
              </w:rPr>
              <w:t>or the contractor before construction). The ESA includes a draft Waste Management Plan that includes all provisions to be followed to properly handle non-hazardous and hazardous waste</w:t>
            </w:r>
            <w:r w:rsidR="00767189">
              <w:rPr>
                <w:rFonts w:ascii="Arial" w:eastAsia="Times New Roman" w:hAnsi="Arial" w:cs="Arial"/>
                <w:sz w:val="22"/>
                <w:szCs w:val="22"/>
                <w:shd w:val="clear" w:color="auto" w:fill="FFFFFF"/>
              </w:rPr>
              <w:t xml:space="preserve">. The plan </w:t>
            </w:r>
            <w:r w:rsidR="000019D9">
              <w:rPr>
                <w:rFonts w:ascii="Arial" w:eastAsia="Times New Roman" w:hAnsi="Arial" w:cs="Arial"/>
                <w:sz w:val="22"/>
                <w:szCs w:val="22"/>
                <w:shd w:val="clear" w:color="auto" w:fill="FFFFFF"/>
              </w:rPr>
              <w:t xml:space="preserve">will </w:t>
            </w:r>
            <w:r w:rsidRPr="00A12925">
              <w:rPr>
                <w:rFonts w:ascii="Arial" w:eastAsia="Times New Roman" w:hAnsi="Arial" w:cs="Arial"/>
                <w:sz w:val="22"/>
                <w:szCs w:val="22"/>
                <w:shd w:val="clear" w:color="auto" w:fill="FFFFFF"/>
              </w:rPr>
              <w:t xml:space="preserve">include all operational details </w:t>
            </w:r>
            <w:r w:rsidR="00935F91">
              <w:rPr>
                <w:rFonts w:ascii="Arial" w:eastAsia="Times New Roman" w:hAnsi="Arial" w:cs="Arial"/>
                <w:sz w:val="22"/>
                <w:szCs w:val="22"/>
                <w:shd w:val="clear" w:color="auto" w:fill="FFFFFF"/>
              </w:rPr>
              <w:t>prior construction start</w:t>
            </w:r>
            <w:r w:rsidRPr="00A12925">
              <w:rPr>
                <w:rFonts w:ascii="Arial" w:eastAsia="Times New Roman" w:hAnsi="Arial" w:cs="Arial"/>
                <w:sz w:val="22"/>
                <w:szCs w:val="22"/>
                <w:shd w:val="clear" w:color="auto" w:fill="FFFFFF"/>
              </w:rPr>
              <w:t xml:space="preserve">. </w:t>
            </w:r>
          </w:p>
        </w:tc>
      </w:tr>
      <w:tr w:rsidR="00BF7B32" w:rsidRPr="007C0236" w14:paraId="08751106"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8C92A9F" w14:textId="77777777" w:rsidR="00BF7B32" w:rsidRPr="00966D25" w:rsidRDefault="00BF7B32" w:rsidP="00BF7B32">
            <w:pPr>
              <w:pStyle w:val="ListParagraph"/>
              <w:numPr>
                <w:ilvl w:val="0"/>
                <w:numId w:val="39"/>
              </w:numPr>
              <w:ind w:left="318" w:hanging="318"/>
              <w:rPr>
                <w:rFonts w:ascii="Arial" w:eastAsia="Times New Roman" w:hAnsi="Arial" w:cs="Arial"/>
                <w:b/>
                <w:bCs/>
                <w:sz w:val="27"/>
                <w:szCs w:val="27"/>
              </w:rPr>
            </w:pPr>
            <w:r w:rsidRPr="00966D25">
              <w:rPr>
                <w:rFonts w:ascii="Arial" w:eastAsia="Times New Roman" w:hAnsi="Arial" w:cs="Arial"/>
                <w:b/>
                <w:bCs/>
                <w:sz w:val="27"/>
                <w:szCs w:val="27"/>
              </w:rPr>
              <w:t xml:space="preserve">Operation </w:t>
            </w:r>
            <w:r w:rsidR="009D4929">
              <w:rPr>
                <w:rFonts w:ascii="Arial" w:eastAsia="Times New Roman" w:hAnsi="Arial" w:cs="Arial"/>
                <w:b/>
                <w:bCs/>
                <w:sz w:val="27"/>
                <w:szCs w:val="27"/>
              </w:rPr>
              <w:t>Description</w:t>
            </w:r>
          </w:p>
        </w:tc>
      </w:tr>
      <w:tr w:rsidR="00BF7B32" w:rsidRPr="007C0236" w14:paraId="50AA17FF"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E1ABEF1" w14:textId="1EF0B5AA" w:rsidR="00BF7B32" w:rsidRDefault="00BF7B32" w:rsidP="00BF7B32">
            <w:pPr>
              <w:jc w:val="both"/>
              <w:rPr>
                <w:rFonts w:ascii="Arial" w:hAnsi="Arial" w:cs="Arial"/>
                <w:sz w:val="22"/>
                <w:szCs w:val="22"/>
              </w:rPr>
            </w:pPr>
            <w:r w:rsidRPr="00665D55">
              <w:rPr>
                <w:rFonts w:ascii="Arial" w:hAnsi="Arial" w:cs="Arial"/>
                <w:sz w:val="22"/>
                <w:szCs w:val="22"/>
              </w:rPr>
              <w:t>The general objective of the project is to promote a more efficient use of energy resources</w:t>
            </w:r>
            <w:r w:rsidR="008250D2" w:rsidRPr="00665D55">
              <w:rPr>
                <w:rFonts w:ascii="Arial" w:hAnsi="Arial" w:cs="Arial"/>
                <w:sz w:val="22"/>
                <w:szCs w:val="22"/>
              </w:rPr>
              <w:t xml:space="preserve">. </w:t>
            </w:r>
            <w:r w:rsidRPr="00665D55">
              <w:rPr>
                <w:rFonts w:ascii="Arial" w:hAnsi="Arial" w:cs="Arial"/>
                <w:sz w:val="22"/>
                <w:szCs w:val="22"/>
              </w:rPr>
              <w:t>Scope</w:t>
            </w:r>
            <w:r>
              <w:rPr>
                <w:rFonts w:ascii="Arial" w:hAnsi="Arial" w:cs="Arial"/>
                <w:sz w:val="22"/>
                <w:szCs w:val="22"/>
              </w:rPr>
              <w:t xml:space="preserve"> of the project is to install </w:t>
            </w:r>
            <w:r w:rsidRPr="00FB7F13">
              <w:rPr>
                <w:rFonts w:ascii="Arial" w:hAnsi="Arial" w:cs="Arial"/>
                <w:sz w:val="22"/>
                <w:szCs w:val="22"/>
              </w:rPr>
              <w:t xml:space="preserve">Energy Efficiency and Conservation (EEC) technologies and measures, recognized by the </w:t>
            </w:r>
            <w:r>
              <w:rPr>
                <w:rFonts w:ascii="Arial" w:hAnsi="Arial" w:cs="Arial"/>
                <w:sz w:val="22"/>
                <w:szCs w:val="22"/>
              </w:rPr>
              <w:t>Government of Jamaica (</w:t>
            </w:r>
            <w:r w:rsidRPr="00FB7F13">
              <w:rPr>
                <w:rFonts w:ascii="Arial" w:hAnsi="Arial" w:cs="Arial"/>
                <w:sz w:val="22"/>
                <w:szCs w:val="22"/>
              </w:rPr>
              <w:t>GOJ</w:t>
            </w:r>
            <w:r>
              <w:rPr>
                <w:rFonts w:ascii="Arial" w:hAnsi="Arial" w:cs="Arial"/>
                <w:sz w:val="22"/>
                <w:szCs w:val="22"/>
              </w:rPr>
              <w:t>)</w:t>
            </w:r>
            <w:r w:rsidRPr="00FB7F13">
              <w:rPr>
                <w:rFonts w:ascii="Arial" w:hAnsi="Arial" w:cs="Arial"/>
                <w:sz w:val="22"/>
                <w:szCs w:val="22"/>
              </w:rPr>
              <w:t xml:space="preserve"> within its National Energy Policy (NEP) 2009-2030</w:t>
            </w:r>
            <w:r>
              <w:rPr>
                <w:rFonts w:ascii="Arial" w:hAnsi="Arial" w:cs="Arial"/>
                <w:sz w:val="22"/>
                <w:szCs w:val="22"/>
              </w:rPr>
              <w:t xml:space="preserve">, to </w:t>
            </w:r>
            <w:r w:rsidRPr="00FB7F13">
              <w:rPr>
                <w:rFonts w:ascii="Arial" w:hAnsi="Arial" w:cs="Arial"/>
                <w:sz w:val="22"/>
                <w:szCs w:val="22"/>
              </w:rPr>
              <w:t xml:space="preserve">lower government hospital electricity </w:t>
            </w:r>
            <w:r>
              <w:rPr>
                <w:rFonts w:ascii="Arial" w:hAnsi="Arial" w:cs="Arial"/>
                <w:sz w:val="22"/>
                <w:szCs w:val="22"/>
              </w:rPr>
              <w:t>consumption</w:t>
            </w:r>
            <w:r w:rsidRPr="00FB7F13">
              <w:rPr>
                <w:rFonts w:ascii="Arial" w:hAnsi="Arial" w:cs="Arial"/>
                <w:sz w:val="22"/>
                <w:szCs w:val="22"/>
              </w:rPr>
              <w:t xml:space="preserve"> and reduce oil imports, contributing to GHG emissions reduction. The proposed</w:t>
            </w:r>
            <w:r w:rsidR="00665D55">
              <w:rPr>
                <w:rFonts w:ascii="Arial" w:hAnsi="Arial" w:cs="Arial"/>
                <w:sz w:val="22"/>
                <w:szCs w:val="22"/>
              </w:rPr>
              <w:t xml:space="preserve"> Investment Grant (IGR)</w:t>
            </w:r>
            <w:r w:rsidRPr="00FB7F13">
              <w:rPr>
                <w:rFonts w:ascii="Arial" w:hAnsi="Arial" w:cs="Arial"/>
                <w:sz w:val="22"/>
                <w:szCs w:val="22"/>
              </w:rPr>
              <w:t xml:space="preserve"> is an expansion of the project “Energy Management and Efficiency Programme” (JA-L1056), </w:t>
            </w:r>
            <w:r w:rsidRPr="00FB4800">
              <w:rPr>
                <w:rFonts w:ascii="Arial" w:hAnsi="Arial" w:cs="Arial"/>
                <w:sz w:val="22"/>
                <w:szCs w:val="22"/>
              </w:rPr>
              <w:t>approved in 2016. With financing from the European Union Caribbean Investment Facility (EU-CIF) th</w:t>
            </w:r>
            <w:r w:rsidR="00665D55">
              <w:rPr>
                <w:rFonts w:ascii="Arial" w:hAnsi="Arial" w:cs="Arial"/>
                <w:sz w:val="22"/>
                <w:szCs w:val="22"/>
              </w:rPr>
              <w:t>is IGR</w:t>
            </w:r>
            <w:r w:rsidRPr="00FB4800">
              <w:rPr>
                <w:rFonts w:ascii="Arial" w:hAnsi="Arial" w:cs="Arial"/>
                <w:sz w:val="22"/>
                <w:szCs w:val="22"/>
              </w:rPr>
              <w:t xml:space="preserve"> will enable the addition of 7 </w:t>
            </w:r>
            <w:r w:rsidR="008577A4">
              <w:rPr>
                <w:rFonts w:ascii="Arial" w:hAnsi="Arial" w:cs="Arial"/>
                <w:sz w:val="22"/>
                <w:szCs w:val="22"/>
              </w:rPr>
              <w:t xml:space="preserve">public </w:t>
            </w:r>
            <w:r w:rsidRPr="00FB4800">
              <w:rPr>
                <w:rFonts w:ascii="Arial" w:hAnsi="Arial" w:cs="Arial"/>
                <w:sz w:val="22"/>
                <w:szCs w:val="22"/>
              </w:rPr>
              <w:t xml:space="preserve">hospitals receiving a deep EEC retrofit package and bringing the total number of government facilities receiving </w:t>
            </w:r>
            <w:r w:rsidR="00665D55">
              <w:rPr>
                <w:rFonts w:ascii="Arial" w:hAnsi="Arial" w:cs="Arial"/>
                <w:sz w:val="22"/>
                <w:szCs w:val="22"/>
              </w:rPr>
              <w:t xml:space="preserve">deep retrofit </w:t>
            </w:r>
            <w:r w:rsidRPr="00FB4800">
              <w:rPr>
                <w:rFonts w:ascii="Arial" w:hAnsi="Arial" w:cs="Arial"/>
                <w:sz w:val="22"/>
                <w:szCs w:val="22"/>
              </w:rPr>
              <w:t>from 23 to 30. Additionally, it will also provide more support to Electricity Planning</w:t>
            </w:r>
            <w:r w:rsidR="00665D55">
              <w:rPr>
                <w:rFonts w:ascii="Arial" w:hAnsi="Arial" w:cs="Arial"/>
                <w:sz w:val="22"/>
                <w:szCs w:val="22"/>
              </w:rPr>
              <w:t xml:space="preserve"> and Jamaica’s Integrated Resource Plan (IRP)</w:t>
            </w:r>
            <w:r w:rsidRPr="00FB4800">
              <w:rPr>
                <w:rFonts w:ascii="Arial" w:hAnsi="Arial" w:cs="Arial"/>
                <w:sz w:val="22"/>
                <w:szCs w:val="22"/>
              </w:rPr>
              <w:t xml:space="preserve">. </w:t>
            </w:r>
            <w:r>
              <w:rPr>
                <w:rFonts w:ascii="Arial" w:hAnsi="Arial" w:cs="Arial"/>
                <w:sz w:val="22"/>
                <w:szCs w:val="22"/>
              </w:rPr>
              <w:t xml:space="preserve">The project will be </w:t>
            </w:r>
            <w:r w:rsidR="00665D55">
              <w:rPr>
                <w:rFonts w:ascii="Arial" w:hAnsi="Arial" w:cs="Arial"/>
                <w:sz w:val="22"/>
                <w:szCs w:val="22"/>
              </w:rPr>
              <w:t xml:space="preserve">executed </w:t>
            </w:r>
            <w:r>
              <w:rPr>
                <w:rFonts w:ascii="Arial" w:hAnsi="Arial" w:cs="Arial"/>
                <w:sz w:val="22"/>
                <w:szCs w:val="22"/>
              </w:rPr>
              <w:t xml:space="preserve">by </w:t>
            </w:r>
            <w:r w:rsidRPr="00FB7F13">
              <w:rPr>
                <w:rFonts w:ascii="Arial" w:hAnsi="Arial" w:cs="Arial"/>
                <w:sz w:val="22"/>
                <w:szCs w:val="22"/>
              </w:rPr>
              <w:t>Petroleum Corporation of Jamaica (PCJ)</w:t>
            </w:r>
            <w:r>
              <w:rPr>
                <w:rFonts w:ascii="Arial" w:hAnsi="Arial" w:cs="Arial"/>
                <w:sz w:val="22"/>
                <w:szCs w:val="22"/>
              </w:rPr>
              <w:t>, the executing agency of t</w:t>
            </w:r>
            <w:r w:rsidRPr="00FB7F13">
              <w:rPr>
                <w:rFonts w:ascii="Arial" w:hAnsi="Arial" w:cs="Arial"/>
                <w:sz w:val="22"/>
                <w:szCs w:val="22"/>
              </w:rPr>
              <w:t>he Ministry of Science, Energ</w:t>
            </w:r>
            <w:r>
              <w:rPr>
                <w:rFonts w:ascii="Arial" w:hAnsi="Arial" w:cs="Arial"/>
                <w:sz w:val="22"/>
                <w:szCs w:val="22"/>
              </w:rPr>
              <w:t>y and Technology (MSET).</w:t>
            </w:r>
            <w:r w:rsidR="009D4929">
              <w:rPr>
                <w:rFonts w:ascii="Arial" w:hAnsi="Arial" w:cs="Arial"/>
                <w:sz w:val="22"/>
                <w:szCs w:val="22"/>
              </w:rPr>
              <w:t xml:space="preserve"> </w:t>
            </w:r>
            <w:r w:rsidRPr="00FB4800">
              <w:rPr>
                <w:rFonts w:ascii="Arial" w:hAnsi="Arial" w:cs="Arial"/>
                <w:sz w:val="22"/>
                <w:szCs w:val="22"/>
              </w:rPr>
              <w:t>The specific components of the project could be summarized as follows:</w:t>
            </w:r>
          </w:p>
          <w:p w14:paraId="331BDA06" w14:textId="24207458" w:rsidR="00BF7B32" w:rsidRDefault="00471CFD" w:rsidP="00BF7B32">
            <w:pPr>
              <w:jc w:val="both"/>
              <w:rPr>
                <w:rFonts w:ascii="Arial" w:hAnsi="Arial" w:cs="Arial"/>
                <w:sz w:val="22"/>
                <w:szCs w:val="22"/>
              </w:rPr>
            </w:pPr>
            <w:r>
              <w:rPr>
                <w:rFonts w:ascii="Arial" w:hAnsi="Arial" w:cs="Arial"/>
                <w:sz w:val="22"/>
                <w:szCs w:val="22"/>
              </w:rPr>
              <w:t xml:space="preserve">a) </w:t>
            </w:r>
            <w:r w:rsidR="00B14132">
              <w:rPr>
                <w:rFonts w:ascii="Arial" w:hAnsi="Arial" w:cs="Arial"/>
                <w:sz w:val="22"/>
                <w:szCs w:val="22"/>
              </w:rPr>
              <w:t>Retrofitting of</w:t>
            </w:r>
            <w:r>
              <w:rPr>
                <w:rFonts w:ascii="Arial" w:hAnsi="Arial" w:cs="Arial"/>
                <w:sz w:val="22"/>
                <w:szCs w:val="22"/>
              </w:rPr>
              <w:t xml:space="preserve"> 7</w:t>
            </w:r>
            <w:r w:rsidR="008577A4">
              <w:rPr>
                <w:rFonts w:ascii="Arial" w:hAnsi="Arial" w:cs="Arial"/>
                <w:sz w:val="22"/>
                <w:szCs w:val="22"/>
              </w:rPr>
              <w:t xml:space="preserve"> public</w:t>
            </w:r>
            <w:r w:rsidR="008D1975">
              <w:rPr>
                <w:rFonts w:ascii="Arial" w:hAnsi="Arial" w:cs="Arial"/>
                <w:sz w:val="22"/>
                <w:szCs w:val="22"/>
              </w:rPr>
              <w:t xml:space="preserve"> </w:t>
            </w:r>
            <w:r>
              <w:rPr>
                <w:rFonts w:ascii="Arial" w:hAnsi="Arial" w:cs="Arial"/>
                <w:sz w:val="22"/>
                <w:szCs w:val="22"/>
              </w:rPr>
              <w:t>hospitals</w:t>
            </w:r>
            <w:r w:rsidR="00665D55" w:rsidRPr="00665D55">
              <w:rPr>
                <w:rFonts w:ascii="Arial" w:hAnsi="Arial" w:cs="Arial"/>
                <w:sz w:val="22"/>
                <w:szCs w:val="22"/>
              </w:rPr>
              <w:t>) will finance the implementation of EEC measures in 7 public hospitals: (i) the purchase, installation, operation and maintenance of EEC technologies, and (ii) the design and implementation of a Communications and Visibility Plan to raise awareness among targeted stakeholders regarding EEC and RE, with respect to building codes, equipment standards and solar PV connection charges and net-billing implementation guidelines.</w:t>
            </w:r>
          </w:p>
          <w:p w14:paraId="4E87F40B" w14:textId="0B945362" w:rsidR="00BF7B32" w:rsidRPr="003B1564" w:rsidRDefault="00BF7B32" w:rsidP="003B1564">
            <w:pPr>
              <w:ind w:right="165"/>
              <w:jc w:val="both"/>
              <w:rPr>
                <w:rFonts w:ascii="Arial" w:eastAsia="Times New Roman" w:hAnsi="Arial" w:cs="Arial"/>
                <w:sz w:val="22"/>
                <w:szCs w:val="22"/>
                <w:shd w:val="clear" w:color="auto" w:fill="FFFFFF"/>
              </w:rPr>
            </w:pPr>
            <w:r>
              <w:rPr>
                <w:rFonts w:ascii="Arial" w:hAnsi="Arial" w:cs="Arial"/>
                <w:sz w:val="22"/>
                <w:szCs w:val="22"/>
              </w:rPr>
              <w:lastRenderedPageBreak/>
              <w:t xml:space="preserve">b) </w:t>
            </w:r>
            <w:r w:rsidRPr="006D7B3D">
              <w:rPr>
                <w:rFonts w:ascii="Arial" w:hAnsi="Arial" w:cs="Arial"/>
                <w:sz w:val="22"/>
                <w:szCs w:val="22"/>
              </w:rPr>
              <w:t>Support to Electricity Planning and Jamaica’s Integrated Reso</w:t>
            </w:r>
            <w:r w:rsidR="00471CFD">
              <w:rPr>
                <w:rFonts w:ascii="Arial" w:hAnsi="Arial" w:cs="Arial"/>
                <w:sz w:val="22"/>
                <w:szCs w:val="22"/>
              </w:rPr>
              <w:t>urce Plan (IRP):</w:t>
            </w:r>
            <w:r w:rsidRPr="006D7B3D">
              <w:rPr>
                <w:rFonts w:ascii="Arial" w:hAnsi="Arial" w:cs="Arial"/>
                <w:sz w:val="22"/>
                <w:szCs w:val="22"/>
              </w:rPr>
              <w:t xml:space="preserve"> </w:t>
            </w:r>
            <w:r w:rsidR="00665D55">
              <w:t xml:space="preserve"> </w:t>
            </w:r>
            <w:r w:rsidR="00665D55" w:rsidRPr="00665D55">
              <w:rPr>
                <w:rFonts w:ascii="Arial" w:hAnsi="Arial" w:cs="Arial"/>
                <w:sz w:val="22"/>
                <w:szCs w:val="22"/>
              </w:rPr>
              <w:t>will finance: (i) complementary technical studies related to the development of Jamaica’s IRP that enhances MSET’s planning expertise within the wider energy sector. The technical studies will focus on fuel switching options, infrastructure, policy and regulation that can make a real difference to final energy cost, reliability and environmental externalities.</w:t>
            </w:r>
            <w:r w:rsidR="00665D55">
              <w:rPr>
                <w:rFonts w:ascii="Arial" w:eastAsia="Times New Roman" w:hAnsi="Arial" w:cs="Arial"/>
                <w:sz w:val="22"/>
                <w:szCs w:val="22"/>
                <w:shd w:val="clear" w:color="auto" w:fill="FFFFFF"/>
              </w:rPr>
              <w:t xml:space="preserve"> Works</w:t>
            </w:r>
            <w:r w:rsidR="00066C55">
              <w:rPr>
                <w:rFonts w:ascii="Arial" w:eastAsia="Times New Roman" w:hAnsi="Arial" w:cs="Arial"/>
                <w:sz w:val="22"/>
                <w:szCs w:val="22"/>
                <w:shd w:val="clear" w:color="auto" w:fill="FFFFFF"/>
              </w:rPr>
              <w:t xml:space="preserve"> are expected to start immedia</w:t>
            </w:r>
            <w:r w:rsidR="007415E3">
              <w:rPr>
                <w:rFonts w:ascii="Arial" w:eastAsia="Times New Roman" w:hAnsi="Arial" w:cs="Arial"/>
                <w:sz w:val="22"/>
                <w:szCs w:val="22"/>
                <w:shd w:val="clear" w:color="auto" w:fill="FFFFFF"/>
              </w:rPr>
              <w:t>tely after the approval of the IGR</w:t>
            </w:r>
            <w:r w:rsidR="00CD1857">
              <w:rPr>
                <w:rFonts w:ascii="Arial" w:eastAsia="Times New Roman" w:hAnsi="Arial" w:cs="Arial"/>
                <w:sz w:val="22"/>
                <w:szCs w:val="22"/>
                <w:shd w:val="clear" w:color="auto" w:fill="FFFFFF"/>
              </w:rPr>
              <w:t xml:space="preserve"> and be completed in approximately</w:t>
            </w:r>
            <w:r w:rsidR="008577A4">
              <w:rPr>
                <w:rFonts w:ascii="Arial" w:eastAsia="Times New Roman" w:hAnsi="Arial" w:cs="Arial"/>
                <w:sz w:val="22"/>
                <w:szCs w:val="22"/>
                <w:shd w:val="clear" w:color="auto" w:fill="FFFFFF"/>
              </w:rPr>
              <w:t xml:space="preserve"> four years</w:t>
            </w:r>
            <w:r w:rsidR="00066C55">
              <w:rPr>
                <w:rFonts w:ascii="Arial" w:eastAsia="Times New Roman" w:hAnsi="Arial" w:cs="Arial"/>
                <w:sz w:val="22"/>
                <w:szCs w:val="22"/>
                <w:shd w:val="clear" w:color="auto" w:fill="FFFFFF"/>
              </w:rPr>
              <w:t xml:space="preserve">. </w:t>
            </w:r>
            <w:r w:rsidRPr="006F7063">
              <w:rPr>
                <w:rFonts w:ascii="Arial" w:eastAsia="Times New Roman" w:hAnsi="Arial" w:cs="Arial"/>
                <w:sz w:val="22"/>
                <w:szCs w:val="22"/>
                <w:shd w:val="clear" w:color="auto" w:fill="FFFFFF"/>
              </w:rPr>
              <w:t xml:space="preserve"> </w:t>
            </w:r>
          </w:p>
        </w:tc>
      </w:tr>
      <w:tr w:rsidR="00BF7B32" w:rsidRPr="007C0236" w14:paraId="2314532D"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8676ED9" w14:textId="77777777" w:rsidR="00BF7B32" w:rsidRPr="00966D25" w:rsidRDefault="00BF7B32" w:rsidP="00BF7B32">
            <w:pPr>
              <w:pStyle w:val="ListParagraph"/>
              <w:numPr>
                <w:ilvl w:val="0"/>
                <w:numId w:val="39"/>
              </w:numPr>
              <w:rPr>
                <w:rFonts w:ascii="Arial" w:eastAsia="Times New Roman" w:hAnsi="Arial" w:cs="Arial"/>
                <w:b/>
                <w:bCs/>
                <w:sz w:val="27"/>
                <w:szCs w:val="27"/>
              </w:rPr>
            </w:pPr>
            <w:r w:rsidRPr="00966D25">
              <w:rPr>
                <w:rFonts w:ascii="Arial" w:eastAsia="Times New Roman" w:hAnsi="Arial" w:cs="Arial"/>
                <w:b/>
                <w:bCs/>
                <w:sz w:val="27"/>
                <w:szCs w:val="27"/>
              </w:rPr>
              <w:lastRenderedPageBreak/>
              <w:t>Key Impacts, Risks,</w:t>
            </w:r>
            <w:r w:rsidR="00CD1857">
              <w:rPr>
                <w:rFonts w:ascii="Arial" w:eastAsia="Times New Roman" w:hAnsi="Arial" w:cs="Arial"/>
                <w:b/>
                <w:bCs/>
                <w:sz w:val="27"/>
                <w:szCs w:val="27"/>
              </w:rPr>
              <w:t xml:space="preserve"> and Mitigation Measures</w:t>
            </w:r>
          </w:p>
        </w:tc>
      </w:tr>
      <w:tr w:rsidR="00712462" w:rsidRPr="007C0236" w14:paraId="4E21BE1B" w14:textId="77777777" w:rsidTr="00712462">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tcPr>
          <w:p w14:paraId="5DC79EBE" w14:textId="77777777" w:rsidR="00712462" w:rsidRPr="006F7063" w:rsidRDefault="00712462" w:rsidP="00F53FD0">
            <w:pPr>
              <w:jc w:val="both"/>
              <w:rPr>
                <w:rFonts w:ascii="Arial" w:eastAsia="Times New Roman" w:hAnsi="Arial" w:cs="Arial"/>
                <w:b/>
                <w:sz w:val="22"/>
                <w:szCs w:val="22"/>
              </w:rPr>
            </w:pPr>
            <w:r w:rsidRPr="00C55655">
              <w:rPr>
                <w:rFonts w:ascii="Arial" w:hAnsi="Arial" w:cs="Arial"/>
                <w:sz w:val="22"/>
                <w:szCs w:val="22"/>
              </w:rPr>
              <w:t>The key potential Environmental, Social and Health and Safety (ESHS) risks and potential impacts associated with the project mainly refer to the retrofitting of the seven hospitals, and could be summarized as follows</w:t>
            </w:r>
            <w:r w:rsidR="001B1AFB">
              <w:rPr>
                <w:rFonts w:ascii="Arial" w:hAnsi="Arial" w:cs="Arial"/>
                <w:sz w:val="22"/>
                <w:szCs w:val="22"/>
              </w:rPr>
              <w:t xml:space="preserve"> (more detail to follow below)</w:t>
            </w:r>
            <w:r w:rsidRPr="00C55655">
              <w:rPr>
                <w:rFonts w:ascii="Arial" w:hAnsi="Arial" w:cs="Arial"/>
                <w:sz w:val="22"/>
                <w:szCs w:val="22"/>
              </w:rPr>
              <w:t>:</w:t>
            </w:r>
            <w:r w:rsidR="001B1AFB">
              <w:rPr>
                <w:rFonts w:ascii="Arial" w:hAnsi="Arial" w:cs="Arial"/>
                <w:sz w:val="22"/>
                <w:szCs w:val="22"/>
              </w:rPr>
              <w:t xml:space="preserve"> c</w:t>
            </w:r>
            <w:r w:rsidRPr="00C55655">
              <w:rPr>
                <w:rFonts w:ascii="Arial" w:hAnsi="Arial" w:cs="Arial"/>
                <w:sz w:val="22"/>
                <w:szCs w:val="22"/>
              </w:rPr>
              <w:t>onstruction activities generat</w:t>
            </w:r>
            <w:r w:rsidR="001B1AFB">
              <w:rPr>
                <w:rFonts w:ascii="Arial" w:hAnsi="Arial" w:cs="Arial"/>
                <w:sz w:val="22"/>
                <w:szCs w:val="22"/>
              </w:rPr>
              <w:t>ing</w:t>
            </w:r>
            <w:r w:rsidRPr="00C55655">
              <w:rPr>
                <w:rFonts w:ascii="Arial" w:hAnsi="Arial" w:cs="Arial"/>
                <w:sz w:val="22"/>
                <w:szCs w:val="22"/>
              </w:rPr>
              <w:t xml:space="preserve"> </w:t>
            </w:r>
            <w:r w:rsidR="001B1AFB" w:rsidRPr="00C55655">
              <w:rPr>
                <w:rFonts w:ascii="Arial" w:hAnsi="Arial" w:cs="Arial"/>
                <w:sz w:val="22"/>
                <w:szCs w:val="22"/>
              </w:rPr>
              <w:t xml:space="preserve">temporary minimal to moderate potential impacts </w:t>
            </w:r>
            <w:r w:rsidRPr="00C55655">
              <w:rPr>
                <w:rFonts w:ascii="Arial" w:hAnsi="Arial" w:cs="Arial"/>
                <w:sz w:val="22"/>
                <w:szCs w:val="22"/>
              </w:rPr>
              <w:t>on current users of the facility and nearby communities</w:t>
            </w:r>
            <w:r w:rsidR="001B1AFB">
              <w:rPr>
                <w:rFonts w:ascii="Arial" w:hAnsi="Arial" w:cs="Arial"/>
                <w:sz w:val="22"/>
                <w:szCs w:val="22"/>
              </w:rPr>
              <w:t xml:space="preserve"> (i.e.</w:t>
            </w:r>
            <w:r w:rsidRPr="00C55655">
              <w:rPr>
                <w:rFonts w:ascii="Arial" w:hAnsi="Arial" w:cs="Arial"/>
                <w:sz w:val="22"/>
                <w:szCs w:val="22"/>
              </w:rPr>
              <w:t xml:space="preserve"> traffic disruption</w:t>
            </w:r>
            <w:r w:rsidR="001B1AFB">
              <w:rPr>
                <w:rFonts w:ascii="Arial" w:hAnsi="Arial" w:cs="Arial"/>
                <w:sz w:val="22"/>
                <w:szCs w:val="22"/>
              </w:rPr>
              <w:t>,</w:t>
            </w:r>
            <w:r w:rsidRPr="00C55655">
              <w:rPr>
                <w:rFonts w:ascii="Arial" w:hAnsi="Arial" w:cs="Arial"/>
                <w:sz w:val="22"/>
                <w:szCs w:val="22"/>
              </w:rPr>
              <w:t xml:space="preserve"> dust</w:t>
            </w:r>
            <w:r w:rsidR="001B1AFB">
              <w:rPr>
                <w:rFonts w:ascii="Arial" w:hAnsi="Arial" w:cs="Arial"/>
                <w:sz w:val="22"/>
                <w:szCs w:val="22"/>
              </w:rPr>
              <w:t>, etc.);</w:t>
            </w:r>
            <w:r w:rsidRPr="00C55655">
              <w:rPr>
                <w:rFonts w:ascii="Arial" w:hAnsi="Arial" w:cs="Arial"/>
                <w:sz w:val="22"/>
                <w:szCs w:val="22"/>
              </w:rPr>
              <w:t xml:space="preserve"> </w:t>
            </w:r>
            <w:r w:rsidR="001B1AFB">
              <w:rPr>
                <w:rFonts w:ascii="Arial" w:hAnsi="Arial" w:cs="Arial"/>
                <w:sz w:val="22"/>
                <w:szCs w:val="22"/>
              </w:rPr>
              <w:t>generation of</w:t>
            </w:r>
            <w:r w:rsidRPr="00C55655">
              <w:rPr>
                <w:rFonts w:ascii="Arial" w:hAnsi="Arial" w:cs="Arial"/>
                <w:sz w:val="22"/>
                <w:szCs w:val="22"/>
              </w:rPr>
              <w:t xml:space="preserve"> solid</w:t>
            </w:r>
            <w:r>
              <w:rPr>
                <w:rFonts w:ascii="Arial" w:hAnsi="Arial" w:cs="Arial"/>
                <w:sz w:val="22"/>
                <w:szCs w:val="22"/>
              </w:rPr>
              <w:t xml:space="preserve"> waste</w:t>
            </w:r>
            <w:r w:rsidRPr="00C55655">
              <w:rPr>
                <w:rFonts w:ascii="Arial" w:hAnsi="Arial" w:cs="Arial"/>
                <w:sz w:val="22"/>
                <w:szCs w:val="22"/>
              </w:rPr>
              <w:t xml:space="preserve"> (scrap wood, concrete, glass, and cardboard, etc.) and hazardous waste (mercury from fluorescent light bulbs and thermostats, hydrofluorocarbons and other refrigerant gases from air conditioning units, used oils, asbestos containing materials, etc.</w:t>
            </w:r>
            <w:r w:rsidR="001B1AFB">
              <w:rPr>
                <w:rFonts w:ascii="Arial" w:hAnsi="Arial" w:cs="Arial"/>
                <w:sz w:val="22"/>
                <w:szCs w:val="22"/>
              </w:rPr>
              <w:t xml:space="preserve">, with Jamaica having </w:t>
            </w:r>
            <w:r w:rsidRPr="00C55655">
              <w:rPr>
                <w:rFonts w:ascii="Arial" w:hAnsi="Arial" w:cs="Arial"/>
                <w:sz w:val="22"/>
                <w:szCs w:val="22"/>
              </w:rPr>
              <w:t xml:space="preserve">up to date no hazardous waste </w:t>
            </w:r>
            <w:r>
              <w:rPr>
                <w:rFonts w:ascii="Arial" w:hAnsi="Arial" w:cs="Arial"/>
                <w:sz w:val="22"/>
                <w:szCs w:val="22"/>
              </w:rPr>
              <w:t>disposal</w:t>
            </w:r>
            <w:r w:rsidRPr="00C55655">
              <w:rPr>
                <w:rFonts w:ascii="Arial" w:hAnsi="Arial" w:cs="Arial"/>
                <w:sz w:val="22"/>
                <w:szCs w:val="22"/>
              </w:rPr>
              <w:t xml:space="preserve"> facilities</w:t>
            </w:r>
            <w:r w:rsidR="001B1AFB">
              <w:rPr>
                <w:rFonts w:ascii="Arial" w:hAnsi="Arial" w:cs="Arial"/>
                <w:sz w:val="22"/>
                <w:szCs w:val="22"/>
              </w:rPr>
              <w:t xml:space="preserve">); operational impacts (i.e. </w:t>
            </w:r>
            <w:r w:rsidRPr="00C55655">
              <w:rPr>
                <w:rFonts w:ascii="Arial" w:hAnsi="Arial" w:cs="Arial"/>
                <w:sz w:val="22"/>
                <w:szCs w:val="22"/>
              </w:rPr>
              <w:t xml:space="preserve">solid and hazardous waste and wastewater generation, traffic and affectation of nearby communities, </w:t>
            </w:r>
            <w:r w:rsidR="001B1AFB">
              <w:rPr>
                <w:rFonts w:ascii="Arial" w:hAnsi="Arial" w:cs="Arial"/>
                <w:sz w:val="22"/>
                <w:szCs w:val="22"/>
              </w:rPr>
              <w:t>etc.); exposure</w:t>
            </w:r>
            <w:r w:rsidRPr="00C55655">
              <w:rPr>
                <w:rFonts w:ascii="Arial" w:hAnsi="Arial" w:cs="Arial"/>
                <w:sz w:val="22"/>
                <w:szCs w:val="22"/>
              </w:rPr>
              <w:t xml:space="preserve"> to natural hazards (flooding, storm surge, hurricanes, seismicity, landslides)</w:t>
            </w:r>
            <w:r w:rsidR="001B1AFB">
              <w:rPr>
                <w:rFonts w:ascii="Arial" w:hAnsi="Arial" w:cs="Arial"/>
                <w:sz w:val="22"/>
                <w:szCs w:val="22"/>
              </w:rPr>
              <w:t xml:space="preserve">; </w:t>
            </w:r>
            <w:r>
              <w:rPr>
                <w:rFonts w:ascii="Arial" w:hAnsi="Arial" w:cs="Arial"/>
                <w:sz w:val="22"/>
                <w:szCs w:val="22"/>
              </w:rPr>
              <w:t>executing agency</w:t>
            </w:r>
            <w:r w:rsidRPr="00A02885">
              <w:rPr>
                <w:rFonts w:ascii="Arial" w:hAnsi="Arial" w:cs="Arial"/>
                <w:sz w:val="22"/>
                <w:szCs w:val="22"/>
              </w:rPr>
              <w:t xml:space="preserve"> might not have in-house capacity to ensure the proper management of all ESHS aspects associated with the project.</w:t>
            </w:r>
            <w:r w:rsidR="001B1AFB">
              <w:rPr>
                <w:rFonts w:ascii="Arial" w:hAnsi="Arial" w:cs="Arial"/>
                <w:sz w:val="22"/>
                <w:szCs w:val="22"/>
              </w:rPr>
              <w:t xml:space="preserve"> </w:t>
            </w:r>
            <w:r>
              <w:rPr>
                <w:rFonts w:ascii="Arial" w:hAnsi="Arial" w:cs="Arial"/>
                <w:sz w:val="22"/>
                <w:szCs w:val="22"/>
              </w:rPr>
              <w:t>The Environmental Assessment investigated these potential risks and impacts and determined that the most sensitive risk is that of hazardous materials</w:t>
            </w:r>
            <w:r w:rsidR="001B1AFB">
              <w:rPr>
                <w:rFonts w:ascii="Arial" w:hAnsi="Arial" w:cs="Arial"/>
                <w:sz w:val="22"/>
                <w:szCs w:val="22"/>
              </w:rPr>
              <w:t>, since</w:t>
            </w:r>
            <w:r>
              <w:rPr>
                <w:rFonts w:ascii="Arial" w:hAnsi="Arial" w:cs="Arial"/>
                <w:sz w:val="22"/>
                <w:szCs w:val="22"/>
              </w:rPr>
              <w:t xml:space="preserve"> the island does not have an adequate landfill for the long-term storage of hazardous materials. The project has identified a short-term solution for the temporary storage of these hazardous wastes, but the wastes will eventually need to be exported. Jamaica has experience with the exportation of hazardous wastes. Other potential impacts have been determined to be construction related impacts which will be mitigated by the ESMP.</w:t>
            </w:r>
          </w:p>
        </w:tc>
      </w:tr>
      <w:tr w:rsidR="00712462" w:rsidRPr="007C0236" w14:paraId="56476E2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F86FEE7" w14:textId="77777777" w:rsidR="00712462" w:rsidRPr="006F7063" w:rsidRDefault="00712462" w:rsidP="00712462">
            <w:pPr>
              <w:ind w:right="165"/>
              <w:rPr>
                <w:rFonts w:ascii="Arial" w:eastAsia="Times New Roman" w:hAnsi="Arial" w:cs="Arial"/>
                <w:b/>
                <w:sz w:val="22"/>
                <w:szCs w:val="22"/>
                <w:shd w:val="clear" w:color="auto" w:fill="FFFFFF"/>
              </w:rPr>
            </w:pPr>
            <w:r w:rsidRPr="006F7063">
              <w:rPr>
                <w:rFonts w:ascii="Arial" w:eastAsia="Times New Roman" w:hAnsi="Arial" w:cs="Arial"/>
                <w:b/>
                <w:sz w:val="22"/>
                <w:szCs w:val="22"/>
              </w:rPr>
              <w:t>Assessment Requirements</w:t>
            </w:r>
            <w:r w:rsidRPr="006F7063">
              <w:rPr>
                <w:rStyle w:val="FootnoteReference"/>
                <w:rFonts w:ascii="Arial" w:eastAsia="Times New Roman" w:hAnsi="Arial" w:cs="Arial"/>
                <w:b/>
                <w:sz w:val="22"/>
                <w:szCs w:val="22"/>
              </w:rPr>
              <w:footnoteReference w:id="2"/>
            </w:r>
            <w:r w:rsidRPr="006F7063">
              <w:rPr>
                <w:rFonts w:ascii="Arial" w:eastAsia="Times New Roman" w:hAnsi="Arial" w:cs="Arial"/>
                <w:b/>
                <w:sz w:val="22"/>
                <w:szCs w:val="22"/>
              </w:rPr>
              <w:t xml:space="preserve"> </w:t>
            </w:r>
          </w:p>
          <w:p w14:paraId="78EDCFBD" w14:textId="77777777" w:rsidR="00712462" w:rsidRPr="007C0236" w:rsidRDefault="00712462" w:rsidP="00712462">
            <w:pPr>
              <w:ind w:right="165"/>
              <w:rPr>
                <w:rFonts w:ascii="Arial" w:eastAsia="Times New Roman" w:hAnsi="Arial" w:cs="Arial"/>
                <w:sz w:val="20"/>
                <w:szCs w:val="20"/>
                <w:shd w:val="clear" w:color="auto" w:fill="FFFFFF"/>
              </w:rPr>
            </w:pPr>
            <w:r w:rsidRPr="006F7063">
              <w:rPr>
                <w:rFonts w:ascii="Arial" w:eastAsia="Times New Roman" w:hAnsi="Arial" w:cs="Arial"/>
                <w:sz w:val="22"/>
                <w:szCs w:val="22"/>
              </w:rPr>
              <w:t>OP-703 (Environment and Safeguards Compliance Policy): B.3 (Screening and Classification), B.4 (Other Risk Factors), and B.5 (Environmental Assessment and Plans Requirements)</w:t>
            </w:r>
          </w:p>
        </w:tc>
      </w:tr>
      <w:tr w:rsidR="00712462" w:rsidRPr="007C0236" w14:paraId="267606B0"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D5AE9E7" w14:textId="77777777" w:rsidR="00712462" w:rsidRPr="00B14132" w:rsidRDefault="00712462" w:rsidP="00712462">
            <w:pPr>
              <w:ind w:right="165"/>
              <w:jc w:val="both"/>
              <w:rPr>
                <w:rFonts w:ascii="Arial" w:eastAsia="Times New Roman" w:hAnsi="Arial" w:cs="Arial"/>
                <w:sz w:val="22"/>
                <w:szCs w:val="22"/>
                <w:shd w:val="clear" w:color="auto" w:fill="FFFFFF"/>
              </w:rPr>
            </w:pPr>
            <w:r w:rsidRPr="00A1595D">
              <w:rPr>
                <w:rFonts w:ascii="Arial" w:hAnsi="Arial" w:cs="Arial"/>
                <w:sz w:val="22"/>
                <w:szCs w:val="22"/>
              </w:rPr>
              <w:t>The project has been classified as Category B, as it is anticipated that it is likely to cause mostly local negative environmental and social impacts for which effective mitigation measures will be implemented. Consequently, following B.3 and B.5 Directives of Operation Policy 703 (OP-703), a</w:t>
            </w:r>
            <w:r w:rsidRPr="000019D9">
              <w:rPr>
                <w:rFonts w:ascii="Arial" w:eastAsia="Times New Roman" w:hAnsi="Arial" w:cs="Arial"/>
                <w:sz w:val="22"/>
                <w:szCs w:val="22"/>
                <w:shd w:val="clear" w:color="auto" w:fill="FFFFFF"/>
              </w:rPr>
              <w:t>n operational Environmental and Social Analysis (ESA) was prepared by Acorn International LLC on behalf of the GOJ for the IDB</w:t>
            </w:r>
            <w:r w:rsidR="0015575F" w:rsidRPr="000019D9">
              <w:rPr>
                <w:rFonts w:ascii="Arial" w:eastAsia="Times New Roman" w:hAnsi="Arial" w:cs="Arial"/>
                <w:sz w:val="22"/>
                <w:szCs w:val="22"/>
                <w:shd w:val="clear" w:color="auto" w:fill="FFFFFF"/>
              </w:rPr>
              <w:t xml:space="preserve"> in support of the original loan, JA-L1056</w:t>
            </w:r>
            <w:r w:rsidRPr="00B14132">
              <w:rPr>
                <w:rFonts w:ascii="Arial" w:eastAsia="Times New Roman" w:hAnsi="Arial" w:cs="Arial"/>
                <w:sz w:val="22"/>
                <w:szCs w:val="22"/>
                <w:shd w:val="clear" w:color="auto" w:fill="FFFFFF"/>
              </w:rPr>
              <w:t>. No building permit are required at local level for the proposed works</w:t>
            </w:r>
            <w:r w:rsidRPr="00A1595D">
              <w:rPr>
                <w:rFonts w:ascii="Arial" w:eastAsia="Times New Roman" w:hAnsi="Arial" w:cs="Arial"/>
                <w:sz w:val="22"/>
                <w:szCs w:val="22"/>
                <w:shd w:val="clear" w:color="auto" w:fill="FFFFFF"/>
              </w:rPr>
              <w:t>.</w:t>
            </w:r>
            <w:r w:rsidR="009A734D">
              <w:rPr>
                <w:rFonts w:ascii="Arial" w:eastAsia="Times New Roman" w:hAnsi="Arial" w:cs="Arial"/>
                <w:sz w:val="22"/>
                <w:szCs w:val="22"/>
                <w:shd w:val="clear" w:color="auto" w:fill="FFFFFF"/>
              </w:rPr>
              <w:t xml:space="preserve"> </w:t>
            </w:r>
            <w:r w:rsidRPr="000019D9">
              <w:rPr>
                <w:rFonts w:ascii="Arial" w:eastAsia="Times New Roman" w:hAnsi="Arial" w:cs="Arial"/>
                <w:sz w:val="22"/>
                <w:szCs w:val="22"/>
                <w:shd w:val="clear" w:color="auto" w:fill="FFFFFF"/>
              </w:rPr>
              <w:t>The ESA is focused on identifying and assessing the key ESHS risks and impacts associated with the project. The ESA includes a basic description of the general environmental and social settings of the Island and especially of Kingston area</w:t>
            </w:r>
            <w:r w:rsidRPr="00B14132">
              <w:rPr>
                <w:rFonts w:ascii="Arial" w:eastAsia="Times New Roman" w:hAnsi="Arial" w:cs="Arial"/>
                <w:sz w:val="22"/>
                <w:szCs w:val="22"/>
                <w:shd w:val="clear" w:color="auto" w:fill="FFFFFF"/>
              </w:rPr>
              <w:t xml:space="preserve">. Key impacts and risks are sufficiently identified based on the preliminary project details available to enable a good understanding of their nature and scale. </w:t>
            </w:r>
          </w:p>
          <w:p w14:paraId="73CBFAD0" w14:textId="77777777" w:rsidR="00712462" w:rsidRPr="00B14132" w:rsidRDefault="00712462" w:rsidP="00712462">
            <w:pPr>
              <w:ind w:right="165"/>
              <w:jc w:val="both"/>
              <w:rPr>
                <w:rFonts w:ascii="Arial" w:eastAsia="Times New Roman" w:hAnsi="Arial" w:cs="Arial"/>
                <w:sz w:val="22"/>
                <w:szCs w:val="22"/>
                <w:shd w:val="clear" w:color="auto" w:fill="FFFFFF"/>
              </w:rPr>
            </w:pPr>
          </w:p>
          <w:p w14:paraId="7361EABB" w14:textId="77777777" w:rsidR="00712462" w:rsidRPr="00B14132" w:rsidRDefault="00712462" w:rsidP="00712462">
            <w:pPr>
              <w:ind w:right="165"/>
              <w:jc w:val="both"/>
              <w:rPr>
                <w:rFonts w:ascii="Arial" w:eastAsia="Times New Roman" w:hAnsi="Arial" w:cs="Arial"/>
                <w:sz w:val="22"/>
                <w:szCs w:val="22"/>
                <w:shd w:val="clear" w:color="auto" w:fill="FFFFFF"/>
              </w:rPr>
            </w:pPr>
            <w:r w:rsidRPr="00B14132">
              <w:rPr>
                <w:rFonts w:ascii="Arial" w:eastAsia="Times New Roman" w:hAnsi="Arial" w:cs="Arial"/>
                <w:sz w:val="22"/>
                <w:szCs w:val="22"/>
                <w:shd w:val="clear" w:color="auto" w:fill="FFFFFF"/>
              </w:rPr>
              <w:t>An Environmental and Social Managemen</w:t>
            </w:r>
            <w:r w:rsidRPr="00A1595D">
              <w:rPr>
                <w:rFonts w:ascii="Arial" w:eastAsia="Times New Roman" w:hAnsi="Arial" w:cs="Arial"/>
                <w:sz w:val="22"/>
                <w:szCs w:val="22"/>
                <w:shd w:val="clear" w:color="auto" w:fill="FFFFFF"/>
              </w:rPr>
              <w:t>t System and Plan (ESMS-ESMP) are set out</w:t>
            </w:r>
            <w:r w:rsidR="0015575F" w:rsidRPr="00A1595D">
              <w:rPr>
                <w:rFonts w:ascii="Arial" w:eastAsia="Times New Roman" w:hAnsi="Arial" w:cs="Arial"/>
                <w:sz w:val="22"/>
                <w:szCs w:val="22"/>
                <w:shd w:val="clear" w:color="auto" w:fill="FFFFFF"/>
              </w:rPr>
              <w:t xml:space="preserve"> in the ESA</w:t>
            </w:r>
            <w:r w:rsidRPr="00A1595D">
              <w:rPr>
                <w:rFonts w:ascii="Arial" w:eastAsia="Times New Roman" w:hAnsi="Arial" w:cs="Arial"/>
                <w:sz w:val="22"/>
                <w:szCs w:val="22"/>
                <w:shd w:val="clear" w:color="auto" w:fill="FFFFFF"/>
              </w:rPr>
              <w:t>, identifying the necessary plans that will be required (the plans themselves will be prepared by either the Borrower or the contractor before construction). The ESA includes a draft Waste Management Plan that includes all provisions to be followed to properly handle non-hazardous and hazardous waste. The plan must include all operational details (</w:t>
            </w:r>
            <w:r w:rsidRPr="000019D9">
              <w:rPr>
                <w:rFonts w:ascii="Arial" w:eastAsia="Times New Roman" w:hAnsi="Arial" w:cs="Arial"/>
                <w:sz w:val="22"/>
                <w:szCs w:val="22"/>
                <w:shd w:val="clear" w:color="auto" w:fill="FFFFFF"/>
              </w:rPr>
              <w:t xml:space="preserve">trainings, responsibilities, resources, auditing, instructions, etc.) </w:t>
            </w:r>
            <w:r w:rsidRPr="00B14132">
              <w:rPr>
                <w:rFonts w:ascii="Arial" w:eastAsia="Times New Roman" w:hAnsi="Arial" w:cs="Arial"/>
                <w:sz w:val="22"/>
                <w:szCs w:val="22"/>
                <w:shd w:val="clear" w:color="auto" w:fill="FFFFFF"/>
              </w:rPr>
              <w:t xml:space="preserve">prior construction start. In addition, specific provision on selection, auditing, and methods of treatment, of the international facility that will be utilized to treat and dispose the hazardous waste will be included in the plan. </w:t>
            </w:r>
          </w:p>
          <w:p w14:paraId="05804F7C" w14:textId="238AD924" w:rsidR="00712462" w:rsidRPr="00B14132" w:rsidRDefault="00712462" w:rsidP="00712462">
            <w:pPr>
              <w:ind w:right="165"/>
              <w:jc w:val="both"/>
              <w:rPr>
                <w:rFonts w:ascii="Arial" w:eastAsia="Times New Roman" w:hAnsi="Arial" w:cs="Arial"/>
                <w:sz w:val="22"/>
                <w:szCs w:val="22"/>
                <w:shd w:val="clear" w:color="auto" w:fill="FFFFFF"/>
              </w:rPr>
            </w:pPr>
            <w:r w:rsidRPr="00B14132">
              <w:rPr>
                <w:rFonts w:ascii="Arial" w:eastAsia="Times New Roman" w:hAnsi="Arial" w:cs="Arial"/>
                <w:sz w:val="22"/>
                <w:szCs w:val="22"/>
                <w:shd w:val="clear" w:color="auto" w:fill="FFFFFF"/>
              </w:rPr>
              <w:lastRenderedPageBreak/>
              <w:t>Through this</w:t>
            </w:r>
            <w:r w:rsidR="001717CD">
              <w:rPr>
                <w:rFonts w:ascii="Arial" w:eastAsia="Times New Roman" w:hAnsi="Arial" w:cs="Arial"/>
                <w:sz w:val="22"/>
                <w:szCs w:val="22"/>
                <w:shd w:val="clear" w:color="auto" w:fill="FFFFFF"/>
              </w:rPr>
              <w:t xml:space="preserve"> IGR </w:t>
            </w:r>
            <w:r w:rsidRPr="00B14132">
              <w:rPr>
                <w:rFonts w:ascii="Arial" w:eastAsia="Times New Roman" w:hAnsi="Arial" w:cs="Arial"/>
                <w:sz w:val="22"/>
                <w:szCs w:val="22"/>
                <w:shd w:val="clear" w:color="auto" w:fill="FFFFFF"/>
              </w:rPr>
              <w:t xml:space="preserve">, IDB will help the </w:t>
            </w:r>
            <w:r w:rsidR="001717CD">
              <w:rPr>
                <w:rFonts w:ascii="Arial" w:eastAsia="Times New Roman" w:hAnsi="Arial" w:cs="Arial"/>
                <w:sz w:val="22"/>
                <w:szCs w:val="22"/>
                <w:shd w:val="clear" w:color="auto" w:fill="FFFFFF"/>
              </w:rPr>
              <w:t xml:space="preserve">Beneficiary </w:t>
            </w:r>
            <w:r w:rsidRPr="00B14132">
              <w:rPr>
                <w:rFonts w:ascii="Arial" w:eastAsia="Times New Roman" w:hAnsi="Arial" w:cs="Arial"/>
                <w:sz w:val="22"/>
                <w:szCs w:val="22"/>
                <w:shd w:val="clear" w:color="auto" w:fill="FFFFFF"/>
              </w:rPr>
              <w:t xml:space="preserve">reducing its GHG emissions. The </w:t>
            </w:r>
            <w:r w:rsidR="001717CD">
              <w:rPr>
                <w:rFonts w:ascii="Arial" w:eastAsia="Times New Roman" w:hAnsi="Arial" w:cs="Arial"/>
                <w:sz w:val="22"/>
                <w:szCs w:val="22"/>
                <w:shd w:val="clear" w:color="auto" w:fill="FFFFFF"/>
              </w:rPr>
              <w:t xml:space="preserve">Beneficiary </w:t>
            </w:r>
            <w:r w:rsidRPr="00B14132">
              <w:rPr>
                <w:rFonts w:ascii="Arial" w:eastAsia="Times New Roman" w:hAnsi="Arial" w:cs="Arial"/>
                <w:sz w:val="22"/>
                <w:szCs w:val="22"/>
                <w:shd w:val="clear" w:color="auto" w:fill="FFFFFF"/>
              </w:rPr>
              <w:t xml:space="preserve">will </w:t>
            </w:r>
            <w:r w:rsidR="00107A79">
              <w:rPr>
                <w:rFonts w:ascii="Arial" w:eastAsia="Times New Roman" w:hAnsi="Arial" w:cs="Arial"/>
                <w:sz w:val="22"/>
                <w:szCs w:val="22"/>
                <w:shd w:val="clear" w:color="auto" w:fill="FFFFFF"/>
              </w:rPr>
              <w:t>include in the annual monitoring report to the IDB an</w:t>
            </w:r>
            <w:r w:rsidRPr="00B14132">
              <w:rPr>
                <w:rFonts w:ascii="Arial" w:eastAsia="Times New Roman" w:hAnsi="Arial" w:cs="Arial"/>
                <w:sz w:val="22"/>
                <w:szCs w:val="22"/>
                <w:shd w:val="clear" w:color="auto" w:fill="FFFFFF"/>
              </w:rPr>
              <w:t xml:space="preserve"> </w:t>
            </w:r>
            <w:r w:rsidR="00107A79">
              <w:rPr>
                <w:rFonts w:ascii="Arial" w:eastAsia="Times New Roman" w:hAnsi="Arial" w:cs="Arial"/>
                <w:sz w:val="22"/>
                <w:szCs w:val="22"/>
                <w:shd w:val="clear" w:color="auto" w:fill="FFFFFF"/>
              </w:rPr>
              <w:t>assessment on</w:t>
            </w:r>
            <w:r w:rsidRPr="00B14132">
              <w:rPr>
                <w:rFonts w:ascii="Arial" w:eastAsia="Times New Roman" w:hAnsi="Arial" w:cs="Arial"/>
                <w:sz w:val="22"/>
                <w:szCs w:val="22"/>
                <w:shd w:val="clear" w:color="auto" w:fill="FFFFFF"/>
              </w:rPr>
              <w:t xml:space="preserve"> energy consumption at all locations, and GHG emissions.</w:t>
            </w:r>
          </w:p>
        </w:tc>
      </w:tr>
      <w:tr w:rsidR="00712462" w:rsidRPr="007C0236" w14:paraId="45D8836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8EB6216"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lastRenderedPageBreak/>
              <w:t>Consultation</w:t>
            </w:r>
            <w:r w:rsidRPr="00A12925">
              <w:rPr>
                <w:rFonts w:ascii="Arial" w:eastAsia="Times New Roman" w:hAnsi="Arial" w:cs="Arial"/>
                <w:b/>
                <w:sz w:val="22"/>
                <w:szCs w:val="22"/>
                <w:shd w:val="clear" w:color="auto" w:fill="FFFFFF"/>
              </w:rPr>
              <w:t xml:space="preserve"> </w:t>
            </w:r>
          </w:p>
          <w:p w14:paraId="191E98CC"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OP-703 (Environment and Safeguards Compliance Policy): B.6 (Consultation); and Consultation requirements of OP-</w:t>
            </w:r>
            <w:r w:rsidRPr="00A12925">
              <w:rPr>
                <w:rFonts w:ascii="Arial" w:eastAsia="Times New Roman" w:hAnsi="Arial" w:cs="Arial"/>
                <w:sz w:val="22"/>
                <w:szCs w:val="22"/>
                <w:shd w:val="clear" w:color="auto" w:fill="DBE5F1" w:themeFill="accent1" w:themeFillTint="33"/>
              </w:rPr>
              <w:t>710 (Involuntary</w:t>
            </w:r>
            <w:r w:rsidRPr="00A12925">
              <w:rPr>
                <w:rFonts w:ascii="Arial" w:eastAsia="Times New Roman" w:hAnsi="Arial" w:cs="Arial"/>
                <w:sz w:val="22"/>
                <w:szCs w:val="22"/>
              </w:rPr>
              <w:t xml:space="preserve"> Resettlement Policy), OP-765 (Indigenous Peoples Policy), OP-761 (Gender Equality in Developmen</w:t>
            </w:r>
            <w:r w:rsidRPr="00A12925">
              <w:rPr>
                <w:rFonts w:ascii="Arial" w:eastAsia="Times New Roman" w:hAnsi="Arial" w:cs="Arial"/>
                <w:sz w:val="22"/>
                <w:szCs w:val="22"/>
                <w:shd w:val="clear" w:color="auto" w:fill="DBE5F1" w:themeFill="accent1" w:themeFillTint="33"/>
              </w:rPr>
              <w:t>t</w:t>
            </w:r>
            <w:r w:rsidRPr="00A12925">
              <w:rPr>
                <w:rFonts w:ascii="Arial" w:eastAsia="Times New Roman" w:hAnsi="Arial" w:cs="Arial"/>
                <w:sz w:val="22"/>
                <w:szCs w:val="22"/>
              </w:rPr>
              <w:t xml:space="preserve"> Policy), and OP-704 (Disaster Risk Management Policy) as applicable</w:t>
            </w:r>
          </w:p>
        </w:tc>
      </w:tr>
      <w:tr w:rsidR="00712462" w:rsidRPr="007C0236" w14:paraId="3BE5291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E36EB14"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shd w:val="clear" w:color="auto" w:fill="FFFFFF"/>
              </w:rPr>
              <w:t>According to the ESA and the consultation report, consultation with representative of local authorities and institutions occurred between July 20</w:t>
            </w:r>
            <w:r w:rsidRPr="00A12925">
              <w:rPr>
                <w:rFonts w:ascii="Arial" w:eastAsia="Times New Roman" w:hAnsi="Arial" w:cs="Arial"/>
                <w:sz w:val="22"/>
                <w:szCs w:val="22"/>
                <w:shd w:val="clear" w:color="auto" w:fill="FFFFFF"/>
                <w:vertAlign w:val="superscript"/>
              </w:rPr>
              <w:t>th</w:t>
            </w:r>
            <w:r w:rsidRPr="00A12925">
              <w:rPr>
                <w:rFonts w:ascii="Arial" w:eastAsia="Times New Roman" w:hAnsi="Arial" w:cs="Arial"/>
                <w:sz w:val="22"/>
                <w:szCs w:val="22"/>
                <w:shd w:val="clear" w:color="auto" w:fill="FFFFFF"/>
              </w:rPr>
              <w:t xml:space="preserve"> and July 29</w:t>
            </w:r>
            <w:r w:rsidRPr="00A12925">
              <w:rPr>
                <w:rFonts w:ascii="Arial" w:eastAsia="Times New Roman" w:hAnsi="Arial" w:cs="Arial"/>
                <w:sz w:val="22"/>
                <w:szCs w:val="22"/>
                <w:shd w:val="clear" w:color="auto" w:fill="FFFFFF"/>
                <w:vertAlign w:val="superscript"/>
              </w:rPr>
              <w:t>th</w:t>
            </w:r>
            <w:r w:rsidRPr="00A12925">
              <w:rPr>
                <w:rFonts w:ascii="Arial" w:eastAsia="Times New Roman" w:hAnsi="Arial" w:cs="Arial"/>
                <w:sz w:val="22"/>
                <w:szCs w:val="22"/>
                <w:shd w:val="clear" w:color="auto" w:fill="FFFFFF"/>
              </w:rPr>
              <w:t xml:space="preserve"> 2016. </w:t>
            </w:r>
            <w:r w:rsidRPr="00A12925">
              <w:rPr>
                <w:rFonts w:ascii="Arial" w:hAnsi="Arial" w:cs="Arial"/>
                <w:sz w:val="22"/>
                <w:szCs w:val="22"/>
              </w:rPr>
              <w:t>Further, a public meeting</w:t>
            </w:r>
            <w:r w:rsidR="00144942">
              <w:rPr>
                <w:rFonts w:ascii="Arial" w:hAnsi="Arial" w:cs="Arial"/>
                <w:sz w:val="22"/>
                <w:szCs w:val="22"/>
              </w:rPr>
              <w:t xml:space="preserve"> </w:t>
            </w:r>
            <w:r w:rsidRPr="00A12925">
              <w:rPr>
                <w:rFonts w:ascii="Arial" w:hAnsi="Arial" w:cs="Arial"/>
                <w:sz w:val="22"/>
                <w:szCs w:val="22"/>
              </w:rPr>
              <w:t>has been held on September 22</w:t>
            </w:r>
            <w:r w:rsidRPr="00A12925">
              <w:rPr>
                <w:rFonts w:ascii="Arial" w:hAnsi="Arial" w:cs="Arial"/>
                <w:sz w:val="22"/>
                <w:szCs w:val="22"/>
                <w:vertAlign w:val="superscript"/>
              </w:rPr>
              <w:t>nd</w:t>
            </w:r>
            <w:r w:rsidRPr="00A12925">
              <w:rPr>
                <w:rFonts w:ascii="Arial" w:hAnsi="Arial" w:cs="Arial"/>
                <w:sz w:val="22"/>
                <w:szCs w:val="22"/>
              </w:rPr>
              <w:t xml:space="preserve"> 2016 to identify and integrate stakeholder concerns into the ESA and </w:t>
            </w:r>
            <w:r>
              <w:rPr>
                <w:rFonts w:ascii="Arial" w:hAnsi="Arial" w:cs="Arial"/>
                <w:sz w:val="22"/>
                <w:szCs w:val="22"/>
              </w:rPr>
              <w:t>ESMP</w:t>
            </w:r>
            <w:r w:rsidRPr="00A12925">
              <w:rPr>
                <w:rFonts w:ascii="Arial" w:hAnsi="Arial" w:cs="Arial"/>
                <w:sz w:val="22"/>
                <w:szCs w:val="22"/>
              </w:rPr>
              <w:t xml:space="preserve"> </w:t>
            </w:r>
            <w:r w:rsidRPr="00A1595D">
              <w:rPr>
                <w:rFonts w:ascii="Arial" w:hAnsi="Arial" w:cs="Arial"/>
                <w:sz w:val="22"/>
                <w:szCs w:val="22"/>
              </w:rPr>
              <w:t xml:space="preserve">(in addition a grievance mechanism will be implemented to ensure continued engagement and ensure stakeholders have a process to submit feedback and obtain a response from the government). </w:t>
            </w:r>
            <w:r w:rsidRPr="00A1595D">
              <w:rPr>
                <w:rFonts w:ascii="Arial" w:eastAsia="Times New Roman" w:hAnsi="Arial" w:cs="Arial"/>
                <w:sz w:val="22"/>
                <w:szCs w:val="22"/>
                <w:shd w:val="clear" w:color="auto" w:fill="FFFFFF"/>
              </w:rPr>
              <w:t>A short</w:t>
            </w:r>
            <w:r w:rsidRPr="00A12925">
              <w:rPr>
                <w:rFonts w:ascii="Arial" w:eastAsia="Times New Roman" w:hAnsi="Arial" w:cs="Arial"/>
                <w:sz w:val="22"/>
                <w:szCs w:val="22"/>
                <w:shd w:val="clear" w:color="auto" w:fill="FFFFFF"/>
              </w:rPr>
              <w:t xml:space="preserve"> summary of the program, its approach, objective and its preliminary environmental and social risks and impacts, along with the measures to mitigate these, was distributed at the meeting to participants. The ESA and consultation report include sign in sheets as well as minutes of the comments/response. Most of questions and comments relate to hazardous waste management.</w:t>
            </w:r>
            <w:r w:rsidR="0015575F">
              <w:rPr>
                <w:rFonts w:ascii="Arial" w:eastAsia="Times New Roman" w:hAnsi="Arial" w:cs="Arial"/>
                <w:sz w:val="22"/>
                <w:szCs w:val="22"/>
                <w:shd w:val="clear" w:color="auto" w:fill="FFFFFF"/>
              </w:rPr>
              <w:t xml:space="preserve"> Comments were properly assessed (i.e. description of type of waste produced, how it will be handled, etc.) by PCJ and responses included in the summary report. </w:t>
            </w:r>
            <w:r w:rsidRPr="00A12925">
              <w:rPr>
                <w:rFonts w:ascii="Arial" w:eastAsia="Times New Roman" w:hAnsi="Arial" w:cs="Arial"/>
                <w:sz w:val="22"/>
                <w:szCs w:val="22"/>
                <w:shd w:val="clear" w:color="auto" w:fill="FFFFFF"/>
              </w:rPr>
              <w:t xml:space="preserve"> </w:t>
            </w:r>
          </w:p>
        </w:tc>
      </w:tr>
      <w:tr w:rsidR="00712462" w:rsidRPr="001C38FF" w14:paraId="2B41B7F1"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61674F58"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t>Information Disclosure</w:t>
            </w:r>
            <w:r w:rsidRPr="00A12925">
              <w:rPr>
                <w:rFonts w:ascii="Arial" w:eastAsia="Times New Roman" w:hAnsi="Arial" w:cs="Arial"/>
                <w:b/>
                <w:sz w:val="22"/>
                <w:szCs w:val="22"/>
                <w:shd w:val="clear" w:color="auto" w:fill="FFFFFF"/>
              </w:rPr>
              <w:t xml:space="preserve"> </w:t>
            </w:r>
          </w:p>
          <w:p w14:paraId="535BCEF1"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OP-703 (Environment and Safeguards Compliance Policy): B.5 (Environmental Assessment and Plan Requirements);</w:t>
            </w:r>
          </w:p>
          <w:p w14:paraId="041EC394"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OP-102 (Access to Information Policy)</w:t>
            </w:r>
          </w:p>
        </w:tc>
      </w:tr>
      <w:tr w:rsidR="00712462" w:rsidRPr="001C38FF" w14:paraId="449C53F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33A74B7" w14:textId="42CCEBF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shd w:val="clear" w:color="auto" w:fill="FFFFFF"/>
              </w:rPr>
              <w:t xml:space="preserve">The ESA (containing ESMS-ESMP and a draft Waste Management Plan) was disclosed on IDB website </w:t>
            </w:r>
            <w:r w:rsidRPr="008577A4">
              <w:rPr>
                <w:rFonts w:ascii="Arial" w:eastAsia="Times New Roman" w:hAnsi="Arial" w:cs="Arial"/>
                <w:sz w:val="22"/>
                <w:szCs w:val="22"/>
                <w:shd w:val="clear" w:color="auto" w:fill="FFFFFF"/>
              </w:rPr>
              <w:t>on August 23</w:t>
            </w:r>
            <w:r w:rsidRPr="008577A4">
              <w:rPr>
                <w:rFonts w:ascii="Arial" w:eastAsia="Times New Roman" w:hAnsi="Arial" w:cs="Arial"/>
                <w:sz w:val="22"/>
                <w:szCs w:val="22"/>
                <w:shd w:val="clear" w:color="auto" w:fill="FFFFFF"/>
                <w:vertAlign w:val="superscript"/>
              </w:rPr>
              <w:t>rd</w:t>
            </w:r>
            <w:r w:rsidRPr="008577A4">
              <w:rPr>
                <w:rFonts w:ascii="Arial" w:eastAsia="Times New Roman" w:hAnsi="Arial" w:cs="Arial"/>
                <w:sz w:val="22"/>
                <w:szCs w:val="22"/>
                <w:shd w:val="clear" w:color="auto" w:fill="FFFFFF"/>
              </w:rPr>
              <w:t xml:space="preserve"> 201</w:t>
            </w:r>
            <w:r w:rsidR="008577A4">
              <w:rPr>
                <w:rFonts w:ascii="Arial" w:eastAsia="Times New Roman" w:hAnsi="Arial" w:cs="Arial"/>
                <w:sz w:val="22"/>
                <w:szCs w:val="22"/>
                <w:shd w:val="clear" w:color="auto" w:fill="FFFFFF"/>
              </w:rPr>
              <w:t>6</w:t>
            </w:r>
            <w:r w:rsidRPr="008577A4">
              <w:rPr>
                <w:rFonts w:ascii="Arial" w:eastAsia="Times New Roman" w:hAnsi="Arial" w:cs="Arial"/>
                <w:sz w:val="22"/>
                <w:szCs w:val="22"/>
                <w:shd w:val="clear" w:color="auto" w:fill="FFFFFF"/>
              </w:rPr>
              <w:t xml:space="preserve"> in</w:t>
            </w:r>
            <w:r w:rsidRPr="00A12925">
              <w:rPr>
                <w:rFonts w:ascii="Arial" w:eastAsia="Times New Roman" w:hAnsi="Arial" w:cs="Arial"/>
                <w:sz w:val="22"/>
                <w:szCs w:val="22"/>
                <w:shd w:val="clear" w:color="auto" w:fill="FFFFFF"/>
              </w:rPr>
              <w:t xml:space="preserve"> relation to the associated operation JA-L1056</w:t>
            </w:r>
            <w:r w:rsidR="00F74FFA">
              <w:rPr>
                <w:rFonts w:ascii="Arial" w:eastAsia="Times New Roman" w:hAnsi="Arial" w:cs="Arial"/>
                <w:sz w:val="22"/>
                <w:szCs w:val="22"/>
                <w:shd w:val="clear" w:color="auto" w:fill="FFFFFF"/>
              </w:rPr>
              <w:t>.</w:t>
            </w:r>
            <w:r w:rsidR="00F74FFA" w:rsidRPr="00F74FFA">
              <w:rPr>
                <w:rFonts w:ascii="Arial" w:eastAsia="Times New Roman" w:hAnsi="Arial" w:cs="Arial"/>
                <w:sz w:val="22"/>
                <w:szCs w:val="22"/>
                <w:shd w:val="clear" w:color="auto" w:fill="FFFFFF"/>
              </w:rPr>
              <w:t xml:space="preserve"> It was also disclosed on the PC</w:t>
            </w:r>
            <w:r w:rsidR="00562414">
              <w:rPr>
                <w:rFonts w:ascii="Arial" w:eastAsia="Times New Roman" w:hAnsi="Arial" w:cs="Arial"/>
                <w:sz w:val="22"/>
                <w:szCs w:val="22"/>
                <w:shd w:val="clear" w:color="auto" w:fill="FFFFFF"/>
              </w:rPr>
              <w:t>J</w:t>
            </w:r>
            <w:r w:rsidR="00F74FFA" w:rsidRPr="00F74FFA">
              <w:rPr>
                <w:rFonts w:ascii="Arial" w:eastAsia="Times New Roman" w:hAnsi="Arial" w:cs="Arial"/>
                <w:sz w:val="22"/>
                <w:szCs w:val="22"/>
                <w:shd w:val="clear" w:color="auto" w:fill="FFFFFF"/>
              </w:rPr>
              <w:t xml:space="preserve"> website</w:t>
            </w:r>
            <w:r w:rsidRPr="00A12925">
              <w:rPr>
                <w:rFonts w:ascii="Arial" w:eastAsia="Times New Roman" w:hAnsi="Arial" w:cs="Arial"/>
                <w:sz w:val="22"/>
                <w:szCs w:val="22"/>
                <w:shd w:val="clear" w:color="auto" w:fill="FFFFFF"/>
              </w:rPr>
              <w:t xml:space="preserve">. </w:t>
            </w:r>
            <w:r w:rsidR="00F74FFA" w:rsidRPr="00F74FFA">
              <w:rPr>
                <w:rFonts w:ascii="Arial" w:eastAsia="Times New Roman" w:hAnsi="Arial" w:cs="Arial"/>
                <w:sz w:val="22"/>
                <w:szCs w:val="22"/>
                <w:shd w:val="clear" w:color="auto" w:fill="FFFFFF"/>
              </w:rPr>
              <w:t xml:space="preserve">The EA will be re-posted on the Bank’s website prior to QRR. No Analysis Mission will be conducted in connection to this </w:t>
            </w:r>
            <w:r w:rsidR="001717CD">
              <w:rPr>
                <w:rFonts w:ascii="Arial" w:eastAsia="Times New Roman" w:hAnsi="Arial" w:cs="Arial"/>
                <w:sz w:val="22"/>
                <w:szCs w:val="22"/>
                <w:shd w:val="clear" w:color="auto" w:fill="FFFFFF"/>
              </w:rPr>
              <w:t xml:space="preserve">IGR </w:t>
            </w:r>
            <w:r w:rsidR="00F74FFA" w:rsidRPr="00F74FFA">
              <w:rPr>
                <w:rFonts w:ascii="Arial" w:eastAsia="Times New Roman" w:hAnsi="Arial" w:cs="Arial"/>
                <w:sz w:val="22"/>
                <w:szCs w:val="22"/>
                <w:shd w:val="clear" w:color="auto" w:fill="FFFFFF"/>
              </w:rPr>
              <w:t xml:space="preserve">as due diligence was already conducted for the original </w:t>
            </w:r>
            <w:r w:rsidR="001717CD">
              <w:rPr>
                <w:rFonts w:ascii="Arial" w:eastAsia="Times New Roman" w:hAnsi="Arial" w:cs="Arial"/>
                <w:sz w:val="22"/>
                <w:szCs w:val="22"/>
                <w:shd w:val="clear" w:color="auto" w:fill="FFFFFF"/>
              </w:rPr>
              <w:t xml:space="preserve">loan operation </w:t>
            </w:r>
            <w:r w:rsidR="00F74FFA" w:rsidRPr="00F74FFA">
              <w:rPr>
                <w:rFonts w:ascii="Arial" w:eastAsia="Times New Roman" w:hAnsi="Arial" w:cs="Arial"/>
                <w:sz w:val="22"/>
                <w:szCs w:val="22"/>
                <w:shd w:val="clear" w:color="auto" w:fill="FFFFFF"/>
              </w:rPr>
              <w:t>JA-L1056.</w:t>
            </w:r>
          </w:p>
        </w:tc>
      </w:tr>
      <w:tr w:rsidR="00712462" w:rsidRPr="001C38FF" w14:paraId="2DCA4137"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C4F0400"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t>Environmental and Social Impacts and Risks</w:t>
            </w:r>
            <w:r w:rsidRPr="00A12925">
              <w:rPr>
                <w:rFonts w:ascii="Arial" w:eastAsia="Times New Roman" w:hAnsi="Arial" w:cs="Arial"/>
                <w:b/>
                <w:sz w:val="22"/>
                <w:szCs w:val="22"/>
                <w:shd w:val="clear" w:color="auto" w:fill="FFFFFF"/>
              </w:rPr>
              <w:t xml:space="preserve"> </w:t>
            </w:r>
          </w:p>
          <w:p w14:paraId="3E594DD7" w14:textId="77777777" w:rsidR="00712462" w:rsidRPr="00A12925" w:rsidRDefault="00712462" w:rsidP="00712462">
            <w:pPr>
              <w:ind w:right="165"/>
              <w:jc w:val="both"/>
              <w:rPr>
                <w:rFonts w:ascii="Arial" w:eastAsia="Times New Roman" w:hAnsi="Arial" w:cs="Arial"/>
                <w:sz w:val="22"/>
                <w:szCs w:val="22"/>
              </w:rPr>
            </w:pPr>
            <w:r w:rsidRPr="00A12925">
              <w:rPr>
                <w:rFonts w:ascii="Arial" w:eastAsia="Times New Roman" w:hAnsi="Arial" w:cs="Arial"/>
                <w:sz w:val="22"/>
                <w:szCs w:val="22"/>
              </w:rPr>
              <w:t>OP-703 (Environment and Safeguards Compliance Policy): B5 (Environmental Assessment Requirements), B8 (Transboundary Impacts), B9 (Natural Habitats and Cultural Sites), B10 (Hazardous Materials), B11 (Pollution Prevention and Abatement), and B12 (Projects Under Construction)</w:t>
            </w:r>
          </w:p>
          <w:p w14:paraId="030C02C8" w14:textId="77777777" w:rsidR="00712462" w:rsidRPr="00A12925" w:rsidRDefault="00712462" w:rsidP="00712462">
            <w:pPr>
              <w:ind w:right="165"/>
              <w:jc w:val="both"/>
              <w:rPr>
                <w:rFonts w:ascii="Arial" w:eastAsia="Times New Roman" w:hAnsi="Arial" w:cs="Arial"/>
                <w:sz w:val="22"/>
                <w:szCs w:val="22"/>
              </w:rPr>
            </w:pPr>
            <w:r w:rsidRPr="00A12925">
              <w:rPr>
                <w:rFonts w:ascii="Arial" w:eastAsia="Times New Roman" w:hAnsi="Arial" w:cs="Arial"/>
                <w:sz w:val="22"/>
                <w:szCs w:val="22"/>
              </w:rPr>
              <w:t>OP-710 (Involuntary Resettlement Policy)</w:t>
            </w:r>
          </w:p>
          <w:p w14:paraId="7ED365AE" w14:textId="77777777" w:rsidR="00712462" w:rsidRPr="00A12925" w:rsidRDefault="00712462" w:rsidP="00712462">
            <w:pPr>
              <w:ind w:right="165"/>
              <w:jc w:val="both"/>
              <w:rPr>
                <w:rFonts w:ascii="Arial" w:eastAsia="Times New Roman" w:hAnsi="Arial" w:cs="Arial"/>
                <w:sz w:val="22"/>
                <w:szCs w:val="22"/>
              </w:rPr>
            </w:pPr>
            <w:r w:rsidRPr="00A12925">
              <w:rPr>
                <w:rFonts w:ascii="Arial" w:eastAsia="Times New Roman" w:hAnsi="Arial" w:cs="Arial"/>
                <w:sz w:val="22"/>
                <w:szCs w:val="22"/>
              </w:rPr>
              <w:t>OP-765 (Indigenous Peoples Policy)</w:t>
            </w:r>
          </w:p>
          <w:p w14:paraId="0EF0B8CE" w14:textId="77777777" w:rsidR="00712462" w:rsidRPr="00A12925" w:rsidRDefault="00712462" w:rsidP="00712462">
            <w:pPr>
              <w:ind w:right="165"/>
              <w:jc w:val="both"/>
              <w:rPr>
                <w:rFonts w:ascii="Arial" w:eastAsia="Times New Roman" w:hAnsi="Arial" w:cs="Arial"/>
                <w:sz w:val="22"/>
                <w:szCs w:val="22"/>
              </w:rPr>
            </w:pPr>
            <w:r w:rsidRPr="00A12925">
              <w:rPr>
                <w:rFonts w:ascii="Arial" w:eastAsia="Times New Roman" w:hAnsi="Arial" w:cs="Arial"/>
                <w:sz w:val="22"/>
                <w:szCs w:val="22"/>
              </w:rPr>
              <w:t>OP-704 (Disaster Risk Management Policy)</w:t>
            </w:r>
          </w:p>
          <w:p w14:paraId="43EE734E"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OP-761 (Gender Equality in Development Policy)</w:t>
            </w:r>
          </w:p>
        </w:tc>
      </w:tr>
      <w:tr w:rsidR="00712462" w:rsidRPr="001C38FF" w14:paraId="26A6A4B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334B891" w14:textId="77777777" w:rsidR="00712462" w:rsidRPr="00B14132" w:rsidRDefault="00712462" w:rsidP="00712462">
            <w:pPr>
              <w:ind w:right="165"/>
              <w:jc w:val="both"/>
              <w:rPr>
                <w:rFonts w:ascii="Arial" w:eastAsia="Times New Roman" w:hAnsi="Arial" w:cs="Arial"/>
                <w:sz w:val="22"/>
                <w:szCs w:val="22"/>
                <w:shd w:val="clear" w:color="auto" w:fill="FFFFFF"/>
              </w:rPr>
            </w:pPr>
            <w:r w:rsidRPr="000019D9">
              <w:rPr>
                <w:rFonts w:ascii="Arial" w:eastAsia="Times New Roman" w:hAnsi="Arial" w:cs="Arial"/>
                <w:sz w:val="22"/>
                <w:szCs w:val="22"/>
                <w:shd w:val="clear" w:color="auto" w:fill="FFFFFF"/>
              </w:rPr>
              <w:t xml:space="preserve">The key ESHS direct impacts and risk of the Program </w:t>
            </w:r>
            <w:r w:rsidRPr="000019D9">
              <w:rPr>
                <w:rFonts w:ascii="Arial" w:hAnsi="Arial" w:cs="Arial"/>
                <w:sz w:val="22"/>
                <w:szCs w:val="22"/>
              </w:rPr>
              <w:t xml:space="preserve">mainly refer to the retrofitting of the seven </w:t>
            </w:r>
            <w:r w:rsidR="001717CD">
              <w:rPr>
                <w:rFonts w:ascii="Arial" w:hAnsi="Arial" w:cs="Arial"/>
                <w:sz w:val="22"/>
                <w:szCs w:val="22"/>
              </w:rPr>
              <w:t xml:space="preserve">public </w:t>
            </w:r>
            <w:r w:rsidRPr="000019D9">
              <w:rPr>
                <w:rFonts w:ascii="Arial" w:hAnsi="Arial" w:cs="Arial"/>
                <w:sz w:val="22"/>
                <w:szCs w:val="22"/>
              </w:rPr>
              <w:t>hospitals (purchase, installation, operation and maintenance of EEC technologies)</w:t>
            </w:r>
            <w:r w:rsidRPr="00B14132">
              <w:rPr>
                <w:rFonts w:ascii="Arial" w:eastAsia="Times New Roman" w:hAnsi="Arial" w:cs="Arial"/>
                <w:sz w:val="22"/>
                <w:szCs w:val="22"/>
                <w:shd w:val="clear" w:color="auto" w:fill="FFFFFF"/>
              </w:rPr>
              <w:t xml:space="preserve">. These are </w:t>
            </w:r>
            <w:r w:rsidR="00144942" w:rsidRPr="00B14132">
              <w:rPr>
                <w:rFonts w:ascii="Arial" w:eastAsia="Times New Roman" w:hAnsi="Arial" w:cs="Arial"/>
                <w:sz w:val="22"/>
                <w:szCs w:val="22"/>
                <w:shd w:val="clear" w:color="auto" w:fill="FFFFFF"/>
              </w:rPr>
              <w:t>mainly</w:t>
            </w:r>
            <w:r w:rsidRPr="00B14132">
              <w:rPr>
                <w:rFonts w:ascii="Arial" w:eastAsia="Times New Roman" w:hAnsi="Arial" w:cs="Arial"/>
                <w:sz w:val="22"/>
                <w:szCs w:val="22"/>
                <w:shd w:val="clear" w:color="auto" w:fill="FFFFFF"/>
              </w:rPr>
              <w:t xml:space="preserve"> small scale works to be performed within existing structures, and as such are not considered to have significant adverse environmental or social impacts. These can be summarized as:</w:t>
            </w:r>
          </w:p>
          <w:p w14:paraId="5899677E" w14:textId="77777777" w:rsidR="00712462" w:rsidRPr="00B14132" w:rsidRDefault="00712462" w:rsidP="00712462">
            <w:pPr>
              <w:jc w:val="both"/>
              <w:rPr>
                <w:rFonts w:ascii="Arial" w:hAnsi="Arial" w:cs="Arial"/>
                <w:sz w:val="22"/>
                <w:szCs w:val="22"/>
              </w:rPr>
            </w:pPr>
            <w:r w:rsidRPr="00B14132">
              <w:rPr>
                <w:rFonts w:ascii="Arial" w:hAnsi="Arial" w:cs="Arial"/>
                <w:b/>
                <w:sz w:val="22"/>
                <w:szCs w:val="22"/>
              </w:rPr>
              <w:t>Construction</w:t>
            </w:r>
            <w:r w:rsidRPr="00B14132">
              <w:rPr>
                <w:rFonts w:ascii="Arial" w:hAnsi="Arial" w:cs="Arial"/>
                <w:sz w:val="22"/>
                <w:szCs w:val="22"/>
              </w:rPr>
              <w:t>. Construction activities might generate impacts on current users of the facility and nearby communities, generating temporary minimal to moderate potential impacts: traffic disruption; dust and minimal to moderate air emission and affectation of air quality; impacts on water/soil, especially if waste and hazardous materials are not adequately managed; temporary noise impacts; occupational and community health and safety impacts. The ESA and ESMP assess the impacts of the Program during all phases.</w:t>
            </w:r>
            <w:r w:rsidR="007E4105">
              <w:rPr>
                <w:rFonts w:ascii="Arial" w:hAnsi="Arial" w:cs="Arial"/>
                <w:sz w:val="22"/>
                <w:szCs w:val="22"/>
              </w:rPr>
              <w:t xml:space="preserve"> T</w:t>
            </w:r>
            <w:r w:rsidRPr="00B14132">
              <w:rPr>
                <w:rFonts w:ascii="Arial" w:hAnsi="Arial" w:cs="Arial"/>
                <w:sz w:val="22"/>
                <w:szCs w:val="22"/>
              </w:rPr>
              <w:t xml:space="preserve">he ESMP must be operational before construction. </w:t>
            </w:r>
          </w:p>
          <w:p w14:paraId="10243E4B" w14:textId="77777777" w:rsidR="00712462" w:rsidRPr="00B14132" w:rsidRDefault="00712462" w:rsidP="00712462">
            <w:pPr>
              <w:ind w:right="165"/>
              <w:jc w:val="both"/>
              <w:rPr>
                <w:rFonts w:ascii="Arial" w:eastAsia="Times New Roman" w:hAnsi="Arial" w:cs="Arial"/>
                <w:sz w:val="22"/>
                <w:szCs w:val="22"/>
                <w:shd w:val="clear" w:color="auto" w:fill="FFFFFF"/>
              </w:rPr>
            </w:pPr>
            <w:r w:rsidRPr="00B14132">
              <w:rPr>
                <w:rFonts w:ascii="Arial" w:hAnsi="Arial" w:cs="Arial"/>
                <w:b/>
                <w:sz w:val="22"/>
                <w:szCs w:val="22"/>
              </w:rPr>
              <w:t>Waste and Hazardous Waste</w:t>
            </w:r>
            <w:r w:rsidRPr="00B14132">
              <w:rPr>
                <w:rFonts w:ascii="Arial" w:hAnsi="Arial" w:cs="Arial"/>
                <w:sz w:val="22"/>
                <w:szCs w:val="22"/>
              </w:rPr>
              <w:t xml:space="preserve">. Construction and retrofitting activities, and then operation, will generate relevant quantities of solid (scrap wood, concrete, glass, and cardboard, etc.) and </w:t>
            </w:r>
            <w:r w:rsidRPr="00B14132">
              <w:rPr>
                <w:rFonts w:ascii="Arial" w:hAnsi="Arial" w:cs="Arial"/>
                <w:sz w:val="22"/>
                <w:szCs w:val="22"/>
              </w:rPr>
              <w:lastRenderedPageBreak/>
              <w:t xml:space="preserve">hazardous waste (mercury from fluorescent light bulbs and thermostats, hydrofluorocarbons and other refrigerant gases from air conditioning units, used oils, asbestos containing materials, etc.). Solid waste can be disposed in existing landfills, however, up to date there are no hazardous waste disposal facilities in Jamaica (currently hazardous wastes are either disposed of in local landfills or shipped abroad to treatment facilities). </w:t>
            </w:r>
            <w:r w:rsidRPr="00B14132">
              <w:rPr>
                <w:rFonts w:ascii="Arial" w:eastAsia="Times New Roman" w:hAnsi="Arial" w:cs="Arial"/>
                <w:sz w:val="22"/>
                <w:szCs w:val="22"/>
                <w:shd w:val="clear" w:color="auto" w:fill="FFFFFF"/>
              </w:rPr>
              <w:t>The ESA includes a draft Waste Management Plan that includes all provisions to be followed to properly handle non-hazardous and hazardous waste</w:t>
            </w:r>
            <w:r w:rsidR="00C915CD">
              <w:rPr>
                <w:rFonts w:ascii="Arial" w:eastAsia="Times New Roman" w:hAnsi="Arial" w:cs="Arial"/>
                <w:sz w:val="22"/>
                <w:szCs w:val="22"/>
                <w:shd w:val="clear" w:color="auto" w:fill="FFFFFF"/>
              </w:rPr>
              <w:t>, to be finalized</w:t>
            </w:r>
            <w:r w:rsidRPr="00B14132">
              <w:rPr>
                <w:rFonts w:ascii="Arial" w:eastAsia="Times New Roman" w:hAnsi="Arial" w:cs="Arial"/>
                <w:sz w:val="22"/>
                <w:szCs w:val="22"/>
                <w:shd w:val="clear" w:color="auto" w:fill="FFFFFF"/>
              </w:rPr>
              <w:t xml:space="preserve"> prior construction start. </w:t>
            </w:r>
          </w:p>
          <w:p w14:paraId="59767DD7" w14:textId="77777777" w:rsidR="00712462" w:rsidRPr="00B14132" w:rsidRDefault="00712462" w:rsidP="00712462">
            <w:pPr>
              <w:jc w:val="both"/>
              <w:rPr>
                <w:rFonts w:ascii="Arial" w:hAnsi="Arial" w:cs="Arial"/>
                <w:sz w:val="22"/>
                <w:szCs w:val="22"/>
              </w:rPr>
            </w:pPr>
            <w:r w:rsidRPr="00B14132">
              <w:rPr>
                <w:rFonts w:ascii="Arial" w:hAnsi="Arial" w:cs="Arial"/>
                <w:b/>
                <w:sz w:val="22"/>
                <w:szCs w:val="22"/>
              </w:rPr>
              <w:t>Occupational and Community Health and Safety</w:t>
            </w:r>
            <w:r w:rsidRPr="00B14132">
              <w:rPr>
                <w:rFonts w:ascii="Arial" w:hAnsi="Arial" w:cs="Arial"/>
                <w:sz w:val="22"/>
                <w:szCs w:val="22"/>
              </w:rPr>
              <w:t>. The program may involve numerous hazards that pose risks to worker health and safety, including exposure to asbestos containing materials and other hazardous waste. The ESA includes brief indications on OHS and Community HS, however an</w:t>
            </w:r>
            <w:r w:rsidRPr="00B14132">
              <w:t xml:space="preserve"> </w:t>
            </w:r>
            <w:r w:rsidRPr="00B14132">
              <w:rPr>
                <w:rFonts w:ascii="Arial" w:hAnsi="Arial" w:cs="Arial"/>
                <w:sz w:val="22"/>
                <w:szCs w:val="22"/>
              </w:rPr>
              <w:t xml:space="preserve">Occupational and Community Health and Safety Management Plan will have to be implemented and operational before construction activities start.  </w:t>
            </w:r>
          </w:p>
          <w:p w14:paraId="31C67C98" w14:textId="4A854B8E" w:rsidR="00712462" w:rsidRPr="00B14132" w:rsidRDefault="00712462" w:rsidP="00712462">
            <w:pPr>
              <w:jc w:val="both"/>
              <w:rPr>
                <w:rFonts w:ascii="Arial" w:hAnsi="Arial" w:cs="Arial"/>
                <w:sz w:val="22"/>
                <w:szCs w:val="22"/>
              </w:rPr>
            </w:pPr>
            <w:r w:rsidRPr="00B14132">
              <w:rPr>
                <w:rFonts w:ascii="Arial" w:hAnsi="Arial" w:cs="Arial"/>
                <w:b/>
                <w:sz w:val="22"/>
                <w:szCs w:val="22"/>
              </w:rPr>
              <w:t>Associated Liabilities</w:t>
            </w:r>
            <w:r w:rsidRPr="00B14132">
              <w:rPr>
                <w:rFonts w:ascii="Arial" w:hAnsi="Arial" w:cs="Arial"/>
                <w:sz w:val="22"/>
                <w:szCs w:val="22"/>
              </w:rPr>
              <w:t>. Since th</w:t>
            </w:r>
            <w:r w:rsidR="001717CD">
              <w:rPr>
                <w:rFonts w:ascii="Arial" w:hAnsi="Arial" w:cs="Arial"/>
                <w:sz w:val="22"/>
                <w:szCs w:val="22"/>
              </w:rPr>
              <w:t xml:space="preserve">is IGR </w:t>
            </w:r>
            <w:r w:rsidRPr="00B14132">
              <w:rPr>
                <w:rFonts w:ascii="Arial" w:hAnsi="Arial" w:cs="Arial"/>
                <w:sz w:val="22"/>
                <w:szCs w:val="22"/>
              </w:rPr>
              <w:t xml:space="preserve">is associated with the </w:t>
            </w:r>
            <w:r w:rsidR="001717CD">
              <w:rPr>
                <w:rFonts w:ascii="Arial" w:hAnsi="Arial" w:cs="Arial"/>
                <w:sz w:val="22"/>
                <w:szCs w:val="22"/>
              </w:rPr>
              <w:t xml:space="preserve">loan </w:t>
            </w:r>
            <w:r w:rsidRPr="00B14132">
              <w:rPr>
                <w:rFonts w:ascii="Arial" w:hAnsi="Arial" w:cs="Arial"/>
                <w:sz w:val="22"/>
                <w:szCs w:val="22"/>
              </w:rPr>
              <w:t xml:space="preserve">operation JA-L1056, the IDB will monitor whether significant ESHS liabilities related to </w:t>
            </w:r>
            <w:r w:rsidR="00B14132" w:rsidRPr="006A673C">
              <w:rPr>
                <w:rFonts w:ascii="Arial" w:hAnsi="Arial" w:cs="Arial"/>
                <w:sz w:val="22"/>
                <w:szCs w:val="22"/>
              </w:rPr>
              <w:t>JA-L1056</w:t>
            </w:r>
            <w:r w:rsidR="00B14132">
              <w:rPr>
                <w:rFonts w:ascii="Arial" w:hAnsi="Arial" w:cs="Arial"/>
                <w:sz w:val="22"/>
                <w:szCs w:val="22"/>
              </w:rPr>
              <w:t xml:space="preserve"> </w:t>
            </w:r>
            <w:r w:rsidRPr="00B14132">
              <w:rPr>
                <w:rFonts w:ascii="Arial" w:hAnsi="Arial" w:cs="Arial"/>
                <w:sz w:val="22"/>
                <w:szCs w:val="22"/>
              </w:rPr>
              <w:t>exist or are pending resolution</w:t>
            </w:r>
            <w:r w:rsidR="00144942" w:rsidRPr="00B14132">
              <w:rPr>
                <w:rFonts w:ascii="Arial" w:hAnsi="Arial" w:cs="Arial"/>
                <w:sz w:val="22"/>
                <w:szCs w:val="22"/>
              </w:rPr>
              <w:t>.</w:t>
            </w:r>
          </w:p>
        </w:tc>
      </w:tr>
      <w:tr w:rsidR="00712462" w:rsidRPr="001C38FF" w14:paraId="37E88E63"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20AD879"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lastRenderedPageBreak/>
              <w:t>Noninvestment Lending and Flexible Lending Instruments</w:t>
            </w:r>
            <w:r w:rsidRPr="00A12925">
              <w:rPr>
                <w:rFonts w:ascii="Arial" w:eastAsia="Times New Roman" w:hAnsi="Arial" w:cs="Arial"/>
                <w:b/>
                <w:sz w:val="22"/>
                <w:szCs w:val="22"/>
                <w:shd w:val="clear" w:color="auto" w:fill="FFFFFF"/>
              </w:rPr>
              <w:t xml:space="preserve"> </w:t>
            </w:r>
          </w:p>
          <w:p w14:paraId="551F96C9"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OP-703 (Environment and Safeguards Compliance Policy): B.13 (Noninvestment Lending and Flexible Lending Instruments)</w:t>
            </w:r>
          </w:p>
        </w:tc>
      </w:tr>
      <w:tr w:rsidR="00712462" w:rsidRPr="001C38FF" w14:paraId="179C2D47"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FAB3EFC"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shd w:val="clear" w:color="auto" w:fill="FFFFFF"/>
              </w:rPr>
              <w:t>N/A</w:t>
            </w:r>
          </w:p>
        </w:tc>
      </w:tr>
      <w:tr w:rsidR="00712462" w:rsidRPr="001C38FF" w14:paraId="38180931"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D81CDA4"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t>Livelihoods and Resettlement</w:t>
            </w:r>
          </w:p>
          <w:p w14:paraId="57BAE60B"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OP-710 (Involuntary Resettlement Policy)</w:t>
            </w:r>
          </w:p>
        </w:tc>
      </w:tr>
      <w:tr w:rsidR="00712462" w:rsidRPr="001C38FF" w14:paraId="6E8AC2AC"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D256470"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hAnsi="Arial" w:cs="Arial"/>
                <w:sz w:val="22"/>
                <w:szCs w:val="22"/>
              </w:rPr>
              <w:t xml:space="preserve">The project will not involve any type of resettlement. </w:t>
            </w:r>
          </w:p>
        </w:tc>
      </w:tr>
      <w:tr w:rsidR="00712462" w:rsidRPr="001C38FF" w14:paraId="2A7F77AA"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C5B4435"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t>Indigenous Peoples</w:t>
            </w:r>
            <w:r w:rsidRPr="00A12925">
              <w:rPr>
                <w:rFonts w:ascii="Arial" w:eastAsia="Times New Roman" w:hAnsi="Arial" w:cs="Arial"/>
                <w:b/>
                <w:sz w:val="22"/>
                <w:szCs w:val="22"/>
                <w:shd w:val="clear" w:color="auto" w:fill="FFFFFF"/>
              </w:rPr>
              <w:t xml:space="preserve"> </w:t>
            </w:r>
          </w:p>
          <w:p w14:paraId="34548BAF"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OP-765 (Indigenous Peoples Policy)</w:t>
            </w:r>
          </w:p>
        </w:tc>
      </w:tr>
      <w:tr w:rsidR="00712462" w:rsidRPr="001C38FF" w14:paraId="69FB1922"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71E8C59"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hAnsi="Arial" w:cs="Arial"/>
                <w:sz w:val="22"/>
                <w:szCs w:val="22"/>
              </w:rPr>
              <w:t>No Indigenous People are affected by the project.</w:t>
            </w:r>
          </w:p>
        </w:tc>
      </w:tr>
      <w:tr w:rsidR="00712462" w:rsidRPr="001C38FF" w14:paraId="5C6D0B89"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1000F48" w14:textId="77777777" w:rsidR="00712462" w:rsidRPr="00A12925" w:rsidRDefault="00712462" w:rsidP="0071246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t>Gender Equality</w:t>
            </w:r>
            <w:r w:rsidRPr="00A12925">
              <w:rPr>
                <w:rFonts w:ascii="Arial" w:eastAsia="Times New Roman" w:hAnsi="Arial" w:cs="Arial"/>
                <w:b/>
                <w:sz w:val="22"/>
                <w:szCs w:val="22"/>
                <w:shd w:val="clear" w:color="auto" w:fill="FFFFFF"/>
              </w:rPr>
              <w:t xml:space="preserve"> </w:t>
            </w:r>
          </w:p>
          <w:p w14:paraId="5A572681" w14:textId="77777777" w:rsidR="00712462" w:rsidRPr="00A12925" w:rsidRDefault="00712462" w:rsidP="0071246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OP-761 (Gender Equality in Development Policy)</w:t>
            </w:r>
          </w:p>
        </w:tc>
      </w:tr>
      <w:tr w:rsidR="00712462" w:rsidRPr="001C38FF" w14:paraId="36B9C08E"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E607D74" w14:textId="406AC44E" w:rsidR="00712462" w:rsidRPr="00A12925" w:rsidRDefault="00F74FFA" w:rsidP="00712462">
            <w:pPr>
              <w:ind w:right="165"/>
              <w:jc w:val="both"/>
              <w:rPr>
                <w:rFonts w:ascii="Arial" w:eastAsia="Times New Roman" w:hAnsi="Arial" w:cs="Arial"/>
                <w:sz w:val="22"/>
                <w:szCs w:val="22"/>
                <w:shd w:val="clear" w:color="auto" w:fill="FFFFFF"/>
              </w:rPr>
            </w:pPr>
            <w:r w:rsidRPr="00F74FFA">
              <w:rPr>
                <w:rFonts w:ascii="Arial" w:eastAsia="Times New Roman" w:hAnsi="Arial" w:cs="Arial"/>
                <w:sz w:val="22"/>
                <w:szCs w:val="22"/>
                <w:shd w:val="clear" w:color="auto" w:fill="FFFFFF"/>
              </w:rPr>
              <w:t xml:space="preserve">The risk of gender discrimination is low. </w:t>
            </w:r>
            <w:r w:rsidRPr="00A1595D">
              <w:rPr>
                <w:rFonts w:ascii="Arial" w:eastAsia="Times New Roman" w:hAnsi="Arial" w:cs="Arial"/>
                <w:sz w:val="22"/>
                <w:szCs w:val="22"/>
                <w:shd w:val="clear" w:color="auto" w:fill="FFFFFF"/>
              </w:rPr>
              <w:t>During project preparation phase, women were invited to and attended the stakeholder engagement meetings and the public consultation. During operations, the project will seek to implement a training program for women to enter the workforce in energy efficiency implementation.</w:t>
            </w:r>
            <w:r w:rsidRPr="000019D9">
              <w:rPr>
                <w:rFonts w:ascii="Arial" w:eastAsia="Times New Roman" w:hAnsi="Arial" w:cs="Arial"/>
                <w:sz w:val="22"/>
                <w:szCs w:val="22"/>
                <w:shd w:val="clear" w:color="auto" w:fill="FFFFFF"/>
              </w:rPr>
              <w:t xml:space="preserve"> Energy efficiency</w:t>
            </w:r>
            <w:r w:rsidRPr="00F74FFA">
              <w:rPr>
                <w:rFonts w:ascii="Arial" w:eastAsia="Times New Roman" w:hAnsi="Arial" w:cs="Arial"/>
                <w:sz w:val="22"/>
                <w:szCs w:val="22"/>
                <w:shd w:val="clear" w:color="auto" w:fill="FFFFFF"/>
              </w:rPr>
              <w:t xml:space="preserve"> is a growing trend in Jamaica and training women to become technicians could provide long-term employment in the sector.</w:t>
            </w:r>
            <w:r>
              <w:rPr>
                <w:rFonts w:ascii="Arial" w:eastAsia="Times New Roman" w:hAnsi="Arial" w:cs="Arial"/>
                <w:sz w:val="22"/>
                <w:szCs w:val="22"/>
                <w:shd w:val="clear" w:color="auto" w:fill="FFFFFF"/>
              </w:rPr>
              <w:t xml:space="preserve"> </w:t>
            </w:r>
            <w:r w:rsidR="00712462" w:rsidRPr="000019D9">
              <w:rPr>
                <w:rFonts w:ascii="Arial" w:eastAsia="Times New Roman" w:hAnsi="Arial" w:cs="Arial"/>
                <w:sz w:val="22"/>
                <w:szCs w:val="22"/>
                <w:shd w:val="clear" w:color="auto" w:fill="FFFFFF"/>
              </w:rPr>
              <w:t xml:space="preserve">The </w:t>
            </w:r>
            <w:r w:rsidR="001717CD">
              <w:rPr>
                <w:rFonts w:ascii="Arial" w:eastAsia="Times New Roman" w:hAnsi="Arial" w:cs="Arial"/>
                <w:sz w:val="22"/>
                <w:szCs w:val="22"/>
                <w:shd w:val="clear" w:color="auto" w:fill="FFFFFF"/>
              </w:rPr>
              <w:t xml:space="preserve">Beneficiary </w:t>
            </w:r>
            <w:r w:rsidR="00712462" w:rsidRPr="000019D9">
              <w:rPr>
                <w:rFonts w:ascii="Arial" w:eastAsia="Times New Roman" w:hAnsi="Arial" w:cs="Arial"/>
                <w:sz w:val="22"/>
                <w:szCs w:val="22"/>
                <w:shd w:val="clear" w:color="auto" w:fill="FFFFFF"/>
              </w:rPr>
              <w:t>will include measures, standard in construction contracts, to avoid uneven</w:t>
            </w:r>
            <w:r w:rsidR="00712462" w:rsidRPr="00B14132">
              <w:rPr>
                <w:rFonts w:ascii="Arial" w:eastAsia="Times New Roman" w:hAnsi="Arial" w:cs="Arial"/>
                <w:sz w:val="22"/>
                <w:szCs w:val="22"/>
                <w:shd w:val="clear" w:color="auto" w:fill="FFFFFF"/>
              </w:rPr>
              <w:t xml:space="preserve"> introduction of unpaid work or payment gaps, or increased risk of gender based discrimination.</w:t>
            </w:r>
            <w:r w:rsidR="00712462" w:rsidRPr="00A12925">
              <w:rPr>
                <w:rFonts w:ascii="Arial" w:eastAsia="Times New Roman" w:hAnsi="Arial" w:cs="Arial"/>
                <w:sz w:val="22"/>
                <w:szCs w:val="22"/>
                <w:shd w:val="clear" w:color="auto" w:fill="FFFFFF"/>
              </w:rPr>
              <w:t xml:space="preserve"> </w:t>
            </w:r>
          </w:p>
        </w:tc>
      </w:tr>
      <w:tr w:rsidR="00712462" w:rsidRPr="00B505FD" w14:paraId="6D45D71E"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F1CD344" w14:textId="77777777" w:rsidR="00712462" w:rsidRPr="00A12925" w:rsidRDefault="00712462" w:rsidP="00712462">
            <w:pPr>
              <w:ind w:right="165"/>
              <w:jc w:val="both"/>
              <w:rPr>
                <w:rFonts w:ascii="Arial" w:eastAsia="Times New Roman" w:hAnsi="Arial" w:cs="Arial"/>
                <w:b/>
                <w:sz w:val="22"/>
                <w:szCs w:val="22"/>
              </w:rPr>
            </w:pPr>
            <w:r w:rsidRPr="00A12925">
              <w:rPr>
                <w:rFonts w:ascii="Arial" w:eastAsia="Times New Roman" w:hAnsi="Arial" w:cs="Arial"/>
                <w:b/>
                <w:sz w:val="22"/>
                <w:szCs w:val="22"/>
              </w:rPr>
              <w:t xml:space="preserve">Disaster Risk Management </w:t>
            </w:r>
          </w:p>
          <w:p w14:paraId="5FE19CB6" w14:textId="77777777" w:rsidR="00712462" w:rsidRPr="00A12925" w:rsidRDefault="00712462" w:rsidP="00712462">
            <w:pPr>
              <w:ind w:right="165"/>
              <w:jc w:val="both"/>
              <w:rPr>
                <w:rFonts w:ascii="Arial" w:eastAsia="Times New Roman" w:hAnsi="Arial" w:cs="Arial"/>
                <w:sz w:val="22"/>
                <w:szCs w:val="22"/>
              </w:rPr>
            </w:pPr>
            <w:r w:rsidRPr="00A12925">
              <w:rPr>
                <w:rFonts w:ascii="Arial" w:eastAsia="Times New Roman" w:hAnsi="Arial" w:cs="Arial"/>
                <w:sz w:val="22"/>
                <w:szCs w:val="22"/>
              </w:rPr>
              <w:t>OP-704 (Disaster Risk Management Policy)</w:t>
            </w:r>
          </w:p>
        </w:tc>
      </w:tr>
      <w:tr w:rsidR="00B14132" w:rsidRPr="00B505FD" w14:paraId="26632897" w14:textId="77777777" w:rsidTr="00F53FD0">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tcPr>
          <w:p w14:paraId="2B5A9468" w14:textId="3A0E2315" w:rsidR="00B14132" w:rsidRPr="00A12925" w:rsidRDefault="00B14132" w:rsidP="00B1413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shd w:val="clear" w:color="auto" w:fill="FFFFFF"/>
              </w:rPr>
              <w:t xml:space="preserve">Jamaica is vulnerable to natural hazards and climate change could increase the risk of many of these hazards. </w:t>
            </w:r>
            <w:r>
              <w:rPr>
                <w:rFonts w:ascii="Arial" w:eastAsia="Times New Roman" w:hAnsi="Arial" w:cs="Arial"/>
                <w:sz w:val="22"/>
                <w:szCs w:val="22"/>
                <w:shd w:val="clear" w:color="auto" w:fill="FFFFFF"/>
              </w:rPr>
              <w:t>T</w:t>
            </w:r>
            <w:r w:rsidRPr="00A12925">
              <w:rPr>
                <w:rFonts w:ascii="Arial" w:eastAsia="Times New Roman" w:hAnsi="Arial" w:cs="Arial"/>
                <w:sz w:val="22"/>
                <w:szCs w:val="22"/>
                <w:shd w:val="clear" w:color="auto" w:fill="FFFFFF"/>
              </w:rPr>
              <w:t xml:space="preserve">he major natural hazards that could affect the </w:t>
            </w:r>
            <w:r w:rsidR="001717CD">
              <w:rPr>
                <w:rFonts w:ascii="Arial" w:eastAsia="Times New Roman" w:hAnsi="Arial" w:cs="Arial"/>
                <w:sz w:val="22"/>
                <w:szCs w:val="22"/>
                <w:shd w:val="clear" w:color="auto" w:fill="FFFFFF"/>
              </w:rPr>
              <w:t xml:space="preserve">IGR </w:t>
            </w:r>
            <w:r w:rsidRPr="00A12925">
              <w:rPr>
                <w:rFonts w:ascii="Arial" w:eastAsia="Times New Roman" w:hAnsi="Arial" w:cs="Arial"/>
                <w:sz w:val="22"/>
                <w:szCs w:val="22"/>
                <w:shd w:val="clear" w:color="auto" w:fill="FFFFFF"/>
              </w:rPr>
              <w:t>are: pluvial inundation (flooding from rivers), coastal inundation (sea level rise and storm surge), hurricanes and high winds, seismicity, and landslide. Between 1852 and 2011, 27 hurricanes have passed within approximately 70 miles of Jamaica, of which 1 was a Category 5 (Hurricane Allen, 1980), 5 were Category 4 (Cleo, 1964; Dean, 2007; Dennis, 2005; Gilbert, 1998; and Ivan, 2004). These events are usually accompanied by severe coastal erosion and flooding, including in densely populated areas. Several studies indicate frequency of hurricanes may decrease because of climate change, but the intensity of storms that do develop will be greater, potentially twice as many per year by 2100</w:t>
            </w:r>
            <w:r w:rsidRPr="00A12925">
              <w:rPr>
                <w:rStyle w:val="FootnoteReference"/>
                <w:rFonts w:ascii="Arial" w:eastAsia="Times New Roman" w:hAnsi="Arial" w:cs="Arial"/>
                <w:sz w:val="22"/>
                <w:szCs w:val="22"/>
                <w:shd w:val="clear" w:color="auto" w:fill="FFFFFF"/>
              </w:rPr>
              <w:footnoteReference w:id="3"/>
            </w:r>
            <w:r w:rsidRPr="00A12925">
              <w:rPr>
                <w:rFonts w:ascii="Arial" w:eastAsia="Times New Roman" w:hAnsi="Arial" w:cs="Arial"/>
                <w:sz w:val="22"/>
                <w:szCs w:val="22"/>
                <w:shd w:val="clear" w:color="auto" w:fill="FFFFFF"/>
              </w:rPr>
              <w:t>.</w:t>
            </w:r>
          </w:p>
          <w:p w14:paraId="4CFC3305" w14:textId="77777777" w:rsidR="00B14132" w:rsidRPr="00A12925" w:rsidRDefault="00B14132" w:rsidP="00B14132">
            <w:pPr>
              <w:ind w:right="165"/>
              <w:jc w:val="both"/>
              <w:rPr>
                <w:rFonts w:ascii="Arial" w:eastAsia="Times New Roman" w:hAnsi="Arial" w:cs="Arial"/>
                <w:sz w:val="22"/>
                <w:szCs w:val="22"/>
                <w:shd w:val="clear" w:color="auto" w:fill="FFFFFF"/>
              </w:rPr>
            </w:pPr>
          </w:p>
          <w:p w14:paraId="023E2D79" w14:textId="2EFB8049" w:rsidR="00B14132" w:rsidRPr="00A12925" w:rsidRDefault="00B14132" w:rsidP="00B14132">
            <w:pPr>
              <w:ind w:right="165"/>
              <w:jc w:val="both"/>
              <w:rPr>
                <w:rFonts w:ascii="Arial" w:eastAsia="Times New Roman" w:hAnsi="Arial" w:cs="Arial"/>
                <w:b/>
                <w:sz w:val="22"/>
                <w:szCs w:val="22"/>
              </w:rPr>
            </w:pPr>
            <w:r w:rsidRPr="00A12925">
              <w:rPr>
                <w:rFonts w:ascii="Arial" w:eastAsia="Times New Roman" w:hAnsi="Arial" w:cs="Arial"/>
                <w:sz w:val="22"/>
                <w:szCs w:val="22"/>
                <w:shd w:val="clear" w:color="auto" w:fill="FFFFFF"/>
              </w:rPr>
              <w:lastRenderedPageBreak/>
              <w:t>The ESMP includes provisions for the development of an Emergency Preparedness and Response Plan (EPRP), and for the application of specific International Building Codes (IBC</w:t>
            </w:r>
            <w:r w:rsidRPr="00A1595D">
              <w:rPr>
                <w:rFonts w:ascii="Arial" w:eastAsia="Times New Roman" w:hAnsi="Arial" w:cs="Arial"/>
                <w:sz w:val="22"/>
                <w:szCs w:val="22"/>
                <w:shd w:val="clear" w:color="auto" w:fill="FFFFFF"/>
              </w:rPr>
              <w:t>). The EPRP must be fully developed and implemented before construction activities commence</w:t>
            </w:r>
            <w:r w:rsidRPr="000019D9">
              <w:rPr>
                <w:rFonts w:ascii="Arial" w:eastAsia="Times New Roman" w:hAnsi="Arial" w:cs="Arial"/>
                <w:sz w:val="22"/>
                <w:szCs w:val="22"/>
                <w:shd w:val="clear" w:color="auto" w:fill="FFFFFF"/>
              </w:rPr>
              <w:t>.</w:t>
            </w:r>
            <w:r w:rsidRPr="00A12925">
              <w:rPr>
                <w:rFonts w:ascii="Arial" w:eastAsia="Times New Roman" w:hAnsi="Arial" w:cs="Arial"/>
                <w:sz w:val="22"/>
                <w:szCs w:val="22"/>
                <w:shd w:val="clear" w:color="auto" w:fill="FFFFFF"/>
              </w:rPr>
              <w:t xml:space="preserve"> </w:t>
            </w:r>
            <w:r w:rsidRPr="00F74FFA">
              <w:rPr>
                <w:rFonts w:ascii="Arial" w:eastAsia="Times New Roman" w:hAnsi="Arial" w:cs="Arial"/>
                <w:sz w:val="22"/>
                <w:szCs w:val="22"/>
                <w:shd w:val="clear" w:color="auto" w:fill="FFFFFF"/>
              </w:rPr>
              <w:t>A disaster risk asse</w:t>
            </w:r>
            <w:r w:rsidR="00DD0E06">
              <w:rPr>
                <w:rFonts w:ascii="Arial" w:eastAsia="Times New Roman" w:hAnsi="Arial" w:cs="Arial"/>
                <w:sz w:val="22"/>
                <w:szCs w:val="22"/>
                <w:shd w:val="clear" w:color="auto" w:fill="FFFFFF"/>
              </w:rPr>
              <w:t xml:space="preserve">ssment is not required for the </w:t>
            </w:r>
            <w:r w:rsidR="001717CD">
              <w:rPr>
                <w:rFonts w:ascii="Arial" w:eastAsia="Times New Roman" w:hAnsi="Arial" w:cs="Arial"/>
                <w:sz w:val="22"/>
                <w:szCs w:val="22"/>
                <w:shd w:val="clear" w:color="auto" w:fill="FFFFFF"/>
              </w:rPr>
              <w:t>IGR</w:t>
            </w:r>
            <w:r w:rsidRPr="00F74FFA">
              <w:rPr>
                <w:rFonts w:ascii="Arial" w:eastAsia="Times New Roman" w:hAnsi="Arial" w:cs="Arial"/>
                <w:sz w:val="22"/>
                <w:szCs w:val="22"/>
                <w:shd w:val="clear" w:color="auto" w:fill="FFFFFF"/>
              </w:rPr>
              <w:t>.</w:t>
            </w:r>
          </w:p>
        </w:tc>
      </w:tr>
      <w:tr w:rsidR="00B14132" w:rsidRPr="001C38FF" w:rsidDel="00A11ACD" w14:paraId="0DC2C9CA"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4518F416" w14:textId="77777777" w:rsidR="00B14132" w:rsidRPr="00A12925" w:rsidRDefault="00B14132" w:rsidP="00B14132">
            <w:pPr>
              <w:ind w:right="165"/>
              <w:jc w:val="both"/>
              <w:rPr>
                <w:rFonts w:ascii="Arial" w:eastAsia="Times New Roman" w:hAnsi="Arial" w:cs="Arial"/>
                <w:b/>
                <w:sz w:val="22"/>
                <w:szCs w:val="22"/>
                <w:shd w:val="clear" w:color="auto" w:fill="FFFFFF"/>
              </w:rPr>
            </w:pPr>
            <w:r w:rsidRPr="00A12925">
              <w:rPr>
                <w:rFonts w:ascii="Arial" w:eastAsia="Times New Roman" w:hAnsi="Arial" w:cs="Arial"/>
                <w:b/>
                <w:sz w:val="22"/>
                <w:szCs w:val="22"/>
              </w:rPr>
              <w:lastRenderedPageBreak/>
              <w:t>Supervision</w:t>
            </w:r>
          </w:p>
          <w:p w14:paraId="6958C88E" w14:textId="77777777" w:rsidR="00B14132" w:rsidRPr="00A12925" w:rsidRDefault="00B14132" w:rsidP="00B14132">
            <w:pPr>
              <w:ind w:right="165"/>
              <w:jc w:val="both"/>
              <w:rPr>
                <w:rFonts w:ascii="Arial" w:eastAsia="Times New Roman" w:hAnsi="Arial" w:cs="Arial"/>
                <w:sz w:val="22"/>
                <w:szCs w:val="22"/>
              </w:rPr>
            </w:pPr>
            <w:r w:rsidRPr="00A12925">
              <w:rPr>
                <w:rFonts w:ascii="Arial" w:eastAsia="Times New Roman" w:hAnsi="Arial" w:cs="Arial"/>
                <w:sz w:val="22"/>
                <w:szCs w:val="22"/>
              </w:rPr>
              <w:t>OP-703 (Environment and Safeguards Compliance Policy): B.5 (Environmental Assessment and Plans Requirements) and B.7 (Supervision and Compliance)</w:t>
            </w:r>
          </w:p>
          <w:p w14:paraId="0E12E441" w14:textId="77777777" w:rsidR="00B14132" w:rsidRPr="00A12925" w:rsidRDefault="00B14132" w:rsidP="00B14132">
            <w:pPr>
              <w:ind w:right="165"/>
              <w:jc w:val="both"/>
              <w:rPr>
                <w:rFonts w:ascii="Arial" w:eastAsia="Times New Roman" w:hAnsi="Arial" w:cs="Arial"/>
                <w:sz w:val="22"/>
                <w:szCs w:val="22"/>
              </w:rPr>
            </w:pPr>
            <w:r w:rsidRPr="00A12925">
              <w:rPr>
                <w:rFonts w:ascii="Arial" w:eastAsia="Times New Roman" w:hAnsi="Arial" w:cs="Arial"/>
                <w:sz w:val="22"/>
                <w:szCs w:val="22"/>
              </w:rPr>
              <w:t>OP-710 (Involuntary Resettlement Policy)</w:t>
            </w:r>
          </w:p>
          <w:p w14:paraId="05CB3DFA" w14:textId="77777777" w:rsidR="00B14132" w:rsidRPr="00A12925" w:rsidRDefault="00B14132" w:rsidP="00B14132">
            <w:pPr>
              <w:ind w:right="165"/>
              <w:jc w:val="both"/>
              <w:rPr>
                <w:rFonts w:ascii="Arial" w:eastAsia="Times New Roman" w:hAnsi="Arial" w:cs="Arial"/>
                <w:sz w:val="22"/>
                <w:szCs w:val="22"/>
              </w:rPr>
            </w:pPr>
            <w:r w:rsidRPr="00A12925">
              <w:rPr>
                <w:rFonts w:ascii="Arial" w:eastAsia="Times New Roman" w:hAnsi="Arial" w:cs="Arial"/>
                <w:sz w:val="22"/>
                <w:szCs w:val="22"/>
              </w:rPr>
              <w:t>OP-765 (Indigenous Peoples Policy)</w:t>
            </w:r>
          </w:p>
          <w:p w14:paraId="61154150" w14:textId="77777777" w:rsidR="00B14132" w:rsidRPr="00A12925" w:rsidRDefault="00B14132" w:rsidP="00B14132">
            <w:pPr>
              <w:ind w:right="165"/>
              <w:jc w:val="both"/>
              <w:rPr>
                <w:rFonts w:ascii="Arial" w:eastAsia="Times New Roman" w:hAnsi="Arial" w:cs="Arial"/>
                <w:sz w:val="22"/>
                <w:szCs w:val="22"/>
              </w:rPr>
            </w:pPr>
            <w:r w:rsidRPr="00A12925">
              <w:rPr>
                <w:rFonts w:ascii="Arial" w:eastAsia="Times New Roman" w:hAnsi="Arial" w:cs="Arial"/>
                <w:sz w:val="22"/>
                <w:szCs w:val="22"/>
              </w:rPr>
              <w:t>OP-704 (Disaster Risk Management Policy)</w:t>
            </w:r>
          </w:p>
          <w:p w14:paraId="07777B53" w14:textId="77777777" w:rsidR="00B14132" w:rsidRPr="00A12925" w:rsidRDefault="00B14132" w:rsidP="00B14132">
            <w:pPr>
              <w:ind w:right="165"/>
              <w:jc w:val="both"/>
              <w:rPr>
                <w:rFonts w:ascii="Arial" w:eastAsia="Times New Roman" w:hAnsi="Arial" w:cs="Arial"/>
                <w:sz w:val="22"/>
                <w:szCs w:val="22"/>
                <w:shd w:val="clear" w:color="auto" w:fill="FFFFFF"/>
              </w:rPr>
            </w:pPr>
            <w:r w:rsidRPr="00A12925">
              <w:rPr>
                <w:rFonts w:ascii="Arial" w:eastAsia="Times New Roman" w:hAnsi="Arial" w:cs="Arial"/>
                <w:sz w:val="22"/>
                <w:szCs w:val="22"/>
              </w:rPr>
              <w:t>OP-761 (Gender Equality in Development Policy)</w:t>
            </w:r>
          </w:p>
        </w:tc>
      </w:tr>
      <w:tr w:rsidR="00B14132" w:rsidRPr="001C38FF" w:rsidDel="00A11ACD" w14:paraId="7444905D"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4C40B6D" w14:textId="6E96EF58" w:rsidR="00B14132" w:rsidRDefault="00B14132" w:rsidP="00B14132">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As a condition of the original loan</w:t>
            </w:r>
            <w:r w:rsidR="001717CD">
              <w:rPr>
                <w:rFonts w:ascii="Arial" w:eastAsia="Times New Roman" w:hAnsi="Arial" w:cs="Arial"/>
                <w:sz w:val="22"/>
                <w:szCs w:val="22"/>
                <w:shd w:val="clear" w:color="auto" w:fill="FFFFFF"/>
              </w:rPr>
              <w:t xml:space="preserve"> operation</w:t>
            </w:r>
            <w:r>
              <w:rPr>
                <w:rFonts w:ascii="Arial" w:eastAsia="Times New Roman" w:hAnsi="Arial" w:cs="Arial"/>
                <w:sz w:val="22"/>
                <w:szCs w:val="22"/>
                <w:shd w:val="clear" w:color="auto" w:fill="FFFFFF"/>
              </w:rPr>
              <w:t xml:space="preserve">, JA-L1056, the </w:t>
            </w:r>
            <w:r w:rsidR="001717CD">
              <w:rPr>
                <w:rFonts w:ascii="Arial" w:eastAsia="Times New Roman" w:hAnsi="Arial" w:cs="Arial"/>
                <w:sz w:val="22"/>
                <w:szCs w:val="22"/>
                <w:shd w:val="clear" w:color="auto" w:fill="FFFFFF"/>
              </w:rPr>
              <w:t xml:space="preserve">IGR </w:t>
            </w:r>
            <w:r>
              <w:rPr>
                <w:rFonts w:ascii="Arial" w:eastAsia="Times New Roman" w:hAnsi="Arial" w:cs="Arial"/>
                <w:sz w:val="22"/>
                <w:szCs w:val="22"/>
                <w:shd w:val="clear" w:color="auto" w:fill="FFFFFF"/>
              </w:rPr>
              <w:t xml:space="preserve"> has appointed an Environmental and Social Specialist who will supervise and monitor the </w:t>
            </w:r>
            <w:r w:rsidR="001717CD">
              <w:rPr>
                <w:rFonts w:ascii="Arial" w:eastAsia="Times New Roman" w:hAnsi="Arial" w:cs="Arial"/>
                <w:sz w:val="22"/>
                <w:szCs w:val="22"/>
                <w:shd w:val="clear" w:color="auto" w:fill="FFFFFF"/>
              </w:rPr>
              <w:t xml:space="preserve">EMEP </w:t>
            </w:r>
            <w:r>
              <w:rPr>
                <w:rFonts w:ascii="Arial" w:eastAsia="Times New Roman" w:hAnsi="Arial" w:cs="Arial"/>
                <w:sz w:val="22"/>
                <w:szCs w:val="22"/>
                <w:shd w:val="clear" w:color="auto" w:fill="FFFFFF"/>
              </w:rPr>
              <w:t>project for the duration of the construction period to prevent and manage potential impacts and ensure the implementation of the ESM</w:t>
            </w:r>
            <w:r w:rsidRPr="00A1595D">
              <w:rPr>
                <w:rFonts w:ascii="Arial" w:eastAsia="Times New Roman" w:hAnsi="Arial" w:cs="Arial"/>
                <w:sz w:val="22"/>
                <w:szCs w:val="22"/>
                <w:shd w:val="clear" w:color="auto" w:fill="FFFFFF"/>
              </w:rPr>
              <w:t xml:space="preserve">P. The </w:t>
            </w:r>
            <w:r w:rsidR="001717CD">
              <w:rPr>
                <w:rFonts w:ascii="Arial" w:eastAsia="Times New Roman" w:hAnsi="Arial" w:cs="Arial"/>
                <w:sz w:val="22"/>
                <w:szCs w:val="22"/>
                <w:shd w:val="clear" w:color="auto" w:fill="FFFFFF"/>
              </w:rPr>
              <w:t xml:space="preserve">EMEP </w:t>
            </w:r>
            <w:r w:rsidRPr="00A1595D">
              <w:rPr>
                <w:rFonts w:ascii="Arial" w:eastAsia="Times New Roman" w:hAnsi="Arial" w:cs="Arial"/>
                <w:sz w:val="22"/>
                <w:szCs w:val="22"/>
                <w:shd w:val="clear" w:color="auto" w:fill="FFFFFF"/>
              </w:rPr>
              <w:t>project’s Environmental and Social Specialist will submit annual reports to the IDB.</w:t>
            </w:r>
          </w:p>
          <w:p w14:paraId="6FF6FB2F" w14:textId="77777777" w:rsidR="00B14132" w:rsidRPr="00A12925" w:rsidRDefault="00B14132" w:rsidP="00B14132">
            <w:pPr>
              <w:ind w:right="165"/>
              <w:jc w:val="both"/>
              <w:rPr>
                <w:rFonts w:ascii="Arial" w:eastAsia="Times New Roman" w:hAnsi="Arial" w:cs="Arial"/>
                <w:sz w:val="22"/>
                <w:szCs w:val="22"/>
                <w:shd w:val="clear" w:color="auto" w:fill="FFFFFF"/>
              </w:rPr>
            </w:pPr>
          </w:p>
          <w:p w14:paraId="710F28D1" w14:textId="77777777" w:rsidR="00B14132" w:rsidRPr="00A12925" w:rsidRDefault="00B14132" w:rsidP="00B14132">
            <w:pPr>
              <w:ind w:right="165"/>
              <w:jc w:val="both"/>
              <w:rPr>
                <w:rFonts w:ascii="Arial" w:eastAsia="Times New Roman" w:hAnsi="Arial" w:cs="Arial"/>
                <w:sz w:val="22"/>
                <w:szCs w:val="22"/>
                <w:shd w:val="clear" w:color="auto" w:fill="FFFFFF"/>
              </w:rPr>
            </w:pPr>
            <w:r w:rsidRPr="00A1595D">
              <w:rPr>
                <w:rFonts w:ascii="Arial" w:eastAsia="Times New Roman" w:hAnsi="Arial" w:cs="Arial"/>
                <w:sz w:val="22"/>
                <w:szCs w:val="22"/>
                <w:shd w:val="clear" w:color="auto" w:fill="FFFFFF"/>
              </w:rPr>
              <w:t>PCJ will be responsible for developing the Program Environmental and Social Management and Monitoring Program, and ensuring that all projects under the Program of works comply with the ESA, ESMP, ESMS, and IDB Requirements. It is the obligation of PCJ together with any Contractors or Subcontractors to develop and comply with all the requirements and stipulations identified therein. Acceptance of the ESMP reiterates the commitment by PCJ to minimize and prevent environmental effects to the extent possible while ensuring human health and safety. Ultimately, the Co</w:t>
            </w:r>
            <w:r w:rsidRPr="000019D9">
              <w:rPr>
                <w:rFonts w:ascii="Arial" w:eastAsia="Times New Roman" w:hAnsi="Arial" w:cs="Arial"/>
                <w:sz w:val="22"/>
                <w:szCs w:val="22"/>
                <w:shd w:val="clear" w:color="auto" w:fill="FFFFFF"/>
              </w:rPr>
              <w:t>ntractor accepts the conditions of the ESMP to maintain ESHS compliance. The Contractor will identify and assign roles and responsibilities for project ESHS management.</w:t>
            </w:r>
          </w:p>
          <w:p w14:paraId="6D9DC5BF" w14:textId="77777777" w:rsidR="00B14132" w:rsidRPr="00A12925" w:rsidRDefault="00B14132" w:rsidP="00B14132">
            <w:pPr>
              <w:ind w:right="165"/>
              <w:jc w:val="both"/>
              <w:rPr>
                <w:rFonts w:ascii="Arial" w:eastAsia="Times New Roman" w:hAnsi="Arial" w:cs="Arial"/>
                <w:sz w:val="22"/>
                <w:szCs w:val="22"/>
                <w:shd w:val="clear" w:color="auto" w:fill="FFFFFF"/>
              </w:rPr>
            </w:pPr>
          </w:p>
          <w:p w14:paraId="58B818E9" w14:textId="77777777" w:rsidR="00B14132" w:rsidRPr="00A1595D" w:rsidRDefault="00B14132" w:rsidP="00B14132">
            <w:pPr>
              <w:ind w:right="165"/>
              <w:jc w:val="both"/>
              <w:rPr>
                <w:rFonts w:ascii="Arial" w:eastAsia="Times New Roman" w:hAnsi="Arial" w:cs="Arial"/>
                <w:sz w:val="22"/>
                <w:szCs w:val="22"/>
                <w:shd w:val="clear" w:color="auto" w:fill="FFFFFF"/>
              </w:rPr>
            </w:pPr>
            <w:r w:rsidRPr="00A1595D">
              <w:rPr>
                <w:rFonts w:ascii="Arial" w:eastAsia="Times New Roman" w:hAnsi="Arial" w:cs="Arial"/>
                <w:sz w:val="22"/>
                <w:szCs w:val="22"/>
                <w:shd w:val="clear" w:color="auto" w:fill="FFFFFF"/>
              </w:rPr>
              <w:t xml:space="preserve">PCJ will be responsible for ensuring proper management of all wastes generated on site, presenting annual reports and audits summaries to the Bank. </w:t>
            </w:r>
          </w:p>
          <w:p w14:paraId="29A08B79" w14:textId="77777777" w:rsidR="00B14132" w:rsidRPr="00A1595D" w:rsidRDefault="00B14132" w:rsidP="00B14132">
            <w:pPr>
              <w:ind w:right="165"/>
              <w:jc w:val="both"/>
              <w:rPr>
                <w:rFonts w:ascii="Arial" w:eastAsia="Times New Roman" w:hAnsi="Arial" w:cs="Arial"/>
                <w:sz w:val="22"/>
                <w:szCs w:val="22"/>
                <w:shd w:val="clear" w:color="auto" w:fill="FFFFFF"/>
              </w:rPr>
            </w:pPr>
          </w:p>
          <w:p w14:paraId="0F1358DB" w14:textId="77777777" w:rsidR="00B14132" w:rsidRPr="00A12925" w:rsidDel="00A11ACD" w:rsidRDefault="00B14132" w:rsidP="00B14132">
            <w:pPr>
              <w:ind w:right="165"/>
              <w:jc w:val="both"/>
              <w:rPr>
                <w:rFonts w:ascii="Arial" w:eastAsia="Times New Roman" w:hAnsi="Arial" w:cs="Arial"/>
                <w:sz w:val="22"/>
                <w:szCs w:val="22"/>
                <w:shd w:val="clear" w:color="auto" w:fill="FFFFFF"/>
              </w:rPr>
            </w:pPr>
            <w:r w:rsidRPr="000019D9">
              <w:rPr>
                <w:rFonts w:ascii="Arial" w:eastAsia="Times New Roman" w:hAnsi="Arial" w:cs="Arial"/>
                <w:sz w:val="22"/>
                <w:szCs w:val="22"/>
                <w:shd w:val="clear" w:color="auto" w:fill="FFFFFF"/>
              </w:rPr>
              <w:t xml:space="preserve">The Bank will supervise the implementation of the environmental and social management and monitoring arrangements </w:t>
            </w:r>
            <w:r w:rsidRPr="00A1595D">
              <w:rPr>
                <w:rFonts w:ascii="Arial" w:eastAsia="Times New Roman" w:hAnsi="Arial" w:cs="Arial"/>
                <w:sz w:val="22"/>
                <w:szCs w:val="22"/>
                <w:shd w:val="clear" w:color="auto" w:fill="FFFFFF"/>
              </w:rPr>
              <w:t>annually during construction.</w:t>
            </w:r>
            <w:r w:rsidRPr="00A12925">
              <w:rPr>
                <w:rFonts w:ascii="Arial" w:eastAsia="Times New Roman" w:hAnsi="Arial" w:cs="Arial"/>
                <w:sz w:val="22"/>
                <w:szCs w:val="22"/>
                <w:shd w:val="clear" w:color="auto" w:fill="FFFFFF"/>
              </w:rPr>
              <w:t xml:space="preserve"> </w:t>
            </w:r>
          </w:p>
        </w:tc>
      </w:tr>
      <w:tr w:rsidR="00B14132" w:rsidRPr="007C0236" w14:paraId="499815BB"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5633294" w14:textId="77777777" w:rsidR="00B14132" w:rsidRPr="00A12925" w:rsidRDefault="00B14132" w:rsidP="00B14132">
            <w:pPr>
              <w:pStyle w:val="ListParagraph"/>
              <w:numPr>
                <w:ilvl w:val="0"/>
                <w:numId w:val="39"/>
              </w:numPr>
              <w:rPr>
                <w:rFonts w:ascii="Arial" w:eastAsia="Times New Roman" w:hAnsi="Arial" w:cs="Arial"/>
                <w:b/>
                <w:bCs/>
                <w:sz w:val="27"/>
                <w:szCs w:val="27"/>
              </w:rPr>
            </w:pPr>
            <w:r w:rsidRPr="00A12925">
              <w:rPr>
                <w:rFonts w:ascii="Arial" w:eastAsia="Times New Roman" w:hAnsi="Arial" w:cs="Arial"/>
                <w:b/>
                <w:bCs/>
                <w:sz w:val="27"/>
                <w:szCs w:val="27"/>
              </w:rPr>
              <w:t>Legal Requirements</w:t>
            </w:r>
          </w:p>
        </w:tc>
      </w:tr>
      <w:tr w:rsidR="00B14132" w:rsidRPr="007C0236" w14:paraId="25D6BB79"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A868916" w14:textId="2F690199" w:rsidR="00B14132" w:rsidRPr="00A12925" w:rsidRDefault="00B14132" w:rsidP="00B14132">
            <w:pPr>
              <w:tabs>
                <w:tab w:val="num" w:pos="720"/>
              </w:tabs>
              <w:ind w:right="165"/>
              <w:jc w:val="both"/>
              <w:rPr>
                <w:rFonts w:ascii="Arial" w:eastAsia="Times New Roman" w:hAnsi="Arial" w:cs="Arial"/>
                <w:color w:val="000000" w:themeColor="text1"/>
                <w:sz w:val="22"/>
                <w:szCs w:val="22"/>
                <w:shd w:val="clear" w:color="auto" w:fill="FFFFFF"/>
              </w:rPr>
            </w:pPr>
            <w:r w:rsidRPr="00A12925">
              <w:rPr>
                <w:rFonts w:ascii="Arial" w:eastAsia="Times New Roman" w:hAnsi="Arial" w:cs="Arial"/>
                <w:color w:val="000000" w:themeColor="text1"/>
                <w:sz w:val="22"/>
                <w:szCs w:val="22"/>
                <w:shd w:val="clear" w:color="auto" w:fill="FFFFFF"/>
              </w:rPr>
              <w:t xml:space="preserve">In order to meet the requirements of the Bank’s Environmental and Social Safeguard Policies, the </w:t>
            </w:r>
            <w:r w:rsidR="001717CD">
              <w:rPr>
                <w:rFonts w:ascii="Arial" w:eastAsia="Times New Roman" w:hAnsi="Arial" w:cs="Arial"/>
                <w:color w:val="000000" w:themeColor="text1"/>
                <w:sz w:val="22"/>
                <w:szCs w:val="22"/>
                <w:shd w:val="clear" w:color="auto" w:fill="FFFFFF"/>
              </w:rPr>
              <w:t xml:space="preserve">Beneficiary </w:t>
            </w:r>
            <w:r w:rsidRPr="00A12925">
              <w:rPr>
                <w:rFonts w:ascii="Arial" w:eastAsia="Times New Roman" w:hAnsi="Arial" w:cs="Arial"/>
                <w:color w:val="000000" w:themeColor="text1"/>
                <w:sz w:val="22"/>
                <w:szCs w:val="22"/>
                <w:shd w:val="clear" w:color="auto" w:fill="FFFFFF"/>
              </w:rPr>
              <w:t>, directly or through the Executing Agency, will comply to the satisfaction of the Bank with the ESHS contractual terms and conditions set forth below and detailed in Annex B hereto. These terms and conditions can only be modified with the prior written consent of the Bank, including clearance by ESG.</w:t>
            </w:r>
          </w:p>
          <w:p w14:paraId="46460F3F" w14:textId="77777777" w:rsidR="00B14132" w:rsidRPr="00A12925" w:rsidRDefault="00B14132" w:rsidP="00B14132">
            <w:pPr>
              <w:tabs>
                <w:tab w:val="num" w:pos="720"/>
              </w:tabs>
              <w:ind w:right="165"/>
              <w:jc w:val="both"/>
              <w:rPr>
                <w:rFonts w:ascii="Arial" w:eastAsia="Times New Roman" w:hAnsi="Arial" w:cs="Arial"/>
                <w:color w:val="000000" w:themeColor="text1"/>
                <w:sz w:val="22"/>
                <w:szCs w:val="22"/>
                <w:shd w:val="clear" w:color="auto" w:fill="FFFFFF"/>
                <w:lang w:val="en"/>
              </w:rPr>
            </w:pPr>
          </w:p>
          <w:p w14:paraId="08C3C034" w14:textId="77777777" w:rsidR="00B14132" w:rsidRPr="00F53FD0" w:rsidRDefault="00B14132" w:rsidP="00B14132">
            <w:pPr>
              <w:tabs>
                <w:tab w:val="num" w:pos="720"/>
              </w:tabs>
              <w:ind w:right="165"/>
              <w:jc w:val="both"/>
              <w:rPr>
                <w:rFonts w:ascii="Arial" w:eastAsia="Times New Roman" w:hAnsi="Arial" w:cs="Arial"/>
                <w:i/>
                <w:color w:val="000000" w:themeColor="text1"/>
                <w:sz w:val="22"/>
                <w:szCs w:val="22"/>
                <w:shd w:val="clear" w:color="auto" w:fill="FFFFFF"/>
              </w:rPr>
            </w:pPr>
            <w:r w:rsidRPr="00F53FD0">
              <w:rPr>
                <w:rFonts w:ascii="Arial" w:eastAsia="Times New Roman" w:hAnsi="Arial" w:cs="Arial"/>
                <w:i/>
                <w:color w:val="000000" w:themeColor="text1"/>
                <w:sz w:val="22"/>
                <w:szCs w:val="22"/>
                <w:shd w:val="clear" w:color="auto" w:fill="FFFFFF"/>
              </w:rPr>
              <w:t xml:space="preserve">(a) Conditions Prior (CP) to First Disbursement. </w:t>
            </w:r>
          </w:p>
          <w:p w14:paraId="21707C4F" w14:textId="1242EAFC" w:rsidR="00B14132" w:rsidRPr="00E26316" w:rsidRDefault="00B14132" w:rsidP="00B14132">
            <w:pPr>
              <w:autoSpaceDE w:val="0"/>
              <w:autoSpaceDN w:val="0"/>
              <w:adjustRightInd w:val="0"/>
              <w:jc w:val="both"/>
              <w:outlineLvl w:val="1"/>
              <w:rPr>
                <w:rFonts w:ascii="Arial" w:eastAsia="Times New Roman" w:hAnsi="Arial" w:cs="Arial"/>
                <w:sz w:val="22"/>
                <w:szCs w:val="22"/>
              </w:rPr>
            </w:pPr>
            <w:r w:rsidRPr="00E26316">
              <w:rPr>
                <w:rFonts w:ascii="Arial" w:eastAsia="Times New Roman" w:hAnsi="Arial" w:cs="Arial"/>
                <w:sz w:val="22"/>
                <w:szCs w:val="22"/>
              </w:rPr>
              <w:t>The Project will implement the project specific ESMP to assess and mitigate the negative impacts associated with the Project.  All project contractors will also be required to comply with the actions described in the ESMP.</w:t>
            </w:r>
            <w:r>
              <w:rPr>
                <w:rFonts w:ascii="Arial" w:eastAsia="Times New Roman" w:hAnsi="Arial" w:cs="Arial"/>
                <w:sz w:val="22"/>
                <w:szCs w:val="22"/>
              </w:rPr>
              <w:t xml:space="preserve"> </w:t>
            </w:r>
          </w:p>
          <w:p w14:paraId="735D96EC" w14:textId="77777777" w:rsidR="00B14132" w:rsidRDefault="00B14132" w:rsidP="00B14132">
            <w:pPr>
              <w:autoSpaceDE w:val="0"/>
              <w:autoSpaceDN w:val="0"/>
              <w:adjustRightInd w:val="0"/>
              <w:jc w:val="both"/>
              <w:outlineLvl w:val="1"/>
              <w:rPr>
                <w:rFonts w:ascii="Arial" w:eastAsia="Times New Roman" w:hAnsi="Arial" w:cs="Arial"/>
                <w:sz w:val="22"/>
                <w:szCs w:val="22"/>
              </w:rPr>
            </w:pPr>
            <w:r w:rsidRPr="00E26316">
              <w:rPr>
                <w:rFonts w:ascii="Arial" w:eastAsia="Times New Roman" w:hAnsi="Arial" w:cs="Arial"/>
                <w:sz w:val="22"/>
                <w:szCs w:val="22"/>
              </w:rPr>
              <w:t xml:space="preserve">The Project will appoint an Environmental and Social Specialist for the duration of the construction period to prevent and manage potential impacts and supervise and monitor mitigation measures (this action is inclusive of the requirement for JA-L1056, not in addition to). </w:t>
            </w:r>
          </w:p>
          <w:p w14:paraId="6873CCB9" w14:textId="77777777" w:rsidR="00B14132" w:rsidRDefault="00B14132" w:rsidP="00B14132">
            <w:pPr>
              <w:autoSpaceDE w:val="0"/>
              <w:autoSpaceDN w:val="0"/>
              <w:adjustRightInd w:val="0"/>
              <w:jc w:val="both"/>
              <w:outlineLvl w:val="1"/>
              <w:rPr>
                <w:rFonts w:ascii="Arial" w:eastAsia="Times New Roman" w:hAnsi="Arial" w:cs="Arial"/>
                <w:sz w:val="22"/>
                <w:szCs w:val="22"/>
              </w:rPr>
            </w:pPr>
          </w:p>
          <w:p w14:paraId="3D81D21D" w14:textId="77777777" w:rsidR="00B14132" w:rsidRPr="00E26316" w:rsidRDefault="00B14132" w:rsidP="00B14132">
            <w:pPr>
              <w:autoSpaceDE w:val="0"/>
              <w:autoSpaceDN w:val="0"/>
              <w:adjustRightInd w:val="0"/>
              <w:jc w:val="both"/>
              <w:outlineLvl w:val="1"/>
              <w:rPr>
                <w:rFonts w:ascii="Arial" w:eastAsia="Times New Roman" w:hAnsi="Arial" w:cs="Arial"/>
                <w:sz w:val="22"/>
                <w:szCs w:val="22"/>
                <w:highlight w:val="yellow"/>
              </w:rPr>
            </w:pPr>
            <w:r w:rsidRPr="00E26316">
              <w:rPr>
                <w:rFonts w:ascii="Arial" w:eastAsia="Times New Roman" w:hAnsi="Arial" w:cs="Arial"/>
                <w:sz w:val="22"/>
                <w:szCs w:val="22"/>
              </w:rPr>
              <w:t>Copies of relevant permits, contracts, and agreements shall be submitted to the Bank.</w:t>
            </w:r>
          </w:p>
          <w:p w14:paraId="38667482" w14:textId="77777777" w:rsidR="00B14132" w:rsidRDefault="00B14132" w:rsidP="00B14132">
            <w:pPr>
              <w:tabs>
                <w:tab w:val="num" w:pos="720"/>
              </w:tabs>
              <w:ind w:right="165"/>
              <w:jc w:val="both"/>
              <w:rPr>
                <w:rFonts w:ascii="Arial" w:hAnsi="Arial" w:cs="Arial"/>
                <w:bCs/>
                <w:color w:val="000000" w:themeColor="text1"/>
                <w:sz w:val="22"/>
                <w:szCs w:val="22"/>
              </w:rPr>
            </w:pPr>
          </w:p>
          <w:p w14:paraId="4D906E20" w14:textId="622E4EC3" w:rsidR="00B14132" w:rsidRPr="00F53FD0" w:rsidRDefault="00B14132" w:rsidP="00B14132">
            <w:pPr>
              <w:tabs>
                <w:tab w:val="num" w:pos="720"/>
              </w:tabs>
              <w:ind w:right="165"/>
              <w:jc w:val="both"/>
              <w:rPr>
                <w:rFonts w:ascii="Arial" w:hAnsi="Arial" w:cs="Arial"/>
                <w:bCs/>
                <w:i/>
                <w:color w:val="000000" w:themeColor="text1"/>
                <w:sz w:val="22"/>
                <w:szCs w:val="22"/>
              </w:rPr>
            </w:pPr>
            <w:r w:rsidRPr="00F53FD0">
              <w:rPr>
                <w:rFonts w:ascii="Arial" w:hAnsi="Arial" w:cs="Arial"/>
                <w:bCs/>
                <w:i/>
                <w:color w:val="000000" w:themeColor="text1"/>
                <w:sz w:val="22"/>
                <w:szCs w:val="22"/>
              </w:rPr>
              <w:t xml:space="preserve">(b) Conditions of Execution for Compliance during the Life of the </w:t>
            </w:r>
            <w:r w:rsidR="007415E3">
              <w:rPr>
                <w:rFonts w:ascii="Arial" w:hAnsi="Arial" w:cs="Arial"/>
                <w:bCs/>
                <w:i/>
                <w:color w:val="000000" w:themeColor="text1"/>
                <w:sz w:val="22"/>
                <w:szCs w:val="22"/>
              </w:rPr>
              <w:t>IGR</w:t>
            </w:r>
          </w:p>
          <w:p w14:paraId="38DDA5BB" w14:textId="1A2B23EF" w:rsidR="00B14132" w:rsidRPr="002C026B" w:rsidRDefault="00B14132" w:rsidP="00B14132">
            <w:pPr>
              <w:autoSpaceDE w:val="0"/>
              <w:autoSpaceDN w:val="0"/>
              <w:adjustRightInd w:val="0"/>
              <w:jc w:val="both"/>
              <w:rPr>
                <w:rFonts w:ascii="Times New Roman" w:eastAsia="Times New Roman" w:hAnsi="Times New Roman" w:cs="Times New Roman"/>
                <w:color w:val="000000"/>
                <w:highlight w:val="yellow"/>
              </w:rPr>
            </w:pPr>
            <w:r w:rsidRPr="00A12925">
              <w:rPr>
                <w:rFonts w:ascii="Arial" w:hAnsi="Arial" w:cs="Arial"/>
                <w:bCs/>
                <w:color w:val="000000" w:themeColor="text1"/>
                <w:sz w:val="22"/>
                <w:szCs w:val="22"/>
                <w:lang w:val="en"/>
              </w:rPr>
              <w:lastRenderedPageBreak/>
              <w:t>As further set forth in Annex B hereto</w:t>
            </w:r>
            <w:r>
              <w:rPr>
                <w:rFonts w:ascii="Arial" w:hAnsi="Arial" w:cs="Arial"/>
                <w:bCs/>
                <w:color w:val="000000" w:themeColor="text1"/>
                <w:sz w:val="22"/>
                <w:szCs w:val="22"/>
                <w:lang w:val="en"/>
              </w:rPr>
              <w:t>, t</w:t>
            </w:r>
            <w:r w:rsidRPr="00372827">
              <w:rPr>
                <w:rFonts w:ascii="Arial" w:eastAsia="Times New Roman" w:hAnsi="Arial" w:cs="Arial"/>
                <w:color w:val="000000"/>
                <w:sz w:val="22"/>
                <w:szCs w:val="22"/>
              </w:rPr>
              <w:t xml:space="preserve">he </w:t>
            </w:r>
            <w:r w:rsidR="007415E3">
              <w:rPr>
                <w:rFonts w:ascii="Arial" w:eastAsia="Times New Roman" w:hAnsi="Arial" w:cs="Arial"/>
                <w:color w:val="000000"/>
                <w:sz w:val="22"/>
                <w:szCs w:val="22"/>
              </w:rPr>
              <w:t>IDB will require within its IGR</w:t>
            </w:r>
            <w:r w:rsidRPr="00372827">
              <w:rPr>
                <w:rFonts w:ascii="Arial" w:eastAsia="Times New Roman" w:hAnsi="Arial" w:cs="Arial"/>
                <w:color w:val="000000"/>
                <w:sz w:val="22"/>
                <w:szCs w:val="22"/>
              </w:rPr>
              <w:t xml:space="preserve"> Agreement that the </w:t>
            </w:r>
            <w:r>
              <w:rPr>
                <w:rFonts w:ascii="Arial" w:eastAsia="Times New Roman" w:hAnsi="Arial" w:cs="Arial"/>
                <w:color w:val="000000"/>
                <w:sz w:val="22"/>
                <w:szCs w:val="22"/>
              </w:rPr>
              <w:t xml:space="preserve">Project and each Project party </w:t>
            </w:r>
            <w:r w:rsidRPr="00372827">
              <w:rPr>
                <w:rFonts w:ascii="Arial" w:eastAsia="Times New Roman" w:hAnsi="Arial" w:cs="Arial"/>
                <w:color w:val="000000"/>
                <w:sz w:val="22"/>
                <w:szCs w:val="22"/>
              </w:rPr>
              <w:t>and other Project/</w:t>
            </w:r>
            <w:r>
              <w:rPr>
                <w:rFonts w:ascii="Arial" w:eastAsia="Times New Roman" w:hAnsi="Arial" w:cs="Arial"/>
                <w:color w:val="000000"/>
                <w:sz w:val="22"/>
                <w:szCs w:val="22"/>
              </w:rPr>
              <w:t>ESHS</w:t>
            </w:r>
            <w:r w:rsidRPr="00372827">
              <w:rPr>
                <w:rFonts w:ascii="Arial" w:eastAsia="Times New Roman" w:hAnsi="Arial" w:cs="Arial"/>
                <w:color w:val="000000"/>
                <w:sz w:val="22"/>
                <w:szCs w:val="22"/>
              </w:rPr>
              <w:t xml:space="preserve"> parties, including construction companies and operators, and any contractors and sub-contractors will, at all t</w:t>
            </w:r>
            <w:r w:rsidR="007415E3">
              <w:rPr>
                <w:rFonts w:ascii="Arial" w:eastAsia="Times New Roman" w:hAnsi="Arial" w:cs="Arial"/>
                <w:color w:val="000000"/>
                <w:sz w:val="22"/>
                <w:szCs w:val="22"/>
              </w:rPr>
              <w:t>imes during the life of the IGR</w:t>
            </w:r>
            <w:r w:rsidRPr="00372827">
              <w:rPr>
                <w:rFonts w:ascii="Arial" w:eastAsia="Times New Roman" w:hAnsi="Arial" w:cs="Arial"/>
                <w:color w:val="000000"/>
                <w:sz w:val="22"/>
                <w:szCs w:val="22"/>
              </w:rPr>
              <w:t xml:space="preserve"> Agreement, comply with the following requirements: </w:t>
            </w:r>
          </w:p>
          <w:p w14:paraId="2A2BC430" w14:textId="77777777" w:rsidR="00B14132" w:rsidRPr="009A29EE" w:rsidRDefault="00B14132" w:rsidP="00B14132">
            <w:pPr>
              <w:pStyle w:val="ListParagraph"/>
              <w:numPr>
                <w:ilvl w:val="0"/>
                <w:numId w:val="46"/>
              </w:numPr>
              <w:spacing w:after="200" w:line="276" w:lineRule="auto"/>
              <w:jc w:val="both"/>
              <w:rPr>
                <w:rFonts w:ascii="Arial" w:eastAsia="Times New Roman" w:hAnsi="Arial" w:cs="Arial"/>
                <w:sz w:val="22"/>
                <w:szCs w:val="22"/>
              </w:rPr>
            </w:pPr>
            <w:r w:rsidRPr="009A29EE">
              <w:rPr>
                <w:rFonts w:ascii="Arial" w:eastAsia="Times New Roman" w:hAnsi="Arial" w:cs="Arial"/>
                <w:sz w:val="22"/>
                <w:szCs w:val="22"/>
              </w:rPr>
              <w:t xml:space="preserve">All applicable ESHS and labor regulatory requirements of Jamaica. </w:t>
            </w:r>
          </w:p>
          <w:p w14:paraId="6C122353" w14:textId="77777777" w:rsidR="00B14132" w:rsidRPr="009A29EE" w:rsidRDefault="00B14132" w:rsidP="00B14132">
            <w:pPr>
              <w:pStyle w:val="ListParagraph"/>
              <w:numPr>
                <w:ilvl w:val="0"/>
                <w:numId w:val="46"/>
              </w:numPr>
              <w:spacing w:after="200" w:line="276" w:lineRule="auto"/>
              <w:jc w:val="both"/>
              <w:rPr>
                <w:rFonts w:ascii="Arial" w:eastAsia="Times New Roman" w:hAnsi="Arial" w:cs="Arial"/>
                <w:sz w:val="22"/>
                <w:szCs w:val="22"/>
              </w:rPr>
            </w:pPr>
            <w:r w:rsidRPr="009A29EE">
              <w:rPr>
                <w:rFonts w:ascii="Arial" w:eastAsia="Times New Roman" w:hAnsi="Arial" w:cs="Arial"/>
                <w:sz w:val="22"/>
                <w:szCs w:val="22"/>
              </w:rPr>
              <w:t xml:space="preserve">All requirements associated with any ESHS and labor related permits, authorizations, or licenses that apply to the Project, the Borrower or any party responsible for executing the Project or its mitigation measures. </w:t>
            </w:r>
          </w:p>
          <w:p w14:paraId="0EE228B5" w14:textId="77777777" w:rsidR="00B14132" w:rsidRPr="009A29EE" w:rsidRDefault="00B14132" w:rsidP="00B14132">
            <w:pPr>
              <w:pStyle w:val="ListParagraph"/>
              <w:numPr>
                <w:ilvl w:val="0"/>
                <w:numId w:val="46"/>
              </w:numPr>
              <w:spacing w:after="200" w:line="276" w:lineRule="auto"/>
              <w:jc w:val="both"/>
              <w:rPr>
                <w:rFonts w:ascii="Arial" w:eastAsia="Times New Roman" w:hAnsi="Arial" w:cs="Arial"/>
                <w:sz w:val="22"/>
                <w:szCs w:val="22"/>
              </w:rPr>
            </w:pPr>
            <w:r w:rsidRPr="009A29EE">
              <w:rPr>
                <w:rFonts w:ascii="Arial" w:eastAsia="Times New Roman" w:hAnsi="Arial" w:cs="Arial"/>
                <w:sz w:val="22"/>
                <w:szCs w:val="22"/>
              </w:rPr>
              <w:t xml:space="preserve">All ESHS and labor requirements of the Project contracts and subsequent modifications. </w:t>
            </w:r>
          </w:p>
          <w:p w14:paraId="15405D7B" w14:textId="77777777" w:rsidR="00B14132" w:rsidRPr="009A29EE" w:rsidRDefault="00B14132" w:rsidP="00B14132">
            <w:pPr>
              <w:pStyle w:val="ListParagraph"/>
              <w:numPr>
                <w:ilvl w:val="0"/>
                <w:numId w:val="46"/>
              </w:numPr>
              <w:spacing w:after="200" w:line="276" w:lineRule="auto"/>
              <w:jc w:val="both"/>
              <w:rPr>
                <w:rFonts w:ascii="Arial" w:eastAsia="Times New Roman" w:hAnsi="Arial" w:cs="Arial"/>
                <w:sz w:val="22"/>
                <w:szCs w:val="22"/>
              </w:rPr>
            </w:pPr>
            <w:r w:rsidRPr="009A29EE">
              <w:rPr>
                <w:rFonts w:ascii="Arial" w:eastAsia="Times New Roman" w:hAnsi="Arial" w:cs="Arial"/>
                <w:sz w:val="22"/>
                <w:szCs w:val="22"/>
              </w:rPr>
              <w:t xml:space="preserve">All relevant IDB policies such as the Environment and Safeguards Compliance Policy (OP-703), the Disaster Risk Management Policy (OP-704) and the Disclosure of Information Policy (OP-102), and the Gender and Equity in Development Policy (OP-761) and their respective guidelines. </w:t>
            </w:r>
          </w:p>
          <w:p w14:paraId="614EF439" w14:textId="77777777" w:rsidR="00B14132" w:rsidRPr="009A29EE" w:rsidRDefault="00B14132" w:rsidP="00B14132">
            <w:pPr>
              <w:pStyle w:val="ListParagraph"/>
              <w:numPr>
                <w:ilvl w:val="0"/>
                <w:numId w:val="46"/>
              </w:numPr>
              <w:spacing w:after="200" w:line="276" w:lineRule="auto"/>
              <w:jc w:val="both"/>
              <w:rPr>
                <w:rFonts w:ascii="Arial" w:eastAsia="Times New Roman" w:hAnsi="Arial" w:cs="Arial"/>
                <w:sz w:val="22"/>
                <w:szCs w:val="22"/>
              </w:rPr>
            </w:pPr>
            <w:r w:rsidRPr="009A29EE">
              <w:rPr>
                <w:rFonts w:ascii="Arial" w:eastAsia="Times New Roman" w:hAnsi="Arial" w:cs="Arial"/>
                <w:sz w:val="22"/>
                <w:szCs w:val="22"/>
              </w:rPr>
              <w:t>Comply with all the requirements indicated in the Environmental and Social Action Plan (ESAP), in the event an ESAP is required.</w:t>
            </w:r>
          </w:p>
          <w:p w14:paraId="604781D5" w14:textId="77777777" w:rsidR="00B14132" w:rsidRDefault="00B14132" w:rsidP="00B14132">
            <w:pPr>
              <w:pStyle w:val="ListParagraph"/>
              <w:ind w:left="0" w:right="165"/>
              <w:jc w:val="both"/>
              <w:rPr>
                <w:rFonts w:ascii="Arial" w:hAnsi="Arial" w:cs="Arial"/>
                <w:bCs/>
                <w:color w:val="000000" w:themeColor="text1"/>
                <w:sz w:val="22"/>
                <w:szCs w:val="22"/>
                <w:lang w:val="en"/>
              </w:rPr>
            </w:pPr>
          </w:p>
          <w:p w14:paraId="324CC3F0" w14:textId="77777777" w:rsidR="00B14132" w:rsidRPr="000019D9" w:rsidRDefault="00B14132" w:rsidP="00B14132">
            <w:pPr>
              <w:autoSpaceDE w:val="0"/>
              <w:autoSpaceDN w:val="0"/>
              <w:adjustRightInd w:val="0"/>
              <w:ind w:left="720" w:hanging="720"/>
              <w:jc w:val="both"/>
              <w:outlineLvl w:val="1"/>
              <w:rPr>
                <w:rFonts w:ascii="Arial" w:eastAsia="Times New Roman" w:hAnsi="Arial" w:cs="Arial"/>
                <w:i/>
                <w:sz w:val="22"/>
                <w:szCs w:val="22"/>
              </w:rPr>
            </w:pPr>
            <w:r w:rsidRPr="00F53FD0">
              <w:rPr>
                <w:rFonts w:ascii="Arial" w:eastAsia="Times New Roman" w:hAnsi="Arial" w:cs="Arial"/>
                <w:i/>
                <w:sz w:val="22"/>
                <w:szCs w:val="22"/>
              </w:rPr>
              <w:t xml:space="preserve">(c) </w:t>
            </w:r>
            <w:r w:rsidRPr="000019D9">
              <w:rPr>
                <w:rFonts w:ascii="Arial" w:eastAsia="Times New Roman" w:hAnsi="Arial" w:cs="Arial"/>
                <w:i/>
                <w:sz w:val="22"/>
                <w:szCs w:val="22"/>
              </w:rPr>
              <w:t>Prior to Each Disbursement</w:t>
            </w:r>
          </w:p>
          <w:p w14:paraId="460595D2" w14:textId="60499378" w:rsidR="00B14132" w:rsidRPr="00372827" w:rsidRDefault="00B14132" w:rsidP="00B14132">
            <w:pPr>
              <w:autoSpaceDE w:val="0"/>
              <w:autoSpaceDN w:val="0"/>
              <w:adjustRightInd w:val="0"/>
              <w:jc w:val="both"/>
              <w:rPr>
                <w:rFonts w:ascii="Arial" w:eastAsia="Times New Roman" w:hAnsi="Arial" w:cs="Arial"/>
                <w:color w:val="000000"/>
                <w:sz w:val="22"/>
                <w:szCs w:val="22"/>
              </w:rPr>
            </w:pPr>
            <w:r w:rsidRPr="00372827">
              <w:rPr>
                <w:rFonts w:ascii="Arial" w:eastAsia="Times New Roman" w:hAnsi="Arial" w:cs="Arial"/>
                <w:color w:val="000000"/>
                <w:sz w:val="22"/>
                <w:szCs w:val="22"/>
              </w:rPr>
              <w:t>The Sponsor/</w:t>
            </w:r>
            <w:r w:rsidR="00CF6089">
              <w:rPr>
                <w:rFonts w:ascii="Arial" w:eastAsia="Times New Roman" w:hAnsi="Arial" w:cs="Arial"/>
                <w:color w:val="000000"/>
                <w:sz w:val="22"/>
                <w:szCs w:val="22"/>
              </w:rPr>
              <w:t xml:space="preserve">Beneficiary </w:t>
            </w:r>
            <w:r w:rsidRPr="00372827">
              <w:rPr>
                <w:rFonts w:ascii="Arial" w:eastAsia="Times New Roman" w:hAnsi="Arial" w:cs="Arial"/>
                <w:color w:val="000000"/>
                <w:sz w:val="22"/>
                <w:szCs w:val="22"/>
              </w:rPr>
              <w:t xml:space="preserve">/Company shall certify compliance with all </w:t>
            </w:r>
            <w:r>
              <w:rPr>
                <w:rFonts w:ascii="Arial" w:eastAsia="Times New Roman" w:hAnsi="Arial" w:cs="Arial"/>
                <w:color w:val="000000"/>
                <w:sz w:val="22"/>
                <w:szCs w:val="22"/>
              </w:rPr>
              <w:t>ESHS</w:t>
            </w:r>
            <w:r w:rsidRPr="00372827">
              <w:rPr>
                <w:rFonts w:ascii="Arial" w:eastAsia="Times New Roman" w:hAnsi="Arial" w:cs="Arial"/>
                <w:color w:val="000000"/>
                <w:sz w:val="22"/>
                <w:szCs w:val="22"/>
              </w:rPr>
              <w:t xml:space="preserve"> an</w:t>
            </w:r>
            <w:r w:rsidR="007415E3">
              <w:rPr>
                <w:rFonts w:ascii="Arial" w:eastAsia="Times New Roman" w:hAnsi="Arial" w:cs="Arial"/>
                <w:color w:val="000000"/>
                <w:sz w:val="22"/>
                <w:szCs w:val="22"/>
              </w:rPr>
              <w:t>d labor requirements in the IGR</w:t>
            </w:r>
            <w:r w:rsidRPr="00372827">
              <w:rPr>
                <w:rFonts w:ascii="Arial" w:eastAsia="Times New Roman" w:hAnsi="Arial" w:cs="Arial"/>
                <w:color w:val="000000"/>
                <w:sz w:val="22"/>
                <w:szCs w:val="22"/>
              </w:rPr>
              <w:t xml:space="preserve"> agreement, including any Corrective Action Plans if applicable. </w:t>
            </w:r>
          </w:p>
          <w:p w14:paraId="5F5165A4" w14:textId="77777777" w:rsidR="00B14132" w:rsidRPr="002C026B" w:rsidRDefault="00B14132" w:rsidP="00B14132">
            <w:pPr>
              <w:autoSpaceDE w:val="0"/>
              <w:autoSpaceDN w:val="0"/>
              <w:adjustRightInd w:val="0"/>
              <w:jc w:val="both"/>
              <w:rPr>
                <w:rFonts w:ascii="Times New Roman" w:eastAsia="Times New Roman" w:hAnsi="Times New Roman" w:cs="Times New Roman"/>
                <w:color w:val="000000"/>
              </w:rPr>
            </w:pPr>
          </w:p>
          <w:p w14:paraId="50B521F0" w14:textId="77777777" w:rsidR="00B14132" w:rsidRPr="000019D9" w:rsidRDefault="00B14132" w:rsidP="00B14132">
            <w:pPr>
              <w:autoSpaceDE w:val="0"/>
              <w:autoSpaceDN w:val="0"/>
              <w:adjustRightInd w:val="0"/>
              <w:ind w:left="720" w:hanging="720"/>
              <w:jc w:val="both"/>
              <w:outlineLvl w:val="1"/>
              <w:rPr>
                <w:rFonts w:ascii="Arial" w:eastAsia="Times New Roman" w:hAnsi="Arial" w:cs="Arial"/>
                <w:i/>
                <w:sz w:val="22"/>
                <w:szCs w:val="22"/>
              </w:rPr>
            </w:pPr>
            <w:r w:rsidRPr="00F53FD0">
              <w:rPr>
                <w:rFonts w:ascii="Arial" w:eastAsia="Times New Roman" w:hAnsi="Arial" w:cs="Arial"/>
                <w:i/>
                <w:sz w:val="22"/>
                <w:szCs w:val="22"/>
              </w:rPr>
              <w:t xml:space="preserve">(d) </w:t>
            </w:r>
            <w:r w:rsidRPr="000019D9">
              <w:rPr>
                <w:rFonts w:ascii="Arial" w:eastAsia="Times New Roman" w:hAnsi="Arial" w:cs="Arial"/>
                <w:i/>
                <w:sz w:val="22"/>
                <w:szCs w:val="22"/>
              </w:rPr>
              <w:t>Prior to Operations</w:t>
            </w:r>
          </w:p>
          <w:p w14:paraId="4FE3DA77" w14:textId="4973B283" w:rsidR="00B14132" w:rsidRPr="009A3517" w:rsidRDefault="00B14132" w:rsidP="00F53FD0">
            <w:pPr>
              <w:ind w:right="165"/>
              <w:jc w:val="both"/>
              <w:rPr>
                <w:rFonts w:ascii="Arial" w:hAnsi="Arial" w:cs="Arial"/>
                <w:bCs/>
                <w:color w:val="000000" w:themeColor="text1"/>
                <w:sz w:val="22"/>
                <w:szCs w:val="22"/>
                <w:highlight w:val="yellow"/>
              </w:rPr>
            </w:pPr>
            <w:r w:rsidRPr="00372827">
              <w:rPr>
                <w:rFonts w:ascii="Arial" w:eastAsia="Times New Roman" w:hAnsi="Arial" w:cs="Arial"/>
                <w:color w:val="000000"/>
                <w:sz w:val="22"/>
                <w:szCs w:val="22"/>
              </w:rPr>
              <w:t>The IDB or an E&amp;S consultant appointed by the IDB shall certify compliance with all ES</w:t>
            </w:r>
            <w:r>
              <w:rPr>
                <w:rFonts w:ascii="Arial" w:eastAsia="Times New Roman" w:hAnsi="Arial" w:cs="Arial"/>
                <w:color w:val="000000"/>
                <w:sz w:val="22"/>
                <w:szCs w:val="22"/>
              </w:rPr>
              <w:t>HS</w:t>
            </w:r>
            <w:r w:rsidR="007415E3">
              <w:rPr>
                <w:rFonts w:ascii="Arial" w:eastAsia="Times New Roman" w:hAnsi="Arial" w:cs="Arial"/>
                <w:color w:val="000000"/>
                <w:sz w:val="22"/>
                <w:szCs w:val="22"/>
              </w:rPr>
              <w:t xml:space="preserve"> requirements of the IGR </w:t>
            </w:r>
            <w:r w:rsidRPr="00372827">
              <w:rPr>
                <w:rFonts w:ascii="Arial" w:eastAsia="Times New Roman" w:hAnsi="Arial" w:cs="Arial"/>
                <w:color w:val="000000"/>
                <w:sz w:val="22"/>
                <w:szCs w:val="22"/>
              </w:rPr>
              <w:t>agreement including any Corrective Action Plans if applicable</w:t>
            </w:r>
            <w:r>
              <w:rPr>
                <w:rFonts w:ascii="Times New Roman" w:eastAsia="Times New Roman" w:hAnsi="Times New Roman" w:cs="Times New Roman"/>
                <w:color w:val="000000"/>
              </w:rPr>
              <w:t>.</w:t>
            </w:r>
          </w:p>
          <w:p w14:paraId="7340DEBE" w14:textId="77777777" w:rsidR="00B14132" w:rsidRPr="00A12925" w:rsidRDefault="00B14132" w:rsidP="00B14132">
            <w:pPr>
              <w:pStyle w:val="ListParagraph"/>
              <w:ind w:left="0" w:right="165"/>
              <w:jc w:val="both"/>
              <w:rPr>
                <w:rFonts w:ascii="Arial" w:hAnsi="Arial" w:cs="Arial"/>
                <w:bCs/>
                <w:color w:val="000000" w:themeColor="text1"/>
                <w:sz w:val="22"/>
                <w:szCs w:val="22"/>
                <w:lang w:val="en"/>
              </w:rPr>
            </w:pPr>
          </w:p>
          <w:p w14:paraId="1AAE2539" w14:textId="7C508659" w:rsidR="00B14132" w:rsidRPr="00A12925" w:rsidRDefault="00B14132" w:rsidP="00B14132">
            <w:pPr>
              <w:pStyle w:val="ListParagraph"/>
              <w:ind w:left="0" w:right="165"/>
              <w:jc w:val="both"/>
              <w:rPr>
                <w:rFonts w:ascii="Arial" w:hAnsi="Arial" w:cs="Arial"/>
                <w:bCs/>
                <w:color w:val="000000" w:themeColor="text1"/>
                <w:sz w:val="22"/>
                <w:szCs w:val="22"/>
              </w:rPr>
            </w:pPr>
            <w:r w:rsidRPr="00F53FD0">
              <w:rPr>
                <w:rFonts w:ascii="Arial" w:hAnsi="Arial" w:cs="Arial"/>
                <w:bCs/>
                <w:i/>
                <w:color w:val="000000" w:themeColor="text1"/>
                <w:sz w:val="22"/>
                <w:szCs w:val="22"/>
              </w:rPr>
              <w:t xml:space="preserve">Annex B - </w:t>
            </w:r>
            <w:r w:rsidRPr="00A12925">
              <w:rPr>
                <w:rFonts w:ascii="Arial" w:hAnsi="Arial" w:cs="Arial"/>
                <w:bCs/>
                <w:color w:val="000000" w:themeColor="text1"/>
                <w:sz w:val="22"/>
                <w:szCs w:val="22"/>
              </w:rPr>
              <w:t>Annex B attached hereto sets forth the ESHS conditions, plans and requirements to be co</w:t>
            </w:r>
            <w:r w:rsidR="007415E3">
              <w:rPr>
                <w:rFonts w:ascii="Arial" w:hAnsi="Arial" w:cs="Arial"/>
                <w:bCs/>
                <w:color w:val="000000" w:themeColor="text1"/>
                <w:sz w:val="22"/>
                <w:szCs w:val="22"/>
              </w:rPr>
              <w:t>ntractually required in the IGR</w:t>
            </w:r>
            <w:r w:rsidRPr="00A12925">
              <w:rPr>
                <w:rFonts w:ascii="Arial" w:hAnsi="Arial" w:cs="Arial"/>
                <w:bCs/>
                <w:color w:val="000000" w:themeColor="text1"/>
                <w:sz w:val="22"/>
                <w:szCs w:val="22"/>
              </w:rPr>
              <w:t xml:space="preserve"> Agreement. See Annex B.</w:t>
            </w:r>
          </w:p>
        </w:tc>
      </w:tr>
      <w:tr w:rsidR="00B14132" w:rsidRPr="007C0236" w14:paraId="4EE6A1D8"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E2DA8A" w14:textId="77777777" w:rsidR="00B14132" w:rsidRPr="009F0069" w:rsidRDefault="00B14132" w:rsidP="00B14132">
            <w:pPr>
              <w:pStyle w:val="ListParagraph"/>
              <w:numPr>
                <w:ilvl w:val="0"/>
                <w:numId w:val="39"/>
              </w:numPr>
              <w:rPr>
                <w:rFonts w:ascii="Arial" w:eastAsia="Times New Roman" w:hAnsi="Arial" w:cs="Arial"/>
                <w:b/>
                <w:bCs/>
                <w:sz w:val="27"/>
                <w:szCs w:val="27"/>
              </w:rPr>
            </w:pPr>
            <w:r w:rsidRPr="009F0069">
              <w:rPr>
                <w:rFonts w:ascii="Arial" w:eastAsia="Times New Roman" w:hAnsi="Arial" w:cs="Arial"/>
                <w:b/>
                <w:bCs/>
                <w:sz w:val="27"/>
                <w:szCs w:val="27"/>
              </w:rPr>
              <w:lastRenderedPageBreak/>
              <w:t xml:space="preserve">Summary of Compliance with IDB Safeguard Policies </w:t>
            </w:r>
          </w:p>
        </w:tc>
      </w:tr>
      <w:tr w:rsidR="00B14132" w:rsidRPr="007C0236" w14:paraId="097F3596"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0DBC0C7" w14:textId="77777777" w:rsidR="00B14132" w:rsidRPr="00A12925" w:rsidRDefault="00B14132" w:rsidP="00B14132">
            <w:pPr>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See overleaf.</w:t>
            </w:r>
          </w:p>
        </w:tc>
      </w:tr>
    </w:tbl>
    <w:p w14:paraId="7037842C" w14:textId="77777777" w:rsidR="004D3CD1" w:rsidRPr="007C0236" w:rsidRDefault="004D3CD1" w:rsidP="004127F6">
      <w:pPr>
        <w:rPr>
          <w:rFonts w:ascii="Arial" w:hAnsi="Arial" w:cs="Arial"/>
          <w:bCs/>
          <w:sz w:val="18"/>
          <w:szCs w:val="20"/>
        </w:rPr>
        <w:sectPr w:rsidR="004D3CD1" w:rsidRPr="007C0236" w:rsidSect="005354FC">
          <w:headerReference w:type="default" r:id="rId12"/>
          <w:footerReference w:type="default" r:id="rId13"/>
          <w:pgSz w:w="12240" w:h="15840"/>
          <w:pgMar w:top="1440" w:right="1800" w:bottom="1440" w:left="1170" w:header="720" w:footer="720" w:gutter="0"/>
          <w:cols w:space="720"/>
          <w:titlePg/>
          <w:docGrid w:linePitch="360"/>
        </w:sectPr>
      </w:pPr>
    </w:p>
    <w:p w14:paraId="1CD678AC" w14:textId="77777777" w:rsidR="004D3CD1" w:rsidRPr="007C0236" w:rsidRDefault="00874CC0" w:rsidP="004D3CD1">
      <w:pPr>
        <w:rPr>
          <w:rFonts w:ascii="Arial" w:hAnsi="Arial" w:cs="Arial"/>
          <w:b/>
          <w:sz w:val="20"/>
          <w:szCs w:val="20"/>
        </w:rPr>
      </w:pPr>
      <w:r>
        <w:rPr>
          <w:rFonts w:ascii="Arial" w:hAnsi="Arial" w:cs="Arial"/>
          <w:b/>
          <w:sz w:val="20"/>
          <w:szCs w:val="20"/>
        </w:rPr>
        <w:lastRenderedPageBreak/>
        <w:t xml:space="preserve">Annex A. </w:t>
      </w:r>
      <w:r w:rsidR="00D055D3" w:rsidRPr="007C0236">
        <w:rPr>
          <w:rFonts w:ascii="Arial" w:hAnsi="Arial" w:cs="Arial"/>
          <w:b/>
          <w:sz w:val="20"/>
          <w:szCs w:val="20"/>
        </w:rPr>
        <w:t>Summary of Compliance with IDB Safeguard Policies</w:t>
      </w:r>
      <w:r w:rsidR="00AF5C47" w:rsidRPr="007C0236">
        <w:rPr>
          <w:rStyle w:val="FootnoteReference"/>
          <w:rFonts w:ascii="Arial" w:hAnsi="Arial" w:cs="Arial"/>
          <w:b/>
          <w:sz w:val="20"/>
          <w:szCs w:val="20"/>
        </w:rPr>
        <w:footnoteReference w:id="4"/>
      </w:r>
    </w:p>
    <w:tbl>
      <w:tblPr>
        <w:tblStyle w:val="TableGrid"/>
        <w:tblW w:w="13793" w:type="dxa"/>
        <w:tblInd w:w="-5" w:type="dxa"/>
        <w:tblLayout w:type="fixed"/>
        <w:tblLook w:val="04A0" w:firstRow="1" w:lastRow="0" w:firstColumn="1" w:lastColumn="0" w:noHBand="0" w:noVBand="1"/>
      </w:tblPr>
      <w:tblGrid>
        <w:gridCol w:w="2903"/>
        <w:gridCol w:w="2160"/>
        <w:gridCol w:w="4320"/>
        <w:gridCol w:w="4410"/>
      </w:tblGrid>
      <w:tr w:rsidR="002C120B" w:rsidRPr="007C0236" w14:paraId="75712B5D" w14:textId="77777777" w:rsidTr="000361A6">
        <w:trPr>
          <w:trHeight w:val="323"/>
        </w:trPr>
        <w:tc>
          <w:tcPr>
            <w:tcW w:w="2903" w:type="dxa"/>
            <w:shd w:val="clear" w:color="auto" w:fill="95B3D7" w:themeFill="accent1" w:themeFillTint="99"/>
            <w:vAlign w:val="center"/>
          </w:tcPr>
          <w:p w14:paraId="6AE010E9" w14:textId="77777777" w:rsidR="002C120B" w:rsidRPr="006F7063" w:rsidRDefault="002C120B">
            <w:pPr>
              <w:tabs>
                <w:tab w:val="left" w:pos="3200"/>
              </w:tabs>
              <w:jc w:val="center"/>
              <w:rPr>
                <w:rFonts w:ascii="Arial" w:hAnsi="Arial" w:cs="Arial"/>
                <w:b/>
                <w:sz w:val="22"/>
                <w:szCs w:val="22"/>
              </w:rPr>
            </w:pPr>
            <w:r w:rsidRPr="006F7063">
              <w:rPr>
                <w:rFonts w:ascii="Arial" w:hAnsi="Arial" w:cs="Arial"/>
                <w:b/>
                <w:sz w:val="22"/>
                <w:szCs w:val="22"/>
              </w:rPr>
              <w:t>Policies</w:t>
            </w:r>
            <w:r w:rsidR="00A00C5A">
              <w:rPr>
                <w:rFonts w:ascii="Arial" w:hAnsi="Arial" w:cs="Arial"/>
                <w:b/>
                <w:sz w:val="22"/>
                <w:szCs w:val="22"/>
              </w:rPr>
              <w:t xml:space="preserve"> </w:t>
            </w:r>
            <w:r w:rsidRPr="006F7063">
              <w:rPr>
                <w:rFonts w:ascii="Arial" w:hAnsi="Arial" w:cs="Arial"/>
                <w:b/>
                <w:sz w:val="22"/>
                <w:szCs w:val="22"/>
              </w:rPr>
              <w:t>/ Directives</w:t>
            </w:r>
          </w:p>
        </w:tc>
        <w:tc>
          <w:tcPr>
            <w:tcW w:w="2160" w:type="dxa"/>
            <w:tcBorders>
              <w:bottom w:val="single" w:sz="4" w:space="0" w:color="auto"/>
            </w:tcBorders>
            <w:shd w:val="clear" w:color="auto" w:fill="95B3D7" w:themeFill="accent1" w:themeFillTint="99"/>
            <w:vAlign w:val="center"/>
          </w:tcPr>
          <w:p w14:paraId="30F59DDA" w14:textId="77777777" w:rsidR="002C120B" w:rsidRPr="006F7063" w:rsidRDefault="002C120B">
            <w:pPr>
              <w:tabs>
                <w:tab w:val="left" w:pos="3200"/>
              </w:tabs>
              <w:jc w:val="center"/>
              <w:rPr>
                <w:rFonts w:ascii="Arial" w:hAnsi="Arial" w:cs="Arial"/>
                <w:b/>
                <w:sz w:val="22"/>
                <w:szCs w:val="22"/>
              </w:rPr>
            </w:pPr>
            <w:r w:rsidRPr="006F7063">
              <w:rPr>
                <w:rFonts w:ascii="Arial" w:hAnsi="Arial" w:cs="Arial"/>
                <w:b/>
                <w:sz w:val="22"/>
                <w:szCs w:val="22"/>
              </w:rPr>
              <w:t>Applicable Policy</w:t>
            </w:r>
            <w:r w:rsidR="00A00C5A">
              <w:rPr>
                <w:rFonts w:ascii="Arial" w:hAnsi="Arial" w:cs="Arial"/>
                <w:b/>
                <w:sz w:val="22"/>
                <w:szCs w:val="22"/>
              </w:rPr>
              <w:t xml:space="preserve"> </w:t>
            </w:r>
            <w:r w:rsidRPr="006F7063">
              <w:rPr>
                <w:rFonts w:ascii="Arial" w:hAnsi="Arial" w:cs="Arial"/>
                <w:b/>
                <w:sz w:val="22"/>
                <w:szCs w:val="22"/>
              </w:rPr>
              <w:t>/</w:t>
            </w:r>
            <w:r w:rsidR="00A00C5A">
              <w:rPr>
                <w:rFonts w:ascii="Arial" w:hAnsi="Arial" w:cs="Arial"/>
                <w:b/>
                <w:sz w:val="22"/>
                <w:szCs w:val="22"/>
              </w:rPr>
              <w:t xml:space="preserve"> </w:t>
            </w:r>
            <w:r w:rsidRPr="006F7063">
              <w:rPr>
                <w:rFonts w:ascii="Arial" w:hAnsi="Arial" w:cs="Arial"/>
                <w:b/>
                <w:sz w:val="22"/>
                <w:szCs w:val="22"/>
              </w:rPr>
              <w:t>Directive Aspect</w:t>
            </w:r>
          </w:p>
        </w:tc>
        <w:tc>
          <w:tcPr>
            <w:tcW w:w="4320" w:type="dxa"/>
            <w:tcBorders>
              <w:bottom w:val="single" w:sz="4" w:space="0" w:color="auto"/>
            </w:tcBorders>
            <w:shd w:val="clear" w:color="auto" w:fill="95B3D7" w:themeFill="accent1" w:themeFillTint="99"/>
            <w:vAlign w:val="center"/>
          </w:tcPr>
          <w:p w14:paraId="59B57A8D" w14:textId="77777777" w:rsidR="002C120B" w:rsidRPr="006F7063" w:rsidRDefault="002C120B" w:rsidP="00B505FD">
            <w:pPr>
              <w:tabs>
                <w:tab w:val="left" w:pos="3200"/>
              </w:tabs>
              <w:jc w:val="center"/>
              <w:rPr>
                <w:rFonts w:ascii="Arial" w:hAnsi="Arial" w:cs="Arial"/>
                <w:b/>
                <w:sz w:val="22"/>
                <w:szCs w:val="22"/>
              </w:rPr>
            </w:pPr>
            <w:r w:rsidRPr="006F7063">
              <w:rPr>
                <w:rFonts w:ascii="Arial" w:hAnsi="Arial" w:cs="Arial"/>
                <w:b/>
                <w:sz w:val="22"/>
                <w:szCs w:val="22"/>
              </w:rPr>
              <w:t xml:space="preserve">Compliance Status </w:t>
            </w:r>
            <w:r w:rsidR="0057636F" w:rsidRPr="006F7063">
              <w:rPr>
                <w:rFonts w:ascii="Arial" w:hAnsi="Arial" w:cs="Arial"/>
                <w:b/>
                <w:sz w:val="22"/>
                <w:szCs w:val="22"/>
              </w:rPr>
              <w:t xml:space="preserve">and Rationale </w:t>
            </w:r>
            <w:r w:rsidRPr="006F7063">
              <w:rPr>
                <w:rFonts w:ascii="Arial" w:hAnsi="Arial" w:cs="Arial"/>
                <w:b/>
                <w:sz w:val="22"/>
                <w:szCs w:val="22"/>
              </w:rPr>
              <w:t>with Policy / Directive Requirements</w:t>
            </w:r>
          </w:p>
        </w:tc>
        <w:tc>
          <w:tcPr>
            <w:tcW w:w="4410" w:type="dxa"/>
            <w:tcBorders>
              <w:bottom w:val="single" w:sz="4" w:space="0" w:color="auto"/>
            </w:tcBorders>
            <w:shd w:val="clear" w:color="auto" w:fill="95B3D7" w:themeFill="accent1" w:themeFillTint="99"/>
            <w:vAlign w:val="center"/>
          </w:tcPr>
          <w:p w14:paraId="222B6291" w14:textId="77777777" w:rsidR="002C120B" w:rsidRPr="006F7063" w:rsidRDefault="002C120B">
            <w:pPr>
              <w:tabs>
                <w:tab w:val="left" w:pos="3200"/>
              </w:tabs>
              <w:jc w:val="center"/>
              <w:rPr>
                <w:rFonts w:ascii="Arial" w:hAnsi="Arial" w:cs="Arial"/>
                <w:b/>
                <w:sz w:val="22"/>
                <w:szCs w:val="22"/>
              </w:rPr>
            </w:pPr>
            <w:r w:rsidRPr="006F7063">
              <w:rPr>
                <w:rFonts w:ascii="Arial" w:hAnsi="Arial" w:cs="Arial"/>
                <w:b/>
                <w:sz w:val="22"/>
                <w:szCs w:val="22"/>
              </w:rPr>
              <w:t>Requirements</w:t>
            </w:r>
            <w:r w:rsidR="00A00C5A">
              <w:rPr>
                <w:rFonts w:ascii="Arial" w:hAnsi="Arial" w:cs="Arial"/>
                <w:b/>
                <w:sz w:val="22"/>
                <w:szCs w:val="22"/>
              </w:rPr>
              <w:t xml:space="preserve"> </w:t>
            </w:r>
            <w:r w:rsidRPr="006F7063">
              <w:rPr>
                <w:rFonts w:ascii="Arial" w:hAnsi="Arial" w:cs="Arial"/>
                <w:b/>
                <w:sz w:val="22"/>
                <w:szCs w:val="22"/>
              </w:rPr>
              <w:t>/</w:t>
            </w:r>
            <w:r w:rsidR="00A00C5A">
              <w:rPr>
                <w:rFonts w:ascii="Arial" w:hAnsi="Arial" w:cs="Arial"/>
                <w:b/>
                <w:sz w:val="22"/>
                <w:szCs w:val="22"/>
              </w:rPr>
              <w:t xml:space="preserve"> </w:t>
            </w:r>
            <w:r w:rsidRPr="006F7063">
              <w:rPr>
                <w:rFonts w:ascii="Arial" w:hAnsi="Arial" w:cs="Arial"/>
                <w:b/>
                <w:sz w:val="22"/>
                <w:szCs w:val="22"/>
              </w:rPr>
              <w:t>Actions</w:t>
            </w:r>
            <w:r w:rsidR="00A00C5A">
              <w:rPr>
                <w:rFonts w:ascii="Arial" w:hAnsi="Arial" w:cs="Arial"/>
                <w:b/>
                <w:sz w:val="22"/>
                <w:szCs w:val="22"/>
              </w:rPr>
              <w:t xml:space="preserve"> </w:t>
            </w:r>
            <w:r w:rsidRPr="006F7063">
              <w:rPr>
                <w:rFonts w:ascii="Arial" w:hAnsi="Arial" w:cs="Arial"/>
                <w:b/>
                <w:sz w:val="22"/>
                <w:szCs w:val="22"/>
              </w:rPr>
              <w:t>/</w:t>
            </w:r>
            <w:r w:rsidR="00A00C5A">
              <w:rPr>
                <w:rFonts w:ascii="Arial" w:hAnsi="Arial" w:cs="Arial"/>
                <w:b/>
                <w:sz w:val="22"/>
                <w:szCs w:val="22"/>
              </w:rPr>
              <w:t xml:space="preserve"> </w:t>
            </w:r>
            <w:r w:rsidRPr="006F7063">
              <w:rPr>
                <w:rFonts w:ascii="Arial" w:hAnsi="Arial" w:cs="Arial"/>
                <w:b/>
                <w:sz w:val="22"/>
                <w:szCs w:val="22"/>
              </w:rPr>
              <w:t>Plans</w:t>
            </w:r>
          </w:p>
        </w:tc>
      </w:tr>
      <w:tr w:rsidR="00EE20EB" w:rsidRPr="007C0236" w14:paraId="4BF8271B" w14:textId="77777777" w:rsidTr="000361A6">
        <w:trPr>
          <w:trHeight w:val="323"/>
        </w:trPr>
        <w:tc>
          <w:tcPr>
            <w:tcW w:w="13793" w:type="dxa"/>
            <w:gridSpan w:val="4"/>
            <w:shd w:val="clear" w:color="auto" w:fill="D9D9D9" w:themeFill="background1" w:themeFillShade="D9"/>
            <w:vAlign w:val="center"/>
          </w:tcPr>
          <w:p w14:paraId="1199950F" w14:textId="77777777" w:rsidR="00EE20EB" w:rsidRPr="006F7063" w:rsidRDefault="00EE20EB" w:rsidP="006F7063">
            <w:pPr>
              <w:tabs>
                <w:tab w:val="left" w:pos="3200"/>
              </w:tabs>
              <w:jc w:val="both"/>
              <w:rPr>
                <w:rFonts w:ascii="Arial" w:hAnsi="Arial" w:cs="Arial"/>
                <w:sz w:val="22"/>
                <w:szCs w:val="22"/>
              </w:rPr>
            </w:pPr>
            <w:r w:rsidRPr="006F7063">
              <w:rPr>
                <w:rFonts w:ascii="Arial" w:hAnsi="Arial" w:cs="Arial"/>
                <w:b/>
                <w:sz w:val="22"/>
                <w:szCs w:val="22"/>
              </w:rPr>
              <w:t>OP-703 Environment and Safeguards Compliance Policy</w:t>
            </w:r>
          </w:p>
        </w:tc>
      </w:tr>
      <w:tr w:rsidR="00483A9C" w:rsidRPr="007C0236" w14:paraId="7F015B89" w14:textId="77777777" w:rsidTr="000361A6">
        <w:trPr>
          <w:trHeight w:val="323"/>
        </w:trPr>
        <w:tc>
          <w:tcPr>
            <w:tcW w:w="2903" w:type="dxa"/>
            <w:shd w:val="clear" w:color="auto" w:fill="D9D9D9" w:themeFill="background1" w:themeFillShade="D9"/>
            <w:vAlign w:val="center"/>
          </w:tcPr>
          <w:p w14:paraId="0A011BAA" w14:textId="77777777" w:rsidR="00483A9C" w:rsidRPr="000361A6" w:rsidRDefault="00483A9C" w:rsidP="00483A9C">
            <w:pPr>
              <w:tabs>
                <w:tab w:val="left" w:pos="3200"/>
              </w:tabs>
              <w:rPr>
                <w:rFonts w:ascii="Arial" w:hAnsi="Arial" w:cs="Arial"/>
                <w:sz w:val="20"/>
                <w:szCs w:val="20"/>
              </w:rPr>
            </w:pPr>
            <w:r w:rsidRPr="000361A6">
              <w:rPr>
                <w:rFonts w:ascii="Arial" w:hAnsi="Arial" w:cs="Arial"/>
                <w:sz w:val="20"/>
                <w:szCs w:val="20"/>
              </w:rPr>
              <w:t>B.2 Country Laws and Regulations</w:t>
            </w:r>
          </w:p>
        </w:tc>
        <w:tc>
          <w:tcPr>
            <w:tcW w:w="2160" w:type="dxa"/>
            <w:vAlign w:val="center"/>
          </w:tcPr>
          <w:p w14:paraId="678F0EF7" w14:textId="77777777" w:rsidR="00483A9C" w:rsidRPr="006F7063" w:rsidRDefault="00056FCE" w:rsidP="00483A9C">
            <w:pPr>
              <w:tabs>
                <w:tab w:val="left" w:pos="3200"/>
              </w:tabs>
              <w:jc w:val="both"/>
              <w:rPr>
                <w:rFonts w:ascii="Arial" w:hAnsi="Arial" w:cs="Arial"/>
                <w:sz w:val="22"/>
                <w:szCs w:val="22"/>
              </w:rPr>
            </w:pPr>
            <w:r>
              <w:rPr>
                <w:rFonts w:ascii="Arial" w:hAnsi="Arial" w:cs="Arial"/>
                <w:sz w:val="22"/>
                <w:szCs w:val="22"/>
              </w:rPr>
              <w:t>ESA</w:t>
            </w:r>
          </w:p>
        </w:tc>
        <w:tc>
          <w:tcPr>
            <w:tcW w:w="4320" w:type="dxa"/>
          </w:tcPr>
          <w:p w14:paraId="763DFB22" w14:textId="77777777" w:rsidR="00483A9C" w:rsidRPr="006F7063" w:rsidRDefault="00056FCE" w:rsidP="00483A9C">
            <w:pPr>
              <w:tabs>
                <w:tab w:val="left" w:pos="3200"/>
              </w:tabs>
              <w:jc w:val="both"/>
              <w:rPr>
                <w:rFonts w:ascii="Arial" w:hAnsi="Arial" w:cs="Arial"/>
                <w:sz w:val="22"/>
                <w:szCs w:val="22"/>
              </w:rPr>
            </w:pPr>
            <w:r w:rsidRPr="00056FCE">
              <w:rPr>
                <w:rFonts w:ascii="Arial" w:hAnsi="Arial" w:cs="Arial"/>
                <w:sz w:val="22"/>
                <w:szCs w:val="22"/>
              </w:rPr>
              <w:t>Compliance not achieved/expected</w:t>
            </w:r>
            <w:r>
              <w:rPr>
                <w:rFonts w:ascii="Arial" w:hAnsi="Arial" w:cs="Arial"/>
                <w:sz w:val="22"/>
                <w:szCs w:val="22"/>
              </w:rPr>
              <w:t xml:space="preserve"> since no ESA or Environmental Permits are required for the operation. </w:t>
            </w:r>
          </w:p>
        </w:tc>
        <w:tc>
          <w:tcPr>
            <w:tcW w:w="4410" w:type="dxa"/>
          </w:tcPr>
          <w:p w14:paraId="42D84CA6" w14:textId="77777777" w:rsidR="00483A9C" w:rsidRPr="006F7063" w:rsidRDefault="00056FCE" w:rsidP="00483A9C">
            <w:pPr>
              <w:tabs>
                <w:tab w:val="left" w:pos="3200"/>
              </w:tabs>
              <w:jc w:val="both"/>
              <w:rPr>
                <w:rFonts w:ascii="Arial" w:hAnsi="Arial" w:cs="Arial"/>
                <w:sz w:val="22"/>
                <w:szCs w:val="22"/>
              </w:rPr>
            </w:pPr>
            <w:r>
              <w:rPr>
                <w:rFonts w:ascii="Arial" w:hAnsi="Arial" w:cs="Arial"/>
                <w:sz w:val="22"/>
                <w:szCs w:val="22"/>
              </w:rPr>
              <w:t>No action required</w:t>
            </w:r>
          </w:p>
        </w:tc>
      </w:tr>
      <w:tr w:rsidR="00056FCE" w:rsidRPr="007C0236" w14:paraId="30A3BCD2" w14:textId="77777777" w:rsidTr="000361A6">
        <w:trPr>
          <w:trHeight w:val="323"/>
        </w:trPr>
        <w:tc>
          <w:tcPr>
            <w:tcW w:w="2903" w:type="dxa"/>
            <w:shd w:val="clear" w:color="auto" w:fill="D9D9D9" w:themeFill="background1" w:themeFillShade="D9"/>
            <w:vAlign w:val="center"/>
          </w:tcPr>
          <w:p w14:paraId="722191CD" w14:textId="77777777" w:rsidR="00056FCE" w:rsidRPr="000361A6" w:rsidRDefault="00056FCE" w:rsidP="00056FCE">
            <w:pPr>
              <w:tabs>
                <w:tab w:val="left" w:pos="3200"/>
              </w:tabs>
              <w:rPr>
                <w:rFonts w:ascii="Arial" w:hAnsi="Arial" w:cs="Arial"/>
                <w:sz w:val="20"/>
                <w:szCs w:val="20"/>
              </w:rPr>
            </w:pPr>
            <w:r w:rsidRPr="000361A6">
              <w:rPr>
                <w:rFonts w:ascii="Arial" w:hAnsi="Arial" w:cs="Arial"/>
                <w:sz w:val="20"/>
                <w:szCs w:val="20"/>
              </w:rPr>
              <w:t>B.3 Screening and Classification</w:t>
            </w:r>
          </w:p>
        </w:tc>
        <w:tc>
          <w:tcPr>
            <w:tcW w:w="2160" w:type="dxa"/>
            <w:vAlign w:val="center"/>
          </w:tcPr>
          <w:p w14:paraId="0CE34935" w14:textId="77777777" w:rsidR="00056FCE" w:rsidRPr="006F7063" w:rsidRDefault="00056FCE" w:rsidP="00056FCE">
            <w:pPr>
              <w:tabs>
                <w:tab w:val="left" w:pos="3200"/>
              </w:tabs>
              <w:jc w:val="both"/>
              <w:rPr>
                <w:rFonts w:ascii="Arial" w:hAnsi="Arial" w:cs="Arial"/>
                <w:sz w:val="22"/>
                <w:szCs w:val="22"/>
              </w:rPr>
            </w:pPr>
            <w:r w:rsidRPr="00DD427A">
              <w:rPr>
                <w:rFonts w:ascii="Arial" w:hAnsi="Arial" w:cs="Arial"/>
                <w:sz w:val="22"/>
                <w:szCs w:val="22"/>
              </w:rPr>
              <w:t>Screening and Classification</w:t>
            </w:r>
          </w:p>
        </w:tc>
        <w:tc>
          <w:tcPr>
            <w:tcW w:w="4320" w:type="dxa"/>
          </w:tcPr>
          <w:p w14:paraId="067C20BE" w14:textId="77777777" w:rsidR="00056FCE" w:rsidRPr="006F7063" w:rsidRDefault="00056FCE" w:rsidP="00056FCE">
            <w:pPr>
              <w:tabs>
                <w:tab w:val="left" w:pos="3200"/>
              </w:tabs>
              <w:jc w:val="both"/>
              <w:rPr>
                <w:rFonts w:ascii="Arial" w:hAnsi="Arial" w:cs="Arial"/>
                <w:sz w:val="22"/>
                <w:szCs w:val="22"/>
              </w:rPr>
            </w:pPr>
            <w:r w:rsidRPr="00056FCE">
              <w:rPr>
                <w:rFonts w:ascii="Arial" w:hAnsi="Arial" w:cs="Arial"/>
                <w:sz w:val="22"/>
                <w:szCs w:val="22"/>
              </w:rPr>
              <w:t>Full compliance achieved</w:t>
            </w:r>
            <w:r>
              <w:rPr>
                <w:rFonts w:ascii="Arial" w:hAnsi="Arial" w:cs="Arial"/>
                <w:sz w:val="22"/>
                <w:szCs w:val="22"/>
              </w:rPr>
              <w:t>, project categorized as B</w:t>
            </w:r>
          </w:p>
        </w:tc>
        <w:tc>
          <w:tcPr>
            <w:tcW w:w="4410" w:type="dxa"/>
          </w:tcPr>
          <w:p w14:paraId="6300CC1F" w14:textId="77777777" w:rsidR="00056FCE" w:rsidRPr="006F7063" w:rsidRDefault="00056FCE" w:rsidP="00056FCE">
            <w:pPr>
              <w:tabs>
                <w:tab w:val="left" w:pos="3200"/>
              </w:tabs>
              <w:jc w:val="both"/>
              <w:rPr>
                <w:rFonts w:ascii="Arial" w:hAnsi="Arial" w:cs="Arial"/>
                <w:sz w:val="22"/>
                <w:szCs w:val="22"/>
              </w:rPr>
            </w:pPr>
            <w:r>
              <w:rPr>
                <w:rFonts w:ascii="Arial" w:hAnsi="Arial" w:cs="Arial"/>
                <w:sz w:val="22"/>
                <w:szCs w:val="22"/>
              </w:rPr>
              <w:t>No action required</w:t>
            </w:r>
          </w:p>
        </w:tc>
      </w:tr>
      <w:tr w:rsidR="00A12925" w:rsidRPr="007C0236" w14:paraId="5427400C" w14:textId="77777777" w:rsidTr="000361A6">
        <w:trPr>
          <w:trHeight w:val="323"/>
        </w:trPr>
        <w:tc>
          <w:tcPr>
            <w:tcW w:w="2903" w:type="dxa"/>
            <w:shd w:val="clear" w:color="auto" w:fill="D9D9D9" w:themeFill="background1" w:themeFillShade="D9"/>
            <w:vAlign w:val="center"/>
          </w:tcPr>
          <w:p w14:paraId="148F8BEC" w14:textId="77777777" w:rsidR="00A12925" w:rsidRPr="000361A6" w:rsidRDefault="00A12925" w:rsidP="00A12925">
            <w:pPr>
              <w:tabs>
                <w:tab w:val="left" w:pos="3200"/>
              </w:tabs>
              <w:rPr>
                <w:rFonts w:ascii="Arial" w:hAnsi="Arial" w:cs="Arial"/>
                <w:sz w:val="20"/>
                <w:szCs w:val="20"/>
              </w:rPr>
            </w:pPr>
            <w:r w:rsidRPr="000361A6">
              <w:rPr>
                <w:rFonts w:ascii="Arial" w:hAnsi="Arial" w:cs="Arial"/>
                <w:sz w:val="20"/>
                <w:szCs w:val="20"/>
              </w:rPr>
              <w:t>B.4 Other Risk Factors</w:t>
            </w:r>
          </w:p>
        </w:tc>
        <w:tc>
          <w:tcPr>
            <w:tcW w:w="2160" w:type="dxa"/>
            <w:vAlign w:val="center"/>
          </w:tcPr>
          <w:p w14:paraId="61F7A916" w14:textId="77777777" w:rsidR="00A12925" w:rsidRPr="006F7063" w:rsidRDefault="00425139" w:rsidP="00A12925">
            <w:pPr>
              <w:tabs>
                <w:tab w:val="left" w:pos="3200"/>
              </w:tabs>
              <w:jc w:val="both"/>
              <w:rPr>
                <w:rFonts w:ascii="Arial" w:hAnsi="Arial" w:cs="Arial"/>
                <w:sz w:val="22"/>
                <w:szCs w:val="22"/>
              </w:rPr>
            </w:pPr>
            <w:r>
              <w:rPr>
                <w:rFonts w:ascii="Arial" w:hAnsi="Arial" w:cs="Arial"/>
                <w:sz w:val="22"/>
                <w:szCs w:val="22"/>
              </w:rPr>
              <w:t>Associated Liabilities</w:t>
            </w:r>
          </w:p>
        </w:tc>
        <w:tc>
          <w:tcPr>
            <w:tcW w:w="4320" w:type="dxa"/>
          </w:tcPr>
          <w:p w14:paraId="751E8E5A" w14:textId="77777777" w:rsidR="00A12925" w:rsidRPr="006F7063" w:rsidRDefault="00425139" w:rsidP="00A12925">
            <w:pPr>
              <w:tabs>
                <w:tab w:val="left" w:pos="3200"/>
              </w:tabs>
              <w:jc w:val="both"/>
              <w:rPr>
                <w:rFonts w:ascii="Arial" w:hAnsi="Arial" w:cs="Arial"/>
                <w:sz w:val="22"/>
                <w:szCs w:val="22"/>
              </w:rPr>
            </w:pPr>
            <w:r>
              <w:rPr>
                <w:rFonts w:ascii="Arial" w:hAnsi="Arial" w:cs="Arial"/>
                <w:sz w:val="22"/>
                <w:szCs w:val="22"/>
              </w:rPr>
              <w:t>T</w:t>
            </w:r>
            <w:r w:rsidRPr="00425139">
              <w:rPr>
                <w:rFonts w:ascii="Arial" w:hAnsi="Arial" w:cs="Arial"/>
                <w:sz w:val="22"/>
                <w:szCs w:val="22"/>
              </w:rPr>
              <w:t>he Project is associated with the operation JA-L1056</w:t>
            </w:r>
          </w:p>
        </w:tc>
        <w:tc>
          <w:tcPr>
            <w:tcW w:w="4410" w:type="dxa"/>
          </w:tcPr>
          <w:p w14:paraId="3047F8F9" w14:textId="77777777" w:rsidR="00A12925" w:rsidRPr="006F7063" w:rsidRDefault="00425139" w:rsidP="00A12925">
            <w:pPr>
              <w:tabs>
                <w:tab w:val="left" w:pos="3200"/>
              </w:tabs>
              <w:jc w:val="both"/>
              <w:rPr>
                <w:rFonts w:ascii="Arial" w:hAnsi="Arial" w:cs="Arial"/>
                <w:sz w:val="22"/>
                <w:szCs w:val="22"/>
              </w:rPr>
            </w:pPr>
            <w:r>
              <w:rPr>
                <w:rFonts w:ascii="Arial" w:hAnsi="Arial" w:cs="Arial"/>
                <w:sz w:val="22"/>
                <w:szCs w:val="22"/>
              </w:rPr>
              <w:t xml:space="preserve">During execution, </w:t>
            </w:r>
            <w:r w:rsidRPr="00425139">
              <w:rPr>
                <w:rFonts w:ascii="Arial" w:hAnsi="Arial" w:cs="Arial"/>
                <w:sz w:val="22"/>
                <w:szCs w:val="22"/>
              </w:rPr>
              <w:t>IDB will monitor whether significant ESHS liabilities associated</w:t>
            </w:r>
            <w:r w:rsidR="00036458">
              <w:rPr>
                <w:rFonts w:ascii="Arial" w:hAnsi="Arial" w:cs="Arial"/>
                <w:sz w:val="22"/>
                <w:szCs w:val="22"/>
              </w:rPr>
              <w:t xml:space="preserve"> to JA-L1056</w:t>
            </w:r>
            <w:r w:rsidRPr="00425139">
              <w:rPr>
                <w:rFonts w:ascii="Arial" w:hAnsi="Arial" w:cs="Arial"/>
                <w:sz w:val="22"/>
                <w:szCs w:val="22"/>
              </w:rPr>
              <w:t xml:space="preserve"> exist or are pending resolution.</w:t>
            </w:r>
          </w:p>
        </w:tc>
      </w:tr>
      <w:tr w:rsidR="00A12925" w:rsidRPr="007C0236" w14:paraId="7BCAFA54" w14:textId="77777777" w:rsidTr="000361A6">
        <w:trPr>
          <w:trHeight w:val="323"/>
        </w:trPr>
        <w:tc>
          <w:tcPr>
            <w:tcW w:w="2903" w:type="dxa"/>
            <w:shd w:val="clear" w:color="auto" w:fill="D9D9D9" w:themeFill="background1" w:themeFillShade="D9"/>
            <w:vAlign w:val="center"/>
          </w:tcPr>
          <w:p w14:paraId="00D0F32A" w14:textId="77777777" w:rsidR="00A12925" w:rsidRPr="000361A6" w:rsidRDefault="00A12925" w:rsidP="00A12925">
            <w:pPr>
              <w:tabs>
                <w:tab w:val="left" w:pos="3200"/>
              </w:tabs>
              <w:rPr>
                <w:rFonts w:ascii="Arial" w:hAnsi="Arial" w:cs="Arial"/>
                <w:sz w:val="20"/>
                <w:szCs w:val="20"/>
              </w:rPr>
            </w:pPr>
            <w:r w:rsidRPr="000361A6">
              <w:rPr>
                <w:rFonts w:ascii="Arial" w:hAnsi="Arial" w:cs="Arial"/>
                <w:sz w:val="20"/>
                <w:szCs w:val="20"/>
              </w:rPr>
              <w:t>B.5 Environmental Assessment and Plans Requirements</w:t>
            </w:r>
          </w:p>
        </w:tc>
        <w:tc>
          <w:tcPr>
            <w:tcW w:w="2160" w:type="dxa"/>
            <w:vMerge w:val="restart"/>
            <w:vAlign w:val="center"/>
          </w:tcPr>
          <w:p w14:paraId="6B0D4DD3" w14:textId="77777777" w:rsidR="00A12925" w:rsidRPr="006F7063" w:rsidRDefault="00A12925" w:rsidP="00A12925">
            <w:pPr>
              <w:tabs>
                <w:tab w:val="left" w:pos="3200"/>
              </w:tabs>
              <w:jc w:val="both"/>
              <w:rPr>
                <w:rFonts w:ascii="Arial" w:hAnsi="Arial" w:cs="Arial"/>
                <w:sz w:val="22"/>
                <w:szCs w:val="22"/>
              </w:rPr>
            </w:pPr>
            <w:r>
              <w:rPr>
                <w:rFonts w:ascii="Arial" w:hAnsi="Arial" w:cs="Arial"/>
                <w:sz w:val="22"/>
                <w:szCs w:val="22"/>
              </w:rPr>
              <w:t>ESA and ESMP</w:t>
            </w:r>
          </w:p>
        </w:tc>
        <w:tc>
          <w:tcPr>
            <w:tcW w:w="4320" w:type="dxa"/>
            <w:vMerge w:val="restart"/>
          </w:tcPr>
          <w:p w14:paraId="786F8100" w14:textId="45ED38C0" w:rsidR="00A12925" w:rsidRPr="006F7063" w:rsidRDefault="00A1595D" w:rsidP="00A12925">
            <w:pPr>
              <w:tabs>
                <w:tab w:val="left" w:pos="3200"/>
              </w:tabs>
              <w:jc w:val="both"/>
              <w:rPr>
                <w:rFonts w:ascii="Arial" w:hAnsi="Arial" w:cs="Arial"/>
                <w:sz w:val="22"/>
                <w:szCs w:val="22"/>
              </w:rPr>
            </w:pPr>
            <w:r>
              <w:rPr>
                <w:rFonts w:ascii="Arial" w:hAnsi="Arial" w:cs="Arial"/>
                <w:sz w:val="22"/>
                <w:szCs w:val="22"/>
              </w:rPr>
              <w:t>An ESA, including an ESMP, was prepared in August 2016.</w:t>
            </w:r>
          </w:p>
        </w:tc>
        <w:tc>
          <w:tcPr>
            <w:tcW w:w="4410" w:type="dxa"/>
            <w:vMerge w:val="restart"/>
          </w:tcPr>
          <w:p w14:paraId="68B4D136" w14:textId="5B67169A" w:rsidR="00A12925" w:rsidRPr="006F7063" w:rsidRDefault="00745768" w:rsidP="00A12925">
            <w:pPr>
              <w:tabs>
                <w:tab w:val="left" w:pos="3200"/>
              </w:tabs>
              <w:jc w:val="both"/>
              <w:rPr>
                <w:rFonts w:ascii="Arial" w:hAnsi="Arial" w:cs="Arial"/>
                <w:sz w:val="22"/>
                <w:szCs w:val="22"/>
              </w:rPr>
            </w:pPr>
            <w:r>
              <w:rPr>
                <w:rFonts w:ascii="Arial" w:hAnsi="Arial" w:cs="Arial"/>
                <w:sz w:val="22"/>
                <w:szCs w:val="22"/>
              </w:rPr>
              <w:t>Prior Construction, the IDB will monitor whether</w:t>
            </w:r>
            <w:r>
              <w:rPr>
                <w:rFonts w:ascii="Arial" w:hAnsi="Arial" w:cs="Arial"/>
                <w:bCs/>
                <w:color w:val="000000" w:themeColor="text1"/>
                <w:sz w:val="22"/>
                <w:szCs w:val="22"/>
              </w:rPr>
              <w:t xml:space="preserve"> final</w:t>
            </w:r>
            <w:r w:rsidR="00A12925">
              <w:rPr>
                <w:rFonts w:ascii="Arial" w:hAnsi="Arial" w:cs="Arial"/>
                <w:bCs/>
                <w:color w:val="000000" w:themeColor="text1"/>
                <w:sz w:val="22"/>
                <w:szCs w:val="22"/>
              </w:rPr>
              <w:t xml:space="preserve"> operational ESMS, ESMP, Waste Management Plan, EPRP, OHS and Community HS Management Plan </w:t>
            </w:r>
            <w:r>
              <w:rPr>
                <w:rFonts w:ascii="Arial" w:hAnsi="Arial" w:cs="Arial"/>
                <w:bCs/>
                <w:color w:val="000000" w:themeColor="text1"/>
                <w:sz w:val="22"/>
                <w:szCs w:val="22"/>
              </w:rPr>
              <w:t>are</w:t>
            </w:r>
            <w:r w:rsidR="00A12925">
              <w:rPr>
                <w:rFonts w:ascii="Arial" w:hAnsi="Arial" w:cs="Arial"/>
                <w:bCs/>
                <w:color w:val="000000" w:themeColor="text1"/>
                <w:sz w:val="22"/>
                <w:szCs w:val="22"/>
              </w:rPr>
              <w:t xml:space="preserve"> implemented and available.</w:t>
            </w:r>
          </w:p>
        </w:tc>
      </w:tr>
      <w:tr w:rsidR="00A12925" w:rsidRPr="007C0236" w14:paraId="4D93B9DE" w14:textId="77777777" w:rsidTr="000361A6">
        <w:trPr>
          <w:trHeight w:val="323"/>
        </w:trPr>
        <w:tc>
          <w:tcPr>
            <w:tcW w:w="2903" w:type="dxa"/>
            <w:shd w:val="clear" w:color="auto" w:fill="D9D9D9" w:themeFill="background1" w:themeFillShade="D9"/>
            <w:vAlign w:val="center"/>
          </w:tcPr>
          <w:p w14:paraId="34F25011" w14:textId="77777777" w:rsidR="00A12925" w:rsidRPr="000361A6" w:rsidRDefault="00A12925" w:rsidP="00A12925">
            <w:pPr>
              <w:tabs>
                <w:tab w:val="left" w:pos="3200"/>
              </w:tabs>
              <w:rPr>
                <w:rFonts w:ascii="Arial" w:hAnsi="Arial" w:cs="Arial"/>
                <w:sz w:val="20"/>
                <w:szCs w:val="20"/>
              </w:rPr>
            </w:pPr>
            <w:r w:rsidRPr="000361A6">
              <w:rPr>
                <w:rFonts w:ascii="Arial" w:hAnsi="Arial" w:cs="Arial"/>
                <w:sz w:val="20"/>
                <w:szCs w:val="20"/>
              </w:rPr>
              <w:t>B.5 Social</w:t>
            </w:r>
          </w:p>
          <w:p w14:paraId="4EF67737" w14:textId="77777777" w:rsidR="00A12925" w:rsidRPr="000361A6" w:rsidRDefault="00A12925" w:rsidP="00A12925">
            <w:pPr>
              <w:tabs>
                <w:tab w:val="left" w:pos="3200"/>
              </w:tabs>
              <w:rPr>
                <w:rFonts w:ascii="Arial" w:hAnsi="Arial" w:cs="Arial"/>
                <w:sz w:val="20"/>
                <w:szCs w:val="20"/>
              </w:rPr>
            </w:pPr>
            <w:r w:rsidRPr="000361A6">
              <w:rPr>
                <w:rFonts w:ascii="Arial" w:hAnsi="Arial" w:cs="Arial"/>
                <w:sz w:val="20"/>
                <w:szCs w:val="20"/>
              </w:rPr>
              <w:t>Assessment and Plans Requirements</w:t>
            </w:r>
          </w:p>
        </w:tc>
        <w:tc>
          <w:tcPr>
            <w:tcW w:w="2160" w:type="dxa"/>
            <w:vMerge/>
            <w:vAlign w:val="center"/>
          </w:tcPr>
          <w:p w14:paraId="6048470E" w14:textId="77777777" w:rsidR="00A12925" w:rsidRPr="006F7063" w:rsidRDefault="00A12925" w:rsidP="00A12925">
            <w:pPr>
              <w:tabs>
                <w:tab w:val="left" w:pos="3200"/>
              </w:tabs>
              <w:jc w:val="both"/>
              <w:rPr>
                <w:rFonts w:ascii="Arial" w:hAnsi="Arial" w:cs="Arial"/>
                <w:sz w:val="22"/>
                <w:szCs w:val="22"/>
              </w:rPr>
            </w:pPr>
          </w:p>
        </w:tc>
        <w:tc>
          <w:tcPr>
            <w:tcW w:w="4320" w:type="dxa"/>
            <w:vMerge/>
          </w:tcPr>
          <w:p w14:paraId="4FDAC844" w14:textId="77777777" w:rsidR="00A12925" w:rsidRPr="006F7063" w:rsidRDefault="00A12925" w:rsidP="00A12925">
            <w:pPr>
              <w:tabs>
                <w:tab w:val="left" w:pos="3200"/>
              </w:tabs>
              <w:jc w:val="both"/>
              <w:rPr>
                <w:rFonts w:ascii="Arial" w:hAnsi="Arial" w:cs="Arial"/>
                <w:sz w:val="22"/>
                <w:szCs w:val="22"/>
              </w:rPr>
            </w:pPr>
          </w:p>
        </w:tc>
        <w:tc>
          <w:tcPr>
            <w:tcW w:w="4410" w:type="dxa"/>
            <w:vMerge/>
          </w:tcPr>
          <w:p w14:paraId="1741ACED" w14:textId="77777777" w:rsidR="00A12925" w:rsidRPr="006F7063" w:rsidRDefault="00A12925" w:rsidP="00A12925">
            <w:pPr>
              <w:tabs>
                <w:tab w:val="left" w:pos="3200"/>
              </w:tabs>
              <w:jc w:val="both"/>
              <w:rPr>
                <w:rFonts w:ascii="Arial" w:hAnsi="Arial" w:cs="Arial"/>
                <w:sz w:val="22"/>
                <w:szCs w:val="22"/>
              </w:rPr>
            </w:pPr>
          </w:p>
        </w:tc>
      </w:tr>
      <w:tr w:rsidR="00AF7840" w:rsidRPr="007C0236" w14:paraId="49711C3C" w14:textId="77777777" w:rsidTr="000361A6">
        <w:trPr>
          <w:trHeight w:val="323"/>
        </w:trPr>
        <w:tc>
          <w:tcPr>
            <w:tcW w:w="2903" w:type="dxa"/>
            <w:shd w:val="clear" w:color="auto" w:fill="D9D9D9" w:themeFill="background1" w:themeFillShade="D9"/>
            <w:vAlign w:val="center"/>
          </w:tcPr>
          <w:p w14:paraId="374E5536"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B.6 Consultation</w:t>
            </w:r>
            <w:r>
              <w:rPr>
                <w:rFonts w:ascii="Arial" w:hAnsi="Arial" w:cs="Arial"/>
                <w:sz w:val="20"/>
                <w:szCs w:val="20"/>
              </w:rPr>
              <w:t xml:space="preserve"> (including consultation with affected women, indigenous persons, and/or minority groups)</w:t>
            </w:r>
          </w:p>
        </w:tc>
        <w:tc>
          <w:tcPr>
            <w:tcW w:w="2160" w:type="dxa"/>
            <w:vAlign w:val="center"/>
          </w:tcPr>
          <w:p w14:paraId="5327D11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Consultation</w:t>
            </w:r>
          </w:p>
        </w:tc>
        <w:tc>
          <w:tcPr>
            <w:tcW w:w="4320" w:type="dxa"/>
          </w:tcPr>
          <w:p w14:paraId="398DE681" w14:textId="3A132794" w:rsidR="00AF7840" w:rsidRPr="006F7063" w:rsidRDefault="00036458" w:rsidP="00AF7840">
            <w:pPr>
              <w:tabs>
                <w:tab w:val="left" w:pos="3200"/>
              </w:tabs>
              <w:jc w:val="both"/>
              <w:rPr>
                <w:rFonts w:ascii="Arial" w:hAnsi="Arial" w:cs="Arial"/>
                <w:sz w:val="22"/>
                <w:szCs w:val="22"/>
              </w:rPr>
            </w:pPr>
            <w:r>
              <w:rPr>
                <w:rFonts w:ascii="Arial" w:hAnsi="Arial" w:cs="Arial"/>
                <w:sz w:val="22"/>
                <w:szCs w:val="22"/>
              </w:rPr>
              <w:t>C</w:t>
            </w:r>
            <w:r w:rsidR="00AF7840">
              <w:rPr>
                <w:rFonts w:ascii="Arial" w:hAnsi="Arial" w:cs="Arial"/>
                <w:sz w:val="22"/>
                <w:szCs w:val="22"/>
              </w:rPr>
              <w:t xml:space="preserve">onsultation conducted on </w:t>
            </w:r>
            <w:r w:rsidR="00AF7840" w:rsidRPr="00473C45">
              <w:rPr>
                <w:rFonts w:ascii="Arial" w:eastAsia="Times New Roman" w:hAnsi="Arial" w:cs="Arial"/>
                <w:sz w:val="22"/>
                <w:szCs w:val="22"/>
                <w:shd w:val="clear" w:color="auto" w:fill="FFFFFF"/>
              </w:rPr>
              <w:t>September 22, 2016</w:t>
            </w:r>
            <w:r>
              <w:rPr>
                <w:rFonts w:ascii="Arial" w:eastAsia="Times New Roman" w:hAnsi="Arial" w:cs="Arial"/>
                <w:sz w:val="22"/>
                <w:szCs w:val="22"/>
                <w:shd w:val="clear" w:color="auto" w:fill="FFFFFF"/>
              </w:rPr>
              <w:t xml:space="preserve"> and </w:t>
            </w:r>
            <w:r w:rsidR="00AF7840">
              <w:rPr>
                <w:rFonts w:ascii="Arial" w:eastAsia="Times New Roman" w:hAnsi="Arial" w:cs="Arial"/>
                <w:sz w:val="22"/>
                <w:szCs w:val="22"/>
                <w:shd w:val="clear" w:color="auto" w:fill="FFFFFF"/>
              </w:rPr>
              <w:t xml:space="preserve">consultation report submitted to IDB. </w:t>
            </w:r>
            <w:r w:rsidR="00674390">
              <w:rPr>
                <w:rFonts w:ascii="Arial" w:eastAsia="Times New Roman" w:hAnsi="Arial" w:cs="Arial"/>
                <w:sz w:val="22"/>
                <w:szCs w:val="22"/>
                <w:shd w:val="clear" w:color="auto" w:fill="FFFFFF"/>
              </w:rPr>
              <w:t xml:space="preserve">A </w:t>
            </w:r>
            <w:r>
              <w:rPr>
                <w:rFonts w:ascii="Arial" w:eastAsia="Times New Roman" w:hAnsi="Arial" w:cs="Arial"/>
                <w:sz w:val="22"/>
                <w:szCs w:val="22"/>
                <w:shd w:val="clear" w:color="auto" w:fill="FFFFFF"/>
              </w:rPr>
              <w:t>G</w:t>
            </w:r>
            <w:r w:rsidR="00674390">
              <w:rPr>
                <w:rFonts w:ascii="Arial" w:eastAsia="Times New Roman" w:hAnsi="Arial" w:cs="Arial"/>
                <w:sz w:val="22"/>
                <w:szCs w:val="22"/>
                <w:shd w:val="clear" w:color="auto" w:fill="FFFFFF"/>
              </w:rPr>
              <w:t xml:space="preserve">rievance Mechanism has been </w:t>
            </w:r>
            <w:r w:rsidR="009A734D">
              <w:rPr>
                <w:rFonts w:ascii="Arial" w:eastAsia="Times New Roman" w:hAnsi="Arial" w:cs="Arial"/>
                <w:sz w:val="22"/>
                <w:szCs w:val="22"/>
                <w:shd w:val="clear" w:color="auto" w:fill="FFFFFF"/>
              </w:rPr>
              <w:t>defined</w:t>
            </w:r>
            <w:r w:rsidR="00AF7840">
              <w:rPr>
                <w:rFonts w:ascii="Arial" w:eastAsia="Times New Roman" w:hAnsi="Arial" w:cs="Arial"/>
                <w:sz w:val="22"/>
                <w:szCs w:val="22"/>
                <w:shd w:val="clear" w:color="auto" w:fill="FFFFFF"/>
              </w:rPr>
              <w:t>.</w:t>
            </w:r>
          </w:p>
        </w:tc>
        <w:tc>
          <w:tcPr>
            <w:tcW w:w="4410" w:type="dxa"/>
          </w:tcPr>
          <w:p w14:paraId="13D0B9B5" w14:textId="240CEBFD" w:rsidR="00AF7840" w:rsidRPr="00276A8F" w:rsidRDefault="00745768" w:rsidP="00AF7840">
            <w:pPr>
              <w:tabs>
                <w:tab w:val="left" w:pos="3200"/>
              </w:tabs>
              <w:jc w:val="both"/>
              <w:rPr>
                <w:rFonts w:ascii="Arial" w:eastAsia="Times New Roman" w:hAnsi="Arial" w:cs="Arial"/>
                <w:color w:val="000000" w:themeColor="text1"/>
                <w:sz w:val="22"/>
                <w:szCs w:val="22"/>
                <w:shd w:val="clear" w:color="auto" w:fill="FFFFFF"/>
              </w:rPr>
            </w:pPr>
            <w:r>
              <w:rPr>
                <w:rFonts w:ascii="Arial" w:hAnsi="Arial" w:cs="Arial"/>
                <w:sz w:val="22"/>
                <w:szCs w:val="22"/>
              </w:rPr>
              <w:t>Prior Construction, the IDB will monitor whether</w:t>
            </w:r>
            <w:r>
              <w:rPr>
                <w:rFonts w:ascii="Arial" w:hAnsi="Arial" w:cs="Arial"/>
                <w:bCs/>
                <w:color w:val="000000" w:themeColor="text1"/>
                <w:sz w:val="22"/>
                <w:szCs w:val="22"/>
              </w:rPr>
              <w:t xml:space="preserve"> final </w:t>
            </w:r>
            <w:r w:rsidR="00674390">
              <w:rPr>
                <w:rFonts w:ascii="Arial" w:eastAsia="Times New Roman" w:hAnsi="Arial" w:cs="Arial"/>
                <w:sz w:val="22"/>
                <w:szCs w:val="22"/>
                <w:shd w:val="clear" w:color="auto" w:fill="FFFFFF"/>
              </w:rPr>
              <w:t xml:space="preserve">Grievance Mechanism </w:t>
            </w:r>
            <w:r>
              <w:rPr>
                <w:rFonts w:ascii="Arial" w:hAnsi="Arial" w:cs="Arial"/>
                <w:bCs/>
                <w:color w:val="000000" w:themeColor="text1"/>
                <w:sz w:val="22"/>
                <w:szCs w:val="22"/>
              </w:rPr>
              <w:t>is implemented.</w:t>
            </w:r>
          </w:p>
        </w:tc>
      </w:tr>
      <w:tr w:rsidR="00AF7840" w:rsidRPr="007C0236" w14:paraId="57D82F3F" w14:textId="77777777" w:rsidTr="000361A6">
        <w:trPr>
          <w:trHeight w:val="323"/>
        </w:trPr>
        <w:tc>
          <w:tcPr>
            <w:tcW w:w="2903" w:type="dxa"/>
            <w:shd w:val="clear" w:color="auto" w:fill="D9D9D9" w:themeFill="background1" w:themeFillShade="D9"/>
            <w:vAlign w:val="center"/>
          </w:tcPr>
          <w:p w14:paraId="13550E94"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B.7 Supervision and Compliance</w:t>
            </w:r>
          </w:p>
        </w:tc>
        <w:tc>
          <w:tcPr>
            <w:tcW w:w="2160" w:type="dxa"/>
            <w:vAlign w:val="center"/>
          </w:tcPr>
          <w:p w14:paraId="411D030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Monitoring and Supervision</w:t>
            </w:r>
          </w:p>
        </w:tc>
        <w:tc>
          <w:tcPr>
            <w:tcW w:w="4320" w:type="dxa"/>
          </w:tcPr>
          <w:p w14:paraId="110922E5" w14:textId="77777777" w:rsidR="00AF7840" w:rsidRPr="006F7063" w:rsidRDefault="00AF7840" w:rsidP="00AF7840">
            <w:pPr>
              <w:tabs>
                <w:tab w:val="left" w:pos="3200"/>
              </w:tabs>
              <w:jc w:val="both"/>
              <w:rPr>
                <w:rFonts w:ascii="Arial" w:hAnsi="Arial" w:cs="Arial"/>
                <w:sz w:val="22"/>
                <w:szCs w:val="22"/>
              </w:rPr>
            </w:pPr>
            <w:r w:rsidRPr="00056FCE">
              <w:rPr>
                <w:rFonts w:ascii="Arial" w:hAnsi="Arial" w:cs="Arial"/>
                <w:sz w:val="22"/>
                <w:szCs w:val="22"/>
              </w:rPr>
              <w:t>Compliance achievable through specific conditions established in legal documentation for actions over a defined period of time.</w:t>
            </w:r>
            <w:r>
              <w:rPr>
                <w:rFonts w:ascii="Arial" w:hAnsi="Arial" w:cs="Arial"/>
                <w:sz w:val="22"/>
                <w:szCs w:val="22"/>
              </w:rPr>
              <w:t xml:space="preserve"> The project has identified an E&amp;S specialist. The specialist will provide annual reports to the IDB. The IDB will conduct supervision missions</w:t>
            </w:r>
          </w:p>
        </w:tc>
        <w:tc>
          <w:tcPr>
            <w:tcW w:w="4410" w:type="dxa"/>
          </w:tcPr>
          <w:p w14:paraId="268C6364" w14:textId="2C12985C" w:rsidR="00AF7840" w:rsidRDefault="00AF7840" w:rsidP="00AF7840">
            <w:pPr>
              <w:ind w:right="165"/>
              <w:jc w:val="both"/>
              <w:rPr>
                <w:rFonts w:ascii="Arial" w:eastAsia="Times New Roman" w:hAnsi="Arial" w:cs="Arial"/>
                <w:sz w:val="22"/>
                <w:szCs w:val="22"/>
                <w:shd w:val="clear" w:color="auto" w:fill="FFFFFF"/>
              </w:rPr>
            </w:pPr>
            <w:r>
              <w:rPr>
                <w:rFonts w:ascii="Arial" w:hAnsi="Arial" w:cs="Arial"/>
                <w:sz w:val="22"/>
                <w:szCs w:val="22"/>
              </w:rPr>
              <w:t xml:space="preserve">Conditions for the life of the </w:t>
            </w:r>
            <w:r w:rsidR="00CF6089">
              <w:rPr>
                <w:rFonts w:ascii="Arial" w:hAnsi="Arial" w:cs="Arial"/>
                <w:sz w:val="22"/>
                <w:szCs w:val="22"/>
              </w:rPr>
              <w:t xml:space="preserve">IGR </w:t>
            </w:r>
            <w:r>
              <w:rPr>
                <w:rFonts w:ascii="Arial" w:hAnsi="Arial" w:cs="Arial"/>
                <w:sz w:val="22"/>
                <w:szCs w:val="22"/>
              </w:rPr>
              <w:t xml:space="preserve">: </w:t>
            </w:r>
            <w:r>
              <w:rPr>
                <w:rFonts w:ascii="Arial" w:eastAsia="Times New Roman" w:hAnsi="Arial" w:cs="Arial"/>
                <w:sz w:val="22"/>
                <w:szCs w:val="22"/>
                <w:shd w:val="clear" w:color="auto" w:fill="FFFFFF"/>
              </w:rPr>
              <w:t xml:space="preserve">PCJ will be </w:t>
            </w:r>
            <w:r w:rsidRPr="00963453">
              <w:rPr>
                <w:rFonts w:ascii="Arial" w:eastAsia="Times New Roman" w:hAnsi="Arial" w:cs="Arial"/>
                <w:sz w:val="22"/>
                <w:szCs w:val="22"/>
                <w:shd w:val="clear" w:color="auto" w:fill="FFFFFF"/>
              </w:rPr>
              <w:t>responsible for ensuring that all projects under the Progr</w:t>
            </w:r>
            <w:r>
              <w:rPr>
                <w:rFonts w:ascii="Arial" w:eastAsia="Times New Roman" w:hAnsi="Arial" w:cs="Arial"/>
                <w:sz w:val="22"/>
                <w:szCs w:val="22"/>
                <w:shd w:val="clear" w:color="auto" w:fill="FFFFFF"/>
              </w:rPr>
              <w:t xml:space="preserve">am of works comply with the ESA, ESMP, ESMS, and IDB Requirements. </w:t>
            </w:r>
            <w:r w:rsidRPr="00963453">
              <w:rPr>
                <w:rFonts w:ascii="Arial" w:eastAsia="Times New Roman" w:hAnsi="Arial" w:cs="Arial"/>
                <w:sz w:val="22"/>
                <w:szCs w:val="22"/>
                <w:shd w:val="clear" w:color="auto" w:fill="FFFFFF"/>
              </w:rPr>
              <w:t xml:space="preserve">It is the obligation of </w:t>
            </w:r>
            <w:r>
              <w:rPr>
                <w:rFonts w:ascii="Arial" w:eastAsia="Times New Roman" w:hAnsi="Arial" w:cs="Arial"/>
                <w:sz w:val="22"/>
                <w:szCs w:val="22"/>
                <w:shd w:val="clear" w:color="auto" w:fill="FFFFFF"/>
              </w:rPr>
              <w:t>PCJ</w:t>
            </w:r>
            <w:r w:rsidRPr="00963453">
              <w:rPr>
                <w:rFonts w:ascii="Arial" w:eastAsia="Times New Roman" w:hAnsi="Arial" w:cs="Arial"/>
                <w:sz w:val="22"/>
                <w:szCs w:val="22"/>
                <w:shd w:val="clear" w:color="auto" w:fill="FFFFFF"/>
              </w:rPr>
              <w:t xml:space="preserve"> together with any Contractors or Subcontractors to develop and comply with all the requirements and stipulations identified therei</w:t>
            </w:r>
            <w:r>
              <w:rPr>
                <w:rFonts w:ascii="Arial" w:eastAsia="Times New Roman" w:hAnsi="Arial" w:cs="Arial"/>
                <w:sz w:val="22"/>
                <w:szCs w:val="22"/>
                <w:shd w:val="clear" w:color="auto" w:fill="FFFFFF"/>
              </w:rPr>
              <w:t xml:space="preserve">n. </w:t>
            </w:r>
          </w:p>
          <w:p w14:paraId="72CDAFA5" w14:textId="77777777" w:rsidR="00AF7840" w:rsidRPr="00276A8F" w:rsidRDefault="00AF7840" w:rsidP="00AF7840">
            <w:pPr>
              <w:ind w:right="165"/>
              <w:jc w:val="both"/>
              <w:rPr>
                <w:rFonts w:ascii="Arial" w:eastAsia="Times New Roman" w:hAnsi="Arial" w:cs="Arial"/>
                <w:sz w:val="22"/>
                <w:szCs w:val="22"/>
                <w:shd w:val="clear" w:color="auto" w:fill="FFFFFF"/>
              </w:rPr>
            </w:pPr>
            <w:r w:rsidRPr="00905B6C">
              <w:rPr>
                <w:rFonts w:ascii="Arial" w:eastAsia="Times New Roman" w:hAnsi="Arial" w:cs="Arial"/>
                <w:sz w:val="22"/>
                <w:szCs w:val="22"/>
                <w:shd w:val="clear" w:color="auto" w:fill="FFFFFF"/>
              </w:rPr>
              <w:t xml:space="preserve">The </w:t>
            </w:r>
            <w:r>
              <w:rPr>
                <w:rFonts w:ascii="Arial" w:eastAsia="Times New Roman" w:hAnsi="Arial" w:cs="Arial"/>
                <w:sz w:val="22"/>
                <w:szCs w:val="22"/>
                <w:shd w:val="clear" w:color="auto" w:fill="FFFFFF"/>
              </w:rPr>
              <w:t>IDB</w:t>
            </w:r>
            <w:r w:rsidRPr="00905B6C">
              <w:rPr>
                <w:rFonts w:ascii="Arial" w:eastAsia="Times New Roman" w:hAnsi="Arial" w:cs="Arial"/>
                <w:sz w:val="22"/>
                <w:szCs w:val="22"/>
                <w:shd w:val="clear" w:color="auto" w:fill="FFFFFF"/>
              </w:rPr>
              <w:t xml:space="preserve"> will supervise the implementation of the </w:t>
            </w:r>
            <w:r w:rsidR="00036458">
              <w:rPr>
                <w:rFonts w:ascii="Arial" w:eastAsia="Times New Roman" w:hAnsi="Arial" w:cs="Arial"/>
                <w:sz w:val="22"/>
                <w:szCs w:val="22"/>
                <w:shd w:val="clear" w:color="auto" w:fill="FFFFFF"/>
              </w:rPr>
              <w:t>ESMS-ESMPS</w:t>
            </w:r>
            <w:r w:rsidRPr="00905B6C">
              <w:rPr>
                <w:rFonts w:ascii="Arial" w:eastAsia="Times New Roman" w:hAnsi="Arial" w:cs="Arial"/>
                <w:sz w:val="22"/>
                <w:szCs w:val="22"/>
                <w:shd w:val="clear" w:color="auto" w:fill="FFFFFF"/>
              </w:rPr>
              <w:t xml:space="preserve"> and monitoring arrangements </w:t>
            </w:r>
            <w:r>
              <w:rPr>
                <w:rFonts w:ascii="Arial" w:eastAsia="Times New Roman" w:hAnsi="Arial" w:cs="Arial"/>
                <w:sz w:val="22"/>
                <w:szCs w:val="22"/>
                <w:shd w:val="clear" w:color="auto" w:fill="FFFFFF"/>
              </w:rPr>
              <w:t>annually.</w:t>
            </w:r>
          </w:p>
        </w:tc>
      </w:tr>
      <w:tr w:rsidR="00AF7840" w:rsidRPr="007C0236" w14:paraId="06064498" w14:textId="77777777" w:rsidTr="000361A6">
        <w:trPr>
          <w:trHeight w:val="323"/>
        </w:trPr>
        <w:tc>
          <w:tcPr>
            <w:tcW w:w="2903" w:type="dxa"/>
            <w:shd w:val="clear" w:color="auto" w:fill="D9D9D9" w:themeFill="background1" w:themeFillShade="D9"/>
            <w:vAlign w:val="center"/>
          </w:tcPr>
          <w:p w14:paraId="1B9969B8"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lastRenderedPageBreak/>
              <w:t>B.8 Transboundary Impacts</w:t>
            </w:r>
          </w:p>
        </w:tc>
        <w:tc>
          <w:tcPr>
            <w:tcW w:w="2160" w:type="dxa"/>
            <w:vAlign w:val="center"/>
          </w:tcPr>
          <w:p w14:paraId="6779658C"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3739A46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396580A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5D855490" w14:textId="77777777" w:rsidTr="000361A6">
        <w:trPr>
          <w:trHeight w:val="323"/>
        </w:trPr>
        <w:tc>
          <w:tcPr>
            <w:tcW w:w="2903" w:type="dxa"/>
            <w:shd w:val="clear" w:color="auto" w:fill="D9D9D9" w:themeFill="background1" w:themeFillShade="D9"/>
            <w:vAlign w:val="center"/>
          </w:tcPr>
          <w:p w14:paraId="3982233B"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B.9 Natural Habitats</w:t>
            </w:r>
          </w:p>
        </w:tc>
        <w:tc>
          <w:tcPr>
            <w:tcW w:w="2160" w:type="dxa"/>
            <w:vAlign w:val="center"/>
          </w:tcPr>
          <w:p w14:paraId="508E681F"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023D575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64D460F"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6A032A36" w14:textId="77777777" w:rsidTr="000361A6">
        <w:trPr>
          <w:trHeight w:val="323"/>
        </w:trPr>
        <w:tc>
          <w:tcPr>
            <w:tcW w:w="2903" w:type="dxa"/>
            <w:shd w:val="clear" w:color="auto" w:fill="D9D9D9" w:themeFill="background1" w:themeFillShade="D9"/>
            <w:vAlign w:val="center"/>
          </w:tcPr>
          <w:p w14:paraId="5F0A021A"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B.9 Invasive Species</w:t>
            </w:r>
          </w:p>
        </w:tc>
        <w:tc>
          <w:tcPr>
            <w:tcW w:w="2160" w:type="dxa"/>
            <w:vAlign w:val="center"/>
          </w:tcPr>
          <w:p w14:paraId="1DFF7C49"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6D4FB204"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256D37D2"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725C8DE5" w14:textId="77777777" w:rsidTr="000361A6">
        <w:trPr>
          <w:trHeight w:val="323"/>
        </w:trPr>
        <w:tc>
          <w:tcPr>
            <w:tcW w:w="2903" w:type="dxa"/>
            <w:shd w:val="clear" w:color="auto" w:fill="D9D9D9" w:themeFill="background1" w:themeFillShade="D9"/>
            <w:vAlign w:val="center"/>
          </w:tcPr>
          <w:p w14:paraId="167738EE"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B.9 Cultural Sites</w:t>
            </w:r>
          </w:p>
        </w:tc>
        <w:tc>
          <w:tcPr>
            <w:tcW w:w="2160" w:type="dxa"/>
            <w:vAlign w:val="center"/>
          </w:tcPr>
          <w:p w14:paraId="76CFB7B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9C886C2"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3CE683D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343C077D" w14:textId="77777777" w:rsidTr="000361A6">
        <w:trPr>
          <w:trHeight w:val="323"/>
        </w:trPr>
        <w:tc>
          <w:tcPr>
            <w:tcW w:w="2903" w:type="dxa"/>
            <w:shd w:val="clear" w:color="auto" w:fill="D9D9D9" w:themeFill="background1" w:themeFillShade="D9"/>
            <w:vAlign w:val="center"/>
          </w:tcPr>
          <w:p w14:paraId="63BC6C45"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B.10 Hazardous Materials</w:t>
            </w:r>
          </w:p>
        </w:tc>
        <w:tc>
          <w:tcPr>
            <w:tcW w:w="2160" w:type="dxa"/>
            <w:vAlign w:val="center"/>
          </w:tcPr>
          <w:p w14:paraId="4E928A6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Hazardous Materia and Waste Management</w:t>
            </w:r>
          </w:p>
        </w:tc>
        <w:tc>
          <w:tcPr>
            <w:tcW w:w="4320" w:type="dxa"/>
          </w:tcPr>
          <w:p w14:paraId="66D55EFF" w14:textId="77777777" w:rsidR="00AF7840" w:rsidRPr="006F7063" w:rsidRDefault="00AF7840" w:rsidP="00AF7840">
            <w:pPr>
              <w:tabs>
                <w:tab w:val="left" w:pos="3200"/>
              </w:tabs>
              <w:jc w:val="both"/>
              <w:rPr>
                <w:rFonts w:ascii="Arial" w:hAnsi="Arial" w:cs="Arial"/>
                <w:sz w:val="22"/>
                <w:szCs w:val="22"/>
              </w:rPr>
            </w:pPr>
            <w:r w:rsidRPr="00056FCE">
              <w:rPr>
                <w:rFonts w:ascii="Arial" w:hAnsi="Arial" w:cs="Arial"/>
                <w:sz w:val="22"/>
                <w:szCs w:val="22"/>
              </w:rPr>
              <w:t>Compliance achievable through specific conditions established in legal documentation for actions over a defined period of time.</w:t>
            </w:r>
            <w:r>
              <w:rPr>
                <w:rFonts w:ascii="Arial" w:hAnsi="Arial" w:cs="Arial"/>
                <w:sz w:val="22"/>
                <w:szCs w:val="22"/>
              </w:rPr>
              <w:t xml:space="preserve"> The ESMP has established measures to ensure appropriate </w:t>
            </w:r>
            <w:r w:rsidR="00C545B7">
              <w:rPr>
                <w:rFonts w:ascii="Arial" w:hAnsi="Arial" w:cs="Arial"/>
                <w:sz w:val="22"/>
                <w:szCs w:val="22"/>
              </w:rPr>
              <w:t>hazardous material management</w:t>
            </w:r>
          </w:p>
        </w:tc>
        <w:tc>
          <w:tcPr>
            <w:tcW w:w="4410" w:type="dxa"/>
          </w:tcPr>
          <w:p w14:paraId="22AA4FF4" w14:textId="22C80B16" w:rsidR="00AF7840" w:rsidRDefault="00745768" w:rsidP="00AF7840">
            <w:pPr>
              <w:tabs>
                <w:tab w:val="left" w:pos="3200"/>
              </w:tabs>
              <w:jc w:val="both"/>
              <w:rPr>
                <w:rFonts w:ascii="Arial" w:hAnsi="Arial" w:cs="Arial"/>
                <w:bCs/>
                <w:color w:val="000000" w:themeColor="text1"/>
                <w:sz w:val="22"/>
                <w:szCs w:val="22"/>
              </w:rPr>
            </w:pPr>
            <w:r>
              <w:rPr>
                <w:rFonts w:ascii="Arial" w:hAnsi="Arial" w:cs="Arial"/>
                <w:sz w:val="22"/>
                <w:szCs w:val="22"/>
              </w:rPr>
              <w:t>Prior Construction IDB will monitor whether</w:t>
            </w:r>
            <w:r w:rsidR="00AF7840">
              <w:rPr>
                <w:rFonts w:ascii="Arial" w:hAnsi="Arial" w:cs="Arial"/>
                <w:sz w:val="22"/>
                <w:szCs w:val="22"/>
              </w:rPr>
              <w:t xml:space="preserve"> </w:t>
            </w:r>
            <w:r w:rsidR="00AF7840">
              <w:rPr>
                <w:rFonts w:ascii="Arial" w:hAnsi="Arial" w:cs="Arial"/>
                <w:bCs/>
                <w:color w:val="000000" w:themeColor="text1"/>
                <w:sz w:val="22"/>
                <w:szCs w:val="22"/>
              </w:rPr>
              <w:t>final operational Waste Management Plan</w:t>
            </w:r>
            <w:r>
              <w:rPr>
                <w:rFonts w:ascii="Arial" w:hAnsi="Arial" w:cs="Arial"/>
                <w:bCs/>
                <w:color w:val="000000" w:themeColor="text1"/>
                <w:sz w:val="22"/>
                <w:szCs w:val="22"/>
              </w:rPr>
              <w:t xml:space="preserve"> is</w:t>
            </w:r>
            <w:r w:rsidR="00AF7840">
              <w:rPr>
                <w:rFonts w:ascii="Arial" w:hAnsi="Arial" w:cs="Arial"/>
                <w:bCs/>
                <w:color w:val="000000" w:themeColor="text1"/>
                <w:sz w:val="22"/>
                <w:szCs w:val="22"/>
              </w:rPr>
              <w:t xml:space="preserve"> implemented and</w:t>
            </w:r>
            <w:r w:rsidR="00036458">
              <w:rPr>
                <w:rFonts w:ascii="Arial" w:hAnsi="Arial" w:cs="Arial"/>
                <w:bCs/>
                <w:color w:val="000000" w:themeColor="text1"/>
                <w:sz w:val="22"/>
                <w:szCs w:val="22"/>
              </w:rPr>
              <w:t xml:space="preserve"> made</w:t>
            </w:r>
            <w:r w:rsidR="00AF7840">
              <w:rPr>
                <w:rFonts w:ascii="Arial" w:hAnsi="Arial" w:cs="Arial"/>
                <w:bCs/>
                <w:color w:val="000000" w:themeColor="text1"/>
                <w:sz w:val="22"/>
                <w:szCs w:val="22"/>
              </w:rPr>
              <w:t xml:space="preserve"> available.</w:t>
            </w:r>
          </w:p>
          <w:p w14:paraId="7ACA0C05" w14:textId="6F5E0416" w:rsidR="00AF7840" w:rsidRPr="006F7063" w:rsidRDefault="00AF7840" w:rsidP="00AF7840">
            <w:pPr>
              <w:tabs>
                <w:tab w:val="left" w:pos="3200"/>
              </w:tabs>
              <w:jc w:val="both"/>
              <w:rPr>
                <w:rFonts w:ascii="Arial" w:hAnsi="Arial" w:cs="Arial"/>
                <w:sz w:val="22"/>
                <w:szCs w:val="22"/>
              </w:rPr>
            </w:pPr>
            <w:r>
              <w:rPr>
                <w:rFonts w:ascii="Arial" w:hAnsi="Arial" w:cs="Arial"/>
                <w:bCs/>
                <w:color w:val="000000" w:themeColor="text1"/>
                <w:sz w:val="22"/>
                <w:szCs w:val="22"/>
              </w:rPr>
              <w:t xml:space="preserve">Condition for the life of </w:t>
            </w:r>
            <w:r w:rsidR="00CF6089">
              <w:rPr>
                <w:rFonts w:ascii="Arial" w:hAnsi="Arial" w:cs="Arial"/>
                <w:bCs/>
                <w:color w:val="000000" w:themeColor="text1"/>
                <w:sz w:val="22"/>
                <w:szCs w:val="22"/>
              </w:rPr>
              <w:t>IGR</w:t>
            </w:r>
            <w:r>
              <w:rPr>
                <w:rFonts w:ascii="Arial" w:hAnsi="Arial" w:cs="Arial"/>
                <w:bCs/>
                <w:color w:val="000000" w:themeColor="text1"/>
                <w:sz w:val="22"/>
                <w:szCs w:val="22"/>
              </w:rPr>
              <w:t>:</w:t>
            </w:r>
            <w:r w:rsidRPr="00FE4E81">
              <w:rPr>
                <w:rFonts w:ascii="Arial" w:hAnsi="Arial" w:cs="Arial"/>
                <w:bCs/>
                <w:color w:val="000000" w:themeColor="text1"/>
                <w:sz w:val="22"/>
                <w:szCs w:val="22"/>
                <w:lang w:val="en"/>
              </w:rPr>
              <w:t xml:space="preserve"> </w:t>
            </w:r>
            <w:r>
              <w:rPr>
                <w:rFonts w:ascii="Arial" w:hAnsi="Arial" w:cs="Arial"/>
                <w:sz w:val="22"/>
                <w:szCs w:val="22"/>
              </w:rPr>
              <w:t>Project’s E&amp;S Specialist to ensure implementation of ESMP</w:t>
            </w:r>
          </w:p>
        </w:tc>
      </w:tr>
      <w:tr w:rsidR="00AF7840" w:rsidRPr="007C0236" w14:paraId="333F6D52" w14:textId="77777777" w:rsidTr="000361A6">
        <w:trPr>
          <w:trHeight w:val="323"/>
        </w:trPr>
        <w:tc>
          <w:tcPr>
            <w:tcW w:w="2903" w:type="dxa"/>
            <w:shd w:val="clear" w:color="auto" w:fill="D9D9D9" w:themeFill="background1" w:themeFillShade="D9"/>
            <w:vAlign w:val="center"/>
          </w:tcPr>
          <w:p w14:paraId="7DF820FF"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B.11 Pollution Prevention &amp; Abatement</w:t>
            </w:r>
          </w:p>
        </w:tc>
        <w:tc>
          <w:tcPr>
            <w:tcW w:w="2160" w:type="dxa"/>
            <w:vAlign w:val="center"/>
          </w:tcPr>
          <w:p w14:paraId="3316C7A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Pollution Prevention</w:t>
            </w:r>
          </w:p>
        </w:tc>
        <w:tc>
          <w:tcPr>
            <w:tcW w:w="4320" w:type="dxa"/>
          </w:tcPr>
          <w:p w14:paraId="0BF54209" w14:textId="77777777" w:rsidR="00AF7840" w:rsidRPr="006F7063" w:rsidRDefault="00AF7840" w:rsidP="00AF7840">
            <w:pPr>
              <w:tabs>
                <w:tab w:val="left" w:pos="3200"/>
              </w:tabs>
              <w:jc w:val="both"/>
              <w:rPr>
                <w:rFonts w:ascii="Arial" w:hAnsi="Arial" w:cs="Arial"/>
                <w:sz w:val="22"/>
                <w:szCs w:val="22"/>
              </w:rPr>
            </w:pPr>
            <w:r w:rsidRPr="00056FCE">
              <w:rPr>
                <w:rFonts w:ascii="Arial" w:hAnsi="Arial" w:cs="Arial"/>
                <w:sz w:val="22"/>
                <w:szCs w:val="22"/>
              </w:rPr>
              <w:t>Compliance achievable through specific conditions established in legal documentation for actions over a defined period of time.</w:t>
            </w:r>
            <w:r>
              <w:rPr>
                <w:rFonts w:ascii="Arial" w:hAnsi="Arial" w:cs="Arial"/>
                <w:sz w:val="22"/>
                <w:szCs w:val="22"/>
              </w:rPr>
              <w:t xml:space="preserve"> The ESMP has established measures to ensure appropriate pollution control and abatement</w:t>
            </w:r>
          </w:p>
        </w:tc>
        <w:tc>
          <w:tcPr>
            <w:tcW w:w="4410" w:type="dxa"/>
          </w:tcPr>
          <w:p w14:paraId="5AF2FEE0" w14:textId="2DA8F6F8" w:rsidR="00AF7840" w:rsidRDefault="00107A79" w:rsidP="00AF7840">
            <w:pPr>
              <w:tabs>
                <w:tab w:val="left" w:pos="3200"/>
              </w:tabs>
              <w:jc w:val="both"/>
              <w:rPr>
                <w:rFonts w:ascii="Arial" w:hAnsi="Arial" w:cs="Arial"/>
                <w:bCs/>
                <w:color w:val="000000" w:themeColor="text1"/>
                <w:sz w:val="22"/>
                <w:szCs w:val="22"/>
              </w:rPr>
            </w:pPr>
            <w:r>
              <w:rPr>
                <w:rFonts w:ascii="Arial" w:hAnsi="Arial" w:cs="Arial"/>
                <w:sz w:val="22"/>
                <w:szCs w:val="22"/>
              </w:rPr>
              <w:t>Prior Construction IDB will monitor whether</w:t>
            </w:r>
            <w:r w:rsidDel="00107A79">
              <w:rPr>
                <w:rFonts w:ascii="Arial" w:hAnsi="Arial" w:cs="Arial"/>
                <w:sz w:val="22"/>
                <w:szCs w:val="22"/>
              </w:rPr>
              <w:t xml:space="preserve"> </w:t>
            </w:r>
            <w:r w:rsidR="00AF7840">
              <w:rPr>
                <w:rFonts w:ascii="Arial" w:hAnsi="Arial" w:cs="Arial"/>
                <w:bCs/>
                <w:color w:val="000000" w:themeColor="text1"/>
                <w:sz w:val="22"/>
                <w:szCs w:val="22"/>
              </w:rPr>
              <w:t xml:space="preserve">final operational ESMS, ESMP </w:t>
            </w:r>
            <w:r>
              <w:rPr>
                <w:rFonts w:ascii="Arial" w:hAnsi="Arial" w:cs="Arial"/>
                <w:bCs/>
                <w:color w:val="000000" w:themeColor="text1"/>
                <w:sz w:val="22"/>
                <w:szCs w:val="22"/>
              </w:rPr>
              <w:t>are</w:t>
            </w:r>
            <w:r w:rsidR="00AF7840">
              <w:rPr>
                <w:rFonts w:ascii="Arial" w:hAnsi="Arial" w:cs="Arial"/>
                <w:bCs/>
                <w:color w:val="000000" w:themeColor="text1"/>
                <w:sz w:val="22"/>
                <w:szCs w:val="22"/>
              </w:rPr>
              <w:t xml:space="preserve"> implemented and available.</w:t>
            </w:r>
          </w:p>
          <w:p w14:paraId="3728CCA3" w14:textId="46175306" w:rsidR="00AF7840" w:rsidRPr="006F7063" w:rsidRDefault="00AF7840" w:rsidP="00AF7840">
            <w:pPr>
              <w:tabs>
                <w:tab w:val="left" w:pos="3200"/>
              </w:tabs>
              <w:jc w:val="both"/>
              <w:rPr>
                <w:rFonts w:ascii="Arial" w:hAnsi="Arial" w:cs="Arial"/>
                <w:sz w:val="22"/>
                <w:szCs w:val="22"/>
              </w:rPr>
            </w:pPr>
            <w:r>
              <w:rPr>
                <w:rFonts w:ascii="Arial" w:hAnsi="Arial" w:cs="Arial"/>
                <w:bCs/>
                <w:color w:val="000000" w:themeColor="text1"/>
                <w:sz w:val="22"/>
                <w:szCs w:val="22"/>
              </w:rPr>
              <w:t>Condition for the life of the</w:t>
            </w:r>
            <w:r w:rsidR="00CF6089">
              <w:rPr>
                <w:rFonts w:ascii="Arial" w:hAnsi="Arial" w:cs="Arial"/>
                <w:bCs/>
                <w:color w:val="000000" w:themeColor="text1"/>
                <w:sz w:val="22"/>
                <w:szCs w:val="22"/>
              </w:rPr>
              <w:t xml:space="preserve"> IGR</w:t>
            </w:r>
            <w:r>
              <w:rPr>
                <w:rFonts w:ascii="Arial" w:hAnsi="Arial" w:cs="Arial"/>
                <w:bCs/>
                <w:color w:val="000000" w:themeColor="text1"/>
                <w:sz w:val="22"/>
                <w:szCs w:val="22"/>
              </w:rPr>
              <w:t>:</w:t>
            </w:r>
            <w:r w:rsidRPr="00FE4E81">
              <w:rPr>
                <w:rFonts w:ascii="Arial" w:hAnsi="Arial" w:cs="Arial"/>
                <w:bCs/>
                <w:color w:val="000000" w:themeColor="text1"/>
                <w:sz w:val="22"/>
                <w:szCs w:val="22"/>
                <w:lang w:val="en"/>
              </w:rPr>
              <w:t xml:space="preserve"> </w:t>
            </w:r>
            <w:r w:rsidRPr="00AF7840">
              <w:rPr>
                <w:rFonts w:ascii="Arial" w:hAnsi="Arial" w:cs="Arial"/>
                <w:bCs/>
                <w:color w:val="000000" w:themeColor="text1"/>
                <w:sz w:val="22"/>
                <w:szCs w:val="22"/>
                <w:lang w:val="en"/>
              </w:rPr>
              <w:t>Project’s E&amp;S Specialist to ensure implementation of ESMP</w:t>
            </w:r>
          </w:p>
        </w:tc>
      </w:tr>
      <w:tr w:rsidR="00AF7840" w:rsidRPr="007C0236" w14:paraId="7C06BF25" w14:textId="77777777" w:rsidTr="000361A6">
        <w:trPr>
          <w:trHeight w:val="323"/>
        </w:trPr>
        <w:tc>
          <w:tcPr>
            <w:tcW w:w="2903" w:type="dxa"/>
            <w:shd w:val="clear" w:color="auto" w:fill="D9D9D9" w:themeFill="background1" w:themeFillShade="D9"/>
            <w:vAlign w:val="center"/>
          </w:tcPr>
          <w:p w14:paraId="2351B00B"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B.12 Projects under Construction</w:t>
            </w:r>
          </w:p>
        </w:tc>
        <w:tc>
          <w:tcPr>
            <w:tcW w:w="2160" w:type="dxa"/>
            <w:vAlign w:val="center"/>
          </w:tcPr>
          <w:p w14:paraId="0FDB53E4"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6C2E06A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3CC210A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600C77D3" w14:textId="77777777" w:rsidTr="000361A6">
        <w:trPr>
          <w:trHeight w:val="323"/>
        </w:trPr>
        <w:tc>
          <w:tcPr>
            <w:tcW w:w="2903" w:type="dxa"/>
            <w:shd w:val="clear" w:color="auto" w:fill="D9D9D9" w:themeFill="background1" w:themeFillShade="D9"/>
            <w:vAlign w:val="center"/>
          </w:tcPr>
          <w:p w14:paraId="29DFE9C6"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B.13 Noninvestment Lending and Flexible Lending Instruments</w:t>
            </w:r>
          </w:p>
        </w:tc>
        <w:tc>
          <w:tcPr>
            <w:tcW w:w="2160" w:type="dxa"/>
            <w:vAlign w:val="center"/>
          </w:tcPr>
          <w:p w14:paraId="0E182A2C"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50169A4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E29436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25EC93CF" w14:textId="77777777" w:rsidTr="000361A6">
        <w:trPr>
          <w:trHeight w:val="323"/>
        </w:trPr>
        <w:tc>
          <w:tcPr>
            <w:tcW w:w="2903" w:type="dxa"/>
            <w:shd w:val="clear" w:color="auto" w:fill="D9D9D9" w:themeFill="background1" w:themeFillShade="D9"/>
            <w:vAlign w:val="center"/>
          </w:tcPr>
          <w:p w14:paraId="595DC194"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B.14 Multiple Phase and Repeat Loans</w:t>
            </w:r>
          </w:p>
        </w:tc>
        <w:tc>
          <w:tcPr>
            <w:tcW w:w="2160" w:type="dxa"/>
            <w:vAlign w:val="center"/>
          </w:tcPr>
          <w:p w14:paraId="7CD8222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0AA24440"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E211342"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03678684" w14:textId="77777777" w:rsidTr="000361A6">
        <w:trPr>
          <w:trHeight w:val="323"/>
        </w:trPr>
        <w:tc>
          <w:tcPr>
            <w:tcW w:w="2903" w:type="dxa"/>
            <w:shd w:val="clear" w:color="auto" w:fill="D9D9D9" w:themeFill="background1" w:themeFillShade="D9"/>
            <w:vAlign w:val="center"/>
          </w:tcPr>
          <w:p w14:paraId="7FEF34F3"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B.15 Co-financing Operations</w:t>
            </w:r>
          </w:p>
        </w:tc>
        <w:tc>
          <w:tcPr>
            <w:tcW w:w="2160" w:type="dxa"/>
            <w:vAlign w:val="center"/>
          </w:tcPr>
          <w:p w14:paraId="16CF5CC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2C279DC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6DDBB4F"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21D4B503" w14:textId="77777777" w:rsidTr="000361A6">
        <w:trPr>
          <w:trHeight w:val="323"/>
        </w:trPr>
        <w:tc>
          <w:tcPr>
            <w:tcW w:w="2903" w:type="dxa"/>
            <w:shd w:val="clear" w:color="auto" w:fill="D9D9D9" w:themeFill="background1" w:themeFillShade="D9"/>
            <w:vAlign w:val="center"/>
          </w:tcPr>
          <w:p w14:paraId="35A02E00"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B.16 In-Country Systems</w:t>
            </w:r>
          </w:p>
        </w:tc>
        <w:tc>
          <w:tcPr>
            <w:tcW w:w="2160" w:type="dxa"/>
            <w:vAlign w:val="center"/>
          </w:tcPr>
          <w:p w14:paraId="5D118AB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0504859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1985171F"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36126C2B" w14:textId="77777777" w:rsidTr="000361A6">
        <w:trPr>
          <w:trHeight w:val="323"/>
        </w:trPr>
        <w:tc>
          <w:tcPr>
            <w:tcW w:w="2903" w:type="dxa"/>
            <w:shd w:val="clear" w:color="auto" w:fill="D9D9D9" w:themeFill="background1" w:themeFillShade="D9"/>
            <w:vAlign w:val="center"/>
          </w:tcPr>
          <w:p w14:paraId="78310921"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B.17 Procurement</w:t>
            </w:r>
          </w:p>
        </w:tc>
        <w:tc>
          <w:tcPr>
            <w:tcW w:w="2160" w:type="dxa"/>
            <w:vAlign w:val="center"/>
          </w:tcPr>
          <w:p w14:paraId="0C383D6A"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Contractors Management</w:t>
            </w:r>
          </w:p>
        </w:tc>
        <w:tc>
          <w:tcPr>
            <w:tcW w:w="4320" w:type="dxa"/>
          </w:tcPr>
          <w:p w14:paraId="6498B9E3" w14:textId="77777777" w:rsidR="00AF7840" w:rsidRPr="006F7063" w:rsidRDefault="00AF7840" w:rsidP="00AF7840">
            <w:pPr>
              <w:tabs>
                <w:tab w:val="left" w:pos="3200"/>
              </w:tabs>
              <w:jc w:val="both"/>
              <w:rPr>
                <w:rFonts w:ascii="Arial" w:hAnsi="Arial" w:cs="Arial"/>
                <w:sz w:val="22"/>
                <w:szCs w:val="22"/>
              </w:rPr>
            </w:pPr>
            <w:r w:rsidRPr="00056FCE">
              <w:rPr>
                <w:rFonts w:ascii="Arial" w:hAnsi="Arial" w:cs="Arial"/>
                <w:sz w:val="22"/>
                <w:szCs w:val="22"/>
              </w:rPr>
              <w:t>Compliance achievable through specific conditions established in legal documentation for actions over a defined period of time.</w:t>
            </w:r>
            <w:r>
              <w:rPr>
                <w:rFonts w:ascii="Arial" w:hAnsi="Arial" w:cs="Arial"/>
                <w:sz w:val="22"/>
                <w:szCs w:val="22"/>
              </w:rPr>
              <w:t xml:space="preserve"> </w:t>
            </w:r>
            <w:r w:rsidRPr="00AF7840">
              <w:rPr>
                <w:rFonts w:ascii="Arial" w:hAnsi="Arial" w:cs="Arial"/>
                <w:sz w:val="22"/>
                <w:szCs w:val="22"/>
              </w:rPr>
              <w:t xml:space="preserve">ESHS requirements </w:t>
            </w:r>
            <w:r w:rsidR="00C545B7">
              <w:rPr>
                <w:rFonts w:ascii="Arial" w:hAnsi="Arial" w:cs="Arial"/>
                <w:sz w:val="22"/>
                <w:szCs w:val="22"/>
              </w:rPr>
              <w:t>to</w:t>
            </w:r>
            <w:r w:rsidRPr="00AF7840">
              <w:rPr>
                <w:rFonts w:ascii="Arial" w:hAnsi="Arial" w:cs="Arial"/>
                <w:sz w:val="22"/>
                <w:szCs w:val="22"/>
              </w:rPr>
              <w:t xml:space="preserve"> be included into </w:t>
            </w:r>
            <w:r w:rsidR="00C545B7">
              <w:rPr>
                <w:rFonts w:ascii="Arial" w:hAnsi="Arial" w:cs="Arial"/>
                <w:sz w:val="22"/>
                <w:szCs w:val="22"/>
              </w:rPr>
              <w:t>all</w:t>
            </w:r>
            <w:r w:rsidRPr="00AF7840">
              <w:rPr>
                <w:rFonts w:ascii="Arial" w:hAnsi="Arial" w:cs="Arial"/>
                <w:sz w:val="22"/>
                <w:szCs w:val="22"/>
              </w:rPr>
              <w:t xml:space="preserve"> contracts of contractors</w:t>
            </w:r>
          </w:p>
        </w:tc>
        <w:tc>
          <w:tcPr>
            <w:tcW w:w="4410" w:type="dxa"/>
          </w:tcPr>
          <w:p w14:paraId="52202403" w14:textId="49FE6B64" w:rsidR="00AF7840" w:rsidRPr="006F7063" w:rsidRDefault="00AF7840" w:rsidP="00AF7840">
            <w:pPr>
              <w:tabs>
                <w:tab w:val="left" w:pos="3200"/>
              </w:tabs>
              <w:jc w:val="both"/>
              <w:rPr>
                <w:rFonts w:ascii="Arial" w:hAnsi="Arial" w:cs="Arial"/>
                <w:sz w:val="22"/>
                <w:szCs w:val="22"/>
              </w:rPr>
            </w:pPr>
            <w:r>
              <w:rPr>
                <w:rFonts w:ascii="Arial" w:hAnsi="Arial" w:cs="Arial"/>
                <w:bCs/>
                <w:color w:val="000000" w:themeColor="text1"/>
                <w:sz w:val="22"/>
                <w:szCs w:val="22"/>
              </w:rPr>
              <w:t xml:space="preserve">Condition for the life of the </w:t>
            </w:r>
            <w:r w:rsidR="00CF6089">
              <w:rPr>
                <w:rFonts w:ascii="Arial" w:hAnsi="Arial" w:cs="Arial"/>
                <w:bCs/>
                <w:color w:val="000000" w:themeColor="text1"/>
                <w:sz w:val="22"/>
                <w:szCs w:val="22"/>
              </w:rPr>
              <w:t>IGR</w:t>
            </w:r>
            <w:r>
              <w:rPr>
                <w:rFonts w:ascii="Arial" w:eastAsia="Times New Roman" w:hAnsi="Arial" w:cs="Arial"/>
                <w:sz w:val="22"/>
                <w:szCs w:val="22"/>
                <w:shd w:val="clear" w:color="auto" w:fill="FFFFFF"/>
              </w:rPr>
              <w:t>: t</w:t>
            </w:r>
            <w:r w:rsidRPr="00963453">
              <w:rPr>
                <w:rFonts w:ascii="Arial" w:eastAsia="Times New Roman" w:hAnsi="Arial" w:cs="Arial"/>
                <w:sz w:val="22"/>
                <w:szCs w:val="22"/>
                <w:shd w:val="clear" w:color="auto" w:fill="FFFFFF"/>
              </w:rPr>
              <w:t>he</w:t>
            </w:r>
            <w:r>
              <w:rPr>
                <w:rFonts w:ascii="Arial" w:eastAsia="Times New Roman" w:hAnsi="Arial" w:cs="Arial"/>
                <w:sz w:val="22"/>
                <w:szCs w:val="22"/>
                <w:shd w:val="clear" w:color="auto" w:fill="FFFFFF"/>
              </w:rPr>
              <w:t xml:space="preserve"> </w:t>
            </w:r>
            <w:r w:rsidR="00CF6089">
              <w:rPr>
                <w:rFonts w:ascii="Arial" w:eastAsia="Times New Roman" w:hAnsi="Arial" w:cs="Arial"/>
                <w:sz w:val="22"/>
                <w:szCs w:val="22"/>
                <w:shd w:val="clear" w:color="auto" w:fill="FFFFFF"/>
              </w:rPr>
              <w:t>Beneficiary</w:t>
            </w:r>
            <w:r>
              <w:rPr>
                <w:rFonts w:ascii="Arial" w:eastAsia="Times New Roman" w:hAnsi="Arial" w:cs="Arial"/>
                <w:sz w:val="22"/>
                <w:szCs w:val="22"/>
                <w:shd w:val="clear" w:color="auto" w:fill="FFFFFF"/>
              </w:rPr>
              <w:t xml:space="preserve"> will ensure that</w:t>
            </w:r>
            <w:r w:rsidRPr="00963453">
              <w:rPr>
                <w:rFonts w:ascii="Arial" w:eastAsia="Times New Roman" w:hAnsi="Arial" w:cs="Arial"/>
                <w:sz w:val="22"/>
                <w:szCs w:val="22"/>
                <w:shd w:val="clear" w:color="auto" w:fill="FFFFFF"/>
              </w:rPr>
              <w:t xml:space="preserve"> Contractor accepts the conditions of the ESMP to maintain </w:t>
            </w:r>
            <w:r>
              <w:rPr>
                <w:rFonts w:ascii="Arial" w:eastAsia="Times New Roman" w:hAnsi="Arial" w:cs="Arial"/>
                <w:sz w:val="22"/>
                <w:szCs w:val="22"/>
                <w:shd w:val="clear" w:color="auto" w:fill="FFFFFF"/>
              </w:rPr>
              <w:t>ESHS</w:t>
            </w:r>
            <w:r w:rsidRPr="00963453">
              <w:rPr>
                <w:rFonts w:ascii="Arial" w:eastAsia="Times New Roman" w:hAnsi="Arial" w:cs="Arial"/>
                <w:sz w:val="22"/>
                <w:szCs w:val="22"/>
                <w:shd w:val="clear" w:color="auto" w:fill="FFFFFF"/>
              </w:rPr>
              <w:t xml:space="preserve"> complianc</w:t>
            </w:r>
            <w:r>
              <w:rPr>
                <w:rFonts w:ascii="Arial" w:eastAsia="Times New Roman" w:hAnsi="Arial" w:cs="Arial"/>
                <w:sz w:val="22"/>
                <w:szCs w:val="22"/>
                <w:shd w:val="clear" w:color="auto" w:fill="FFFFFF"/>
              </w:rPr>
              <w:t>e.</w:t>
            </w:r>
          </w:p>
        </w:tc>
      </w:tr>
      <w:tr w:rsidR="00AF7840" w:rsidRPr="007C0236" w14:paraId="70A66956" w14:textId="77777777" w:rsidTr="000361A6">
        <w:trPr>
          <w:trHeight w:val="323"/>
        </w:trPr>
        <w:tc>
          <w:tcPr>
            <w:tcW w:w="13793" w:type="dxa"/>
            <w:gridSpan w:val="4"/>
            <w:shd w:val="clear" w:color="auto" w:fill="D9D9D9" w:themeFill="background1" w:themeFillShade="D9"/>
            <w:vAlign w:val="center"/>
          </w:tcPr>
          <w:p w14:paraId="7BCC88BB" w14:textId="77777777" w:rsidR="00AF7840" w:rsidRPr="006F7063" w:rsidRDefault="00AF7840" w:rsidP="00AF7840">
            <w:pPr>
              <w:tabs>
                <w:tab w:val="left" w:pos="3200"/>
              </w:tabs>
              <w:jc w:val="both"/>
              <w:rPr>
                <w:rFonts w:ascii="Arial" w:hAnsi="Arial" w:cs="Arial"/>
                <w:sz w:val="22"/>
                <w:szCs w:val="22"/>
              </w:rPr>
            </w:pPr>
            <w:r w:rsidRPr="006F7063">
              <w:rPr>
                <w:rFonts w:ascii="Arial" w:hAnsi="Arial" w:cs="Arial"/>
                <w:b/>
                <w:sz w:val="22"/>
                <w:szCs w:val="22"/>
              </w:rPr>
              <w:t>OP-704 Natural Disaster Risk Management Policy</w:t>
            </w:r>
          </w:p>
        </w:tc>
      </w:tr>
      <w:tr w:rsidR="00AF7840" w:rsidRPr="007C0236" w14:paraId="0F7DCCB6" w14:textId="77777777" w:rsidTr="000361A6">
        <w:trPr>
          <w:trHeight w:val="323"/>
        </w:trPr>
        <w:tc>
          <w:tcPr>
            <w:tcW w:w="2903" w:type="dxa"/>
            <w:shd w:val="clear" w:color="auto" w:fill="D9D9D9" w:themeFill="background1" w:themeFillShade="D9"/>
            <w:vAlign w:val="center"/>
          </w:tcPr>
          <w:p w14:paraId="3B240EBD"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 xml:space="preserve">Disaster Risk Assessment </w:t>
            </w:r>
          </w:p>
        </w:tc>
        <w:tc>
          <w:tcPr>
            <w:tcW w:w="2160" w:type="dxa"/>
            <w:vAlign w:val="center"/>
          </w:tcPr>
          <w:p w14:paraId="7156444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Disaster Risk Assessment</w:t>
            </w:r>
          </w:p>
        </w:tc>
        <w:tc>
          <w:tcPr>
            <w:tcW w:w="4320" w:type="dxa"/>
          </w:tcPr>
          <w:p w14:paraId="1586F712" w14:textId="77777777" w:rsidR="00AF7840" w:rsidRPr="006F7063" w:rsidRDefault="00AF7840" w:rsidP="00AF7840">
            <w:pPr>
              <w:tabs>
                <w:tab w:val="left" w:pos="3200"/>
              </w:tabs>
              <w:jc w:val="both"/>
              <w:rPr>
                <w:rFonts w:ascii="Arial" w:hAnsi="Arial" w:cs="Arial"/>
                <w:sz w:val="22"/>
                <w:szCs w:val="22"/>
              </w:rPr>
            </w:pPr>
            <w:r w:rsidRPr="00905B6C">
              <w:rPr>
                <w:rFonts w:ascii="Arial" w:hAnsi="Arial" w:cs="Arial"/>
                <w:sz w:val="22"/>
                <w:szCs w:val="22"/>
              </w:rPr>
              <w:t>Full compliance achieved</w:t>
            </w:r>
            <w:r w:rsidR="00C545B7">
              <w:rPr>
                <w:rFonts w:ascii="Arial" w:hAnsi="Arial" w:cs="Arial"/>
                <w:sz w:val="22"/>
                <w:szCs w:val="22"/>
              </w:rPr>
              <w:t>.</w:t>
            </w:r>
            <w:r>
              <w:rPr>
                <w:rFonts w:ascii="Arial" w:hAnsi="Arial" w:cs="Arial"/>
                <w:sz w:val="22"/>
                <w:szCs w:val="22"/>
              </w:rPr>
              <w:t xml:space="preserve"> </w:t>
            </w:r>
            <w:r w:rsidR="00C545B7">
              <w:rPr>
                <w:rFonts w:ascii="Arial" w:hAnsi="Arial" w:cs="Arial"/>
                <w:sz w:val="22"/>
                <w:szCs w:val="22"/>
              </w:rPr>
              <w:t>R</w:t>
            </w:r>
            <w:r>
              <w:rPr>
                <w:rFonts w:ascii="Arial" w:hAnsi="Arial" w:cs="Arial"/>
                <w:sz w:val="22"/>
                <w:szCs w:val="22"/>
              </w:rPr>
              <w:t>isk has been assessed as moderate, no DRA is required</w:t>
            </w:r>
          </w:p>
        </w:tc>
        <w:tc>
          <w:tcPr>
            <w:tcW w:w="4410" w:type="dxa"/>
          </w:tcPr>
          <w:p w14:paraId="75C130E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7F54DD" w:rsidRPr="007C0236" w14:paraId="6807511E" w14:textId="77777777" w:rsidTr="000361A6">
        <w:trPr>
          <w:trHeight w:val="323"/>
        </w:trPr>
        <w:tc>
          <w:tcPr>
            <w:tcW w:w="2903" w:type="dxa"/>
            <w:shd w:val="clear" w:color="auto" w:fill="D9D9D9" w:themeFill="background1" w:themeFillShade="D9"/>
            <w:vAlign w:val="center"/>
          </w:tcPr>
          <w:p w14:paraId="68231DFC" w14:textId="77777777" w:rsidR="007F54DD" w:rsidRPr="000361A6" w:rsidDel="00641735" w:rsidRDefault="007F54DD" w:rsidP="007F54DD">
            <w:pPr>
              <w:tabs>
                <w:tab w:val="left" w:pos="3200"/>
              </w:tabs>
              <w:rPr>
                <w:rFonts w:ascii="Arial" w:hAnsi="Arial" w:cs="Arial"/>
                <w:b/>
                <w:sz w:val="20"/>
                <w:szCs w:val="20"/>
              </w:rPr>
            </w:pPr>
            <w:r w:rsidRPr="000361A6">
              <w:rPr>
                <w:rFonts w:ascii="Arial" w:hAnsi="Arial" w:cs="Arial"/>
                <w:sz w:val="20"/>
                <w:szCs w:val="20"/>
              </w:rPr>
              <w:lastRenderedPageBreak/>
              <w:t xml:space="preserve">Disaster Risk Management Plan </w:t>
            </w:r>
          </w:p>
        </w:tc>
        <w:tc>
          <w:tcPr>
            <w:tcW w:w="2160" w:type="dxa"/>
            <w:vAlign w:val="center"/>
          </w:tcPr>
          <w:p w14:paraId="26422B68" w14:textId="77777777" w:rsidR="007F54DD" w:rsidRPr="006F7063" w:rsidRDefault="007F54DD" w:rsidP="007F54DD">
            <w:pPr>
              <w:tabs>
                <w:tab w:val="left" w:pos="3200"/>
              </w:tabs>
              <w:jc w:val="both"/>
              <w:rPr>
                <w:rFonts w:ascii="Arial" w:hAnsi="Arial" w:cs="Arial"/>
                <w:sz w:val="22"/>
                <w:szCs w:val="22"/>
              </w:rPr>
            </w:pPr>
            <w:r>
              <w:rPr>
                <w:rFonts w:ascii="Arial" w:hAnsi="Arial" w:cs="Arial"/>
                <w:sz w:val="22"/>
                <w:szCs w:val="22"/>
              </w:rPr>
              <w:t>Disaster Risk Management</w:t>
            </w:r>
          </w:p>
        </w:tc>
        <w:tc>
          <w:tcPr>
            <w:tcW w:w="4320" w:type="dxa"/>
          </w:tcPr>
          <w:p w14:paraId="53880CF9" w14:textId="77777777" w:rsidR="007F54DD" w:rsidRPr="006F7063" w:rsidRDefault="007F54DD" w:rsidP="007F54DD">
            <w:pPr>
              <w:tabs>
                <w:tab w:val="left" w:pos="3200"/>
              </w:tabs>
              <w:jc w:val="both"/>
              <w:rPr>
                <w:rFonts w:ascii="Arial" w:hAnsi="Arial" w:cs="Arial"/>
                <w:sz w:val="22"/>
                <w:szCs w:val="22"/>
              </w:rPr>
            </w:pPr>
            <w:r w:rsidRPr="00905B6C">
              <w:rPr>
                <w:rFonts w:ascii="Arial" w:hAnsi="Arial" w:cs="Arial"/>
                <w:sz w:val="22"/>
                <w:szCs w:val="22"/>
              </w:rPr>
              <w:t>Full compliance achieved</w:t>
            </w:r>
            <w:r w:rsidR="00C545B7">
              <w:rPr>
                <w:rFonts w:ascii="Arial" w:hAnsi="Arial" w:cs="Arial"/>
                <w:sz w:val="22"/>
                <w:szCs w:val="22"/>
              </w:rPr>
              <w:t>. R</w:t>
            </w:r>
            <w:r>
              <w:rPr>
                <w:rFonts w:ascii="Arial" w:hAnsi="Arial" w:cs="Arial"/>
                <w:sz w:val="22"/>
                <w:szCs w:val="22"/>
              </w:rPr>
              <w:t>isk assessed as moderate, no DRMP is required</w:t>
            </w:r>
          </w:p>
        </w:tc>
        <w:tc>
          <w:tcPr>
            <w:tcW w:w="4410" w:type="dxa"/>
          </w:tcPr>
          <w:p w14:paraId="25667E48" w14:textId="77777777" w:rsidR="007F54DD" w:rsidRPr="00905B6C" w:rsidRDefault="007F54DD" w:rsidP="007F54DD">
            <w:pPr>
              <w:tabs>
                <w:tab w:val="left" w:pos="3200"/>
              </w:tabs>
              <w:jc w:val="both"/>
              <w:rPr>
                <w:rFonts w:ascii="Arial" w:hAnsi="Arial" w:cs="Arial"/>
                <w:bCs/>
                <w:color w:val="000000" w:themeColor="text1"/>
                <w:sz w:val="22"/>
                <w:szCs w:val="22"/>
              </w:rPr>
            </w:pPr>
            <w:r>
              <w:rPr>
                <w:rFonts w:ascii="Arial" w:hAnsi="Arial" w:cs="Arial"/>
                <w:sz w:val="22"/>
                <w:szCs w:val="22"/>
              </w:rPr>
              <w:t>No Actions Required</w:t>
            </w:r>
          </w:p>
        </w:tc>
      </w:tr>
      <w:tr w:rsidR="00AF7840" w:rsidRPr="007C0236" w14:paraId="09D7B564" w14:textId="77777777" w:rsidTr="000361A6">
        <w:trPr>
          <w:trHeight w:val="323"/>
        </w:trPr>
        <w:tc>
          <w:tcPr>
            <w:tcW w:w="13793" w:type="dxa"/>
            <w:gridSpan w:val="4"/>
            <w:shd w:val="clear" w:color="auto" w:fill="D9D9D9" w:themeFill="background1" w:themeFillShade="D9"/>
            <w:vAlign w:val="center"/>
          </w:tcPr>
          <w:p w14:paraId="7BBFD83E" w14:textId="77777777" w:rsidR="00AF7840" w:rsidRPr="006F7063" w:rsidRDefault="00AF7840" w:rsidP="00AF7840">
            <w:pPr>
              <w:tabs>
                <w:tab w:val="left" w:pos="3200"/>
              </w:tabs>
              <w:jc w:val="both"/>
              <w:rPr>
                <w:rFonts w:ascii="Arial" w:hAnsi="Arial" w:cs="Arial"/>
                <w:sz w:val="22"/>
                <w:szCs w:val="22"/>
              </w:rPr>
            </w:pPr>
            <w:r w:rsidRPr="006F7063">
              <w:rPr>
                <w:rFonts w:ascii="Arial" w:hAnsi="Arial" w:cs="Arial"/>
                <w:b/>
                <w:sz w:val="22"/>
                <w:szCs w:val="22"/>
              </w:rPr>
              <w:t>OP-710 Operational Policy on Involuntary Resettlement</w:t>
            </w:r>
          </w:p>
        </w:tc>
      </w:tr>
      <w:tr w:rsidR="00AF7840" w:rsidRPr="007C0236" w14:paraId="310E2560" w14:textId="77777777" w:rsidTr="000361A6">
        <w:trPr>
          <w:trHeight w:val="323"/>
        </w:trPr>
        <w:tc>
          <w:tcPr>
            <w:tcW w:w="2903" w:type="dxa"/>
            <w:shd w:val="clear" w:color="auto" w:fill="D9D9D9" w:themeFill="background1" w:themeFillShade="D9"/>
            <w:vAlign w:val="center"/>
          </w:tcPr>
          <w:p w14:paraId="33568257"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Resettlement Minimization</w:t>
            </w:r>
          </w:p>
        </w:tc>
        <w:tc>
          <w:tcPr>
            <w:tcW w:w="2160" w:type="dxa"/>
            <w:vAlign w:val="center"/>
          </w:tcPr>
          <w:p w14:paraId="18D30240"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7209FF0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489AF1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3B5D2652" w14:textId="77777777" w:rsidTr="000361A6">
        <w:trPr>
          <w:trHeight w:val="323"/>
        </w:trPr>
        <w:tc>
          <w:tcPr>
            <w:tcW w:w="2903" w:type="dxa"/>
            <w:shd w:val="clear" w:color="auto" w:fill="D9D9D9" w:themeFill="background1" w:themeFillShade="D9"/>
            <w:vAlign w:val="center"/>
          </w:tcPr>
          <w:p w14:paraId="06BC9391"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 xml:space="preserve">Resettlement Plan Consultations </w:t>
            </w:r>
          </w:p>
        </w:tc>
        <w:tc>
          <w:tcPr>
            <w:tcW w:w="2160" w:type="dxa"/>
            <w:vAlign w:val="center"/>
          </w:tcPr>
          <w:p w14:paraId="0B75E44A"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44C3B0B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225F4169"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1BDB0D44" w14:textId="77777777" w:rsidTr="000361A6">
        <w:trPr>
          <w:trHeight w:val="323"/>
        </w:trPr>
        <w:tc>
          <w:tcPr>
            <w:tcW w:w="2903" w:type="dxa"/>
            <w:shd w:val="clear" w:color="auto" w:fill="D9D9D9" w:themeFill="background1" w:themeFillShade="D9"/>
            <w:vAlign w:val="center"/>
          </w:tcPr>
          <w:p w14:paraId="7F93F512"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 xml:space="preserve">Impoverishment Risk Analysis </w:t>
            </w:r>
          </w:p>
        </w:tc>
        <w:tc>
          <w:tcPr>
            <w:tcW w:w="2160" w:type="dxa"/>
            <w:vAlign w:val="center"/>
          </w:tcPr>
          <w:p w14:paraId="6A2DB935"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77272840"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3440251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46C92BF9" w14:textId="77777777" w:rsidTr="000361A6">
        <w:trPr>
          <w:trHeight w:val="323"/>
        </w:trPr>
        <w:tc>
          <w:tcPr>
            <w:tcW w:w="2903" w:type="dxa"/>
            <w:shd w:val="clear" w:color="auto" w:fill="D9D9D9" w:themeFill="background1" w:themeFillShade="D9"/>
            <w:vAlign w:val="center"/>
          </w:tcPr>
          <w:p w14:paraId="3D98A87E"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Resettlement Plan or Resettlement Framework (Prior to Analysis Mission/Board Approval</w:t>
            </w:r>
          </w:p>
        </w:tc>
        <w:tc>
          <w:tcPr>
            <w:tcW w:w="2160" w:type="dxa"/>
            <w:vAlign w:val="center"/>
          </w:tcPr>
          <w:p w14:paraId="2484CBD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58D617C"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6BE18C1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7457AEA9" w14:textId="77777777" w:rsidTr="000361A6">
        <w:trPr>
          <w:trHeight w:val="323"/>
        </w:trPr>
        <w:tc>
          <w:tcPr>
            <w:tcW w:w="2903" w:type="dxa"/>
            <w:shd w:val="clear" w:color="auto" w:fill="D9D9D9" w:themeFill="background1" w:themeFillShade="D9"/>
            <w:vAlign w:val="center"/>
          </w:tcPr>
          <w:p w14:paraId="2EA8B79D"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 xml:space="preserve">Livelihood Restoration Program </w:t>
            </w:r>
          </w:p>
        </w:tc>
        <w:tc>
          <w:tcPr>
            <w:tcW w:w="2160" w:type="dxa"/>
            <w:vAlign w:val="center"/>
          </w:tcPr>
          <w:p w14:paraId="1998D8C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7C2175A"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C069A3C"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3149DEFF" w14:textId="77777777" w:rsidTr="000361A6">
        <w:trPr>
          <w:trHeight w:val="323"/>
        </w:trPr>
        <w:tc>
          <w:tcPr>
            <w:tcW w:w="2903" w:type="dxa"/>
            <w:shd w:val="clear" w:color="auto" w:fill="D9D9D9" w:themeFill="background1" w:themeFillShade="D9"/>
            <w:vAlign w:val="center"/>
          </w:tcPr>
          <w:p w14:paraId="62D47271"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Consent (Indigenous Peoples and other Rural Ethnic Minorities)</w:t>
            </w:r>
          </w:p>
        </w:tc>
        <w:tc>
          <w:tcPr>
            <w:tcW w:w="2160" w:type="dxa"/>
            <w:vAlign w:val="center"/>
          </w:tcPr>
          <w:p w14:paraId="0B374C5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63797A8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465E78B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6B9E5E45" w14:textId="77777777" w:rsidTr="000361A6">
        <w:trPr>
          <w:trHeight w:val="323"/>
        </w:trPr>
        <w:tc>
          <w:tcPr>
            <w:tcW w:w="13793" w:type="dxa"/>
            <w:gridSpan w:val="4"/>
            <w:shd w:val="clear" w:color="auto" w:fill="D9D9D9" w:themeFill="background1" w:themeFillShade="D9"/>
            <w:vAlign w:val="center"/>
          </w:tcPr>
          <w:p w14:paraId="79FCA04B" w14:textId="77777777" w:rsidR="00AF7840" w:rsidRPr="006F7063" w:rsidRDefault="00AF7840" w:rsidP="00AF7840">
            <w:pPr>
              <w:tabs>
                <w:tab w:val="left" w:pos="3200"/>
              </w:tabs>
              <w:jc w:val="both"/>
              <w:rPr>
                <w:rFonts w:ascii="Arial" w:hAnsi="Arial" w:cs="Arial"/>
                <w:sz w:val="22"/>
                <w:szCs w:val="22"/>
              </w:rPr>
            </w:pPr>
            <w:r w:rsidRPr="006F7063">
              <w:rPr>
                <w:rFonts w:ascii="Arial" w:hAnsi="Arial" w:cs="Arial"/>
                <w:b/>
                <w:sz w:val="22"/>
                <w:szCs w:val="22"/>
              </w:rPr>
              <w:t>OP-765 Operational Policy on Indigenous Peoples</w:t>
            </w:r>
          </w:p>
        </w:tc>
      </w:tr>
      <w:tr w:rsidR="00AF7840" w:rsidRPr="007C0236" w14:paraId="2FBB8B20" w14:textId="77777777" w:rsidTr="000361A6">
        <w:trPr>
          <w:trHeight w:val="323"/>
        </w:trPr>
        <w:tc>
          <w:tcPr>
            <w:tcW w:w="2903" w:type="dxa"/>
            <w:shd w:val="clear" w:color="auto" w:fill="D9D9D9" w:themeFill="background1" w:themeFillShade="D9"/>
            <w:vAlign w:val="center"/>
          </w:tcPr>
          <w:p w14:paraId="3593752D" w14:textId="77777777" w:rsidR="00AF7840" w:rsidRPr="000361A6" w:rsidDel="00641735" w:rsidRDefault="00AF7840" w:rsidP="00AF7840">
            <w:pPr>
              <w:tabs>
                <w:tab w:val="left" w:pos="3200"/>
              </w:tabs>
              <w:jc w:val="both"/>
              <w:rPr>
                <w:rFonts w:ascii="Arial" w:hAnsi="Arial" w:cs="Arial"/>
                <w:b/>
                <w:sz w:val="20"/>
                <w:szCs w:val="20"/>
              </w:rPr>
            </w:pPr>
            <w:r w:rsidRPr="000361A6">
              <w:rPr>
                <w:rFonts w:ascii="Arial" w:hAnsi="Arial" w:cs="Arial"/>
                <w:sz w:val="20"/>
                <w:szCs w:val="20"/>
              </w:rPr>
              <w:t xml:space="preserve">Sociocultural Evaluation </w:t>
            </w:r>
          </w:p>
        </w:tc>
        <w:tc>
          <w:tcPr>
            <w:tcW w:w="2160" w:type="dxa"/>
            <w:vAlign w:val="center"/>
          </w:tcPr>
          <w:p w14:paraId="75031FC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3E70CBB"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21E02A1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0A069A22" w14:textId="77777777" w:rsidTr="000361A6">
        <w:trPr>
          <w:trHeight w:val="323"/>
        </w:trPr>
        <w:tc>
          <w:tcPr>
            <w:tcW w:w="2903" w:type="dxa"/>
            <w:shd w:val="clear" w:color="auto" w:fill="D9D9D9" w:themeFill="background1" w:themeFillShade="D9"/>
            <w:vAlign w:val="center"/>
          </w:tcPr>
          <w:p w14:paraId="48D50B23" w14:textId="77777777" w:rsidR="00AF7840" w:rsidRPr="000361A6" w:rsidDel="00641735" w:rsidRDefault="00AF7840" w:rsidP="00AF7840">
            <w:pPr>
              <w:tabs>
                <w:tab w:val="left" w:pos="3200"/>
              </w:tabs>
              <w:jc w:val="both"/>
              <w:rPr>
                <w:rFonts w:ascii="Arial" w:hAnsi="Arial" w:cs="Arial"/>
                <w:b/>
                <w:sz w:val="20"/>
                <w:szCs w:val="20"/>
              </w:rPr>
            </w:pPr>
            <w:r w:rsidRPr="000361A6">
              <w:rPr>
                <w:rFonts w:ascii="Arial" w:hAnsi="Arial" w:cs="Arial"/>
                <w:sz w:val="20"/>
                <w:szCs w:val="20"/>
              </w:rPr>
              <w:t xml:space="preserve">Good-faith Negotiations </w:t>
            </w:r>
          </w:p>
        </w:tc>
        <w:tc>
          <w:tcPr>
            <w:tcW w:w="2160" w:type="dxa"/>
            <w:vAlign w:val="center"/>
          </w:tcPr>
          <w:p w14:paraId="3019269E"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4FEB3A4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0E270565"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5D00D217" w14:textId="77777777" w:rsidTr="000361A6">
        <w:trPr>
          <w:trHeight w:val="323"/>
        </w:trPr>
        <w:tc>
          <w:tcPr>
            <w:tcW w:w="2903" w:type="dxa"/>
            <w:shd w:val="clear" w:color="auto" w:fill="D9D9D9" w:themeFill="background1" w:themeFillShade="D9"/>
            <w:vAlign w:val="center"/>
          </w:tcPr>
          <w:p w14:paraId="3A53C4CC"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Agreement with Affected Indigenous Peoples</w:t>
            </w:r>
          </w:p>
        </w:tc>
        <w:tc>
          <w:tcPr>
            <w:tcW w:w="2160" w:type="dxa"/>
            <w:vAlign w:val="center"/>
          </w:tcPr>
          <w:p w14:paraId="3AB193A9"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497A9429"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7E92B398"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23AD2D68" w14:textId="77777777" w:rsidTr="000361A6">
        <w:trPr>
          <w:trHeight w:val="323"/>
        </w:trPr>
        <w:tc>
          <w:tcPr>
            <w:tcW w:w="2903" w:type="dxa"/>
            <w:shd w:val="clear" w:color="auto" w:fill="D9D9D9" w:themeFill="background1" w:themeFillShade="D9"/>
            <w:vAlign w:val="center"/>
          </w:tcPr>
          <w:p w14:paraId="0388B093"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Indigenous Peoples Protection, Compensation, and Development Plan or Framework prior to Board Approval</w:t>
            </w:r>
          </w:p>
        </w:tc>
        <w:tc>
          <w:tcPr>
            <w:tcW w:w="2160" w:type="dxa"/>
            <w:vAlign w:val="center"/>
          </w:tcPr>
          <w:p w14:paraId="2DEAA05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D14FDA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495381F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0ADC8270" w14:textId="77777777" w:rsidTr="000361A6">
        <w:trPr>
          <w:trHeight w:val="323"/>
        </w:trPr>
        <w:tc>
          <w:tcPr>
            <w:tcW w:w="2903" w:type="dxa"/>
            <w:shd w:val="clear" w:color="auto" w:fill="D9D9D9" w:themeFill="background1" w:themeFillShade="D9"/>
            <w:vAlign w:val="center"/>
          </w:tcPr>
          <w:p w14:paraId="45B3B85C"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 xml:space="preserve">Discrimination Issues </w:t>
            </w:r>
          </w:p>
        </w:tc>
        <w:tc>
          <w:tcPr>
            <w:tcW w:w="2160" w:type="dxa"/>
            <w:vAlign w:val="center"/>
          </w:tcPr>
          <w:p w14:paraId="1AB48980"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1B0BB27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2AC962B5"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0DCA5F27" w14:textId="77777777" w:rsidTr="000361A6">
        <w:trPr>
          <w:trHeight w:val="323"/>
        </w:trPr>
        <w:tc>
          <w:tcPr>
            <w:tcW w:w="2903" w:type="dxa"/>
            <w:shd w:val="clear" w:color="auto" w:fill="D9D9D9" w:themeFill="background1" w:themeFillShade="D9"/>
            <w:vAlign w:val="center"/>
          </w:tcPr>
          <w:p w14:paraId="4884BD82"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 xml:space="preserve">Transborder Impacts </w:t>
            </w:r>
          </w:p>
        </w:tc>
        <w:tc>
          <w:tcPr>
            <w:tcW w:w="2160" w:type="dxa"/>
            <w:vAlign w:val="center"/>
          </w:tcPr>
          <w:p w14:paraId="2766EE42"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32CF1F2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4EEA4E4A"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6A867DC6" w14:textId="77777777" w:rsidTr="000361A6">
        <w:trPr>
          <w:trHeight w:val="323"/>
        </w:trPr>
        <w:tc>
          <w:tcPr>
            <w:tcW w:w="2903" w:type="dxa"/>
            <w:shd w:val="clear" w:color="auto" w:fill="D9D9D9" w:themeFill="background1" w:themeFillShade="D9"/>
            <w:vAlign w:val="center"/>
          </w:tcPr>
          <w:p w14:paraId="27B10EB8"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 xml:space="preserve">Impacts on Isolated Indigenous Peoples </w:t>
            </w:r>
          </w:p>
        </w:tc>
        <w:tc>
          <w:tcPr>
            <w:tcW w:w="2160" w:type="dxa"/>
            <w:vAlign w:val="center"/>
          </w:tcPr>
          <w:p w14:paraId="4E8E817C"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4C0A4751"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415EBD07"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7AD14683" w14:textId="77777777" w:rsidTr="000361A6">
        <w:trPr>
          <w:trHeight w:val="323"/>
        </w:trPr>
        <w:tc>
          <w:tcPr>
            <w:tcW w:w="13793" w:type="dxa"/>
            <w:gridSpan w:val="4"/>
            <w:shd w:val="clear" w:color="auto" w:fill="D9D9D9" w:themeFill="background1" w:themeFillShade="D9"/>
            <w:vAlign w:val="center"/>
          </w:tcPr>
          <w:p w14:paraId="4493F2AA" w14:textId="77777777" w:rsidR="00AF7840" w:rsidRPr="006F7063" w:rsidRDefault="00AF7840" w:rsidP="00AF7840">
            <w:pPr>
              <w:tabs>
                <w:tab w:val="left" w:pos="3200"/>
              </w:tabs>
              <w:jc w:val="both"/>
              <w:rPr>
                <w:rFonts w:ascii="Arial" w:hAnsi="Arial" w:cs="Arial"/>
                <w:sz w:val="22"/>
                <w:szCs w:val="22"/>
              </w:rPr>
            </w:pPr>
            <w:r w:rsidRPr="006F7063">
              <w:rPr>
                <w:rFonts w:ascii="Arial" w:hAnsi="Arial" w:cs="Arial"/>
                <w:b/>
                <w:sz w:val="22"/>
                <w:szCs w:val="22"/>
              </w:rPr>
              <w:t>OP-761 Operational Policy on Gender Equality in Development</w:t>
            </w:r>
          </w:p>
        </w:tc>
      </w:tr>
      <w:tr w:rsidR="007F54DD" w:rsidRPr="007C0236" w14:paraId="1C21C1B9" w14:textId="77777777" w:rsidTr="000361A6">
        <w:trPr>
          <w:trHeight w:val="323"/>
        </w:trPr>
        <w:tc>
          <w:tcPr>
            <w:tcW w:w="2903" w:type="dxa"/>
            <w:shd w:val="clear" w:color="auto" w:fill="D9D9D9" w:themeFill="background1" w:themeFillShade="D9"/>
            <w:vAlign w:val="center"/>
          </w:tcPr>
          <w:p w14:paraId="498AF8DD" w14:textId="77777777" w:rsidR="007F54DD" w:rsidRPr="000361A6" w:rsidDel="00641735" w:rsidRDefault="007F54DD" w:rsidP="007F54DD">
            <w:pPr>
              <w:tabs>
                <w:tab w:val="left" w:pos="3200"/>
              </w:tabs>
              <w:rPr>
                <w:rFonts w:ascii="Arial" w:hAnsi="Arial" w:cs="Arial"/>
                <w:b/>
                <w:sz w:val="20"/>
                <w:szCs w:val="20"/>
              </w:rPr>
            </w:pPr>
            <w:r>
              <w:rPr>
                <w:rFonts w:ascii="Arial" w:hAnsi="Arial" w:cs="Arial"/>
                <w:sz w:val="20"/>
                <w:szCs w:val="20"/>
              </w:rPr>
              <w:t>Une</w:t>
            </w:r>
            <w:r w:rsidRPr="000361A6">
              <w:rPr>
                <w:rFonts w:ascii="Arial" w:hAnsi="Arial" w:cs="Arial"/>
                <w:sz w:val="20"/>
                <w:szCs w:val="20"/>
              </w:rPr>
              <w:t>qual Access to Project Benefits/ Compensation Measures</w:t>
            </w:r>
          </w:p>
        </w:tc>
        <w:tc>
          <w:tcPr>
            <w:tcW w:w="2160" w:type="dxa"/>
            <w:vAlign w:val="center"/>
          </w:tcPr>
          <w:p w14:paraId="737A1810" w14:textId="77777777" w:rsidR="007F54DD" w:rsidRPr="006F7063" w:rsidRDefault="007F54DD" w:rsidP="007F54DD">
            <w:pPr>
              <w:tabs>
                <w:tab w:val="left" w:pos="3200"/>
              </w:tabs>
              <w:jc w:val="both"/>
              <w:rPr>
                <w:rFonts w:ascii="Arial" w:hAnsi="Arial" w:cs="Arial"/>
                <w:sz w:val="22"/>
                <w:szCs w:val="22"/>
              </w:rPr>
            </w:pPr>
            <w:r>
              <w:rPr>
                <w:rFonts w:ascii="Arial" w:hAnsi="Arial" w:cs="Arial"/>
                <w:sz w:val="22"/>
                <w:szCs w:val="22"/>
              </w:rPr>
              <w:t>-</w:t>
            </w:r>
          </w:p>
        </w:tc>
        <w:tc>
          <w:tcPr>
            <w:tcW w:w="4320" w:type="dxa"/>
          </w:tcPr>
          <w:p w14:paraId="2DFA1F97" w14:textId="153CB79F" w:rsidR="007F54DD" w:rsidRPr="006F7063" w:rsidRDefault="007F54DD" w:rsidP="007F54DD">
            <w:pPr>
              <w:tabs>
                <w:tab w:val="left" w:pos="3200"/>
              </w:tabs>
              <w:jc w:val="both"/>
              <w:rPr>
                <w:rFonts w:ascii="Arial" w:hAnsi="Arial" w:cs="Arial"/>
                <w:sz w:val="22"/>
                <w:szCs w:val="22"/>
              </w:rPr>
            </w:pPr>
            <w:r>
              <w:rPr>
                <w:rFonts w:ascii="Arial" w:hAnsi="Arial" w:cs="Arial"/>
                <w:sz w:val="22"/>
                <w:szCs w:val="22"/>
              </w:rPr>
              <w:t xml:space="preserve">Women </w:t>
            </w:r>
            <w:r w:rsidR="00087984">
              <w:rPr>
                <w:rFonts w:ascii="Arial" w:hAnsi="Arial" w:cs="Arial"/>
                <w:sz w:val="22"/>
                <w:szCs w:val="22"/>
              </w:rPr>
              <w:t>will</w:t>
            </w:r>
            <w:r>
              <w:rPr>
                <w:rFonts w:ascii="Arial" w:hAnsi="Arial" w:cs="Arial"/>
                <w:sz w:val="22"/>
                <w:szCs w:val="22"/>
              </w:rPr>
              <w:t xml:space="preserve"> be integrated into the workforce</w:t>
            </w:r>
            <w:r w:rsidDel="003C0244">
              <w:rPr>
                <w:rFonts w:ascii="Arial" w:hAnsi="Arial" w:cs="Arial"/>
                <w:sz w:val="22"/>
                <w:szCs w:val="22"/>
              </w:rPr>
              <w:t xml:space="preserve"> </w:t>
            </w:r>
          </w:p>
        </w:tc>
        <w:tc>
          <w:tcPr>
            <w:tcW w:w="4410" w:type="dxa"/>
          </w:tcPr>
          <w:p w14:paraId="6F9AAE68" w14:textId="1530A51B" w:rsidR="007F54DD" w:rsidRPr="006F7063" w:rsidRDefault="003B0EA4" w:rsidP="007F54DD">
            <w:pPr>
              <w:tabs>
                <w:tab w:val="left" w:pos="3200"/>
              </w:tabs>
              <w:jc w:val="both"/>
              <w:rPr>
                <w:rFonts w:ascii="Arial" w:hAnsi="Arial" w:cs="Arial"/>
                <w:sz w:val="22"/>
                <w:szCs w:val="22"/>
              </w:rPr>
            </w:pPr>
            <w:r>
              <w:rPr>
                <w:rFonts w:ascii="Arial" w:hAnsi="Arial" w:cs="Arial"/>
                <w:sz w:val="22"/>
                <w:szCs w:val="22"/>
              </w:rPr>
              <w:t>T</w:t>
            </w:r>
            <w:r w:rsidR="007F54DD">
              <w:rPr>
                <w:rFonts w:ascii="Arial" w:hAnsi="Arial" w:cs="Arial"/>
                <w:sz w:val="22"/>
                <w:szCs w:val="22"/>
              </w:rPr>
              <w:t xml:space="preserve">he </w:t>
            </w:r>
            <w:r w:rsidR="00482EA7">
              <w:rPr>
                <w:rFonts w:ascii="Arial" w:hAnsi="Arial" w:cs="Arial"/>
                <w:sz w:val="22"/>
                <w:szCs w:val="22"/>
              </w:rPr>
              <w:t>Beneficiary will</w:t>
            </w:r>
            <w:r w:rsidR="007F54DD">
              <w:rPr>
                <w:rFonts w:ascii="Arial" w:hAnsi="Arial" w:cs="Arial"/>
                <w:sz w:val="22"/>
                <w:szCs w:val="22"/>
              </w:rPr>
              <w:t xml:space="preserve"> </w:t>
            </w:r>
            <w:r w:rsidR="007F54DD" w:rsidRPr="006B2418">
              <w:rPr>
                <w:rFonts w:ascii="Arial" w:eastAsia="Times New Roman" w:hAnsi="Arial" w:cs="Arial"/>
                <w:sz w:val="22"/>
                <w:szCs w:val="22"/>
                <w:shd w:val="clear" w:color="auto" w:fill="FFFFFF"/>
              </w:rPr>
              <w:t>implement a training program for women to enter the workforce in energy efficiency implementation</w:t>
            </w:r>
          </w:p>
        </w:tc>
      </w:tr>
      <w:tr w:rsidR="00AF7840" w:rsidRPr="007C0236" w14:paraId="2A459DBB" w14:textId="77777777" w:rsidTr="000361A6">
        <w:trPr>
          <w:trHeight w:val="323"/>
        </w:trPr>
        <w:tc>
          <w:tcPr>
            <w:tcW w:w="2903" w:type="dxa"/>
            <w:shd w:val="clear" w:color="auto" w:fill="D9D9D9" w:themeFill="background1" w:themeFillShade="D9"/>
            <w:vAlign w:val="center"/>
          </w:tcPr>
          <w:p w14:paraId="56118616"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lastRenderedPageBreak/>
              <w:t xml:space="preserve">Uneven </w:t>
            </w:r>
            <w:r>
              <w:rPr>
                <w:rFonts w:ascii="Arial" w:hAnsi="Arial" w:cs="Arial"/>
                <w:sz w:val="20"/>
                <w:szCs w:val="20"/>
              </w:rPr>
              <w:t>Introduction of Unpaid Work</w:t>
            </w:r>
          </w:p>
        </w:tc>
        <w:tc>
          <w:tcPr>
            <w:tcW w:w="2160" w:type="dxa"/>
            <w:vAlign w:val="center"/>
          </w:tcPr>
          <w:p w14:paraId="7951D67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Avoidance of uneven pay</w:t>
            </w:r>
          </w:p>
        </w:tc>
        <w:tc>
          <w:tcPr>
            <w:tcW w:w="4320" w:type="dxa"/>
          </w:tcPr>
          <w:p w14:paraId="539CFF86" w14:textId="67FD2AB7" w:rsidR="00AF7840" w:rsidRPr="006F7063" w:rsidRDefault="00482EA7" w:rsidP="00AF7840">
            <w:pPr>
              <w:tabs>
                <w:tab w:val="left" w:pos="3200"/>
              </w:tabs>
              <w:jc w:val="both"/>
              <w:rPr>
                <w:rFonts w:ascii="Arial" w:hAnsi="Arial" w:cs="Arial"/>
                <w:sz w:val="22"/>
                <w:szCs w:val="22"/>
              </w:rPr>
            </w:pPr>
            <w:r>
              <w:rPr>
                <w:rFonts w:ascii="Arial" w:hAnsi="Arial" w:cs="Arial"/>
                <w:sz w:val="22"/>
                <w:szCs w:val="22"/>
              </w:rPr>
              <w:t xml:space="preserve">No uneven introduction of unpaid work or payment gaps, or increased risk of gender based discrimination will occur. </w:t>
            </w:r>
          </w:p>
        </w:tc>
        <w:tc>
          <w:tcPr>
            <w:tcW w:w="4410" w:type="dxa"/>
          </w:tcPr>
          <w:p w14:paraId="49039A5C" w14:textId="34110AD0" w:rsidR="00AF7840" w:rsidRPr="006F7063" w:rsidRDefault="003B0EA4" w:rsidP="00AF7840">
            <w:pPr>
              <w:tabs>
                <w:tab w:val="left" w:pos="3200"/>
              </w:tabs>
              <w:jc w:val="both"/>
              <w:rPr>
                <w:rFonts w:ascii="Arial" w:hAnsi="Arial" w:cs="Arial"/>
                <w:sz w:val="22"/>
                <w:szCs w:val="22"/>
              </w:rPr>
            </w:pPr>
            <w:r>
              <w:rPr>
                <w:rFonts w:ascii="Arial" w:hAnsi="Arial" w:cs="Arial"/>
                <w:bCs/>
                <w:color w:val="000000" w:themeColor="text1"/>
                <w:sz w:val="22"/>
                <w:szCs w:val="22"/>
              </w:rPr>
              <w:t>The</w:t>
            </w:r>
            <w:r w:rsidR="00AF7840">
              <w:rPr>
                <w:rFonts w:ascii="Arial" w:eastAsia="Times New Roman" w:hAnsi="Arial" w:cs="Arial"/>
                <w:sz w:val="22"/>
                <w:szCs w:val="22"/>
                <w:shd w:val="clear" w:color="auto" w:fill="FFFFFF"/>
              </w:rPr>
              <w:t xml:space="preserve"> </w:t>
            </w:r>
            <w:r w:rsidR="00482EA7">
              <w:rPr>
                <w:rFonts w:ascii="Arial" w:eastAsia="Times New Roman" w:hAnsi="Arial" w:cs="Arial"/>
                <w:sz w:val="22"/>
                <w:szCs w:val="22"/>
                <w:shd w:val="clear" w:color="auto" w:fill="FFFFFF"/>
              </w:rPr>
              <w:t>Beneficiary will</w:t>
            </w:r>
            <w:r w:rsidR="00AF7840">
              <w:rPr>
                <w:rFonts w:ascii="Arial" w:eastAsia="Times New Roman" w:hAnsi="Arial" w:cs="Arial"/>
                <w:sz w:val="22"/>
                <w:szCs w:val="22"/>
                <w:shd w:val="clear" w:color="auto" w:fill="FFFFFF"/>
              </w:rPr>
              <w:t xml:space="preserve"> </w:t>
            </w:r>
            <w:r w:rsidR="00AF7840" w:rsidRPr="00FE4E81">
              <w:rPr>
                <w:rFonts w:ascii="Arial" w:eastAsia="Times New Roman" w:hAnsi="Arial" w:cs="Arial"/>
                <w:sz w:val="22"/>
                <w:szCs w:val="22"/>
                <w:shd w:val="clear" w:color="auto" w:fill="FFFFFF"/>
              </w:rPr>
              <w:t>include measures, standard in construction contracts, to avoid uneven introduction of unpaid work or payment gaps, or increased risk of gender based discrimination</w:t>
            </w:r>
            <w:r w:rsidR="00AF7840">
              <w:rPr>
                <w:rFonts w:ascii="Arial" w:eastAsia="Times New Roman" w:hAnsi="Arial" w:cs="Arial"/>
                <w:sz w:val="22"/>
                <w:szCs w:val="22"/>
                <w:shd w:val="clear" w:color="auto" w:fill="FFFFFF"/>
              </w:rPr>
              <w:t>.</w:t>
            </w:r>
          </w:p>
        </w:tc>
      </w:tr>
      <w:tr w:rsidR="00AF7840" w:rsidRPr="007C0236" w14:paraId="0511E077" w14:textId="77777777" w:rsidTr="00874CC0">
        <w:trPr>
          <w:trHeight w:val="323"/>
        </w:trPr>
        <w:tc>
          <w:tcPr>
            <w:tcW w:w="2903" w:type="dxa"/>
            <w:shd w:val="clear" w:color="auto" w:fill="D9D9D9" w:themeFill="background1" w:themeFillShade="D9"/>
            <w:vAlign w:val="center"/>
          </w:tcPr>
          <w:p w14:paraId="4BC0CE66" w14:textId="77777777" w:rsidR="00AF7840" w:rsidRPr="000361A6" w:rsidRDefault="00AF7840" w:rsidP="00AF7840">
            <w:pPr>
              <w:tabs>
                <w:tab w:val="left" w:pos="3200"/>
              </w:tabs>
              <w:rPr>
                <w:rFonts w:ascii="Arial" w:hAnsi="Arial" w:cs="Arial"/>
                <w:sz w:val="20"/>
                <w:szCs w:val="20"/>
              </w:rPr>
            </w:pPr>
            <w:r w:rsidRPr="000361A6">
              <w:rPr>
                <w:rFonts w:ascii="Arial" w:hAnsi="Arial" w:cs="Arial"/>
                <w:sz w:val="20"/>
                <w:szCs w:val="20"/>
              </w:rPr>
              <w:t>Increased Risk of Gender-Based Violence, including sexual exploitation, human trafficking and sexually transmitted diseases</w:t>
            </w:r>
          </w:p>
        </w:tc>
        <w:tc>
          <w:tcPr>
            <w:tcW w:w="2160" w:type="dxa"/>
            <w:vAlign w:val="center"/>
          </w:tcPr>
          <w:p w14:paraId="3EBAF320"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250DE4D3"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21103019"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124E6617" w14:textId="77777777" w:rsidTr="000361A6">
        <w:trPr>
          <w:trHeight w:val="323"/>
        </w:trPr>
        <w:tc>
          <w:tcPr>
            <w:tcW w:w="2903" w:type="dxa"/>
            <w:shd w:val="clear" w:color="auto" w:fill="D9D9D9" w:themeFill="background1" w:themeFillShade="D9"/>
            <w:vAlign w:val="center"/>
          </w:tcPr>
          <w:p w14:paraId="19DCDD3F"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Disaggregation of Impact Data by Gender</w:t>
            </w:r>
          </w:p>
        </w:tc>
        <w:tc>
          <w:tcPr>
            <w:tcW w:w="2160" w:type="dxa"/>
            <w:vAlign w:val="center"/>
          </w:tcPr>
          <w:p w14:paraId="49206D3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w:t>
            </w:r>
          </w:p>
        </w:tc>
        <w:tc>
          <w:tcPr>
            <w:tcW w:w="4320" w:type="dxa"/>
          </w:tcPr>
          <w:p w14:paraId="7C0A9AB6"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Not Applicable</w:t>
            </w:r>
          </w:p>
        </w:tc>
        <w:tc>
          <w:tcPr>
            <w:tcW w:w="4410" w:type="dxa"/>
          </w:tcPr>
          <w:p w14:paraId="3DDE401D" w14:textId="77777777" w:rsidR="00AF7840" w:rsidRPr="006F7063" w:rsidRDefault="00AF7840" w:rsidP="00AF7840">
            <w:pPr>
              <w:tabs>
                <w:tab w:val="left" w:pos="3200"/>
              </w:tabs>
              <w:jc w:val="both"/>
              <w:rPr>
                <w:rFonts w:ascii="Arial" w:hAnsi="Arial" w:cs="Arial"/>
                <w:sz w:val="22"/>
                <w:szCs w:val="22"/>
              </w:rPr>
            </w:pPr>
            <w:r>
              <w:rPr>
                <w:rFonts w:ascii="Arial" w:hAnsi="Arial" w:cs="Arial"/>
                <w:sz w:val="22"/>
                <w:szCs w:val="22"/>
              </w:rPr>
              <w:t>No Actions Required</w:t>
            </w:r>
          </w:p>
        </w:tc>
      </w:tr>
      <w:tr w:rsidR="00AF7840" w:rsidRPr="007C0236" w14:paraId="3061642E" w14:textId="77777777" w:rsidTr="000361A6">
        <w:trPr>
          <w:trHeight w:val="323"/>
        </w:trPr>
        <w:tc>
          <w:tcPr>
            <w:tcW w:w="13793" w:type="dxa"/>
            <w:gridSpan w:val="4"/>
            <w:shd w:val="clear" w:color="auto" w:fill="D9D9D9" w:themeFill="background1" w:themeFillShade="D9"/>
            <w:vAlign w:val="center"/>
          </w:tcPr>
          <w:p w14:paraId="64AF33C1" w14:textId="77777777" w:rsidR="00AF7840" w:rsidRPr="006F7063" w:rsidRDefault="00AF7840" w:rsidP="00AF7840">
            <w:pPr>
              <w:tabs>
                <w:tab w:val="left" w:pos="3200"/>
              </w:tabs>
              <w:jc w:val="both"/>
              <w:rPr>
                <w:rFonts w:ascii="Arial" w:hAnsi="Arial" w:cs="Arial"/>
                <w:sz w:val="22"/>
                <w:szCs w:val="22"/>
              </w:rPr>
            </w:pPr>
            <w:r w:rsidRPr="006F7063">
              <w:rPr>
                <w:rFonts w:ascii="Arial" w:hAnsi="Arial" w:cs="Arial"/>
                <w:b/>
                <w:sz w:val="22"/>
                <w:szCs w:val="22"/>
              </w:rPr>
              <w:t>OP-102 Access to Information Policy</w:t>
            </w:r>
          </w:p>
        </w:tc>
      </w:tr>
      <w:tr w:rsidR="00562414" w:rsidRPr="007C0236" w14:paraId="09A067E5" w14:textId="77777777" w:rsidTr="000361A6">
        <w:trPr>
          <w:trHeight w:val="323"/>
        </w:trPr>
        <w:tc>
          <w:tcPr>
            <w:tcW w:w="2903" w:type="dxa"/>
            <w:shd w:val="clear" w:color="auto" w:fill="D9D9D9" w:themeFill="background1" w:themeFillShade="D9"/>
            <w:vAlign w:val="center"/>
          </w:tcPr>
          <w:p w14:paraId="234D1639" w14:textId="77777777" w:rsidR="00562414" w:rsidRPr="000361A6" w:rsidDel="00641735" w:rsidRDefault="00562414" w:rsidP="00562414">
            <w:pPr>
              <w:tabs>
                <w:tab w:val="left" w:pos="3200"/>
              </w:tabs>
              <w:rPr>
                <w:rFonts w:ascii="Arial" w:hAnsi="Arial" w:cs="Arial"/>
                <w:b/>
                <w:sz w:val="20"/>
                <w:szCs w:val="20"/>
              </w:rPr>
            </w:pPr>
            <w:r w:rsidRPr="000361A6">
              <w:rPr>
                <w:rFonts w:ascii="Arial" w:eastAsia="Arial" w:hAnsi="Arial" w:cs="Arial"/>
                <w:sz w:val="20"/>
                <w:szCs w:val="20"/>
              </w:rPr>
              <w:t>Disclosure of relevant Environmental and Social Assessments</w:t>
            </w:r>
            <w:r w:rsidRPr="000361A6">
              <w:rPr>
                <w:rStyle w:val="FootnoteReference"/>
                <w:rFonts w:ascii="Arial" w:eastAsia="Arial" w:hAnsi="Arial" w:cs="Arial"/>
                <w:sz w:val="20"/>
                <w:szCs w:val="20"/>
              </w:rPr>
              <w:footnoteReference w:id="5"/>
            </w:r>
            <w:r w:rsidRPr="000361A6">
              <w:rPr>
                <w:rFonts w:ascii="Arial" w:eastAsia="Arial" w:hAnsi="Arial" w:cs="Arial"/>
                <w:sz w:val="20"/>
                <w:szCs w:val="20"/>
              </w:rPr>
              <w:t xml:space="preserve"> Prior to Analysis Mission, QRR and submission of the operation for Board consideration</w:t>
            </w:r>
            <w:r w:rsidRPr="000361A6">
              <w:rPr>
                <w:rStyle w:val="FootnoteReference"/>
                <w:rFonts w:ascii="Arial" w:eastAsia="Arial" w:hAnsi="Arial" w:cs="Arial"/>
                <w:sz w:val="20"/>
                <w:szCs w:val="20"/>
              </w:rPr>
              <w:footnoteReference w:id="6"/>
            </w:r>
          </w:p>
        </w:tc>
        <w:tc>
          <w:tcPr>
            <w:tcW w:w="2160" w:type="dxa"/>
            <w:vAlign w:val="center"/>
          </w:tcPr>
          <w:p w14:paraId="5F5A568E" w14:textId="77777777" w:rsidR="00562414" w:rsidRPr="006F7063" w:rsidRDefault="00562414" w:rsidP="00562414">
            <w:pPr>
              <w:tabs>
                <w:tab w:val="left" w:pos="3200"/>
              </w:tabs>
              <w:jc w:val="both"/>
              <w:rPr>
                <w:rFonts w:ascii="Arial" w:hAnsi="Arial" w:cs="Arial"/>
                <w:sz w:val="22"/>
                <w:szCs w:val="22"/>
              </w:rPr>
            </w:pPr>
            <w:r w:rsidRPr="001F4F15">
              <w:rPr>
                <w:rFonts w:ascii="Arial" w:hAnsi="Arial" w:cs="Arial"/>
                <w:sz w:val="22"/>
                <w:szCs w:val="22"/>
              </w:rPr>
              <w:t>Preliminary ESA</w:t>
            </w:r>
            <w:r>
              <w:rPr>
                <w:rFonts w:ascii="Arial" w:hAnsi="Arial" w:cs="Arial"/>
                <w:sz w:val="22"/>
                <w:szCs w:val="22"/>
              </w:rPr>
              <w:t xml:space="preserve"> disclosure</w:t>
            </w:r>
            <w:r w:rsidRPr="001F4F15">
              <w:rPr>
                <w:rFonts w:ascii="Arial" w:hAnsi="Arial" w:cs="Arial"/>
                <w:sz w:val="22"/>
                <w:szCs w:val="22"/>
              </w:rPr>
              <w:t>.</w:t>
            </w:r>
          </w:p>
        </w:tc>
        <w:tc>
          <w:tcPr>
            <w:tcW w:w="4320" w:type="dxa"/>
          </w:tcPr>
          <w:p w14:paraId="27B77B3A" w14:textId="77777777" w:rsidR="00562414" w:rsidRPr="006F7063" w:rsidRDefault="00562414" w:rsidP="00562414">
            <w:pPr>
              <w:tabs>
                <w:tab w:val="left" w:pos="3200"/>
              </w:tabs>
              <w:jc w:val="both"/>
              <w:rPr>
                <w:rFonts w:ascii="Arial" w:hAnsi="Arial" w:cs="Arial"/>
                <w:sz w:val="22"/>
                <w:szCs w:val="22"/>
              </w:rPr>
            </w:pPr>
            <w:r>
              <w:rPr>
                <w:rFonts w:ascii="Arial" w:hAnsi="Arial" w:cs="Arial"/>
                <w:sz w:val="22"/>
                <w:szCs w:val="22"/>
              </w:rPr>
              <w:t>The original EA was posted on the Bank’s website in 2016 under JA-L1056. The EA is also posted to the Bank’s website under JA-G1003.</w:t>
            </w:r>
          </w:p>
        </w:tc>
        <w:tc>
          <w:tcPr>
            <w:tcW w:w="4410" w:type="dxa"/>
          </w:tcPr>
          <w:p w14:paraId="44FF1A4A" w14:textId="77777777" w:rsidR="00562414" w:rsidRPr="006F7063" w:rsidRDefault="00562414" w:rsidP="00562414">
            <w:pPr>
              <w:tabs>
                <w:tab w:val="left" w:pos="3200"/>
              </w:tabs>
              <w:jc w:val="both"/>
              <w:rPr>
                <w:rFonts w:ascii="Arial" w:hAnsi="Arial" w:cs="Arial"/>
                <w:sz w:val="22"/>
                <w:szCs w:val="22"/>
              </w:rPr>
            </w:pPr>
            <w:r>
              <w:rPr>
                <w:rFonts w:ascii="Arial" w:hAnsi="Arial" w:cs="Arial"/>
                <w:sz w:val="22"/>
                <w:szCs w:val="22"/>
              </w:rPr>
              <w:t xml:space="preserve">Prior to QRR </w:t>
            </w:r>
            <w:r w:rsidRPr="001F4F15">
              <w:rPr>
                <w:rFonts w:ascii="Arial" w:hAnsi="Arial" w:cs="Arial"/>
                <w:sz w:val="22"/>
                <w:szCs w:val="22"/>
              </w:rPr>
              <w:t>disclose E</w:t>
            </w:r>
            <w:r>
              <w:rPr>
                <w:rFonts w:ascii="Arial" w:hAnsi="Arial" w:cs="Arial"/>
                <w:sz w:val="22"/>
                <w:szCs w:val="22"/>
              </w:rPr>
              <w:t>SA and ESMP on IDB JA-G1003 Project Profile page (now on JA-L1056)</w:t>
            </w:r>
          </w:p>
        </w:tc>
      </w:tr>
      <w:tr w:rsidR="00AF7840" w:rsidRPr="007C0236" w14:paraId="25A53ED2" w14:textId="77777777" w:rsidTr="000361A6">
        <w:trPr>
          <w:trHeight w:val="323"/>
        </w:trPr>
        <w:tc>
          <w:tcPr>
            <w:tcW w:w="2903" w:type="dxa"/>
            <w:shd w:val="clear" w:color="auto" w:fill="D9D9D9" w:themeFill="background1" w:themeFillShade="D9"/>
            <w:vAlign w:val="center"/>
          </w:tcPr>
          <w:p w14:paraId="69BE7BF4" w14:textId="77777777" w:rsidR="00AF7840" w:rsidRPr="000361A6" w:rsidDel="00641735" w:rsidRDefault="00AF7840" w:rsidP="00AF7840">
            <w:pPr>
              <w:tabs>
                <w:tab w:val="left" w:pos="3200"/>
              </w:tabs>
              <w:rPr>
                <w:rFonts w:ascii="Arial" w:hAnsi="Arial" w:cs="Arial"/>
                <w:b/>
                <w:sz w:val="20"/>
                <w:szCs w:val="20"/>
              </w:rPr>
            </w:pPr>
            <w:r w:rsidRPr="000361A6">
              <w:rPr>
                <w:rFonts w:ascii="Arial" w:hAnsi="Arial" w:cs="Arial"/>
                <w:sz w:val="20"/>
                <w:szCs w:val="20"/>
              </w:rPr>
              <w:t>Provisions for Disclosure of Environmental and Social Documents during Project Implementation</w:t>
            </w:r>
          </w:p>
        </w:tc>
        <w:tc>
          <w:tcPr>
            <w:tcW w:w="2160" w:type="dxa"/>
            <w:vAlign w:val="center"/>
          </w:tcPr>
          <w:p w14:paraId="4BA62F95" w14:textId="77777777" w:rsidR="00AF7840" w:rsidRPr="006F7063" w:rsidRDefault="00AF7840" w:rsidP="00AF7840">
            <w:pPr>
              <w:tabs>
                <w:tab w:val="left" w:pos="3200"/>
              </w:tabs>
              <w:jc w:val="both"/>
              <w:rPr>
                <w:rFonts w:ascii="Arial" w:hAnsi="Arial" w:cs="Arial"/>
                <w:sz w:val="22"/>
                <w:szCs w:val="22"/>
              </w:rPr>
            </w:pPr>
            <w:r w:rsidRPr="001F4F15">
              <w:rPr>
                <w:rFonts w:ascii="Arial" w:hAnsi="Arial" w:cs="Arial"/>
                <w:sz w:val="22"/>
                <w:szCs w:val="22"/>
              </w:rPr>
              <w:t xml:space="preserve">Ongoing Disclosure of </w:t>
            </w:r>
            <w:r w:rsidR="00036458">
              <w:rPr>
                <w:rFonts w:ascii="Arial" w:hAnsi="Arial" w:cs="Arial"/>
                <w:sz w:val="22"/>
                <w:szCs w:val="22"/>
              </w:rPr>
              <w:t>E&amp;S</w:t>
            </w:r>
            <w:r w:rsidRPr="001F4F15">
              <w:rPr>
                <w:rFonts w:ascii="Arial" w:hAnsi="Arial" w:cs="Arial"/>
                <w:sz w:val="22"/>
                <w:szCs w:val="22"/>
              </w:rPr>
              <w:t xml:space="preserve"> Documents during Project Implementation</w:t>
            </w:r>
          </w:p>
        </w:tc>
        <w:tc>
          <w:tcPr>
            <w:tcW w:w="4320" w:type="dxa"/>
          </w:tcPr>
          <w:p w14:paraId="417C4F34" w14:textId="77777777" w:rsidR="00AF7840" w:rsidRPr="006F7063" w:rsidRDefault="00AF7840" w:rsidP="00AF7840">
            <w:pPr>
              <w:tabs>
                <w:tab w:val="left" w:pos="3200"/>
              </w:tabs>
              <w:jc w:val="both"/>
              <w:rPr>
                <w:rFonts w:ascii="Arial" w:hAnsi="Arial" w:cs="Arial"/>
                <w:sz w:val="22"/>
                <w:szCs w:val="22"/>
              </w:rPr>
            </w:pPr>
            <w:r w:rsidRPr="001F4F15">
              <w:rPr>
                <w:rFonts w:ascii="Arial" w:hAnsi="Arial" w:cs="Arial"/>
                <w:sz w:val="22"/>
                <w:szCs w:val="22"/>
              </w:rPr>
              <w:t>Compliance achievable through specific conditions established in legal documentation for actions over a defined period of time.</w:t>
            </w:r>
          </w:p>
        </w:tc>
        <w:tc>
          <w:tcPr>
            <w:tcW w:w="4410" w:type="dxa"/>
          </w:tcPr>
          <w:p w14:paraId="58F76331" w14:textId="6A583826" w:rsidR="00AF7840" w:rsidRPr="006F7063" w:rsidRDefault="00AF7840" w:rsidP="00AF7840">
            <w:pPr>
              <w:tabs>
                <w:tab w:val="left" w:pos="3200"/>
              </w:tabs>
              <w:jc w:val="both"/>
              <w:rPr>
                <w:rFonts w:ascii="Arial" w:hAnsi="Arial" w:cs="Arial"/>
                <w:sz w:val="22"/>
                <w:szCs w:val="22"/>
              </w:rPr>
            </w:pPr>
            <w:r>
              <w:rPr>
                <w:rFonts w:ascii="Arial" w:hAnsi="Arial" w:cs="Arial"/>
                <w:bCs/>
                <w:color w:val="000000" w:themeColor="text1"/>
                <w:sz w:val="22"/>
                <w:szCs w:val="22"/>
              </w:rPr>
              <w:t>Condition for the</w:t>
            </w:r>
            <w:r w:rsidR="007F54DD">
              <w:rPr>
                <w:rFonts w:ascii="Arial" w:hAnsi="Arial" w:cs="Arial"/>
                <w:bCs/>
                <w:color w:val="000000" w:themeColor="text1"/>
                <w:sz w:val="22"/>
                <w:szCs w:val="22"/>
              </w:rPr>
              <w:t xml:space="preserve"> life of the</w:t>
            </w:r>
            <w:r>
              <w:rPr>
                <w:rFonts w:ascii="Arial" w:hAnsi="Arial" w:cs="Arial"/>
                <w:bCs/>
                <w:color w:val="000000" w:themeColor="text1"/>
                <w:sz w:val="22"/>
                <w:szCs w:val="22"/>
              </w:rPr>
              <w:t xml:space="preserve"> </w:t>
            </w:r>
            <w:r w:rsidR="00CF6089">
              <w:rPr>
                <w:rFonts w:ascii="Arial" w:hAnsi="Arial" w:cs="Arial"/>
                <w:bCs/>
                <w:color w:val="000000" w:themeColor="text1"/>
                <w:sz w:val="22"/>
                <w:szCs w:val="22"/>
              </w:rPr>
              <w:t xml:space="preserve">IGR </w:t>
            </w:r>
            <w:r>
              <w:rPr>
                <w:rFonts w:ascii="Arial" w:eastAsia="Times New Roman" w:hAnsi="Arial" w:cs="Arial"/>
                <w:sz w:val="22"/>
                <w:szCs w:val="22"/>
                <w:shd w:val="clear" w:color="auto" w:fill="FFFFFF"/>
              </w:rPr>
              <w:t xml:space="preserve">: the </w:t>
            </w:r>
            <w:r w:rsidR="00CF6089">
              <w:rPr>
                <w:rFonts w:ascii="Arial" w:eastAsia="Times New Roman" w:hAnsi="Arial" w:cs="Arial"/>
                <w:sz w:val="22"/>
                <w:szCs w:val="22"/>
                <w:shd w:val="clear" w:color="auto" w:fill="FFFFFF"/>
              </w:rPr>
              <w:t xml:space="preserve">Beneficiary </w:t>
            </w:r>
            <w:r>
              <w:rPr>
                <w:rFonts w:ascii="Arial" w:eastAsia="Times New Roman" w:hAnsi="Arial" w:cs="Arial"/>
                <w:sz w:val="22"/>
                <w:szCs w:val="22"/>
                <w:shd w:val="clear" w:color="auto" w:fill="FFFFFF"/>
              </w:rPr>
              <w:t xml:space="preserve"> will disclose any new relevant ESHS document on their website. </w:t>
            </w:r>
          </w:p>
        </w:tc>
      </w:tr>
    </w:tbl>
    <w:p w14:paraId="4F67C6F8" w14:textId="77777777" w:rsidR="00BE1ADE" w:rsidRDefault="00BE1ADE" w:rsidP="00BE1ADE">
      <w:pPr>
        <w:rPr>
          <w:rFonts w:ascii="Arial" w:hAnsi="Arial" w:cs="Arial"/>
          <w:bCs/>
          <w:sz w:val="22"/>
          <w:szCs w:val="22"/>
        </w:rPr>
        <w:sectPr w:rsidR="00BE1ADE" w:rsidSect="00883BA1">
          <w:pgSz w:w="15840" w:h="12240" w:orient="landscape"/>
          <w:pgMar w:top="1166" w:right="1440" w:bottom="1800" w:left="1440" w:header="720" w:footer="720" w:gutter="0"/>
          <w:cols w:space="720"/>
          <w:docGrid w:linePitch="360"/>
        </w:sectPr>
      </w:pPr>
    </w:p>
    <w:p w14:paraId="5B48F946" w14:textId="77777777" w:rsidR="00BE1ADE" w:rsidRDefault="00874CC0" w:rsidP="00BE1ADE">
      <w:pPr>
        <w:rPr>
          <w:rFonts w:ascii="Arial" w:hAnsi="Arial" w:cs="Arial"/>
          <w:b/>
          <w:sz w:val="20"/>
          <w:szCs w:val="20"/>
        </w:rPr>
      </w:pPr>
      <w:r w:rsidRPr="00F22DD8">
        <w:rPr>
          <w:rFonts w:ascii="Arial" w:hAnsi="Arial" w:cs="Arial"/>
          <w:b/>
          <w:bCs/>
          <w:sz w:val="22"/>
          <w:szCs w:val="22"/>
        </w:rPr>
        <w:lastRenderedPageBreak/>
        <w:t>Annex B. ESHS Legal Requirements</w:t>
      </w:r>
      <w:r w:rsidR="00BE1ADE" w:rsidRPr="003F2F0C">
        <w:rPr>
          <w:rFonts w:ascii="Arial" w:hAnsi="Arial" w:cs="Arial"/>
          <w:b/>
          <w:sz w:val="20"/>
          <w:szCs w:val="20"/>
        </w:rPr>
        <w:t xml:space="preserve"> </w:t>
      </w:r>
    </w:p>
    <w:p w14:paraId="198FE2D3" w14:textId="77777777" w:rsidR="009F0069" w:rsidRDefault="009F0069" w:rsidP="009F0069">
      <w:pPr>
        <w:rPr>
          <w:rFonts w:ascii="Arial" w:hAnsi="Arial" w:cs="Arial"/>
          <w:b/>
        </w:rPr>
      </w:pPr>
    </w:p>
    <w:tbl>
      <w:tblPr>
        <w:tblW w:w="999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F41279" w:rsidRPr="00F41279" w14:paraId="272B6DFB"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FFD7DD0" w14:textId="645FA9F3" w:rsidR="009F0069" w:rsidRPr="00F41279" w:rsidRDefault="009F0069" w:rsidP="00B66307">
            <w:pPr>
              <w:spacing w:before="120" w:after="120"/>
              <w:rPr>
                <w:rFonts w:ascii="Arial" w:eastAsia="Times New Roman" w:hAnsi="Arial" w:cs="Arial"/>
                <w:b/>
                <w:sz w:val="20"/>
                <w:szCs w:val="20"/>
                <w:lang w:val="en"/>
              </w:rPr>
            </w:pPr>
            <w:r w:rsidRPr="00F41279">
              <w:rPr>
                <w:rFonts w:ascii="Arial" w:eastAsia="Times New Roman" w:hAnsi="Arial" w:cs="Arial"/>
                <w:b/>
                <w:sz w:val="20"/>
                <w:szCs w:val="20"/>
                <w:lang w:val="en"/>
              </w:rPr>
              <w:t>ESHS C</w:t>
            </w:r>
            <w:r w:rsidR="007415E3">
              <w:rPr>
                <w:rFonts w:ascii="Arial" w:eastAsia="Times New Roman" w:hAnsi="Arial" w:cs="Arial"/>
                <w:b/>
                <w:sz w:val="20"/>
                <w:szCs w:val="20"/>
                <w:lang w:val="en"/>
              </w:rPr>
              <w:t>onditions of the IGR</w:t>
            </w:r>
            <w:r w:rsidR="00A94A7F" w:rsidRPr="00F41279">
              <w:rPr>
                <w:rFonts w:ascii="Arial" w:eastAsia="Times New Roman" w:hAnsi="Arial" w:cs="Arial"/>
                <w:b/>
                <w:sz w:val="20"/>
                <w:szCs w:val="20"/>
                <w:lang w:val="en"/>
              </w:rPr>
              <w:t xml:space="preserve"> Agreement</w:t>
            </w:r>
          </w:p>
          <w:p w14:paraId="7AD06123" w14:textId="556F0702" w:rsidR="009F0069" w:rsidRPr="00F41279" w:rsidRDefault="009F0069" w:rsidP="00B66307">
            <w:pPr>
              <w:spacing w:before="120" w:after="120"/>
              <w:rPr>
                <w:rFonts w:eastAsia="Times New Roman"/>
              </w:rPr>
            </w:pPr>
            <w:r w:rsidRPr="00F41279">
              <w:rPr>
                <w:rFonts w:ascii="Arial" w:eastAsia="Times New Roman" w:hAnsi="Arial" w:cs="Arial"/>
                <w:sz w:val="20"/>
                <w:szCs w:val="20"/>
                <w:lang w:val="en"/>
              </w:rPr>
              <w:t xml:space="preserve">The following ESHS conditions are required to be fulfilled to the satisfaction of the Bank and will be included in the </w:t>
            </w:r>
            <w:r w:rsidR="00CF6089" w:rsidRPr="00482EA7">
              <w:rPr>
                <w:rFonts w:ascii="Arial" w:eastAsia="Times New Roman" w:hAnsi="Arial" w:cs="Arial"/>
                <w:sz w:val="20"/>
                <w:szCs w:val="20"/>
                <w:lang w:val="en"/>
              </w:rPr>
              <w:t xml:space="preserve">Investment Grant </w:t>
            </w:r>
            <w:r w:rsidRPr="00482EA7">
              <w:rPr>
                <w:rFonts w:ascii="Arial" w:eastAsia="Times New Roman" w:hAnsi="Arial" w:cs="Arial"/>
                <w:sz w:val="20"/>
                <w:szCs w:val="20"/>
                <w:lang w:val="en"/>
              </w:rPr>
              <w:t>Agreement</w:t>
            </w:r>
            <w:r w:rsidRPr="00CF6089">
              <w:rPr>
                <w:rFonts w:ascii="Arial" w:eastAsia="Times New Roman" w:hAnsi="Arial" w:cs="Arial"/>
                <w:sz w:val="20"/>
                <w:szCs w:val="20"/>
                <w:lang w:val="en"/>
              </w:rPr>
              <w:t xml:space="preserve"> </w:t>
            </w:r>
            <w:r w:rsidR="00F41279" w:rsidRPr="00CF6089">
              <w:rPr>
                <w:rFonts w:ascii="Arial" w:eastAsia="Times New Roman" w:hAnsi="Arial" w:cs="Arial"/>
                <w:sz w:val="20"/>
                <w:szCs w:val="20"/>
                <w:lang w:val="en"/>
              </w:rPr>
              <w:t>to</w:t>
            </w:r>
            <w:r w:rsidRPr="00CF6089">
              <w:rPr>
                <w:rFonts w:ascii="Arial" w:eastAsia="Times New Roman" w:hAnsi="Arial" w:cs="Arial"/>
                <w:sz w:val="20"/>
                <w:szCs w:val="20"/>
                <w:lang w:val="en"/>
              </w:rPr>
              <w:t xml:space="preserve"> comply</w:t>
            </w:r>
            <w:r w:rsidRPr="00F41279">
              <w:rPr>
                <w:rFonts w:ascii="Arial" w:eastAsia="Times New Roman" w:hAnsi="Arial" w:cs="Arial"/>
                <w:sz w:val="20"/>
                <w:szCs w:val="20"/>
                <w:lang w:val="en"/>
              </w:rPr>
              <w:t xml:space="preserve"> with the Bank’s ESHS </w:t>
            </w:r>
            <w:r w:rsidR="00A94A7F" w:rsidRPr="00F41279">
              <w:rPr>
                <w:rFonts w:ascii="Arial" w:eastAsia="Times New Roman" w:hAnsi="Arial" w:cs="Arial"/>
                <w:sz w:val="20"/>
                <w:szCs w:val="20"/>
                <w:lang w:val="en"/>
              </w:rPr>
              <w:t>Safeguard Policies:</w:t>
            </w:r>
          </w:p>
        </w:tc>
      </w:tr>
      <w:tr w:rsidR="00F41279" w:rsidRPr="00F41279" w14:paraId="6235B1BE"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827102C" w14:textId="1F6CC593" w:rsidR="009F0069" w:rsidRPr="00F41279" w:rsidRDefault="009F0069" w:rsidP="00B66307">
            <w:pPr>
              <w:spacing w:before="120" w:after="120"/>
              <w:rPr>
                <w:rFonts w:ascii="Arial" w:eastAsia="Times New Roman" w:hAnsi="Arial" w:cs="Arial"/>
                <w:sz w:val="20"/>
                <w:szCs w:val="20"/>
                <w:lang w:val="en"/>
              </w:rPr>
            </w:pPr>
            <w:r w:rsidRPr="00F41279">
              <w:rPr>
                <w:rFonts w:ascii="Arial" w:eastAsia="Times New Roman" w:hAnsi="Arial" w:cs="Arial"/>
                <w:b/>
                <w:sz w:val="20"/>
                <w:szCs w:val="20"/>
                <w:lang w:val="en"/>
              </w:rPr>
              <w:t xml:space="preserve">1. Conditions to be Met Prior to the First Disbursement of the </w:t>
            </w:r>
            <w:r w:rsidR="00CF6089" w:rsidRPr="00482EA7">
              <w:rPr>
                <w:rFonts w:ascii="Arial" w:eastAsia="Times New Roman" w:hAnsi="Arial" w:cs="Arial"/>
                <w:b/>
                <w:sz w:val="20"/>
                <w:szCs w:val="20"/>
                <w:lang w:val="en"/>
              </w:rPr>
              <w:t>IGR</w:t>
            </w:r>
            <w:r w:rsidRPr="00482EA7">
              <w:rPr>
                <w:rFonts w:ascii="Arial" w:eastAsia="Times New Roman" w:hAnsi="Arial" w:cs="Arial"/>
                <w:b/>
                <w:sz w:val="20"/>
                <w:szCs w:val="20"/>
                <w:lang w:val="en"/>
              </w:rPr>
              <w:t>.</w:t>
            </w:r>
          </w:p>
          <w:p w14:paraId="1DA44798" w14:textId="77777777" w:rsidR="00107A79" w:rsidRPr="00107A79" w:rsidRDefault="00107A79" w:rsidP="00107A79">
            <w:pPr>
              <w:pStyle w:val="CommentText"/>
              <w:spacing w:before="120" w:after="120"/>
              <w:rPr>
                <w:rFonts w:ascii="Arial" w:hAnsi="Arial" w:cs="Arial"/>
                <w:lang w:val="en"/>
              </w:rPr>
            </w:pPr>
            <w:r w:rsidRPr="00107A79">
              <w:rPr>
                <w:rFonts w:ascii="Arial" w:hAnsi="Arial" w:cs="Arial"/>
                <w:lang w:val="en"/>
              </w:rPr>
              <w:t>The Project will implement the project specific ESMP to assess and mitigate the negative impacts associated with the Project.  All project contractors will also be required to comply with the actions described in the ESMP.</w:t>
            </w:r>
          </w:p>
          <w:p w14:paraId="425B635E" w14:textId="77777777" w:rsidR="00107A79" w:rsidRPr="00107A79" w:rsidRDefault="00107A79" w:rsidP="00107A79">
            <w:pPr>
              <w:pStyle w:val="CommentText"/>
              <w:spacing w:before="120" w:after="120"/>
              <w:rPr>
                <w:rFonts w:ascii="Arial" w:hAnsi="Arial" w:cs="Arial"/>
                <w:lang w:val="en"/>
              </w:rPr>
            </w:pPr>
            <w:r w:rsidRPr="00107A79">
              <w:rPr>
                <w:rFonts w:ascii="Arial" w:hAnsi="Arial" w:cs="Arial"/>
                <w:lang w:val="en"/>
              </w:rPr>
              <w:t>The Project will appoint an Environmental and Social Specialist for the duration of the construction period to prevent and manage potential impacts and supervise and monitor mitigation measures (this action is inclusive of the requirement for JA-L1056, not</w:t>
            </w:r>
            <w:r>
              <w:rPr>
                <w:rFonts w:ascii="Arial" w:hAnsi="Arial" w:cs="Arial"/>
                <w:lang w:val="en"/>
              </w:rPr>
              <w:t xml:space="preserve"> in addition to). </w:t>
            </w:r>
            <w:r w:rsidRPr="00107A79">
              <w:rPr>
                <w:rFonts w:ascii="Arial" w:hAnsi="Arial" w:cs="Arial"/>
                <w:lang w:val="en"/>
              </w:rPr>
              <w:t xml:space="preserve"> </w:t>
            </w:r>
          </w:p>
          <w:p w14:paraId="05EFF925" w14:textId="797F7592" w:rsidR="009F0069" w:rsidRPr="00F41279" w:rsidRDefault="00107A79" w:rsidP="00F53FD0">
            <w:pPr>
              <w:pStyle w:val="CommentText"/>
              <w:spacing w:before="120" w:after="120"/>
              <w:rPr>
                <w:rFonts w:ascii="Arial" w:hAnsi="Arial" w:cs="Arial"/>
                <w:b/>
                <w:highlight w:val="yellow"/>
                <w:lang w:val="en"/>
              </w:rPr>
            </w:pPr>
            <w:r w:rsidRPr="00107A79">
              <w:rPr>
                <w:rFonts w:ascii="Arial" w:hAnsi="Arial" w:cs="Arial"/>
                <w:lang w:val="en"/>
              </w:rPr>
              <w:t>Copies of relevant permits, contracts, and agreements shall be submitted to the Bank</w:t>
            </w:r>
            <w:r w:rsidR="009F0069" w:rsidRPr="00F41279">
              <w:rPr>
                <w:rFonts w:ascii="Arial" w:hAnsi="Arial" w:cs="Arial"/>
                <w:lang w:val="en"/>
              </w:rPr>
              <w:tab/>
            </w:r>
          </w:p>
        </w:tc>
      </w:tr>
      <w:tr w:rsidR="00F41279" w:rsidRPr="00F41279" w14:paraId="6FBEEE49"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0F0B3CB" w14:textId="6F3C8371" w:rsidR="009F0069" w:rsidRPr="00F41279" w:rsidRDefault="009F0069" w:rsidP="00B66307">
            <w:pPr>
              <w:spacing w:before="120" w:after="120"/>
              <w:rPr>
                <w:rFonts w:ascii="Arial" w:eastAsia="Times New Roman" w:hAnsi="Arial" w:cs="Arial"/>
                <w:b/>
                <w:sz w:val="20"/>
                <w:szCs w:val="20"/>
                <w:lang w:val="en"/>
              </w:rPr>
            </w:pPr>
            <w:r w:rsidRPr="00F41279">
              <w:rPr>
                <w:rFonts w:ascii="Arial" w:eastAsia="Times New Roman" w:hAnsi="Arial" w:cs="Arial"/>
                <w:b/>
                <w:sz w:val="20"/>
                <w:szCs w:val="20"/>
                <w:lang w:val="en"/>
              </w:rPr>
              <w:t xml:space="preserve">2. Conditions of Execution for Compliance During the Life of the </w:t>
            </w:r>
            <w:r w:rsidR="00D42EFE">
              <w:rPr>
                <w:rFonts w:ascii="Arial" w:eastAsia="Times New Roman" w:hAnsi="Arial" w:cs="Arial"/>
                <w:b/>
                <w:sz w:val="20"/>
                <w:szCs w:val="20"/>
                <w:lang w:val="en"/>
              </w:rPr>
              <w:t xml:space="preserve">IGR </w:t>
            </w:r>
          </w:p>
          <w:p w14:paraId="6D2E508E" w14:textId="7F8B6FB2" w:rsidR="00107A79" w:rsidRDefault="009F0069" w:rsidP="00B66307">
            <w:pPr>
              <w:spacing w:before="120" w:after="120"/>
              <w:rPr>
                <w:rFonts w:ascii="Arial" w:eastAsia="Times New Roman" w:hAnsi="Arial" w:cs="Arial"/>
                <w:sz w:val="20"/>
                <w:szCs w:val="20"/>
                <w:lang w:val="en"/>
              </w:rPr>
            </w:pPr>
            <w:r w:rsidRPr="00F41279">
              <w:rPr>
                <w:rFonts w:ascii="Arial" w:eastAsia="Times New Roman" w:hAnsi="Arial" w:cs="Arial"/>
                <w:sz w:val="20"/>
                <w:szCs w:val="20"/>
                <w:lang w:val="en"/>
              </w:rPr>
              <w:t xml:space="preserve">a)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shall, and shall cause the Executing Agency and every other contractor, operator or any other Person performing Project related activities to, design, build, operate, </w:t>
            </w:r>
            <w:r w:rsidRPr="00F41279">
              <w:rPr>
                <w:rFonts w:ascii="Arial" w:hAnsi="Arial" w:cs="Arial"/>
                <w:sz w:val="20"/>
                <w:szCs w:val="20"/>
              </w:rPr>
              <w:t>maintain and monitor</w:t>
            </w:r>
            <w:r w:rsidRPr="00F41279">
              <w:rPr>
                <w:rFonts w:ascii="Arial" w:eastAsia="Times New Roman" w:hAnsi="Arial" w:cs="Arial"/>
                <w:sz w:val="20"/>
                <w:szCs w:val="20"/>
                <w:lang w:val="en"/>
              </w:rPr>
              <w:t xml:space="preserve"> the Project in compliance with:</w:t>
            </w:r>
          </w:p>
          <w:p w14:paraId="24D54150" w14:textId="77777777" w:rsidR="00107A79" w:rsidRPr="00482EA7" w:rsidRDefault="00107A79" w:rsidP="00107A79">
            <w:pPr>
              <w:pStyle w:val="ListParagraph"/>
              <w:numPr>
                <w:ilvl w:val="0"/>
                <w:numId w:val="47"/>
              </w:numPr>
              <w:spacing w:after="200" w:line="276" w:lineRule="auto"/>
              <w:jc w:val="both"/>
              <w:rPr>
                <w:rFonts w:ascii="Arial" w:eastAsia="Times New Roman" w:hAnsi="Arial" w:cs="Arial"/>
                <w:sz w:val="20"/>
                <w:szCs w:val="20"/>
              </w:rPr>
            </w:pPr>
            <w:r w:rsidRPr="00482EA7">
              <w:rPr>
                <w:rFonts w:ascii="Arial" w:eastAsia="Times New Roman" w:hAnsi="Arial" w:cs="Arial"/>
                <w:sz w:val="20"/>
                <w:szCs w:val="20"/>
              </w:rPr>
              <w:t xml:space="preserve">All applicable environmental, social, health and safety, and labor regulatory requirements of Jamaica. </w:t>
            </w:r>
          </w:p>
          <w:p w14:paraId="243758EE" w14:textId="77777777" w:rsidR="00107A79" w:rsidRPr="00482EA7" w:rsidRDefault="00107A79" w:rsidP="00107A79">
            <w:pPr>
              <w:pStyle w:val="ListParagraph"/>
              <w:numPr>
                <w:ilvl w:val="0"/>
                <w:numId w:val="47"/>
              </w:numPr>
              <w:spacing w:after="200" w:line="276" w:lineRule="auto"/>
              <w:jc w:val="both"/>
              <w:rPr>
                <w:rFonts w:ascii="Arial" w:eastAsia="Times New Roman" w:hAnsi="Arial" w:cs="Arial"/>
                <w:sz w:val="20"/>
                <w:szCs w:val="20"/>
              </w:rPr>
            </w:pPr>
            <w:r w:rsidRPr="00482EA7">
              <w:rPr>
                <w:rFonts w:ascii="Arial" w:eastAsia="Times New Roman" w:hAnsi="Arial" w:cs="Arial"/>
                <w:sz w:val="20"/>
                <w:szCs w:val="20"/>
              </w:rPr>
              <w:t xml:space="preserve">All requirements associated with any environmental, social, health and safety, and labor related permits, authorizations, or licenses that apply to the Project, the Borrower or any party responsible for executing the Project or its mitigation measures. </w:t>
            </w:r>
          </w:p>
          <w:p w14:paraId="7A5B6525" w14:textId="77777777" w:rsidR="00107A79" w:rsidRPr="00482EA7" w:rsidRDefault="00107A79" w:rsidP="00107A79">
            <w:pPr>
              <w:pStyle w:val="ListParagraph"/>
              <w:numPr>
                <w:ilvl w:val="0"/>
                <w:numId w:val="47"/>
              </w:numPr>
              <w:spacing w:after="200" w:line="276" w:lineRule="auto"/>
              <w:jc w:val="both"/>
              <w:rPr>
                <w:rFonts w:ascii="Arial" w:eastAsia="Times New Roman" w:hAnsi="Arial" w:cs="Arial"/>
                <w:sz w:val="20"/>
                <w:szCs w:val="20"/>
              </w:rPr>
            </w:pPr>
            <w:r w:rsidRPr="00482EA7">
              <w:rPr>
                <w:rFonts w:ascii="Arial" w:eastAsia="Times New Roman" w:hAnsi="Arial" w:cs="Arial"/>
                <w:sz w:val="20"/>
                <w:szCs w:val="20"/>
              </w:rPr>
              <w:t xml:space="preserve">All environmental, social, health and safety, and labor requirements of the Project contracts and any subsequent modifications. </w:t>
            </w:r>
          </w:p>
          <w:p w14:paraId="1F442F9C" w14:textId="77777777" w:rsidR="00107A79" w:rsidRPr="00482EA7" w:rsidRDefault="00107A79" w:rsidP="00107A79">
            <w:pPr>
              <w:pStyle w:val="ListParagraph"/>
              <w:numPr>
                <w:ilvl w:val="0"/>
                <w:numId w:val="47"/>
              </w:numPr>
              <w:spacing w:after="200" w:line="276" w:lineRule="auto"/>
              <w:jc w:val="both"/>
              <w:rPr>
                <w:rFonts w:ascii="Arial" w:eastAsia="Times New Roman" w:hAnsi="Arial" w:cs="Arial"/>
                <w:sz w:val="20"/>
                <w:szCs w:val="20"/>
              </w:rPr>
            </w:pPr>
            <w:r w:rsidRPr="00482EA7">
              <w:rPr>
                <w:rFonts w:ascii="Arial" w:eastAsia="Times New Roman" w:hAnsi="Arial" w:cs="Arial"/>
                <w:sz w:val="20"/>
                <w:szCs w:val="20"/>
              </w:rPr>
              <w:t xml:space="preserve">All relevant IDB policies such as the Environment and Safeguards Compliance Policy (OP-703), the Disaster Risk Management Policy (OP-704) and the Disclosure of Information Policy (OP-102), and the Gender and Equity in Development Policy (OP-761) and their respective guidelines. </w:t>
            </w:r>
          </w:p>
          <w:p w14:paraId="15E32E32" w14:textId="77777777" w:rsidR="00107A79" w:rsidRPr="00482EA7" w:rsidRDefault="00107A79" w:rsidP="00107A79">
            <w:pPr>
              <w:pStyle w:val="ListParagraph"/>
              <w:numPr>
                <w:ilvl w:val="0"/>
                <w:numId w:val="47"/>
              </w:numPr>
              <w:spacing w:after="200" w:line="276" w:lineRule="auto"/>
              <w:jc w:val="both"/>
              <w:rPr>
                <w:rFonts w:ascii="Arial" w:eastAsia="Times New Roman" w:hAnsi="Arial" w:cs="Arial"/>
                <w:sz w:val="20"/>
                <w:szCs w:val="20"/>
              </w:rPr>
            </w:pPr>
            <w:r w:rsidRPr="00482EA7">
              <w:rPr>
                <w:rFonts w:ascii="Arial" w:eastAsia="Times New Roman" w:hAnsi="Arial" w:cs="Arial"/>
                <w:sz w:val="20"/>
                <w:szCs w:val="20"/>
              </w:rPr>
              <w:t>Comply with all the requirements indicated in the Environmental and Social Action Plan (ESAP), in the event an ESAP is required.</w:t>
            </w:r>
          </w:p>
          <w:p w14:paraId="5A56A368" w14:textId="3D6D0B01" w:rsidR="009F0069" w:rsidRPr="00F41279" w:rsidRDefault="003B0EA4" w:rsidP="00B66307">
            <w:pPr>
              <w:spacing w:before="120" w:after="120"/>
              <w:rPr>
                <w:rFonts w:ascii="Arial" w:eastAsia="Times New Roman" w:hAnsi="Arial" w:cs="Arial"/>
                <w:sz w:val="20"/>
                <w:szCs w:val="20"/>
                <w:lang w:val="en"/>
              </w:rPr>
            </w:pPr>
            <w:r>
              <w:rPr>
                <w:rFonts w:ascii="Arial" w:hAnsi="Arial" w:cs="Arial"/>
                <w:sz w:val="20"/>
                <w:szCs w:val="20"/>
              </w:rPr>
              <w:t>b</w:t>
            </w:r>
            <w:r w:rsidR="009F0069" w:rsidRPr="00F41279">
              <w:rPr>
                <w:rFonts w:ascii="Arial" w:hAnsi="Arial" w:cs="Arial"/>
                <w:sz w:val="20"/>
                <w:szCs w:val="20"/>
              </w:rPr>
              <w:t xml:space="preserve">) </w:t>
            </w:r>
            <w:r w:rsidR="009F0069" w:rsidRPr="00F41279">
              <w:rPr>
                <w:rFonts w:ascii="Arial" w:eastAsia="Times New Roman" w:hAnsi="Arial" w:cs="Arial"/>
                <w:sz w:val="20"/>
                <w:szCs w:val="20"/>
                <w:lang w:val="en"/>
              </w:rPr>
              <w:t xml:space="preserve">Any substantive changes to the ESHS provisions or ESHS Plans referred to herein shall be in writing and approved by the Bank in a manner consistent with the Bank's environmental </w:t>
            </w:r>
            <w:r w:rsidR="00514BBE" w:rsidRPr="00F41279">
              <w:rPr>
                <w:rFonts w:ascii="Arial" w:eastAsia="Times New Roman" w:hAnsi="Arial" w:cs="Arial"/>
                <w:sz w:val="20"/>
                <w:szCs w:val="20"/>
                <w:lang w:val="en"/>
              </w:rPr>
              <w:t>and social safeguards policies.</w:t>
            </w:r>
          </w:p>
          <w:p w14:paraId="48C7AC77" w14:textId="718BD569" w:rsidR="009F0069" w:rsidRPr="00F41279" w:rsidRDefault="003B0EA4" w:rsidP="00B66307">
            <w:pPr>
              <w:spacing w:before="120" w:after="120"/>
              <w:rPr>
                <w:rFonts w:ascii="Arial" w:eastAsia="Times New Roman" w:hAnsi="Arial" w:cs="Arial"/>
                <w:sz w:val="20"/>
                <w:szCs w:val="20"/>
                <w:lang w:val="en"/>
              </w:rPr>
            </w:pPr>
            <w:r>
              <w:rPr>
                <w:rFonts w:ascii="Arial" w:eastAsia="Times New Roman" w:hAnsi="Arial" w:cs="Arial"/>
                <w:sz w:val="20"/>
                <w:szCs w:val="20"/>
                <w:lang w:val="en"/>
              </w:rPr>
              <w:t>c</w:t>
            </w:r>
            <w:r w:rsidR="009F0069" w:rsidRPr="00F41279">
              <w:rPr>
                <w:rFonts w:ascii="Arial" w:eastAsia="Times New Roman" w:hAnsi="Arial" w:cs="Arial"/>
                <w:sz w:val="20"/>
                <w:szCs w:val="20"/>
                <w:lang w:val="en"/>
              </w:rPr>
              <w:t xml:space="preserve">) </w:t>
            </w:r>
            <w:r w:rsidR="00514BBE" w:rsidRPr="00F41279">
              <w:rPr>
                <w:rFonts w:ascii="Arial" w:eastAsia="Times New Roman" w:hAnsi="Arial" w:cs="Arial"/>
                <w:sz w:val="20"/>
                <w:szCs w:val="20"/>
                <w:lang w:val="en"/>
              </w:rPr>
              <w:t xml:space="preserve">The </w:t>
            </w:r>
            <w:r w:rsidR="00D42EFE">
              <w:rPr>
                <w:rFonts w:ascii="Arial" w:eastAsia="Times New Roman" w:hAnsi="Arial" w:cs="Arial"/>
                <w:sz w:val="20"/>
                <w:szCs w:val="20"/>
                <w:lang w:val="en"/>
              </w:rPr>
              <w:t>Beneficiary</w:t>
            </w:r>
            <w:r w:rsidR="00514BBE"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00514BBE" w:rsidRPr="00F41279">
              <w:rPr>
                <w:rFonts w:ascii="Arial" w:eastAsia="Times New Roman" w:hAnsi="Arial" w:cs="Arial"/>
                <w:sz w:val="20"/>
                <w:szCs w:val="20"/>
                <w:lang w:val="en"/>
              </w:rPr>
              <w:t xml:space="preserve">, </w:t>
            </w:r>
            <w:r w:rsidR="009F0069" w:rsidRPr="00F41279">
              <w:rPr>
                <w:rFonts w:ascii="Arial" w:eastAsia="Times New Roman" w:hAnsi="Arial" w:cs="Arial"/>
                <w:sz w:val="20"/>
                <w:szCs w:val="20"/>
                <w:lang w:val="en"/>
              </w:rPr>
              <w:t xml:space="preserve">shall not, without the prior written consent of the Bank, engage in any of the following activities with respect to the Project: </w:t>
            </w:r>
            <w:r w:rsidR="00514BBE" w:rsidRPr="00F41279">
              <w:rPr>
                <w:rFonts w:ascii="Arial" w:eastAsia="Times New Roman" w:hAnsi="Arial" w:cs="Arial"/>
                <w:sz w:val="20"/>
                <w:szCs w:val="20"/>
                <w:lang w:val="en"/>
              </w:rPr>
              <w:t>dispose of waste and hazardous waste in non-authorized non IDB compliant facilities.</w:t>
            </w:r>
          </w:p>
          <w:p w14:paraId="2F302959" w14:textId="31381708" w:rsidR="009F0069" w:rsidRPr="00221E15" w:rsidRDefault="003B0EA4" w:rsidP="00B66307">
            <w:pPr>
              <w:pStyle w:val="CommentText"/>
              <w:spacing w:before="120" w:after="120"/>
              <w:rPr>
                <w:rFonts w:ascii="Arial" w:hAnsi="Arial" w:cs="Arial"/>
                <w:lang w:val="en-US"/>
              </w:rPr>
            </w:pPr>
            <w:r>
              <w:rPr>
                <w:rFonts w:ascii="Arial" w:hAnsi="Arial" w:cs="Arial"/>
                <w:lang w:val="en"/>
              </w:rPr>
              <w:t>d</w:t>
            </w:r>
            <w:r w:rsidR="009F0069" w:rsidRPr="00F41279">
              <w:rPr>
                <w:rFonts w:ascii="Arial" w:hAnsi="Arial" w:cs="Arial"/>
                <w:lang w:val="en"/>
              </w:rPr>
              <w:t xml:space="preserve">) With respect to the Project, </w:t>
            </w:r>
            <w:r w:rsidR="00496B0B" w:rsidRPr="00F41279">
              <w:rPr>
                <w:rFonts w:ascii="Arial" w:hAnsi="Arial" w:cs="Arial"/>
                <w:lang w:val="en"/>
              </w:rPr>
              <w:t xml:space="preserve">the </w:t>
            </w:r>
            <w:r w:rsidR="00D42EFE">
              <w:rPr>
                <w:rFonts w:ascii="Arial" w:hAnsi="Arial" w:cs="Arial"/>
                <w:lang w:val="en"/>
              </w:rPr>
              <w:t>Beneficiary</w:t>
            </w:r>
            <w:r w:rsidR="00496B0B" w:rsidRPr="00F41279">
              <w:rPr>
                <w:rFonts w:ascii="Arial" w:hAnsi="Arial" w:cs="Arial"/>
                <w:lang w:val="en"/>
              </w:rPr>
              <w:t xml:space="preserve">, or Executing Agency on behalf of the </w:t>
            </w:r>
            <w:r w:rsidR="00D42EFE">
              <w:rPr>
                <w:rFonts w:ascii="Arial" w:hAnsi="Arial" w:cs="Arial"/>
                <w:lang w:val="en"/>
              </w:rPr>
              <w:t xml:space="preserve">Beneficiary </w:t>
            </w:r>
            <w:r w:rsidR="00496B0B" w:rsidRPr="00F41279">
              <w:rPr>
                <w:rFonts w:ascii="Arial" w:hAnsi="Arial" w:cs="Arial"/>
                <w:lang w:val="en"/>
              </w:rPr>
              <w:t xml:space="preserve">, </w:t>
            </w:r>
            <w:r w:rsidR="009F0069" w:rsidRPr="00F41279">
              <w:rPr>
                <w:rFonts w:ascii="Arial" w:hAnsi="Arial" w:cs="Arial"/>
                <w:lang w:val="en"/>
              </w:rPr>
              <w:t xml:space="preserve">shall notify the Bank in writing within ten (10) days of any (1) potential or actual material noncompliance with the environmental and social requirements; (2) accidents, incidents or other significant events; (3) significant actual or imminent social conflicts; (4) ESHS regulatory action; or (5) any </w:t>
            </w:r>
            <w:r w:rsidR="009F0069" w:rsidRPr="00221E15">
              <w:rPr>
                <w:rFonts w:ascii="Arial" w:hAnsi="Arial" w:cs="Arial"/>
                <w:lang w:val="en-US"/>
              </w:rPr>
              <w:t>newly identified environmental and social risks and impacts, that may affect the environmental and social aspects of the Project;</w:t>
            </w:r>
            <w:r w:rsidR="009F0069" w:rsidRPr="00F41279">
              <w:rPr>
                <w:rFonts w:ascii="Arial" w:hAnsi="Arial" w:cs="Arial"/>
                <w:lang w:val="en"/>
              </w:rPr>
              <w:t xml:space="preserve"> in each case such notice shall include actions taken or proposed with respect to such events.</w:t>
            </w:r>
          </w:p>
          <w:p w14:paraId="65AF062F" w14:textId="487CF48E" w:rsidR="009F0069" w:rsidRPr="00F41279" w:rsidRDefault="003B0EA4" w:rsidP="00B66307">
            <w:pPr>
              <w:spacing w:before="120" w:after="120"/>
              <w:rPr>
                <w:rFonts w:ascii="Arial" w:eastAsia="Times New Roman" w:hAnsi="Arial" w:cs="Arial"/>
                <w:sz w:val="20"/>
                <w:szCs w:val="20"/>
                <w:lang w:val="en"/>
              </w:rPr>
            </w:pPr>
            <w:r>
              <w:rPr>
                <w:rFonts w:ascii="Arial" w:eastAsia="Times New Roman" w:hAnsi="Arial" w:cs="Arial"/>
                <w:sz w:val="20"/>
                <w:szCs w:val="20"/>
                <w:lang w:val="en"/>
              </w:rPr>
              <w:t>e</w:t>
            </w:r>
            <w:r w:rsidR="009F0069" w:rsidRPr="00F41279">
              <w:rPr>
                <w:rFonts w:ascii="Arial" w:eastAsia="Times New Roman" w:hAnsi="Arial" w:cs="Arial"/>
                <w:sz w:val="20"/>
                <w:szCs w:val="20"/>
                <w:lang w:val="en"/>
              </w:rPr>
              <w:t xml:space="preserve">) In the event the Bank determines that a Corrective Action Plan (CAP) is required, the </w:t>
            </w:r>
            <w:r w:rsidR="00D42EFE">
              <w:rPr>
                <w:rFonts w:ascii="Arial" w:eastAsia="Times New Roman" w:hAnsi="Arial" w:cs="Arial"/>
                <w:sz w:val="20"/>
                <w:szCs w:val="20"/>
                <w:lang w:val="en"/>
              </w:rPr>
              <w:t>Beneficiary</w:t>
            </w:r>
            <w:r w:rsidR="00496B0B"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00496B0B" w:rsidRPr="00F41279">
              <w:rPr>
                <w:rFonts w:ascii="Arial" w:eastAsia="Times New Roman" w:hAnsi="Arial" w:cs="Arial"/>
                <w:sz w:val="20"/>
                <w:szCs w:val="20"/>
                <w:lang w:val="en"/>
              </w:rPr>
              <w:t xml:space="preserve">, </w:t>
            </w:r>
            <w:r w:rsidR="009F0069" w:rsidRPr="00F41279">
              <w:rPr>
                <w:rFonts w:ascii="Arial" w:eastAsia="Times New Roman" w:hAnsi="Arial" w:cs="Arial"/>
                <w:sz w:val="20"/>
                <w:szCs w:val="20"/>
                <w:lang w:val="en"/>
              </w:rPr>
              <w:t xml:space="preserve">shall submit a CAP, </w:t>
            </w:r>
            <w:r w:rsidR="009F0069" w:rsidRPr="00F41279">
              <w:rPr>
                <w:rFonts w:ascii="Arial" w:eastAsia="Times New Roman" w:hAnsi="Arial"/>
                <w:sz w:val="20"/>
                <w:szCs w:val="20"/>
                <w:lang w:val="en"/>
              </w:rPr>
              <w:t>including</w:t>
            </w:r>
            <w:r w:rsidR="009F0069" w:rsidRPr="00F41279">
              <w:rPr>
                <w:rFonts w:ascii="Arial" w:eastAsia="Times New Roman" w:hAnsi="Arial" w:cs="Arial"/>
                <w:sz w:val="20"/>
                <w:szCs w:val="20"/>
                <w:lang w:val="en"/>
              </w:rPr>
              <w:t xml:space="preserve"> </w:t>
            </w:r>
            <w:r w:rsidR="009F0069" w:rsidRPr="00F41279">
              <w:rPr>
                <w:rFonts w:ascii="Arial" w:eastAsia="Times New Roman" w:hAnsi="Arial"/>
                <w:sz w:val="20"/>
                <w:szCs w:val="20"/>
                <w:lang w:val="en"/>
              </w:rPr>
              <w:t>the corresponding schedule</w:t>
            </w:r>
            <w:r w:rsidR="009F0069" w:rsidRPr="00F41279">
              <w:rPr>
                <w:rFonts w:ascii="Arial" w:eastAsia="Times New Roman" w:hAnsi="Arial" w:cs="Arial"/>
                <w:sz w:val="20"/>
                <w:szCs w:val="20"/>
                <w:lang w:val="en"/>
              </w:rPr>
              <w:t xml:space="preserve"> </w:t>
            </w:r>
            <w:r w:rsidR="009F0069" w:rsidRPr="00F41279">
              <w:rPr>
                <w:rFonts w:ascii="Arial" w:eastAsia="Times New Roman" w:hAnsi="Arial"/>
                <w:sz w:val="20"/>
                <w:szCs w:val="20"/>
                <w:lang w:val="en"/>
              </w:rPr>
              <w:t>and</w:t>
            </w:r>
            <w:r w:rsidR="009F0069" w:rsidRPr="00F41279">
              <w:rPr>
                <w:rFonts w:ascii="Arial" w:eastAsia="Times New Roman" w:hAnsi="Arial" w:cs="Arial"/>
                <w:sz w:val="20"/>
                <w:szCs w:val="20"/>
                <w:lang w:val="en"/>
              </w:rPr>
              <w:t xml:space="preserve"> </w:t>
            </w:r>
            <w:r w:rsidR="009F0069" w:rsidRPr="00F41279">
              <w:rPr>
                <w:rFonts w:ascii="Arial" w:eastAsia="Times New Roman" w:hAnsi="Arial"/>
                <w:sz w:val="20"/>
                <w:szCs w:val="20"/>
                <w:lang w:val="en"/>
              </w:rPr>
              <w:t xml:space="preserve">budget, </w:t>
            </w:r>
            <w:r w:rsidR="009F0069" w:rsidRPr="00F41279">
              <w:rPr>
                <w:rFonts w:ascii="Arial" w:eastAsia="Times New Roman" w:hAnsi="Arial" w:cs="Arial"/>
                <w:sz w:val="20"/>
                <w:szCs w:val="20"/>
                <w:lang w:val="en"/>
              </w:rPr>
              <w:t>that is satisfactory to the Bank within thirty days of the Bank’s request.</w:t>
            </w:r>
          </w:p>
          <w:p w14:paraId="068D2486" w14:textId="1A216216" w:rsidR="009F0069" w:rsidRPr="00F41279" w:rsidRDefault="003B0EA4" w:rsidP="00B66307">
            <w:pPr>
              <w:spacing w:before="120" w:after="120"/>
              <w:rPr>
                <w:rFonts w:ascii="Arial" w:eastAsia="Times New Roman" w:hAnsi="Arial" w:cs="Arial"/>
                <w:sz w:val="20"/>
                <w:szCs w:val="20"/>
                <w:lang w:val="en"/>
              </w:rPr>
            </w:pPr>
            <w:r>
              <w:rPr>
                <w:rFonts w:ascii="Arial" w:eastAsia="Times New Roman" w:hAnsi="Arial" w:cs="Arial"/>
                <w:sz w:val="20"/>
                <w:szCs w:val="20"/>
                <w:lang w:val="en"/>
              </w:rPr>
              <w:lastRenderedPageBreak/>
              <w:t>f</w:t>
            </w:r>
            <w:r w:rsidR="009F0069" w:rsidRPr="00F41279">
              <w:rPr>
                <w:rFonts w:ascii="Arial" w:eastAsia="Times New Roman" w:hAnsi="Arial" w:cs="Arial"/>
                <w:sz w:val="20"/>
                <w:szCs w:val="20"/>
                <w:lang w:val="en"/>
              </w:rPr>
              <w:t xml:space="preserve">) The utilization of the resources of the Financing shall be subject to compliance with the ESHS provisions of the </w:t>
            </w:r>
            <w:r w:rsidR="00D42EFE">
              <w:rPr>
                <w:rFonts w:ascii="Arial" w:eastAsia="Times New Roman" w:hAnsi="Arial" w:cs="Arial"/>
                <w:sz w:val="20"/>
                <w:szCs w:val="20"/>
                <w:lang w:val="en"/>
              </w:rPr>
              <w:t xml:space="preserve">IGR </w:t>
            </w:r>
            <w:r w:rsidR="009F0069" w:rsidRPr="00F41279">
              <w:rPr>
                <w:rFonts w:ascii="Arial" w:eastAsia="Times New Roman" w:hAnsi="Arial" w:cs="Arial"/>
                <w:sz w:val="20"/>
                <w:szCs w:val="20"/>
                <w:lang w:val="en"/>
              </w:rPr>
              <w:t xml:space="preserve">Agreement in accordance with Clause 3.04 </w:t>
            </w:r>
            <w:r w:rsidR="009F0069" w:rsidRPr="00F41279">
              <w:rPr>
                <w:rFonts w:ascii="Arial" w:hAnsi="Arial" w:cs="Arial"/>
                <w:i/>
                <w:sz w:val="20"/>
                <w:szCs w:val="20"/>
              </w:rPr>
              <w:t>(</w:t>
            </w:r>
            <w:r w:rsidR="009F0069" w:rsidRPr="00F41279">
              <w:rPr>
                <w:rFonts w:ascii="Arial" w:hAnsi="Arial" w:cs="Arial"/>
                <w:i/>
                <w:sz w:val="20"/>
                <w:szCs w:val="20"/>
                <w:u w:val="single"/>
              </w:rPr>
              <w:t xml:space="preserve">Other requirements for the utilization of the </w:t>
            </w:r>
            <w:r w:rsidR="00D42EFE">
              <w:rPr>
                <w:rFonts w:ascii="Arial" w:hAnsi="Arial" w:cs="Arial"/>
                <w:i/>
                <w:sz w:val="20"/>
                <w:szCs w:val="20"/>
                <w:u w:val="single"/>
              </w:rPr>
              <w:t xml:space="preserve">IGR </w:t>
            </w:r>
            <w:r w:rsidR="009F0069" w:rsidRPr="00F41279">
              <w:rPr>
                <w:rFonts w:ascii="Arial" w:hAnsi="Arial" w:cs="Arial"/>
                <w:i/>
                <w:sz w:val="20"/>
                <w:szCs w:val="20"/>
                <w:u w:val="single"/>
              </w:rPr>
              <w:t>proceeds</w:t>
            </w:r>
            <w:r w:rsidR="009F0069" w:rsidRPr="00F41279">
              <w:rPr>
                <w:rFonts w:ascii="Arial" w:hAnsi="Arial" w:cs="Arial"/>
                <w:sz w:val="20"/>
                <w:szCs w:val="20"/>
              </w:rPr>
              <w:t xml:space="preserve">) </w:t>
            </w:r>
            <w:r w:rsidR="009F0069" w:rsidRPr="00F41279">
              <w:rPr>
                <w:rFonts w:ascii="Arial" w:eastAsia="Times New Roman" w:hAnsi="Arial" w:cs="Arial"/>
                <w:sz w:val="20"/>
                <w:szCs w:val="20"/>
                <w:lang w:val="en"/>
              </w:rPr>
              <w:t>thereof</w:t>
            </w:r>
            <w:r w:rsidR="00496B0B" w:rsidRPr="00F41279">
              <w:rPr>
                <w:rFonts w:ascii="Arial" w:eastAsia="Times New Roman" w:hAnsi="Arial" w:cs="Arial"/>
                <w:sz w:val="20"/>
                <w:szCs w:val="20"/>
                <w:lang w:val="en"/>
              </w:rPr>
              <w:t>.</w:t>
            </w:r>
          </w:p>
        </w:tc>
      </w:tr>
      <w:tr w:rsidR="009A29EE" w:rsidRPr="00F41279" w14:paraId="14029974"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AC85CE9" w14:textId="77777777" w:rsidR="009A29EE" w:rsidRPr="00F41279" w:rsidRDefault="009A29EE" w:rsidP="009A29EE">
            <w:pPr>
              <w:spacing w:before="120" w:after="120"/>
              <w:rPr>
                <w:rFonts w:ascii="Arial" w:eastAsia="Times New Roman" w:hAnsi="Arial" w:cs="Arial"/>
                <w:b/>
                <w:sz w:val="20"/>
                <w:szCs w:val="20"/>
                <w:lang w:val="en"/>
              </w:rPr>
            </w:pPr>
            <w:r>
              <w:rPr>
                <w:rFonts w:ascii="Arial" w:eastAsia="Times New Roman" w:hAnsi="Arial" w:cs="Arial"/>
                <w:b/>
                <w:sz w:val="20"/>
                <w:szCs w:val="20"/>
                <w:lang w:val="en"/>
              </w:rPr>
              <w:lastRenderedPageBreak/>
              <w:t>3. Conditions to be Met</w:t>
            </w:r>
            <w:r>
              <w:t xml:space="preserve"> </w:t>
            </w:r>
            <w:r w:rsidRPr="009A29EE">
              <w:rPr>
                <w:rFonts w:ascii="Arial" w:eastAsia="Times New Roman" w:hAnsi="Arial" w:cs="Arial"/>
                <w:b/>
                <w:sz w:val="20"/>
                <w:szCs w:val="20"/>
                <w:lang w:val="en"/>
              </w:rPr>
              <w:t>Prior to Each Disbursement</w:t>
            </w:r>
            <w:r w:rsidRPr="00F41279">
              <w:rPr>
                <w:rFonts w:ascii="Arial" w:eastAsia="Times New Roman" w:hAnsi="Arial" w:cs="Arial"/>
                <w:b/>
                <w:sz w:val="20"/>
                <w:szCs w:val="20"/>
                <w:lang w:val="en"/>
              </w:rPr>
              <w:t>.</w:t>
            </w:r>
          </w:p>
          <w:p w14:paraId="43A109D2" w14:textId="1B661395" w:rsidR="009A29EE" w:rsidRPr="00F53FD0" w:rsidRDefault="0080582C" w:rsidP="00B66307">
            <w:pPr>
              <w:spacing w:before="120" w:after="120"/>
              <w:rPr>
                <w:rFonts w:ascii="Arial" w:eastAsia="Times New Roman" w:hAnsi="Arial" w:cs="Arial"/>
                <w:sz w:val="20"/>
                <w:szCs w:val="20"/>
              </w:rPr>
            </w:pPr>
            <w:r>
              <w:rPr>
                <w:rFonts w:ascii="Arial" w:eastAsia="Times New Roman" w:hAnsi="Arial" w:cs="Arial"/>
                <w:sz w:val="20"/>
                <w:szCs w:val="20"/>
              </w:rPr>
              <w:t xml:space="preserve">a) </w:t>
            </w:r>
            <w:r w:rsidR="009A29EE" w:rsidRPr="00F53FD0">
              <w:rPr>
                <w:rFonts w:ascii="Arial" w:eastAsia="Times New Roman" w:hAnsi="Arial" w:cs="Arial"/>
                <w:sz w:val="20"/>
                <w:szCs w:val="20"/>
              </w:rPr>
              <w:t>The Sponsor/</w:t>
            </w:r>
            <w:r w:rsidR="00D42EFE">
              <w:rPr>
                <w:rFonts w:ascii="Arial" w:eastAsia="Times New Roman" w:hAnsi="Arial" w:cs="Arial"/>
                <w:sz w:val="20"/>
                <w:szCs w:val="20"/>
              </w:rPr>
              <w:t>Beneficiary</w:t>
            </w:r>
            <w:r w:rsidR="009A29EE" w:rsidRPr="00F53FD0">
              <w:rPr>
                <w:rFonts w:ascii="Arial" w:eastAsia="Times New Roman" w:hAnsi="Arial" w:cs="Arial"/>
                <w:sz w:val="20"/>
                <w:szCs w:val="20"/>
              </w:rPr>
              <w:t>/Company shall certify compliance with all ESHS and labor requirements in the</w:t>
            </w:r>
            <w:r w:rsidR="00D42EFE">
              <w:rPr>
                <w:rFonts w:ascii="Arial" w:eastAsia="Times New Roman" w:hAnsi="Arial" w:cs="Arial"/>
                <w:sz w:val="20"/>
                <w:szCs w:val="20"/>
              </w:rPr>
              <w:t xml:space="preserve"> IGR agreement</w:t>
            </w:r>
            <w:r w:rsidR="009A29EE" w:rsidRPr="00F53FD0">
              <w:rPr>
                <w:rFonts w:ascii="Arial" w:eastAsia="Times New Roman" w:hAnsi="Arial" w:cs="Arial"/>
                <w:sz w:val="20"/>
                <w:szCs w:val="20"/>
              </w:rPr>
              <w:t>, including any Corrective Action Plans if applicable.</w:t>
            </w:r>
          </w:p>
        </w:tc>
      </w:tr>
      <w:tr w:rsidR="009A29EE" w:rsidRPr="00F41279" w14:paraId="5B5A0C14"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2C5BAA7" w14:textId="77777777" w:rsidR="009A29EE" w:rsidRPr="00F41279" w:rsidRDefault="009A29EE" w:rsidP="009A29EE">
            <w:pPr>
              <w:spacing w:before="120" w:after="120"/>
              <w:rPr>
                <w:rFonts w:ascii="Arial" w:eastAsia="Times New Roman" w:hAnsi="Arial" w:cs="Arial"/>
                <w:b/>
                <w:sz w:val="20"/>
                <w:szCs w:val="20"/>
                <w:lang w:val="en"/>
              </w:rPr>
            </w:pPr>
            <w:r>
              <w:rPr>
                <w:rFonts w:ascii="Arial" w:eastAsia="Times New Roman" w:hAnsi="Arial" w:cs="Arial"/>
                <w:b/>
                <w:sz w:val="20"/>
                <w:szCs w:val="20"/>
                <w:lang w:val="en"/>
              </w:rPr>
              <w:t>4. Conditions to be Met</w:t>
            </w:r>
            <w:r>
              <w:t xml:space="preserve"> </w:t>
            </w:r>
            <w:r w:rsidRPr="009A29EE">
              <w:rPr>
                <w:rFonts w:ascii="Arial" w:eastAsia="Times New Roman" w:hAnsi="Arial" w:cs="Arial"/>
                <w:b/>
                <w:sz w:val="20"/>
                <w:szCs w:val="20"/>
                <w:lang w:val="en"/>
              </w:rPr>
              <w:t xml:space="preserve">Prior to </w:t>
            </w:r>
            <w:r>
              <w:rPr>
                <w:rFonts w:ascii="Arial" w:eastAsia="Times New Roman" w:hAnsi="Arial" w:cs="Arial"/>
                <w:b/>
                <w:sz w:val="20"/>
                <w:szCs w:val="20"/>
                <w:lang w:val="en"/>
              </w:rPr>
              <w:t>Operations</w:t>
            </w:r>
            <w:r w:rsidRPr="00F41279">
              <w:rPr>
                <w:rFonts w:ascii="Arial" w:eastAsia="Times New Roman" w:hAnsi="Arial" w:cs="Arial"/>
                <w:b/>
                <w:sz w:val="20"/>
                <w:szCs w:val="20"/>
                <w:lang w:val="en"/>
              </w:rPr>
              <w:t>.</w:t>
            </w:r>
          </w:p>
          <w:p w14:paraId="36966565" w14:textId="5C69232E" w:rsidR="009A29EE" w:rsidRDefault="0080582C" w:rsidP="00B66307">
            <w:pPr>
              <w:spacing w:before="120" w:after="120"/>
              <w:rPr>
                <w:rFonts w:ascii="Arial" w:eastAsia="Times New Roman" w:hAnsi="Arial" w:cs="Arial"/>
                <w:sz w:val="20"/>
                <w:szCs w:val="20"/>
                <w:lang w:val="en"/>
              </w:rPr>
            </w:pPr>
            <w:r>
              <w:rPr>
                <w:rFonts w:ascii="Arial" w:eastAsia="Times New Roman" w:hAnsi="Arial" w:cs="Arial"/>
                <w:sz w:val="20"/>
                <w:szCs w:val="20"/>
                <w:lang w:val="en"/>
              </w:rPr>
              <w:t xml:space="preserve">a) </w:t>
            </w:r>
            <w:r w:rsidRPr="00F53FD0">
              <w:rPr>
                <w:rFonts w:ascii="Arial" w:eastAsia="Times New Roman" w:hAnsi="Arial" w:cs="Arial"/>
                <w:sz w:val="20"/>
                <w:szCs w:val="20"/>
                <w:lang w:val="en"/>
              </w:rPr>
              <w:t>The IDB or an E&amp;S consultant appointed by the IDB shall certify compliance with a</w:t>
            </w:r>
            <w:r w:rsidR="007415E3">
              <w:rPr>
                <w:rFonts w:ascii="Arial" w:eastAsia="Times New Roman" w:hAnsi="Arial" w:cs="Arial"/>
                <w:sz w:val="20"/>
                <w:szCs w:val="20"/>
                <w:lang w:val="en"/>
              </w:rPr>
              <w:t>ll ESHS requirements of the IGR</w:t>
            </w:r>
            <w:r w:rsidRPr="00F53FD0">
              <w:rPr>
                <w:rFonts w:ascii="Arial" w:eastAsia="Times New Roman" w:hAnsi="Arial" w:cs="Arial"/>
                <w:sz w:val="20"/>
                <w:szCs w:val="20"/>
                <w:lang w:val="en"/>
              </w:rPr>
              <w:t xml:space="preserve"> agreement including any Corrective Action Plans if applicable</w:t>
            </w:r>
            <w:r>
              <w:rPr>
                <w:rFonts w:ascii="Arial" w:eastAsia="Times New Roman" w:hAnsi="Arial" w:cs="Arial"/>
                <w:sz w:val="20"/>
                <w:szCs w:val="20"/>
                <w:lang w:val="en"/>
              </w:rPr>
              <w:t>.</w:t>
            </w:r>
          </w:p>
          <w:p w14:paraId="42BCAD88" w14:textId="6F52E3CF" w:rsidR="0080582C" w:rsidRPr="00F53FD0" w:rsidDel="009A29EE" w:rsidRDefault="0080582C" w:rsidP="00B66307">
            <w:pPr>
              <w:spacing w:before="120" w:after="120"/>
              <w:rPr>
                <w:rFonts w:ascii="Arial" w:eastAsia="Times New Roman" w:hAnsi="Arial" w:cs="Arial"/>
                <w:sz w:val="20"/>
                <w:szCs w:val="20"/>
                <w:lang w:val="en"/>
              </w:rPr>
            </w:pPr>
            <w:r>
              <w:rPr>
                <w:rFonts w:ascii="Arial" w:eastAsia="Times New Roman" w:hAnsi="Arial" w:cs="Arial"/>
                <w:sz w:val="20"/>
                <w:szCs w:val="20"/>
                <w:lang w:val="en"/>
              </w:rPr>
              <w:t>b</w:t>
            </w:r>
            <w:r w:rsidRPr="00F41279">
              <w:rPr>
                <w:rFonts w:ascii="Arial" w:eastAsia="Times New Roman" w:hAnsi="Arial" w:cs="Arial"/>
                <w:sz w:val="20"/>
                <w:szCs w:val="20"/>
                <w:lang w:val="en"/>
              </w:rPr>
              <w:t xml:space="preserve">) Six (6) months prior to the start of </w:t>
            </w:r>
            <w:r w:rsidR="00D42EFE">
              <w:rPr>
                <w:rFonts w:ascii="Arial" w:eastAsia="Times New Roman" w:hAnsi="Arial" w:cs="Arial"/>
                <w:sz w:val="20"/>
                <w:szCs w:val="20"/>
                <w:lang w:val="en"/>
              </w:rPr>
              <w:t xml:space="preserve">IGR </w:t>
            </w:r>
            <w:r w:rsidRPr="00F41279">
              <w:rPr>
                <w:rFonts w:ascii="Arial" w:eastAsia="Times New Roman" w:hAnsi="Arial" w:cs="Arial"/>
                <w:sz w:val="20"/>
                <w:szCs w:val="20"/>
                <w:lang w:val="en"/>
              </w:rPr>
              <w:t xml:space="preserve">operations,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shall present the operation stage ESHS Plans and evidence of their implementation including any required consultation with stakeholders.</w:t>
            </w:r>
          </w:p>
        </w:tc>
      </w:tr>
      <w:tr w:rsidR="00F41279" w:rsidRPr="00482EA7" w14:paraId="073DCB75"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88E34A8" w14:textId="77777777" w:rsidR="009F0069" w:rsidRPr="00F41279" w:rsidRDefault="009A29EE" w:rsidP="00B66307">
            <w:pPr>
              <w:spacing w:before="120" w:after="120"/>
              <w:rPr>
                <w:rFonts w:ascii="Arial" w:eastAsia="Times New Roman" w:hAnsi="Arial" w:cs="Arial"/>
                <w:b/>
                <w:sz w:val="20"/>
                <w:szCs w:val="20"/>
                <w:lang w:val="en"/>
              </w:rPr>
            </w:pPr>
            <w:r>
              <w:rPr>
                <w:rFonts w:ascii="Arial" w:eastAsia="Times New Roman" w:hAnsi="Arial" w:cs="Arial"/>
                <w:b/>
                <w:sz w:val="20"/>
                <w:szCs w:val="20"/>
                <w:lang w:val="en"/>
              </w:rPr>
              <w:t>5</w:t>
            </w:r>
            <w:r w:rsidR="009F0069" w:rsidRPr="00F41279">
              <w:rPr>
                <w:rFonts w:ascii="Arial" w:eastAsia="Times New Roman" w:hAnsi="Arial" w:cs="Arial"/>
                <w:b/>
                <w:sz w:val="20"/>
                <w:szCs w:val="20"/>
                <w:lang w:val="en"/>
              </w:rPr>
              <w:t>. Monitor</w:t>
            </w:r>
            <w:r w:rsidR="00496B0B" w:rsidRPr="00F41279">
              <w:rPr>
                <w:rFonts w:ascii="Arial" w:eastAsia="Times New Roman" w:hAnsi="Arial" w:cs="Arial"/>
                <w:b/>
                <w:sz w:val="20"/>
                <w:szCs w:val="20"/>
                <w:lang w:val="en"/>
              </w:rPr>
              <w:t>ing, Reporting and Supervision.</w:t>
            </w:r>
          </w:p>
          <w:p w14:paraId="7286DF41" w14:textId="77777777" w:rsidR="009F0069" w:rsidRPr="00F41279" w:rsidRDefault="00496B0B" w:rsidP="00B66307">
            <w:pPr>
              <w:spacing w:before="120" w:after="120"/>
              <w:rPr>
                <w:rFonts w:ascii="Arial" w:eastAsia="Times New Roman" w:hAnsi="Arial" w:cs="Arial"/>
                <w:sz w:val="20"/>
                <w:szCs w:val="20"/>
                <w:lang w:val="en"/>
              </w:rPr>
            </w:pPr>
            <w:r w:rsidRPr="00F41279">
              <w:rPr>
                <w:rFonts w:ascii="Arial" w:eastAsia="Times New Roman" w:hAnsi="Arial" w:cs="Arial"/>
                <w:sz w:val="20"/>
                <w:szCs w:val="20"/>
                <w:lang w:val="en"/>
              </w:rPr>
              <w:t xml:space="preserve">a) </w:t>
            </w:r>
            <w:r w:rsidR="009F0069" w:rsidRPr="00F41279">
              <w:rPr>
                <w:rFonts w:ascii="Arial" w:eastAsia="Times New Roman" w:hAnsi="Arial" w:cs="Arial"/>
                <w:sz w:val="20"/>
                <w:szCs w:val="20"/>
                <w:lang w:val="en"/>
              </w:rPr>
              <w:t>For the purposes of monitoring and supervision of ESHS compliance, the foll</w:t>
            </w:r>
            <w:r w:rsidRPr="00F41279">
              <w:rPr>
                <w:rFonts w:ascii="Arial" w:eastAsia="Times New Roman" w:hAnsi="Arial" w:cs="Arial"/>
                <w:sz w:val="20"/>
                <w:szCs w:val="20"/>
                <w:lang w:val="en"/>
              </w:rPr>
              <w:t xml:space="preserve">owing requirements shall apply: </w:t>
            </w:r>
          </w:p>
          <w:p w14:paraId="3B2FB2BB" w14:textId="7A2A05A9" w:rsidR="009F0069" w:rsidRPr="00F41279" w:rsidRDefault="00496B0B" w:rsidP="009F0069">
            <w:pPr>
              <w:pStyle w:val="ListParagraph"/>
              <w:numPr>
                <w:ilvl w:val="0"/>
                <w:numId w:val="42"/>
              </w:numPr>
              <w:spacing w:before="120" w:after="120"/>
              <w:ind w:left="0" w:firstLine="506"/>
              <w:rPr>
                <w:rFonts w:ascii="Arial" w:eastAsia="Times New Roman" w:hAnsi="Arial" w:cs="Arial"/>
                <w:sz w:val="20"/>
                <w:szCs w:val="20"/>
                <w:lang w:val="en"/>
              </w:rPr>
            </w:pPr>
            <w:r w:rsidRPr="00F41279">
              <w:rPr>
                <w:rFonts w:ascii="Arial" w:eastAsia="Times New Roman" w:hAnsi="Arial" w:cs="Arial"/>
                <w:sz w:val="20"/>
                <w:szCs w:val="20"/>
                <w:lang w:val="en"/>
              </w:rPr>
              <w:t xml:space="preserve">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w:t>
            </w:r>
            <w:r w:rsidR="009F0069" w:rsidRPr="00F41279">
              <w:rPr>
                <w:rFonts w:ascii="Arial" w:hAnsi="Arial" w:cs="Arial"/>
                <w:sz w:val="20"/>
                <w:szCs w:val="20"/>
              </w:rPr>
              <w:t xml:space="preserve">shall prepare and present to the Bank’s satisfaction, an ESHS Compliance Report (ESCR), in the form and content agreed upon with the Bank, </w:t>
            </w:r>
            <w:r w:rsidR="009877D2" w:rsidRPr="00F41279">
              <w:rPr>
                <w:rFonts w:ascii="Arial" w:hAnsi="Arial" w:cs="Arial"/>
                <w:sz w:val="20"/>
                <w:szCs w:val="20"/>
              </w:rPr>
              <w:t xml:space="preserve">as part of the </w:t>
            </w:r>
            <w:r w:rsidR="0080582C">
              <w:rPr>
                <w:rFonts w:ascii="Arial" w:hAnsi="Arial" w:cs="Arial"/>
                <w:sz w:val="20"/>
                <w:szCs w:val="20"/>
              </w:rPr>
              <w:t>annual</w:t>
            </w:r>
            <w:r w:rsidR="0080582C" w:rsidRPr="00F41279">
              <w:rPr>
                <w:rFonts w:ascii="Arial" w:hAnsi="Arial" w:cs="Arial"/>
                <w:sz w:val="20"/>
                <w:szCs w:val="20"/>
              </w:rPr>
              <w:t xml:space="preserve"> </w:t>
            </w:r>
            <w:r w:rsidR="009F0069" w:rsidRPr="00F41279">
              <w:rPr>
                <w:rFonts w:ascii="Arial" w:hAnsi="Arial" w:cs="Arial"/>
                <w:sz w:val="20"/>
                <w:szCs w:val="20"/>
              </w:rPr>
              <w:t>progress report</w:t>
            </w:r>
            <w:r w:rsidR="009877D2" w:rsidRPr="00F41279">
              <w:rPr>
                <w:rFonts w:ascii="Arial" w:hAnsi="Arial" w:cs="Arial"/>
                <w:sz w:val="20"/>
                <w:szCs w:val="20"/>
              </w:rPr>
              <w:t>;</w:t>
            </w:r>
          </w:p>
          <w:p w14:paraId="2FE87BFD" w14:textId="77777777" w:rsidR="009877D2" w:rsidRPr="00F41279" w:rsidRDefault="009877D2" w:rsidP="009877D2">
            <w:pPr>
              <w:pStyle w:val="ListParagraph"/>
              <w:spacing w:before="120" w:after="120"/>
              <w:ind w:left="506"/>
              <w:rPr>
                <w:rFonts w:ascii="Arial" w:eastAsia="Times New Roman" w:hAnsi="Arial" w:cs="Arial"/>
                <w:sz w:val="20"/>
                <w:szCs w:val="20"/>
                <w:lang w:val="en"/>
              </w:rPr>
            </w:pPr>
          </w:p>
          <w:p w14:paraId="04E95A67" w14:textId="53B7B743" w:rsidR="009F0069" w:rsidRPr="00F41279" w:rsidRDefault="009877D2" w:rsidP="009877D2">
            <w:pPr>
              <w:pStyle w:val="ListParagraph"/>
              <w:numPr>
                <w:ilvl w:val="0"/>
                <w:numId w:val="42"/>
              </w:numPr>
              <w:ind w:left="0" w:firstLine="506"/>
              <w:rPr>
                <w:rFonts w:ascii="Arial" w:eastAsia="Times New Roman" w:hAnsi="Arial" w:cs="Arial"/>
                <w:sz w:val="20"/>
                <w:szCs w:val="20"/>
                <w:lang w:val="en"/>
              </w:rPr>
            </w:pPr>
            <w:r w:rsidRPr="00F41279">
              <w:rPr>
                <w:rFonts w:ascii="Arial" w:eastAsia="Times New Roman" w:hAnsi="Arial" w:cs="Arial"/>
                <w:sz w:val="20"/>
                <w:szCs w:val="20"/>
                <w:lang w:val="en"/>
              </w:rPr>
              <w:t xml:space="preserve">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w:t>
            </w:r>
            <w:r w:rsidR="009F0069" w:rsidRPr="00F41279">
              <w:rPr>
                <w:rFonts w:ascii="Arial" w:hAnsi="Arial" w:cs="Arial"/>
                <w:sz w:val="20"/>
                <w:szCs w:val="20"/>
              </w:rPr>
              <w:t xml:space="preserve">shall fully cooperate with the </w:t>
            </w:r>
            <w:r w:rsidR="009F0069" w:rsidRPr="00F41279">
              <w:rPr>
                <w:rFonts w:ascii="Arial" w:eastAsia="Times New Roman" w:hAnsi="Arial" w:cs="Arial"/>
                <w:sz w:val="20"/>
                <w:szCs w:val="20"/>
                <w:lang w:val="en"/>
              </w:rPr>
              <w:t xml:space="preserve">Bank, or an </w:t>
            </w:r>
            <w:r w:rsidR="009F0069" w:rsidRPr="00F41279">
              <w:rPr>
                <w:rFonts w:ascii="Arial" w:hAnsi="Arial" w:cs="Arial"/>
                <w:sz w:val="20"/>
                <w:szCs w:val="20"/>
              </w:rPr>
              <w:t>ESHS Consultant</w:t>
            </w:r>
            <w:r w:rsidR="009F0069" w:rsidRPr="00F41279">
              <w:rPr>
                <w:rFonts w:ascii="Arial" w:eastAsia="Times New Roman" w:hAnsi="Arial" w:cs="Arial"/>
                <w:sz w:val="20"/>
                <w:szCs w:val="20"/>
                <w:lang w:val="en"/>
              </w:rPr>
              <w:t xml:space="preserve"> on its behalf, to carry out Project supervision and prepare supervision reports in order </w:t>
            </w:r>
            <w:r w:rsidR="009F0069" w:rsidRPr="00F41279">
              <w:rPr>
                <w:rFonts w:ascii="Arial" w:hAnsi="Arial" w:cs="Arial"/>
                <w:sz w:val="20"/>
                <w:szCs w:val="20"/>
              </w:rPr>
              <w:t>to (i) verify compliance of the implementation of the ES</w:t>
            </w:r>
            <w:r w:rsidRPr="00F41279">
              <w:rPr>
                <w:rFonts w:ascii="Arial" w:hAnsi="Arial" w:cs="Arial"/>
                <w:sz w:val="20"/>
                <w:szCs w:val="20"/>
              </w:rPr>
              <w:t>HS requirements for the Project</w:t>
            </w:r>
            <w:r w:rsidR="009F0069" w:rsidRPr="00F41279">
              <w:rPr>
                <w:rFonts w:ascii="Arial" w:hAnsi="Arial" w:cs="Arial"/>
                <w:sz w:val="20"/>
                <w:szCs w:val="20"/>
              </w:rPr>
              <w:t xml:space="preserve"> and (ii) address any ESHS impact or liability which has not been adequately mitigated or compensated; to this end, </w:t>
            </w:r>
            <w:r w:rsidR="009F0069" w:rsidRPr="00F41279">
              <w:rPr>
                <w:rFonts w:ascii="Arial" w:eastAsia="Times New Roman" w:hAnsi="Arial" w:cs="Arial"/>
                <w:sz w:val="20"/>
                <w:szCs w:val="20"/>
                <w:lang w:val="en"/>
              </w:rPr>
              <w:t xml:space="preserve">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or Executing Agency on behalf of the </w:t>
            </w:r>
            <w:r w:rsidR="00D42EFE">
              <w:rPr>
                <w:rFonts w:ascii="Arial" w:eastAsia="Times New Roman" w:hAnsi="Arial" w:cs="Arial"/>
                <w:sz w:val="20"/>
                <w:szCs w:val="20"/>
                <w:lang w:val="en"/>
              </w:rPr>
              <w:t>Beneficiary</w:t>
            </w:r>
            <w:r w:rsidRPr="00F41279">
              <w:rPr>
                <w:rFonts w:ascii="Arial" w:eastAsia="Times New Roman" w:hAnsi="Arial" w:cs="Arial"/>
                <w:sz w:val="20"/>
                <w:szCs w:val="20"/>
                <w:lang w:val="en"/>
              </w:rPr>
              <w:t xml:space="preserve">, </w:t>
            </w:r>
            <w:r w:rsidR="009F0069" w:rsidRPr="00F41279">
              <w:rPr>
                <w:rFonts w:ascii="Arial" w:eastAsia="Times New Roman" w:hAnsi="Arial" w:cs="Arial"/>
                <w:sz w:val="20"/>
                <w:szCs w:val="20"/>
                <w:lang w:val="en"/>
              </w:rPr>
              <w:t>shall</w:t>
            </w:r>
            <w:r w:rsidR="009F0069" w:rsidRPr="00F41279">
              <w:rPr>
                <w:rFonts w:ascii="Arial" w:hAnsi="Arial" w:cs="Arial"/>
                <w:sz w:val="20"/>
                <w:szCs w:val="20"/>
              </w:rPr>
              <w:t xml:space="preserve"> allow</w:t>
            </w:r>
            <w:r w:rsidRPr="00F41279">
              <w:rPr>
                <w:rFonts w:ascii="Arial" w:hAnsi="Arial" w:cs="Arial"/>
                <w:sz w:val="20"/>
                <w:szCs w:val="20"/>
              </w:rPr>
              <w:t xml:space="preserve"> and collaborate with the Bank, </w:t>
            </w:r>
            <w:r w:rsidR="009F0069" w:rsidRPr="00F41279">
              <w:rPr>
                <w:rFonts w:ascii="Arial" w:hAnsi="Arial" w:cs="Arial"/>
                <w:sz w:val="20"/>
                <w:szCs w:val="20"/>
              </w:rPr>
              <w:t>and any ESHS Consultant.</w:t>
            </w:r>
          </w:p>
        </w:tc>
      </w:tr>
      <w:tr w:rsidR="00F41279" w:rsidRPr="00F41279" w14:paraId="5DE4D286" w14:textId="77777777" w:rsidTr="00F4127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8B2F728" w14:textId="77777777" w:rsidR="009877D2" w:rsidRPr="00F41279" w:rsidRDefault="009877D2" w:rsidP="009877D2">
            <w:pPr>
              <w:spacing w:before="120" w:after="120"/>
              <w:rPr>
                <w:rFonts w:ascii="Arial" w:eastAsia="Times New Roman" w:hAnsi="Arial" w:cs="Arial"/>
                <w:b/>
                <w:sz w:val="20"/>
                <w:szCs w:val="20"/>
                <w:lang w:val="en"/>
              </w:rPr>
            </w:pPr>
            <w:r w:rsidRPr="00F41279">
              <w:rPr>
                <w:rFonts w:ascii="Arial" w:eastAsia="Times New Roman" w:hAnsi="Arial" w:cs="Arial"/>
                <w:b/>
                <w:sz w:val="20"/>
                <w:szCs w:val="20"/>
                <w:lang w:val="en"/>
              </w:rPr>
              <w:t>4. Definitions.</w:t>
            </w:r>
          </w:p>
          <w:p w14:paraId="34C0A774" w14:textId="77777777" w:rsidR="009877D2" w:rsidRPr="00F41279" w:rsidRDefault="00F41279" w:rsidP="009877D2">
            <w:pPr>
              <w:rPr>
                <w:rFonts w:ascii="Arial" w:hAnsi="Arial" w:cs="Arial"/>
                <w:i/>
                <w:sz w:val="20"/>
                <w:szCs w:val="20"/>
                <w:lang w:val="en"/>
              </w:rPr>
            </w:pPr>
            <w:r w:rsidRPr="00F41279">
              <w:rPr>
                <w:rFonts w:ascii="Arial" w:eastAsia="Times New Roman" w:hAnsi="Arial" w:cs="Arial"/>
                <w:sz w:val="20"/>
                <w:szCs w:val="20"/>
                <w:lang w:val="en"/>
              </w:rPr>
              <w:t>To be agreed upon in form and substance satisfactory to the Bank.</w:t>
            </w:r>
          </w:p>
        </w:tc>
      </w:tr>
    </w:tbl>
    <w:p w14:paraId="2E6D402A" w14:textId="77777777" w:rsidR="00874CC0" w:rsidRPr="007C0236" w:rsidRDefault="00874CC0" w:rsidP="004B6155">
      <w:pPr>
        <w:widowControl w:val="0"/>
        <w:autoSpaceDE w:val="0"/>
        <w:autoSpaceDN w:val="0"/>
        <w:adjustRightInd w:val="0"/>
        <w:ind w:right="-720"/>
        <w:jc w:val="both"/>
        <w:rPr>
          <w:rFonts w:ascii="Arial" w:hAnsi="Arial" w:cs="Arial"/>
          <w:bCs/>
          <w:sz w:val="20"/>
          <w:szCs w:val="20"/>
        </w:rPr>
      </w:pPr>
    </w:p>
    <w:sectPr w:rsidR="00874CC0" w:rsidRPr="007C0236" w:rsidSect="009F0069">
      <w:pgSz w:w="12240" w:h="15840"/>
      <w:pgMar w:top="1440" w:right="11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7ADAF" w14:textId="77777777" w:rsidR="000B13CB" w:rsidRDefault="000B13CB" w:rsidP="00953C33">
      <w:r>
        <w:separator/>
      </w:r>
    </w:p>
  </w:endnote>
  <w:endnote w:type="continuationSeparator" w:id="0">
    <w:p w14:paraId="1373C208" w14:textId="77777777" w:rsidR="000B13CB" w:rsidRDefault="000B13CB"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1F62" w14:textId="77777777" w:rsidR="00CF6089" w:rsidRDefault="00CF6089" w:rsidP="00837A8F">
    <w:pPr>
      <w:pStyle w:val="Footer"/>
      <w:pBdr>
        <w:bottom w:val="single" w:sz="6" w:space="1" w:color="auto"/>
      </w:pBdr>
      <w:ind w:right="-630"/>
    </w:pPr>
  </w:p>
  <w:p w14:paraId="0FAFF714" w14:textId="77777777" w:rsidR="00CF6089" w:rsidRPr="00B01F04" w:rsidRDefault="00CF6089" w:rsidP="00B757F7">
    <w:pPr>
      <w:pStyle w:val="Footer"/>
      <w:jc w:val="center"/>
      <w:rPr>
        <w:sz w:val="18"/>
        <w:szCs w:val="18"/>
      </w:rPr>
    </w:pPr>
    <w:r>
      <w:rPr>
        <w:sz w:val="18"/>
        <w:szCs w:val="18"/>
      </w:rPr>
      <w:t xml:space="preserve">IDB </w:t>
    </w:r>
    <w:r w:rsidRPr="00B01F04">
      <w:rPr>
        <w:sz w:val="18"/>
        <w:szCs w:val="18"/>
      </w:rPr>
      <w:t>Environmental and</w:t>
    </w:r>
    <w:r>
      <w:rPr>
        <w:sz w:val="18"/>
        <w:szCs w:val="18"/>
      </w:rPr>
      <w:t xml:space="preserve"> Social Management Report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EB831" w14:textId="77777777" w:rsidR="000B13CB" w:rsidRDefault="000B13CB" w:rsidP="00953C33">
      <w:r>
        <w:separator/>
      </w:r>
    </w:p>
  </w:footnote>
  <w:footnote w:type="continuationSeparator" w:id="0">
    <w:p w14:paraId="632BBAB0" w14:textId="77777777" w:rsidR="000B13CB" w:rsidRDefault="000B13CB" w:rsidP="00953C33">
      <w:r>
        <w:continuationSeparator/>
      </w:r>
    </w:p>
  </w:footnote>
  <w:footnote w:id="1">
    <w:p w14:paraId="1E15C555" w14:textId="77777777" w:rsidR="00CF6089" w:rsidRPr="001B11C3" w:rsidRDefault="00CF6089">
      <w:pPr>
        <w:pStyle w:val="FootnoteText"/>
        <w:rPr>
          <w:sz w:val="18"/>
          <w:szCs w:val="18"/>
        </w:rPr>
      </w:pPr>
      <w:r w:rsidRPr="001B11C3">
        <w:rPr>
          <w:rStyle w:val="FootnoteReference"/>
          <w:sz w:val="18"/>
          <w:szCs w:val="18"/>
        </w:rPr>
        <w:footnoteRef/>
      </w:r>
      <w:r w:rsidRPr="001B11C3">
        <w:rPr>
          <w:sz w:val="18"/>
          <w:szCs w:val="18"/>
        </w:rPr>
        <w:t xml:space="preserve"> If the classification is B</w:t>
      </w:r>
      <w:r>
        <w:rPr>
          <w:sz w:val="18"/>
          <w:szCs w:val="18"/>
        </w:rPr>
        <w:t>.</w:t>
      </w:r>
      <w:r w:rsidRPr="001B11C3">
        <w:rPr>
          <w:sz w:val="18"/>
          <w:szCs w:val="18"/>
        </w:rPr>
        <w:t>13</w:t>
      </w:r>
      <w:r>
        <w:rPr>
          <w:sz w:val="18"/>
          <w:szCs w:val="18"/>
        </w:rPr>
        <w:t>,</w:t>
      </w:r>
      <w:r w:rsidRPr="001B11C3">
        <w:rPr>
          <w:sz w:val="18"/>
          <w:szCs w:val="18"/>
        </w:rPr>
        <w:t xml:space="preserve"> please indicate level of risk (FI1, FI2</w:t>
      </w:r>
      <w:r>
        <w:rPr>
          <w:sz w:val="18"/>
          <w:szCs w:val="18"/>
        </w:rPr>
        <w:t>,</w:t>
      </w:r>
      <w:r w:rsidRPr="001B11C3">
        <w:rPr>
          <w:sz w:val="18"/>
          <w:szCs w:val="18"/>
        </w:rPr>
        <w:t xml:space="preserve"> or FI3)</w:t>
      </w:r>
      <w:r>
        <w:rPr>
          <w:sz w:val="18"/>
          <w:szCs w:val="18"/>
        </w:rPr>
        <w:t>.</w:t>
      </w:r>
    </w:p>
  </w:footnote>
  <w:footnote w:id="2">
    <w:p w14:paraId="44401EA7" w14:textId="77777777" w:rsidR="00CF6089" w:rsidRPr="00686DDF" w:rsidRDefault="00CF6089">
      <w:pPr>
        <w:pStyle w:val="FootnoteText"/>
        <w:rPr>
          <w:sz w:val="18"/>
          <w:szCs w:val="18"/>
        </w:rPr>
      </w:pPr>
      <w:r w:rsidRPr="00686DDF">
        <w:rPr>
          <w:rStyle w:val="FootnoteReference"/>
          <w:sz w:val="18"/>
          <w:szCs w:val="18"/>
        </w:rPr>
        <w:footnoteRef/>
      </w:r>
      <w:r w:rsidRPr="00686DDF">
        <w:rPr>
          <w:sz w:val="18"/>
          <w:szCs w:val="18"/>
        </w:rPr>
        <w:t xml:space="preserve"> If B14 (Multiple Phase and Repeat Loans) applies</w:t>
      </w:r>
      <w:r>
        <w:rPr>
          <w:sz w:val="18"/>
          <w:szCs w:val="18"/>
        </w:rPr>
        <w:t>,</w:t>
      </w:r>
      <w:r w:rsidRPr="00686DDF">
        <w:rPr>
          <w:sz w:val="18"/>
          <w:szCs w:val="18"/>
        </w:rPr>
        <w:t xml:space="preserve"> please include the necessary assessment/audit.</w:t>
      </w:r>
    </w:p>
  </w:footnote>
  <w:footnote w:id="3">
    <w:p w14:paraId="6AE4BF29" w14:textId="77777777" w:rsidR="00CF6089" w:rsidRDefault="00CF6089" w:rsidP="00D44753">
      <w:pPr>
        <w:pStyle w:val="FootnoteText"/>
      </w:pPr>
      <w:r>
        <w:rPr>
          <w:rStyle w:val="FootnoteReference"/>
        </w:rPr>
        <w:footnoteRef/>
      </w:r>
      <w:r>
        <w:t xml:space="preserve"> </w:t>
      </w:r>
      <w:r w:rsidRPr="00D44753">
        <w:rPr>
          <w:sz w:val="18"/>
          <w:szCs w:val="18"/>
        </w:rPr>
        <w:t>University of West Indies (UWI). 2012. State of the Jamaica Climate 2012. Accessed from the UWI</w:t>
      </w:r>
      <w:r>
        <w:rPr>
          <w:sz w:val="18"/>
          <w:szCs w:val="18"/>
        </w:rPr>
        <w:t xml:space="preserve"> </w:t>
      </w:r>
      <w:r w:rsidRPr="00D44753">
        <w:rPr>
          <w:sz w:val="18"/>
          <w:szCs w:val="18"/>
        </w:rPr>
        <w:t xml:space="preserve">website: </w:t>
      </w:r>
      <w:hyperlink r:id="rId1" w:history="1">
        <w:r w:rsidRPr="0096148B">
          <w:rPr>
            <w:rStyle w:val="Hyperlink"/>
            <w:sz w:val="18"/>
            <w:szCs w:val="18"/>
          </w:rPr>
          <w:t>https://www.mona.uwi.edu/physics/sites/default/files/physics/uploads/SOJC%20-%20Full%20Document%20-%20January%2024v2.pdf</w:t>
        </w:r>
      </w:hyperlink>
      <w:r>
        <w:rPr>
          <w:sz w:val="18"/>
          <w:szCs w:val="18"/>
        </w:rPr>
        <w:t xml:space="preserve"> </w:t>
      </w:r>
    </w:p>
  </w:footnote>
  <w:footnote w:id="4">
    <w:p w14:paraId="64868792" w14:textId="77777777" w:rsidR="00CF6089" w:rsidRPr="00AF5C47" w:rsidRDefault="00CF6089">
      <w:pPr>
        <w:pStyle w:val="FootnoteText"/>
        <w:rPr>
          <w:sz w:val="18"/>
          <w:szCs w:val="18"/>
        </w:rPr>
      </w:pPr>
      <w:r w:rsidRPr="00AF5C47">
        <w:rPr>
          <w:rStyle w:val="FootnoteReference"/>
          <w:sz w:val="18"/>
          <w:szCs w:val="18"/>
        </w:rPr>
        <w:footnoteRef/>
      </w:r>
      <w:r w:rsidRPr="00AF5C47">
        <w:rPr>
          <w:sz w:val="18"/>
          <w:szCs w:val="18"/>
        </w:rPr>
        <w:t xml:space="preserve"> </w:t>
      </w:r>
      <w:r>
        <w:rPr>
          <w:sz w:val="18"/>
          <w:szCs w:val="18"/>
        </w:rPr>
        <w:t>Please note that ESG is working on preparing a compliance checklist.</w:t>
      </w:r>
    </w:p>
  </w:footnote>
  <w:footnote w:id="5">
    <w:p w14:paraId="180BD9A9" w14:textId="77777777" w:rsidR="00CF6089" w:rsidRPr="00707BD4" w:rsidRDefault="00CF6089" w:rsidP="00B505FD">
      <w:pPr>
        <w:pStyle w:val="FootnoteText"/>
        <w:rPr>
          <w:sz w:val="18"/>
          <w:szCs w:val="18"/>
        </w:rPr>
      </w:pPr>
      <w:r w:rsidRPr="00707BD4">
        <w:rPr>
          <w:rStyle w:val="FootnoteReference"/>
          <w:sz w:val="18"/>
          <w:szCs w:val="18"/>
        </w:rPr>
        <w:footnoteRef/>
      </w:r>
      <w:r w:rsidRPr="00707BD4">
        <w:rPr>
          <w:sz w:val="18"/>
          <w:szCs w:val="18"/>
        </w:rPr>
        <w:t xml:space="preserve"> Environmental and Social Assessments include</w:t>
      </w:r>
      <w:r>
        <w:rPr>
          <w:sz w:val="18"/>
          <w:szCs w:val="18"/>
        </w:rPr>
        <w:t xml:space="preserve"> ESIAs, ESMPs, RPs, RFs, and ESMFs.</w:t>
      </w:r>
    </w:p>
  </w:footnote>
  <w:footnote w:id="6">
    <w:p w14:paraId="19A9F845" w14:textId="77777777" w:rsidR="00CF6089" w:rsidRDefault="00CF6089" w:rsidP="00B505FD">
      <w:pPr>
        <w:pStyle w:val="FootnoteText"/>
      </w:pPr>
      <w:r w:rsidRPr="00707BD4">
        <w:rPr>
          <w:rStyle w:val="FootnoteReference"/>
          <w:sz w:val="18"/>
          <w:szCs w:val="18"/>
        </w:rPr>
        <w:footnoteRef/>
      </w:r>
      <w:r w:rsidRPr="00707BD4">
        <w:rPr>
          <w:sz w:val="18"/>
          <w:szCs w:val="18"/>
        </w:rPr>
        <w:t xml:space="preserve"> Please refer to the Protocols for ESHS Documentation and Information Disclosure for more details on the </w:t>
      </w:r>
      <w:r>
        <w:rPr>
          <w:sz w:val="18"/>
          <w:szCs w:val="18"/>
        </w:rPr>
        <w:t xml:space="preserve">disclosure </w:t>
      </w:r>
      <w:r w:rsidRPr="00707BD4">
        <w:rPr>
          <w:sz w:val="18"/>
          <w:szCs w:val="18"/>
        </w:rPr>
        <w:t>timing of the different Environmental and Social Assessments</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138E5" w14:textId="77777777" w:rsidR="00CF6089" w:rsidRDefault="00CF6089" w:rsidP="005354FC">
    <w:pPr>
      <w:pStyle w:val="Header"/>
      <w:pBdr>
        <w:bottom w:val="single" w:sz="6" w:space="2" w:color="auto"/>
      </w:pBdr>
      <w:tabs>
        <w:tab w:val="clear" w:pos="4320"/>
        <w:tab w:val="clear" w:pos="8640"/>
        <w:tab w:val="left" w:pos="4019"/>
      </w:tabs>
      <w:ind w:right="-720"/>
    </w:pPr>
    <w:r>
      <w:t>IDB-ESG-TP-002, Ver. 02</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A7AAD1A8"/>
    <w:lvl w:ilvl="0" w:tplc="04090001">
      <w:start w:val="1"/>
      <w:numFmt w:val="bullet"/>
      <w:lvlText w:val=""/>
      <w:lvlJc w:val="left"/>
      <w:pPr>
        <w:ind w:left="720" w:hanging="360"/>
      </w:pPr>
      <w:rPr>
        <w:rFonts w:ascii="Symbol" w:hAnsi="Symbol" w:hint="default"/>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97C52"/>
    <w:multiLevelType w:val="hybridMultilevel"/>
    <w:tmpl w:val="3708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245DD"/>
    <w:multiLevelType w:val="hybridMultilevel"/>
    <w:tmpl w:val="EF3A0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B4AD8"/>
    <w:multiLevelType w:val="hybridMultilevel"/>
    <w:tmpl w:val="26AE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23994"/>
    <w:multiLevelType w:val="hybridMultilevel"/>
    <w:tmpl w:val="859E7D28"/>
    <w:lvl w:ilvl="0" w:tplc="1776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26F4A"/>
    <w:multiLevelType w:val="hybridMultilevel"/>
    <w:tmpl w:val="7AE2A38C"/>
    <w:lvl w:ilvl="0" w:tplc="E160ADBA">
      <w:start w:val="1"/>
      <w:numFmt w:val="lowerRoman"/>
      <w:lvlText w:val="(%1)"/>
      <w:lvlJc w:val="left"/>
      <w:pPr>
        <w:ind w:left="1080" w:hanging="360"/>
      </w:pPr>
      <w:rPr>
        <w:rFonts w:ascii="Arial" w:hAnsi="Arial" w:cs="Arial"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8E29C7"/>
    <w:multiLevelType w:val="hybridMultilevel"/>
    <w:tmpl w:val="EF4E05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92A88"/>
    <w:multiLevelType w:val="hybridMultilevel"/>
    <w:tmpl w:val="12301486"/>
    <w:lvl w:ilvl="0" w:tplc="E160ADBA">
      <w:start w:val="1"/>
      <w:numFmt w:val="lowerRoman"/>
      <w:lvlText w:val="(%1)"/>
      <w:lvlJc w:val="left"/>
      <w:pPr>
        <w:ind w:left="1440" w:hanging="360"/>
      </w:pPr>
      <w:rPr>
        <w:rFonts w:ascii="Arial" w:hAnsi="Arial" w:cs="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BB3D8A"/>
    <w:multiLevelType w:val="hybridMultilevel"/>
    <w:tmpl w:val="4502F1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818C3"/>
    <w:multiLevelType w:val="hybridMultilevel"/>
    <w:tmpl w:val="49721C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74612C"/>
    <w:multiLevelType w:val="hybridMultilevel"/>
    <w:tmpl w:val="439C2D9A"/>
    <w:lvl w:ilvl="0" w:tplc="177687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2FD5602"/>
    <w:multiLevelType w:val="hybridMultilevel"/>
    <w:tmpl w:val="A4A857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BD0DA5"/>
    <w:multiLevelType w:val="hybridMultilevel"/>
    <w:tmpl w:val="60B4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1C1DF1"/>
    <w:multiLevelType w:val="hybridMultilevel"/>
    <w:tmpl w:val="A8D22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E240D1"/>
    <w:multiLevelType w:val="hybridMultilevel"/>
    <w:tmpl w:val="2902A186"/>
    <w:lvl w:ilvl="0" w:tplc="6C16FE3E">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BA3B26"/>
    <w:multiLevelType w:val="hybridMultilevel"/>
    <w:tmpl w:val="C214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F2D574D"/>
    <w:multiLevelType w:val="hybridMultilevel"/>
    <w:tmpl w:val="1C9E58C0"/>
    <w:lvl w:ilvl="0" w:tplc="33885F9A">
      <w:start w:val="1"/>
      <w:numFmt w:val="lowerRoman"/>
      <w:lvlText w:val="%1)"/>
      <w:lvlJc w:val="left"/>
      <w:pPr>
        <w:ind w:left="2160" w:hanging="72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F8A5604"/>
    <w:multiLevelType w:val="hybridMultilevel"/>
    <w:tmpl w:val="C022511E"/>
    <w:lvl w:ilvl="0" w:tplc="F7D8D464">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AA7F30"/>
    <w:multiLevelType w:val="hybridMultilevel"/>
    <w:tmpl w:val="994EEA38"/>
    <w:lvl w:ilvl="0" w:tplc="1C2C1A5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F1642BD"/>
    <w:multiLevelType w:val="hybridMultilevel"/>
    <w:tmpl w:val="4802F1BC"/>
    <w:lvl w:ilvl="0" w:tplc="06E876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17C3741"/>
    <w:multiLevelType w:val="hybridMultilevel"/>
    <w:tmpl w:val="DAA8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837E52"/>
    <w:multiLevelType w:val="hybridMultilevel"/>
    <w:tmpl w:val="BA5831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8392AF0"/>
    <w:multiLevelType w:val="hybridMultilevel"/>
    <w:tmpl w:val="F196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41"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F57AB9"/>
    <w:multiLevelType w:val="hybridMultilevel"/>
    <w:tmpl w:val="AC3C2288"/>
    <w:lvl w:ilvl="0" w:tplc="D9A4F13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6F4383C"/>
    <w:multiLevelType w:val="hybridMultilevel"/>
    <w:tmpl w:val="3ABE045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9"/>
  </w:num>
  <w:num w:numId="3">
    <w:abstractNumId w:val="39"/>
  </w:num>
  <w:num w:numId="4">
    <w:abstractNumId w:val="20"/>
  </w:num>
  <w:num w:numId="5">
    <w:abstractNumId w:val="18"/>
  </w:num>
  <w:num w:numId="6">
    <w:abstractNumId w:val="2"/>
  </w:num>
  <w:num w:numId="7">
    <w:abstractNumId w:val="45"/>
  </w:num>
  <w:num w:numId="8">
    <w:abstractNumId w:val="0"/>
  </w:num>
  <w:num w:numId="9">
    <w:abstractNumId w:val="6"/>
  </w:num>
  <w:num w:numId="10">
    <w:abstractNumId w:val="42"/>
  </w:num>
  <w:num w:numId="11">
    <w:abstractNumId w:val="40"/>
  </w:num>
  <w:num w:numId="12">
    <w:abstractNumId w:val="37"/>
  </w:num>
  <w:num w:numId="13">
    <w:abstractNumId w:val="4"/>
  </w:num>
  <w:num w:numId="14">
    <w:abstractNumId w:val="10"/>
  </w:num>
  <w:num w:numId="15">
    <w:abstractNumId w:val="35"/>
  </w:num>
  <w:num w:numId="16">
    <w:abstractNumId w:val="16"/>
  </w:num>
  <w:num w:numId="17">
    <w:abstractNumId w:val="44"/>
  </w:num>
  <w:num w:numId="18">
    <w:abstractNumId w:val="36"/>
  </w:num>
  <w:num w:numId="19">
    <w:abstractNumId w:val="28"/>
  </w:num>
  <w:num w:numId="20">
    <w:abstractNumId w:val="14"/>
  </w:num>
  <w:num w:numId="21">
    <w:abstractNumId w:val="32"/>
  </w:num>
  <w:num w:numId="22">
    <w:abstractNumId w:val="17"/>
  </w:num>
  <w:num w:numId="23">
    <w:abstractNumId w:val="3"/>
  </w:num>
  <w:num w:numId="24">
    <w:abstractNumId w:val="12"/>
  </w:num>
  <w:num w:numId="25">
    <w:abstractNumId w:val="38"/>
  </w:num>
  <w:num w:numId="26">
    <w:abstractNumId w:val="11"/>
  </w:num>
  <w:num w:numId="27">
    <w:abstractNumId w:val="24"/>
  </w:num>
  <w:num w:numId="28">
    <w:abstractNumId w:val="8"/>
  </w:num>
  <w:num w:numId="29">
    <w:abstractNumId w:val="19"/>
  </w:num>
  <w:num w:numId="30">
    <w:abstractNumId w:val="5"/>
  </w:num>
  <w:num w:numId="31">
    <w:abstractNumId w:val="9"/>
  </w:num>
  <w:num w:numId="32">
    <w:abstractNumId w:val="25"/>
  </w:num>
  <w:num w:numId="33">
    <w:abstractNumId w:val="1"/>
  </w:num>
  <w:num w:numId="34">
    <w:abstractNumId w:val="7"/>
  </w:num>
  <w:num w:numId="35">
    <w:abstractNumId w:val="15"/>
  </w:num>
  <w:num w:numId="36">
    <w:abstractNumId w:val="27"/>
  </w:num>
  <w:num w:numId="37">
    <w:abstractNumId w:val="33"/>
  </w:num>
  <w:num w:numId="38">
    <w:abstractNumId w:val="13"/>
  </w:num>
  <w:num w:numId="39">
    <w:abstractNumId w:val="23"/>
  </w:num>
  <w:num w:numId="40">
    <w:abstractNumId w:val="31"/>
  </w:num>
  <w:num w:numId="41">
    <w:abstractNumId w:val="34"/>
  </w:num>
  <w:num w:numId="42">
    <w:abstractNumId w:val="30"/>
  </w:num>
  <w:num w:numId="43">
    <w:abstractNumId w:val="41"/>
  </w:num>
  <w:num w:numId="44">
    <w:abstractNumId w:val="21"/>
  </w:num>
  <w:num w:numId="45">
    <w:abstractNumId w:val="26"/>
  </w:num>
  <w:num w:numId="46">
    <w:abstractNumId w:val="22"/>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19D9"/>
    <w:rsid w:val="000076AC"/>
    <w:rsid w:val="000361A6"/>
    <w:rsid w:val="00036458"/>
    <w:rsid w:val="0004443D"/>
    <w:rsid w:val="00056EE2"/>
    <w:rsid w:val="00056FCE"/>
    <w:rsid w:val="00066214"/>
    <w:rsid w:val="00066C55"/>
    <w:rsid w:val="00067751"/>
    <w:rsid w:val="000709EE"/>
    <w:rsid w:val="00076E4F"/>
    <w:rsid w:val="000840FB"/>
    <w:rsid w:val="00087984"/>
    <w:rsid w:val="000904E1"/>
    <w:rsid w:val="000907E3"/>
    <w:rsid w:val="000A20D3"/>
    <w:rsid w:val="000A20FE"/>
    <w:rsid w:val="000B13CB"/>
    <w:rsid w:val="000B5B2B"/>
    <w:rsid w:val="000C15CB"/>
    <w:rsid w:val="000E1C7E"/>
    <w:rsid w:val="000E6EBF"/>
    <w:rsid w:val="000F2A9E"/>
    <w:rsid w:val="000F6B47"/>
    <w:rsid w:val="00107A79"/>
    <w:rsid w:val="00110AB0"/>
    <w:rsid w:val="001110A9"/>
    <w:rsid w:val="0011347D"/>
    <w:rsid w:val="00122626"/>
    <w:rsid w:val="00122A70"/>
    <w:rsid w:val="0012636E"/>
    <w:rsid w:val="0013691E"/>
    <w:rsid w:val="00144942"/>
    <w:rsid w:val="001472AB"/>
    <w:rsid w:val="00147412"/>
    <w:rsid w:val="00153E03"/>
    <w:rsid w:val="0015575F"/>
    <w:rsid w:val="00163990"/>
    <w:rsid w:val="00170727"/>
    <w:rsid w:val="001717CD"/>
    <w:rsid w:val="00173193"/>
    <w:rsid w:val="00175AD2"/>
    <w:rsid w:val="00182417"/>
    <w:rsid w:val="00186BF5"/>
    <w:rsid w:val="001901D5"/>
    <w:rsid w:val="001A2C1E"/>
    <w:rsid w:val="001A33FA"/>
    <w:rsid w:val="001B11C3"/>
    <w:rsid w:val="001B1AFB"/>
    <w:rsid w:val="001B210B"/>
    <w:rsid w:val="001C38FF"/>
    <w:rsid w:val="001C57BE"/>
    <w:rsid w:val="001C5972"/>
    <w:rsid w:val="001C7A25"/>
    <w:rsid w:val="001D11AB"/>
    <w:rsid w:val="001D350E"/>
    <w:rsid w:val="001D5036"/>
    <w:rsid w:val="001D7E4F"/>
    <w:rsid w:val="001E0EF5"/>
    <w:rsid w:val="001E40BC"/>
    <w:rsid w:val="001F4F15"/>
    <w:rsid w:val="0020183C"/>
    <w:rsid w:val="00206D50"/>
    <w:rsid w:val="00221E15"/>
    <w:rsid w:val="00224C01"/>
    <w:rsid w:val="0022745A"/>
    <w:rsid w:val="002279B4"/>
    <w:rsid w:val="00232DCD"/>
    <w:rsid w:val="0024298E"/>
    <w:rsid w:val="00243F29"/>
    <w:rsid w:val="00245EEB"/>
    <w:rsid w:val="0024716F"/>
    <w:rsid w:val="00254D38"/>
    <w:rsid w:val="00267C2D"/>
    <w:rsid w:val="00276A8F"/>
    <w:rsid w:val="0029228E"/>
    <w:rsid w:val="0029521C"/>
    <w:rsid w:val="00296B9E"/>
    <w:rsid w:val="002975BA"/>
    <w:rsid w:val="002A0934"/>
    <w:rsid w:val="002A684C"/>
    <w:rsid w:val="002B009D"/>
    <w:rsid w:val="002B4019"/>
    <w:rsid w:val="002C120B"/>
    <w:rsid w:val="002C4ED0"/>
    <w:rsid w:val="002D69A9"/>
    <w:rsid w:val="002E1AB9"/>
    <w:rsid w:val="002E1E0C"/>
    <w:rsid w:val="002F2CFD"/>
    <w:rsid w:val="002F43B3"/>
    <w:rsid w:val="003068FA"/>
    <w:rsid w:val="00307D0B"/>
    <w:rsid w:val="00314064"/>
    <w:rsid w:val="00314AF9"/>
    <w:rsid w:val="00315D7B"/>
    <w:rsid w:val="00315E3A"/>
    <w:rsid w:val="00325032"/>
    <w:rsid w:val="003305DE"/>
    <w:rsid w:val="003312D9"/>
    <w:rsid w:val="0033584F"/>
    <w:rsid w:val="0034627F"/>
    <w:rsid w:val="003475F1"/>
    <w:rsid w:val="00350CC8"/>
    <w:rsid w:val="00354259"/>
    <w:rsid w:val="00356737"/>
    <w:rsid w:val="00356C72"/>
    <w:rsid w:val="00360426"/>
    <w:rsid w:val="003641A9"/>
    <w:rsid w:val="00371712"/>
    <w:rsid w:val="003A5214"/>
    <w:rsid w:val="003B0EA4"/>
    <w:rsid w:val="003B1564"/>
    <w:rsid w:val="003B569D"/>
    <w:rsid w:val="003C2881"/>
    <w:rsid w:val="003D6ABA"/>
    <w:rsid w:val="003D6C2F"/>
    <w:rsid w:val="003F6879"/>
    <w:rsid w:val="003F690C"/>
    <w:rsid w:val="00400171"/>
    <w:rsid w:val="004127F6"/>
    <w:rsid w:val="00413E8A"/>
    <w:rsid w:val="00414AD4"/>
    <w:rsid w:val="00416E08"/>
    <w:rsid w:val="004229C8"/>
    <w:rsid w:val="00424483"/>
    <w:rsid w:val="00425139"/>
    <w:rsid w:val="00425A6B"/>
    <w:rsid w:val="0043617D"/>
    <w:rsid w:val="00442E5B"/>
    <w:rsid w:val="004553C2"/>
    <w:rsid w:val="0045636E"/>
    <w:rsid w:val="00465336"/>
    <w:rsid w:val="00471CFD"/>
    <w:rsid w:val="00472AA5"/>
    <w:rsid w:val="00475276"/>
    <w:rsid w:val="0047677D"/>
    <w:rsid w:val="00480377"/>
    <w:rsid w:val="00482877"/>
    <w:rsid w:val="00482EA7"/>
    <w:rsid w:val="00483A9C"/>
    <w:rsid w:val="00484A18"/>
    <w:rsid w:val="00496B0B"/>
    <w:rsid w:val="004A09B4"/>
    <w:rsid w:val="004A4CB1"/>
    <w:rsid w:val="004A5D54"/>
    <w:rsid w:val="004A7289"/>
    <w:rsid w:val="004B1988"/>
    <w:rsid w:val="004B6155"/>
    <w:rsid w:val="004C2CEB"/>
    <w:rsid w:val="004D3CD1"/>
    <w:rsid w:val="004D537D"/>
    <w:rsid w:val="004D5DAF"/>
    <w:rsid w:val="004E347E"/>
    <w:rsid w:val="004F752B"/>
    <w:rsid w:val="0051060D"/>
    <w:rsid w:val="0051347B"/>
    <w:rsid w:val="00513A75"/>
    <w:rsid w:val="00514BBE"/>
    <w:rsid w:val="00524F6B"/>
    <w:rsid w:val="0053035D"/>
    <w:rsid w:val="005322F8"/>
    <w:rsid w:val="005354FC"/>
    <w:rsid w:val="00546E2F"/>
    <w:rsid w:val="005508EF"/>
    <w:rsid w:val="00562414"/>
    <w:rsid w:val="00563673"/>
    <w:rsid w:val="0057400B"/>
    <w:rsid w:val="0057636F"/>
    <w:rsid w:val="00580E87"/>
    <w:rsid w:val="005A0D5B"/>
    <w:rsid w:val="005B0244"/>
    <w:rsid w:val="005B5337"/>
    <w:rsid w:val="005B5997"/>
    <w:rsid w:val="005C1EA8"/>
    <w:rsid w:val="005C32AE"/>
    <w:rsid w:val="005C6976"/>
    <w:rsid w:val="005E413E"/>
    <w:rsid w:val="00611432"/>
    <w:rsid w:val="006148C2"/>
    <w:rsid w:val="00620F9D"/>
    <w:rsid w:val="00622BC4"/>
    <w:rsid w:val="00627A8D"/>
    <w:rsid w:val="00637CEB"/>
    <w:rsid w:val="00641735"/>
    <w:rsid w:val="00655E63"/>
    <w:rsid w:val="006606C8"/>
    <w:rsid w:val="00665D55"/>
    <w:rsid w:val="00674390"/>
    <w:rsid w:val="006847F7"/>
    <w:rsid w:val="00686DDF"/>
    <w:rsid w:val="00691D55"/>
    <w:rsid w:val="00692C86"/>
    <w:rsid w:val="006A158F"/>
    <w:rsid w:val="006B0B45"/>
    <w:rsid w:val="006B2418"/>
    <w:rsid w:val="006C12D5"/>
    <w:rsid w:val="006C682F"/>
    <w:rsid w:val="006C7530"/>
    <w:rsid w:val="006D1E7C"/>
    <w:rsid w:val="006E2FF3"/>
    <w:rsid w:val="006E5D9E"/>
    <w:rsid w:val="006E78CD"/>
    <w:rsid w:val="006F2D51"/>
    <w:rsid w:val="006F315E"/>
    <w:rsid w:val="006F7063"/>
    <w:rsid w:val="00712462"/>
    <w:rsid w:val="00724550"/>
    <w:rsid w:val="00724EC9"/>
    <w:rsid w:val="00734789"/>
    <w:rsid w:val="007415E3"/>
    <w:rsid w:val="00745768"/>
    <w:rsid w:val="007541F9"/>
    <w:rsid w:val="0075612D"/>
    <w:rsid w:val="00761155"/>
    <w:rsid w:val="007647C0"/>
    <w:rsid w:val="00765479"/>
    <w:rsid w:val="00767189"/>
    <w:rsid w:val="007870E3"/>
    <w:rsid w:val="007B07F2"/>
    <w:rsid w:val="007C0236"/>
    <w:rsid w:val="007E4105"/>
    <w:rsid w:val="007E78E5"/>
    <w:rsid w:val="007F54DD"/>
    <w:rsid w:val="007F7531"/>
    <w:rsid w:val="00800057"/>
    <w:rsid w:val="008005B7"/>
    <w:rsid w:val="008035AA"/>
    <w:rsid w:val="0080582C"/>
    <w:rsid w:val="008075B3"/>
    <w:rsid w:val="008250D2"/>
    <w:rsid w:val="0083537F"/>
    <w:rsid w:val="00837A8F"/>
    <w:rsid w:val="0084091F"/>
    <w:rsid w:val="00841D04"/>
    <w:rsid w:val="00844A93"/>
    <w:rsid w:val="008577A4"/>
    <w:rsid w:val="00874CC0"/>
    <w:rsid w:val="008819D1"/>
    <w:rsid w:val="00883BA1"/>
    <w:rsid w:val="008874FC"/>
    <w:rsid w:val="008913A1"/>
    <w:rsid w:val="00891D1A"/>
    <w:rsid w:val="00891FBA"/>
    <w:rsid w:val="00892C06"/>
    <w:rsid w:val="008966A4"/>
    <w:rsid w:val="008A763A"/>
    <w:rsid w:val="008B5E96"/>
    <w:rsid w:val="008C2E0F"/>
    <w:rsid w:val="008D1975"/>
    <w:rsid w:val="008D1A9F"/>
    <w:rsid w:val="008D6AD5"/>
    <w:rsid w:val="008E0C2F"/>
    <w:rsid w:val="008E2AB9"/>
    <w:rsid w:val="008E7356"/>
    <w:rsid w:val="008F11AC"/>
    <w:rsid w:val="008F1F71"/>
    <w:rsid w:val="008F3A1B"/>
    <w:rsid w:val="008F7EFA"/>
    <w:rsid w:val="00904F75"/>
    <w:rsid w:val="00905B6C"/>
    <w:rsid w:val="00921754"/>
    <w:rsid w:val="00921E69"/>
    <w:rsid w:val="00935B6C"/>
    <w:rsid w:val="00935F91"/>
    <w:rsid w:val="009430B3"/>
    <w:rsid w:val="009444D9"/>
    <w:rsid w:val="0095053B"/>
    <w:rsid w:val="00953C33"/>
    <w:rsid w:val="00955246"/>
    <w:rsid w:val="00957524"/>
    <w:rsid w:val="00963453"/>
    <w:rsid w:val="00966044"/>
    <w:rsid w:val="00966D25"/>
    <w:rsid w:val="009674A1"/>
    <w:rsid w:val="0097208F"/>
    <w:rsid w:val="009747CE"/>
    <w:rsid w:val="00980E4F"/>
    <w:rsid w:val="009877D2"/>
    <w:rsid w:val="009A1DBA"/>
    <w:rsid w:val="009A29EE"/>
    <w:rsid w:val="009A734D"/>
    <w:rsid w:val="009A77A6"/>
    <w:rsid w:val="009C48D5"/>
    <w:rsid w:val="009D3ADF"/>
    <w:rsid w:val="009D4929"/>
    <w:rsid w:val="009F0069"/>
    <w:rsid w:val="009F339F"/>
    <w:rsid w:val="00A00C5A"/>
    <w:rsid w:val="00A0475D"/>
    <w:rsid w:val="00A11ACD"/>
    <w:rsid w:val="00A12925"/>
    <w:rsid w:val="00A12A3B"/>
    <w:rsid w:val="00A1595D"/>
    <w:rsid w:val="00A25D5E"/>
    <w:rsid w:val="00A27A68"/>
    <w:rsid w:val="00A27E96"/>
    <w:rsid w:val="00A41E00"/>
    <w:rsid w:val="00A464C6"/>
    <w:rsid w:val="00A47052"/>
    <w:rsid w:val="00A81618"/>
    <w:rsid w:val="00A94A7F"/>
    <w:rsid w:val="00A979CA"/>
    <w:rsid w:val="00AA1CCD"/>
    <w:rsid w:val="00AA1CE9"/>
    <w:rsid w:val="00AA33E7"/>
    <w:rsid w:val="00AA6434"/>
    <w:rsid w:val="00AB569A"/>
    <w:rsid w:val="00AC0A3C"/>
    <w:rsid w:val="00AC50A3"/>
    <w:rsid w:val="00AD469A"/>
    <w:rsid w:val="00AD70DF"/>
    <w:rsid w:val="00AD7EC6"/>
    <w:rsid w:val="00AF0DA7"/>
    <w:rsid w:val="00AF5640"/>
    <w:rsid w:val="00AF5C47"/>
    <w:rsid w:val="00AF7840"/>
    <w:rsid w:val="00AF79AE"/>
    <w:rsid w:val="00B01F04"/>
    <w:rsid w:val="00B13DDA"/>
    <w:rsid w:val="00B14132"/>
    <w:rsid w:val="00B16655"/>
    <w:rsid w:val="00B20556"/>
    <w:rsid w:val="00B20BF1"/>
    <w:rsid w:val="00B3466C"/>
    <w:rsid w:val="00B44DDA"/>
    <w:rsid w:val="00B505FD"/>
    <w:rsid w:val="00B51A3B"/>
    <w:rsid w:val="00B66307"/>
    <w:rsid w:val="00B757F7"/>
    <w:rsid w:val="00B81ABB"/>
    <w:rsid w:val="00B8344A"/>
    <w:rsid w:val="00B85570"/>
    <w:rsid w:val="00B95FCB"/>
    <w:rsid w:val="00BB0493"/>
    <w:rsid w:val="00BC0D6F"/>
    <w:rsid w:val="00BC1DF2"/>
    <w:rsid w:val="00BC41F1"/>
    <w:rsid w:val="00BC7021"/>
    <w:rsid w:val="00BE1ADE"/>
    <w:rsid w:val="00BF59CB"/>
    <w:rsid w:val="00BF7B32"/>
    <w:rsid w:val="00C20AB5"/>
    <w:rsid w:val="00C34D0E"/>
    <w:rsid w:val="00C356AC"/>
    <w:rsid w:val="00C4031A"/>
    <w:rsid w:val="00C53ABB"/>
    <w:rsid w:val="00C5418F"/>
    <w:rsid w:val="00C545B7"/>
    <w:rsid w:val="00C55E62"/>
    <w:rsid w:val="00C7006C"/>
    <w:rsid w:val="00C915CD"/>
    <w:rsid w:val="00C97C3C"/>
    <w:rsid w:val="00CA4D2B"/>
    <w:rsid w:val="00CB7D48"/>
    <w:rsid w:val="00CC08B4"/>
    <w:rsid w:val="00CD1857"/>
    <w:rsid w:val="00CD70DC"/>
    <w:rsid w:val="00CE3105"/>
    <w:rsid w:val="00CF25C7"/>
    <w:rsid w:val="00CF6089"/>
    <w:rsid w:val="00D055D3"/>
    <w:rsid w:val="00D05EB3"/>
    <w:rsid w:val="00D0694A"/>
    <w:rsid w:val="00D22380"/>
    <w:rsid w:val="00D22AF7"/>
    <w:rsid w:val="00D2301E"/>
    <w:rsid w:val="00D42EFE"/>
    <w:rsid w:val="00D4457C"/>
    <w:rsid w:val="00D44753"/>
    <w:rsid w:val="00D50B80"/>
    <w:rsid w:val="00D56917"/>
    <w:rsid w:val="00D632E9"/>
    <w:rsid w:val="00D9059D"/>
    <w:rsid w:val="00DA0A4C"/>
    <w:rsid w:val="00DA2315"/>
    <w:rsid w:val="00DA7D40"/>
    <w:rsid w:val="00DB4E6C"/>
    <w:rsid w:val="00DD0E06"/>
    <w:rsid w:val="00DF2FF7"/>
    <w:rsid w:val="00E34BE6"/>
    <w:rsid w:val="00E51AF1"/>
    <w:rsid w:val="00E521FF"/>
    <w:rsid w:val="00E77C0B"/>
    <w:rsid w:val="00E8034C"/>
    <w:rsid w:val="00E80A5D"/>
    <w:rsid w:val="00E813AD"/>
    <w:rsid w:val="00E86DA3"/>
    <w:rsid w:val="00EA45C9"/>
    <w:rsid w:val="00EB364C"/>
    <w:rsid w:val="00EC4954"/>
    <w:rsid w:val="00ED2779"/>
    <w:rsid w:val="00ED475D"/>
    <w:rsid w:val="00ED4E72"/>
    <w:rsid w:val="00ED6D05"/>
    <w:rsid w:val="00EE20EB"/>
    <w:rsid w:val="00EE7DAC"/>
    <w:rsid w:val="00EF071D"/>
    <w:rsid w:val="00EF155A"/>
    <w:rsid w:val="00EF5A23"/>
    <w:rsid w:val="00EF64FB"/>
    <w:rsid w:val="00F018B3"/>
    <w:rsid w:val="00F01D96"/>
    <w:rsid w:val="00F14FB5"/>
    <w:rsid w:val="00F21A2D"/>
    <w:rsid w:val="00F22DD8"/>
    <w:rsid w:val="00F23F0B"/>
    <w:rsid w:val="00F41279"/>
    <w:rsid w:val="00F515CD"/>
    <w:rsid w:val="00F53FD0"/>
    <w:rsid w:val="00F54393"/>
    <w:rsid w:val="00F7363B"/>
    <w:rsid w:val="00F74FFA"/>
    <w:rsid w:val="00F84B8B"/>
    <w:rsid w:val="00F93AB3"/>
    <w:rsid w:val="00FA1C53"/>
    <w:rsid w:val="00FA27DF"/>
    <w:rsid w:val="00FB0D4A"/>
    <w:rsid w:val="00FB6202"/>
    <w:rsid w:val="00FC0D31"/>
    <w:rsid w:val="00FC447B"/>
    <w:rsid w:val="00FC6B93"/>
    <w:rsid w:val="00FD4BB2"/>
    <w:rsid w:val="00FE0773"/>
    <w:rsid w:val="00FE20AE"/>
    <w:rsid w:val="00FE4E81"/>
    <w:rsid w:val="00FF0438"/>
    <w:rsid w:val="00FF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A0F9A4"/>
  <w15:docId w15:val="{D43CFD93-441C-4664-AEE0-0C8B0099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basedOn w:val="Normal"/>
    <w:link w:val="ParagraphChar"/>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text,Bullet list first level"/>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character" w:customStyle="1" w:styleId="ListParagraphChar">
    <w:name w:val="List Paragraph Char"/>
    <w:aliases w:val="text Char,Bullet list first level Char"/>
    <w:basedOn w:val="DefaultParagraphFont"/>
    <w:link w:val="ListParagraph"/>
    <w:uiPriority w:val="34"/>
    <w:rsid w:val="004D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ona.uwi.edu/physics/sites/default/files/physics/uploads/SOJC%20-%20Full%20Document%20-%20January%2024v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2" ma:contentTypeDescription="Create a new document." ma:contentTypeScope="" ma:versionID="dd626f2bb826dca0e0eef00f2130d453">
  <xsd:schema xmlns:xsd="http://www.w3.org/2001/XMLSchema" xmlns:xs="http://www.w3.org/2001/XMLSchema" xmlns:p="http://schemas.microsoft.com/office/2006/metadata/properties" xmlns:ns2="d24ff2d8-b8a6-4a47-81f0-f52f65dae21f" targetNamespace="http://schemas.microsoft.com/office/2006/metadata/properties" ma:root="true" ma:fieldsID="701d02818efb0410e4458b1a5921bdf7" ns2:_="">
    <xsd:import namespace="d24ff2d8-b8a6-4a47-81f0-f52f65dae2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0530-4E6D-441C-BB0C-85AD282CA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3.xml><?xml version="1.0" encoding="utf-8"?>
<ds:datastoreItem xmlns:ds="http://schemas.openxmlformats.org/officeDocument/2006/customXml" ds:itemID="{B2AC612B-893F-4318-B7E6-4E172B982238}">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d24ff2d8-b8a6-4a47-81f0-f52f65dae21f"/>
    <ds:schemaRef ds:uri="http://purl.org/dc/term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38E6778-8A52-4EBB-B3EC-FA423F36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4863</Words>
  <Characters>27721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lastModifiedBy>Garcia Fernandez, Javier</cp:lastModifiedBy>
  <cp:revision>11</cp:revision>
  <cp:lastPrinted>2016-11-07T22:15:00Z</cp:lastPrinted>
  <dcterms:created xsi:type="dcterms:W3CDTF">2017-05-25T19:19:00Z</dcterms:created>
  <dcterms:modified xsi:type="dcterms:W3CDTF">2017-07-17T19:07:00Z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