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572" w:rsidRDefault="00052929" w:rsidP="00052929">
      <w:pPr>
        <w:ind w:left="142"/>
        <w:jc w:val="center"/>
        <w:rPr>
          <w:rFonts w:ascii="Arial" w:hAnsi="Arial" w:cs="Arial"/>
          <w:b/>
          <w:sz w:val="20"/>
          <w:szCs w:val="20"/>
        </w:rPr>
      </w:pPr>
      <w:r w:rsidRPr="00052929">
        <w:rPr>
          <w:rFonts w:ascii="Arial" w:hAnsi="Arial" w:cs="Arial"/>
          <w:b/>
          <w:sz w:val="22"/>
          <w:szCs w:val="22"/>
          <w:lang w:val="pt-BR"/>
        </w:rPr>
        <w:t>PROGRAMA DE COMPETITIVIDAD AGRARIA III</w:t>
      </w:r>
    </w:p>
    <w:p w:rsidR="00052929" w:rsidRDefault="00052929" w:rsidP="00052929">
      <w:pPr>
        <w:tabs>
          <w:tab w:val="center" w:pos="6651"/>
          <w:tab w:val="left" w:pos="12371"/>
        </w:tabs>
        <w:jc w:val="center"/>
        <w:outlineLvl w:val="0"/>
        <w:rPr>
          <w:rFonts w:ascii="Arial" w:hAnsi="Arial" w:cs="Arial"/>
          <w:b/>
          <w:sz w:val="22"/>
          <w:szCs w:val="22"/>
          <w:lang w:val="es-ES_tradnl"/>
        </w:rPr>
      </w:pPr>
      <w:r w:rsidRPr="00052929">
        <w:rPr>
          <w:rFonts w:ascii="Arial" w:hAnsi="Arial" w:cs="Arial"/>
          <w:b/>
          <w:sz w:val="22"/>
          <w:szCs w:val="22"/>
          <w:lang w:val="es-ES_tradnl"/>
        </w:rPr>
        <w:t>MATRIZ DE MEDIOS DE VERIFICACIÓN</w:t>
      </w:r>
    </w:p>
    <w:p w:rsidR="00052929" w:rsidRPr="00944636" w:rsidRDefault="00052929" w:rsidP="00052929">
      <w:pPr>
        <w:ind w:left="142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516"/>
      </w:tblGrid>
      <w:tr w:rsidR="00155577" w:rsidRPr="00944636" w:rsidTr="00155577">
        <w:tc>
          <w:tcPr>
            <w:tcW w:w="5000" w:type="pct"/>
          </w:tcPr>
          <w:p w:rsidR="007A3A67" w:rsidRPr="00E564E0" w:rsidRDefault="007A3A67" w:rsidP="00C472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5577" w:rsidRPr="00944636" w:rsidTr="00155577">
        <w:tc>
          <w:tcPr>
            <w:tcW w:w="5000" w:type="pct"/>
            <w:tcBorders>
              <w:bottom w:val="single" w:sz="4" w:space="0" w:color="000000"/>
            </w:tcBorders>
          </w:tcPr>
          <w:p w:rsidR="00155577" w:rsidRPr="00E564E0" w:rsidRDefault="00155577" w:rsidP="00AA7E12">
            <w:pPr>
              <w:numPr>
                <w:ilvl w:val="0"/>
                <w:numId w:val="3"/>
              </w:numPr>
              <w:ind w:left="284" w:hanging="142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44636">
              <w:rPr>
                <w:rFonts w:ascii="Arial" w:hAnsi="Arial" w:cs="Arial"/>
                <w:b/>
                <w:sz w:val="20"/>
                <w:szCs w:val="20"/>
              </w:rPr>
              <w:t>Implementación del Programa de Compensaciones para la Competitividad (PCC)</w:t>
            </w:r>
            <w:r w:rsidR="00EE5505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6C2075" w:rsidRDefault="006C2075" w:rsidP="00E564E0">
            <w:pPr>
              <w:ind w:left="14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C2075" w:rsidRDefault="00E564E0" w:rsidP="00E564E0">
            <w:pPr>
              <w:ind w:left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2075">
              <w:rPr>
                <w:rFonts w:ascii="Arial" w:hAnsi="Arial" w:cs="Arial"/>
                <w:sz w:val="20"/>
                <w:szCs w:val="20"/>
                <w:u w:val="single"/>
              </w:rPr>
              <w:t>Objetivo</w:t>
            </w:r>
            <w:r w:rsidRPr="00E564E0">
              <w:rPr>
                <w:rFonts w:ascii="Arial" w:hAnsi="Arial" w:cs="Arial"/>
                <w:sz w:val="20"/>
                <w:szCs w:val="20"/>
              </w:rPr>
              <w:t xml:space="preserve">.- </w:t>
            </w:r>
            <w:r w:rsidRPr="00E564E0">
              <w:t xml:space="preserve"> </w:t>
            </w:r>
            <w:r w:rsidRPr="00E564E0">
              <w:rPr>
                <w:rFonts w:ascii="Arial" w:hAnsi="Arial" w:cs="Arial"/>
                <w:sz w:val="20"/>
                <w:szCs w:val="20"/>
              </w:rPr>
              <w:t>Apoyar la implementación del PCC, cuyo objeto es elevar la competitividad de los pequeños y medianos productores agrarios en el marco de la apertura comercial.</w:t>
            </w:r>
          </w:p>
          <w:p w:rsidR="00C85C5B" w:rsidRDefault="00C85C5B" w:rsidP="00E564E0">
            <w:pPr>
              <w:ind w:left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2075">
              <w:rPr>
                <w:rFonts w:ascii="Arial" w:hAnsi="Arial" w:cs="Arial"/>
                <w:sz w:val="20"/>
                <w:szCs w:val="20"/>
                <w:u w:val="single"/>
              </w:rPr>
              <w:t>Responsable</w:t>
            </w:r>
            <w:r>
              <w:rPr>
                <w:rFonts w:ascii="Arial" w:hAnsi="Arial" w:cs="Arial"/>
                <w:sz w:val="20"/>
                <w:szCs w:val="20"/>
              </w:rPr>
              <w:t xml:space="preserve">.- Programa de Compensaciones para la Competitividad </w:t>
            </w:r>
            <w:r w:rsidR="001B6BF3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B6BF3">
              <w:rPr>
                <w:rFonts w:ascii="Arial" w:hAnsi="Arial" w:cs="Arial"/>
                <w:sz w:val="20"/>
                <w:szCs w:val="20"/>
              </w:rPr>
              <w:t>Ministerio de Agricultura</w:t>
            </w:r>
            <w:r w:rsidR="000634C8">
              <w:rPr>
                <w:rFonts w:ascii="Arial" w:hAnsi="Arial" w:cs="Arial"/>
                <w:sz w:val="20"/>
                <w:szCs w:val="20"/>
              </w:rPr>
              <w:t xml:space="preserve"> y Riego</w:t>
            </w:r>
            <w:r w:rsidR="001B6BF3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MINAG</w:t>
            </w:r>
            <w:r w:rsidR="000634C8">
              <w:rPr>
                <w:rFonts w:ascii="Arial" w:hAnsi="Arial" w:cs="Arial"/>
                <w:sz w:val="20"/>
                <w:szCs w:val="20"/>
              </w:rPr>
              <w:t>RI</w:t>
            </w:r>
            <w:r w:rsidR="001B6BF3"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6C2075" w:rsidRDefault="006C2075" w:rsidP="00E564E0">
            <w:pPr>
              <w:ind w:left="142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tbl>
            <w:tblPr>
              <w:tblW w:w="14073" w:type="dxa"/>
              <w:tblInd w:w="1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29"/>
              <w:gridCol w:w="4629"/>
              <w:gridCol w:w="4815"/>
            </w:tblGrid>
            <w:tr w:rsidR="00377F27" w:rsidRPr="00760E5C" w:rsidTr="0095619D">
              <w:tc>
                <w:tcPr>
                  <w:tcW w:w="4629" w:type="dxa"/>
                </w:tcPr>
                <w:p w:rsidR="00377F27" w:rsidRPr="00760E5C" w:rsidRDefault="00377F27" w:rsidP="00F36E89">
                  <w:pPr>
                    <w:framePr w:hSpace="141" w:wrap="around" w:vAnchor="text" w:hAnchor="text" w:y="1"/>
                    <w:ind w:left="142"/>
                    <w:suppressOverlap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</w:pPr>
                  <w:r w:rsidRPr="00760E5C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  <w:lang w:val="es-ES_tradnl"/>
                    </w:rPr>
                    <w:t>Compromisos</w:t>
                  </w:r>
                  <w:r w:rsidRPr="00760E5C"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  <w:t>.-</w:t>
                  </w:r>
                </w:p>
              </w:tc>
              <w:tc>
                <w:tcPr>
                  <w:tcW w:w="4629" w:type="dxa"/>
                </w:tcPr>
                <w:p w:rsidR="00377F27" w:rsidRPr="00760E5C" w:rsidRDefault="00377F27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</w:pPr>
                  <w:r w:rsidRPr="00760E5C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  <w:lang w:val="es-ES_tradnl"/>
                    </w:rPr>
                    <w:t>Medio probatorio</w:t>
                  </w:r>
                  <w:r w:rsidRPr="00760E5C"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  <w:t>.-</w:t>
                  </w:r>
                </w:p>
              </w:tc>
              <w:tc>
                <w:tcPr>
                  <w:tcW w:w="4815" w:type="dxa"/>
                </w:tcPr>
                <w:p w:rsidR="00377F27" w:rsidRPr="00760E5C" w:rsidRDefault="00377F27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  <w:lang w:val="es-ES_tradnl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  <w:lang w:val="es-ES_tradnl"/>
                    </w:rPr>
                    <w:t>Observaciones.-</w:t>
                  </w:r>
                </w:p>
              </w:tc>
            </w:tr>
            <w:tr w:rsidR="00377F27" w:rsidRPr="00AA7E12" w:rsidTr="0095619D">
              <w:tc>
                <w:tcPr>
                  <w:tcW w:w="4629" w:type="dxa"/>
                </w:tcPr>
                <w:p w:rsidR="00CB566F" w:rsidRDefault="00377F27" w:rsidP="00F36E89">
                  <w:pPr>
                    <w:framePr w:hSpace="141" w:wrap="around" w:vAnchor="text" w:hAnchor="text" w:y="1"/>
                    <w:numPr>
                      <w:ilvl w:val="0"/>
                      <w:numId w:val="4"/>
                    </w:numPr>
                    <w:ind w:left="426" w:hanging="284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Evaluación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de resultados y avances sustantivos </w:t>
                  </w:r>
                  <w:r w:rsidR="003F37BE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sobre la base de una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evaluación de </w:t>
                  </w:r>
                  <w:r w:rsidR="003F37BE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desempeño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del </w:t>
                  </w:r>
                  <w:r w:rsidR="00943E4E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PCC/AGROIDEAS</w:t>
                  </w:r>
                </w:p>
                <w:p w:rsidR="00CB566F" w:rsidRDefault="00CB566F" w:rsidP="00F36E89">
                  <w:pPr>
                    <w:framePr w:hSpace="141" w:wrap="around" w:vAnchor="text" w:hAnchor="text" w:y="1"/>
                    <w:ind w:left="426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  <w:p w:rsidR="00377F27" w:rsidRPr="00AA7E12" w:rsidRDefault="00CB566F" w:rsidP="00F36E89">
                  <w:pPr>
                    <w:framePr w:hSpace="141" w:wrap="around" w:vAnchor="text" w:hAnchor="text" w:y="1"/>
                    <w:numPr>
                      <w:ilvl w:val="0"/>
                      <w:numId w:val="4"/>
                    </w:numPr>
                    <w:ind w:left="426" w:hanging="284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L</w:t>
                  </w:r>
                  <w:r w:rsidR="00377F27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evantamiento y análisis de la línea de base y la metodología </w:t>
                  </w:r>
                  <w:r w:rsidR="0040037A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de evaluación de impacto </w:t>
                  </w:r>
                  <w:r w:rsidR="00377F27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acordada </w:t>
                  </w:r>
                  <w:r w:rsidR="0040037A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con miras a su implementación a la conclusión del PCC/AGROIDEAS</w:t>
                  </w:r>
                  <w:r w:rsidR="00377F27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.</w:t>
                  </w:r>
                </w:p>
              </w:tc>
              <w:tc>
                <w:tcPr>
                  <w:tcW w:w="4629" w:type="dxa"/>
                </w:tcPr>
                <w:p w:rsidR="00377F27" w:rsidRDefault="00377F27" w:rsidP="00F36E89">
                  <w:pPr>
                    <w:framePr w:hSpace="141" w:wrap="around" w:vAnchor="text" w:hAnchor="text" w:y="1"/>
                    <w:ind w:left="3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Oficio</w:t>
                  </w:r>
                  <w:r w:rsidR="006A71F1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N° 1339-2013-AG-OPP/UPS del 20 may.13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del MINAG</w:t>
                  </w:r>
                  <w:r w:rsidR="000634C8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RI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, remi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tiendo</w:t>
                  </w:r>
                  <w:r w:rsidR="003F37BE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: i)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el informe de </w:t>
                  </w:r>
                  <w:r w:rsidR="00994FCD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evaluación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</w:t>
                  </w:r>
                  <w:r w:rsidR="003F37BE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de desempeño 2008-2012, y ii) el informe de línea de base incluyendo la metodología de evaluación de impacto acordada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.</w:t>
                  </w:r>
                </w:p>
                <w:p w:rsidR="008E4CEA" w:rsidRDefault="008E4CEA" w:rsidP="00F36E89">
                  <w:pPr>
                    <w:framePr w:hSpace="141" w:wrap="around" w:vAnchor="text" w:hAnchor="text" w:y="1"/>
                    <w:ind w:left="3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  <w:p w:rsidR="003F37BE" w:rsidRPr="00AA7E12" w:rsidRDefault="008E4CEA" w:rsidP="00F36E89">
                  <w:pPr>
                    <w:framePr w:hSpace="141" w:wrap="around" w:vAnchor="text" w:hAnchor="text" w:y="1"/>
                    <w:ind w:left="3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Oficio </w:t>
                  </w:r>
                  <w:r w:rsidR="00991C6E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N° 392-2013-AG-PCC-J del 05 jul.13 del MINAGRI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remitiendo el informe complementario conteniendo cifras a mayo 2013 y proyección a diciembre 2013.</w:t>
                  </w:r>
                </w:p>
              </w:tc>
              <w:tc>
                <w:tcPr>
                  <w:tcW w:w="4815" w:type="dxa"/>
                </w:tcPr>
                <w:p w:rsidR="00377F27" w:rsidRPr="00AA7E12" w:rsidRDefault="003F37BE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Cumplido.</w:t>
                  </w:r>
                  <w:r w:rsidR="00490BE0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</w:t>
                  </w:r>
                  <w:r w:rsidR="00377F27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</w:t>
                  </w:r>
                </w:p>
              </w:tc>
            </w:tr>
            <w:tr w:rsidR="00377F27" w:rsidRPr="00AA7E12" w:rsidTr="0095619D">
              <w:tc>
                <w:tcPr>
                  <w:tcW w:w="4629" w:type="dxa"/>
                </w:tcPr>
                <w:p w:rsidR="00377F27" w:rsidRDefault="00377F27" w:rsidP="00F36E89">
                  <w:pPr>
                    <w:framePr w:hSpace="141" w:wrap="around" w:vAnchor="text" w:hAnchor="text" w:y="1"/>
                    <w:numPr>
                      <w:ilvl w:val="0"/>
                      <w:numId w:val="4"/>
                    </w:numPr>
                    <w:ind w:left="465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I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ncentivos entregados por el </w:t>
                  </w:r>
                  <w:r w:rsidR="00943E4E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PCC/</w:t>
                  </w:r>
                  <w:r w:rsidR="00994FCD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AGROIDEAS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según los criterios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asociatividad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, rentabilidad y sostenibilidad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, en función de los convenios suscritos con las Organizaciones</w:t>
                  </w:r>
                  <w:r w:rsidR="00994FCD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de productores. </w:t>
                  </w:r>
                </w:p>
                <w:p w:rsidR="00377F27" w:rsidRPr="00AA7E12" w:rsidRDefault="00377F27" w:rsidP="00F36E89">
                  <w:pPr>
                    <w:framePr w:hSpace="141" w:wrap="around" w:vAnchor="text" w:hAnchor="text" w:y="1"/>
                    <w:ind w:left="720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.</w:t>
                  </w:r>
                </w:p>
              </w:tc>
              <w:tc>
                <w:tcPr>
                  <w:tcW w:w="4629" w:type="dxa"/>
                </w:tcPr>
                <w:p w:rsidR="00377F27" w:rsidRDefault="00377F27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Oficio </w:t>
                  </w:r>
                  <w:r w:rsidR="008574F4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N° 001-2013-AG-PCC-CD del Presidente del Consejo Directivo del PCC, remitido mediante oficio N° 1685-2013-AG-OPP/UPS del 10 jun.</w:t>
                  </w:r>
                  <w:r w:rsidR="00285C4A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13 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del MINAG</w:t>
                  </w:r>
                  <w:r w:rsidR="000634C8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RI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, enviando el 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r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eporte de los incentivos entregados por el programa, en función de los convenios suscritos con las Organizaciones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, el cual contendrá:</w:t>
                  </w:r>
                </w:p>
                <w:p w:rsidR="00377F27" w:rsidRDefault="00377F27" w:rsidP="00F36E89">
                  <w:pPr>
                    <w:framePr w:hSpace="141" w:wrap="around" w:vAnchor="text" w:hAnchor="text" w:y="1"/>
                    <w:numPr>
                      <w:ilvl w:val="1"/>
                      <w:numId w:val="9"/>
                    </w:numPr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Rubros de los incentivos.</w:t>
                  </w:r>
                </w:p>
                <w:p w:rsidR="00377F27" w:rsidRDefault="00377F27" w:rsidP="00F36E89">
                  <w:pPr>
                    <w:framePr w:hSpace="141" w:wrap="around" w:vAnchor="text" w:hAnchor="text" w:y="1"/>
                    <w:numPr>
                      <w:ilvl w:val="1"/>
                      <w:numId w:val="9"/>
                    </w:numPr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Análisis de género en la participación de planes de negocio.</w:t>
                  </w:r>
                </w:p>
                <w:p w:rsidR="00377F27" w:rsidRDefault="00377F27" w:rsidP="00F36E89">
                  <w:pPr>
                    <w:framePr w:hSpace="141" w:wrap="around" w:vAnchor="text" w:hAnchor="text" w:y="1"/>
                    <w:numPr>
                      <w:ilvl w:val="1"/>
                      <w:numId w:val="9"/>
                    </w:numPr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Tipos de tecnologías.</w:t>
                  </w:r>
                </w:p>
                <w:p w:rsidR="00377F27" w:rsidRDefault="00377F27" w:rsidP="00F36E89">
                  <w:pPr>
                    <w:framePr w:hSpace="141" w:wrap="around" w:vAnchor="text" w:hAnchor="text" w:y="1"/>
                    <w:numPr>
                      <w:ilvl w:val="1"/>
                      <w:numId w:val="9"/>
                    </w:numPr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Mercados en los que participan los productores.</w:t>
                  </w:r>
                </w:p>
                <w:p w:rsidR="00377F27" w:rsidRDefault="00377F27" w:rsidP="00F36E89">
                  <w:pPr>
                    <w:framePr w:hSpace="141" w:wrap="around" w:vAnchor="text" w:hAnchor="text" w:y="1"/>
                    <w:numPr>
                      <w:ilvl w:val="1"/>
                      <w:numId w:val="9"/>
                    </w:numPr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Tipo de productor.</w:t>
                  </w:r>
                </w:p>
                <w:p w:rsidR="00377F27" w:rsidRDefault="00377F27" w:rsidP="00F36E89">
                  <w:pPr>
                    <w:framePr w:hSpace="141" w:wrap="around" w:vAnchor="text" w:hAnchor="text" w:y="1"/>
                    <w:numPr>
                      <w:ilvl w:val="1"/>
                      <w:numId w:val="9"/>
                    </w:numPr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Evaluación del cofinanciamiento.</w:t>
                  </w:r>
                </w:p>
                <w:p w:rsidR="00377F27" w:rsidRDefault="00377F27" w:rsidP="00F36E89">
                  <w:pPr>
                    <w:framePr w:hSpace="141" w:wrap="around" w:vAnchor="text" w:hAnchor="text" w:y="1"/>
                    <w:numPr>
                      <w:ilvl w:val="1"/>
                      <w:numId w:val="9"/>
                    </w:numPr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Zonas de intervención.</w:t>
                  </w:r>
                </w:p>
                <w:p w:rsidR="00C21BE8" w:rsidRPr="00DC10A2" w:rsidRDefault="00377F27" w:rsidP="00F36E89">
                  <w:pPr>
                    <w:framePr w:hSpace="141" w:wrap="around" w:vAnchor="text" w:hAnchor="text" w:y="1"/>
                    <w:numPr>
                      <w:ilvl w:val="1"/>
                      <w:numId w:val="9"/>
                    </w:numPr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Evaluación ambiental.</w:t>
                  </w:r>
                </w:p>
              </w:tc>
              <w:tc>
                <w:tcPr>
                  <w:tcW w:w="4815" w:type="dxa"/>
                </w:tcPr>
                <w:p w:rsidR="00377F27" w:rsidRDefault="00285C4A" w:rsidP="00F36E89">
                  <w:pPr>
                    <w:framePr w:hSpace="141" w:wrap="around" w:vAnchor="text" w:hAnchor="text" w:y="1"/>
                    <w:ind w:left="3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Cumplido</w:t>
                  </w:r>
                  <w:r w:rsidR="00511DD7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.</w:t>
                  </w:r>
                </w:p>
                <w:p w:rsidR="00511DD7" w:rsidRPr="00AA7E12" w:rsidRDefault="00511DD7" w:rsidP="00F36E89">
                  <w:pPr>
                    <w:framePr w:hSpace="141" w:wrap="around" w:vAnchor="text" w:hAnchor="text" w:y="1"/>
                    <w:ind w:left="3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377F27" w:rsidRPr="00AA7E12" w:rsidTr="0095619D">
              <w:tc>
                <w:tcPr>
                  <w:tcW w:w="4629" w:type="dxa"/>
                </w:tcPr>
                <w:p w:rsidR="00377F27" w:rsidRPr="00AA7E12" w:rsidRDefault="00377F27" w:rsidP="00F36E89">
                  <w:pPr>
                    <w:framePr w:hSpace="141" w:wrap="around" w:vAnchor="text" w:hAnchor="text" w:y="1"/>
                    <w:numPr>
                      <w:ilvl w:val="0"/>
                      <w:numId w:val="4"/>
                    </w:numPr>
                    <w:ind w:left="426" w:hanging="284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Plan estratégico del PCC</w:t>
                  </w:r>
                  <w:r w:rsidR="00943E4E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/AGROIDEAS</w:t>
                  </w:r>
                  <w:r w:rsidR="00943E4E"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lastRenderedPageBreak/>
                    <w:t xml:space="preserve">evaluado, en función de </w:t>
                  </w:r>
                  <w:r w:rsidR="001C3236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su contribución a los cuatro pilares (gestión, competitividad, inclusión y sostenibilidad)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</w:t>
                  </w:r>
                  <w:r w:rsidR="001C3236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del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Plan </w:t>
                  </w:r>
                  <w:r w:rsidR="00994FCD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Estratégico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del Sector</w:t>
                  </w:r>
                  <w:r w:rsidR="001C3236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2012-2016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.</w:t>
                  </w:r>
                </w:p>
              </w:tc>
              <w:tc>
                <w:tcPr>
                  <w:tcW w:w="4629" w:type="dxa"/>
                </w:tcPr>
                <w:p w:rsidR="00377F27" w:rsidRPr="00AA7E12" w:rsidRDefault="00377F27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lastRenderedPageBreak/>
                    <w:t>Oficio</w:t>
                  </w:r>
                  <w:r w:rsidR="00A37F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N° 1685-2013-AG-OPP/UPS del 28 </w:t>
                  </w:r>
                  <w:r w:rsidR="00A37F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lastRenderedPageBreak/>
                    <w:t>may.13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del MINAG</w:t>
                  </w:r>
                  <w:r w:rsidR="000634C8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RI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, enviando la evaluación </w:t>
                  </w:r>
                  <w:r w:rsidR="004C7130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del PCC en base a las metas estratégicas</w:t>
                  </w:r>
                  <w:r w:rsidR="00AE5F6B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del </w:t>
                  </w:r>
                  <w:r w:rsidR="004C7130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PESEM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, aprobado en Consejo Directivo del Programa.</w:t>
                  </w:r>
                </w:p>
              </w:tc>
              <w:tc>
                <w:tcPr>
                  <w:tcW w:w="4815" w:type="dxa"/>
                </w:tcPr>
                <w:p w:rsidR="00377F27" w:rsidRPr="00AA7E12" w:rsidRDefault="00127BE3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lastRenderedPageBreak/>
                    <w:t xml:space="preserve">Cumplido. </w:t>
                  </w:r>
                </w:p>
              </w:tc>
            </w:tr>
            <w:tr w:rsidR="00377F27" w:rsidRPr="00AA7E12" w:rsidTr="0095619D">
              <w:tc>
                <w:tcPr>
                  <w:tcW w:w="4629" w:type="dxa"/>
                </w:tcPr>
                <w:p w:rsidR="00377F27" w:rsidRPr="00AA7E12" w:rsidRDefault="00DB72D7" w:rsidP="00F36E89">
                  <w:pPr>
                    <w:framePr w:hSpace="141" w:wrap="around" w:vAnchor="text" w:hAnchor="text" w:y="1"/>
                    <w:numPr>
                      <w:ilvl w:val="0"/>
                      <w:numId w:val="4"/>
                    </w:numPr>
                    <w:ind w:left="426" w:hanging="284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lastRenderedPageBreak/>
                    <w:t>Aprobación de la</w:t>
                  </w:r>
                  <w:r w:rsidR="00377F27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Ley para la ampliación y continuidad del PCC</w:t>
                  </w:r>
                  <w:r w:rsidR="00943E4E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/AGROIDEAS</w:t>
                  </w:r>
                  <w:r w:rsidR="0049106B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.</w:t>
                  </w:r>
                </w:p>
              </w:tc>
              <w:tc>
                <w:tcPr>
                  <w:tcW w:w="4629" w:type="dxa"/>
                </w:tcPr>
                <w:p w:rsidR="00377F27" w:rsidRPr="00AA7E12" w:rsidRDefault="00377F27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Ley</w:t>
                  </w:r>
                  <w:r w:rsidR="00DB72D7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30049, Ley que prorroga el plazo de vigencia del Programa de Compensaciones para la Competitividad, aprobada el 24 jun.13.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</w:t>
                  </w:r>
                </w:p>
              </w:tc>
              <w:tc>
                <w:tcPr>
                  <w:tcW w:w="4815" w:type="dxa"/>
                </w:tcPr>
                <w:p w:rsidR="00191179" w:rsidRPr="00AA7E12" w:rsidRDefault="0070501E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Cumplido.</w:t>
                  </w:r>
                </w:p>
              </w:tc>
            </w:tr>
          </w:tbl>
          <w:p w:rsidR="006C2075" w:rsidRDefault="006C2075" w:rsidP="00E564E0">
            <w:pPr>
              <w:ind w:left="142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917A40" w:rsidRPr="00E564E0" w:rsidRDefault="00917A40" w:rsidP="001045E2">
            <w:pPr>
              <w:ind w:left="426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155577" w:rsidRPr="00944636" w:rsidTr="00155577">
        <w:tc>
          <w:tcPr>
            <w:tcW w:w="5000" w:type="pct"/>
            <w:tcBorders>
              <w:top w:val="single" w:sz="4" w:space="0" w:color="auto"/>
            </w:tcBorders>
          </w:tcPr>
          <w:p w:rsidR="00155577" w:rsidRDefault="00155577" w:rsidP="00AA7E12">
            <w:pPr>
              <w:numPr>
                <w:ilvl w:val="0"/>
                <w:numId w:val="3"/>
              </w:numPr>
              <w:ind w:left="284" w:hanging="142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44636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Desarrollo de </w:t>
            </w:r>
            <w:proofErr w:type="spellStart"/>
            <w:r w:rsidRPr="00944636">
              <w:rPr>
                <w:rFonts w:ascii="Arial" w:hAnsi="Arial" w:cs="Arial"/>
                <w:b/>
                <w:sz w:val="20"/>
                <w:szCs w:val="20"/>
              </w:rPr>
              <w:t>clusters</w:t>
            </w:r>
            <w:proofErr w:type="spellEnd"/>
            <w:r w:rsidRPr="00944636">
              <w:rPr>
                <w:rFonts w:ascii="Arial" w:hAnsi="Arial" w:cs="Arial"/>
                <w:b/>
                <w:sz w:val="20"/>
                <w:szCs w:val="20"/>
              </w:rPr>
              <w:t xml:space="preserve"> y cadenas agropecuarias de valor</w:t>
            </w:r>
            <w:r w:rsidR="00EE5505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917A40" w:rsidRDefault="00917A40" w:rsidP="00C85C5B">
            <w:pPr>
              <w:ind w:left="14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17A40" w:rsidRDefault="00C85C5B" w:rsidP="00C85C5B">
            <w:pPr>
              <w:ind w:left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A40">
              <w:rPr>
                <w:rFonts w:ascii="Arial" w:hAnsi="Arial" w:cs="Arial"/>
                <w:sz w:val="20"/>
                <w:szCs w:val="20"/>
                <w:u w:val="single"/>
              </w:rPr>
              <w:t>Objetivo</w:t>
            </w:r>
            <w:r w:rsidRPr="00C85C5B">
              <w:rPr>
                <w:rFonts w:ascii="Arial" w:hAnsi="Arial" w:cs="Arial"/>
                <w:sz w:val="20"/>
                <w:szCs w:val="20"/>
              </w:rPr>
              <w:t>.-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C85C5B">
              <w:rPr>
                <w:rFonts w:ascii="Arial" w:hAnsi="Arial" w:cs="Arial"/>
                <w:sz w:val="20"/>
                <w:szCs w:val="20"/>
              </w:rPr>
              <w:t>Promover la competitividad de productos agropecuarios en cadenas de valor prioritarias en el marco de las competencias del MINAG</w:t>
            </w:r>
            <w:r w:rsidR="0086578C">
              <w:rPr>
                <w:rFonts w:ascii="Arial" w:hAnsi="Arial" w:cs="Arial"/>
                <w:sz w:val="20"/>
                <w:szCs w:val="20"/>
              </w:rPr>
              <w:t>RI</w:t>
            </w:r>
            <w:r w:rsidRPr="00C85C5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85C5B" w:rsidRDefault="00C85C5B" w:rsidP="00C85C5B">
            <w:pPr>
              <w:ind w:left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A40">
              <w:rPr>
                <w:rFonts w:ascii="Arial" w:hAnsi="Arial" w:cs="Arial"/>
                <w:sz w:val="20"/>
                <w:szCs w:val="20"/>
                <w:u w:val="single"/>
              </w:rPr>
              <w:t>Responsable</w:t>
            </w:r>
            <w:r>
              <w:rPr>
                <w:rFonts w:ascii="Arial" w:hAnsi="Arial" w:cs="Arial"/>
                <w:sz w:val="20"/>
                <w:szCs w:val="20"/>
              </w:rPr>
              <w:t xml:space="preserve">.-  </w:t>
            </w:r>
            <w:r w:rsidR="006E306F">
              <w:rPr>
                <w:rFonts w:ascii="Arial" w:hAnsi="Arial" w:cs="Arial"/>
                <w:sz w:val="20"/>
                <w:szCs w:val="20"/>
              </w:rPr>
              <w:t>Dirección General de Competitividad Agraria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B6BF3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B6BF3">
              <w:rPr>
                <w:rFonts w:ascii="Arial" w:hAnsi="Arial" w:cs="Arial"/>
                <w:sz w:val="20"/>
                <w:szCs w:val="20"/>
              </w:rPr>
              <w:t>Ministerio de Agricultura</w:t>
            </w:r>
            <w:r w:rsidR="000634C8">
              <w:rPr>
                <w:rFonts w:ascii="Arial" w:hAnsi="Arial" w:cs="Arial"/>
                <w:sz w:val="20"/>
                <w:szCs w:val="20"/>
              </w:rPr>
              <w:t xml:space="preserve"> y Riego</w:t>
            </w:r>
            <w:r w:rsidR="001B6BF3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MINAG</w:t>
            </w:r>
            <w:r w:rsidR="000634C8">
              <w:rPr>
                <w:rFonts w:ascii="Arial" w:hAnsi="Arial" w:cs="Arial"/>
                <w:sz w:val="20"/>
                <w:szCs w:val="20"/>
              </w:rPr>
              <w:t>RI</w:t>
            </w:r>
            <w:r w:rsidR="001B6BF3"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1045E2" w:rsidRDefault="001045E2" w:rsidP="00C85C5B">
            <w:pPr>
              <w:ind w:left="14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14163" w:type="dxa"/>
              <w:tblInd w:w="1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29"/>
              <w:gridCol w:w="4629"/>
              <w:gridCol w:w="4905"/>
            </w:tblGrid>
            <w:tr w:rsidR="00377F27" w:rsidRPr="00760E5C" w:rsidTr="0095619D">
              <w:tc>
                <w:tcPr>
                  <w:tcW w:w="4629" w:type="dxa"/>
                </w:tcPr>
                <w:p w:rsidR="00377F27" w:rsidRPr="00760E5C" w:rsidRDefault="00377F27" w:rsidP="00F36E89">
                  <w:pPr>
                    <w:framePr w:hSpace="141" w:wrap="around" w:vAnchor="text" w:hAnchor="text" w:y="1"/>
                    <w:ind w:left="142"/>
                    <w:suppressOverlap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</w:pPr>
                  <w:r w:rsidRPr="00760E5C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  <w:lang w:val="es-ES_tradnl"/>
                    </w:rPr>
                    <w:t>Compromisos</w:t>
                  </w:r>
                  <w:r w:rsidRPr="00760E5C"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  <w:t>.-</w:t>
                  </w:r>
                </w:p>
              </w:tc>
              <w:tc>
                <w:tcPr>
                  <w:tcW w:w="4629" w:type="dxa"/>
                </w:tcPr>
                <w:p w:rsidR="00377F27" w:rsidRPr="00760E5C" w:rsidRDefault="00377F27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</w:pPr>
                  <w:r w:rsidRPr="00760E5C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  <w:lang w:val="es-ES_tradnl"/>
                    </w:rPr>
                    <w:t>Medio probatorio</w:t>
                  </w:r>
                  <w:r w:rsidRPr="00760E5C"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  <w:t>.-</w:t>
                  </w:r>
                </w:p>
              </w:tc>
              <w:tc>
                <w:tcPr>
                  <w:tcW w:w="4905" w:type="dxa"/>
                </w:tcPr>
                <w:p w:rsidR="00377F27" w:rsidRPr="00760E5C" w:rsidRDefault="00377F27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  <w:lang w:val="es-ES_tradnl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  <w:lang w:val="es-ES_tradnl"/>
                    </w:rPr>
                    <w:t>Observaciones.-</w:t>
                  </w:r>
                </w:p>
              </w:tc>
            </w:tr>
            <w:tr w:rsidR="00377F27" w:rsidRPr="00AA7E12" w:rsidTr="0095619D">
              <w:tc>
                <w:tcPr>
                  <w:tcW w:w="4629" w:type="dxa"/>
                </w:tcPr>
                <w:p w:rsidR="007A3A67" w:rsidRPr="00C21BE8" w:rsidRDefault="00DF344E" w:rsidP="00F36E89">
                  <w:pPr>
                    <w:pStyle w:val="Sinespaciado1"/>
                    <w:framePr w:hSpace="141" w:wrap="around" w:vAnchor="text" w:hAnchor="text" w:y="1"/>
                    <w:numPr>
                      <w:ilvl w:val="0"/>
                      <w:numId w:val="5"/>
                    </w:numPr>
                    <w:ind w:left="426" w:hanging="284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En concordancia con e</w:t>
                  </w:r>
                  <w:r w:rsidR="00377F27"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l Plan Estratégico Sectorial Multianual 2012 – 2016 aprobado por el MINAG</w:t>
                  </w:r>
                  <w:r w:rsidR="000634C8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RI</w:t>
                  </w:r>
                  <w:r w:rsidR="00377F27"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,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la DGCA</w:t>
                  </w:r>
                  <w:r w:rsidR="00377F27"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incorpora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el enfoque de cadenas en su trabajo operativo</w:t>
                  </w:r>
                  <w:r w:rsidR="00E94753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y permite a productores </w:t>
                  </w:r>
                  <w:r w:rsidR="00E94753"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pertenecientes a l</w:t>
                  </w:r>
                  <w:r w:rsidR="00E94753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as cadenas de valor </w:t>
                  </w:r>
                  <w:r w:rsidR="00E94753"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priorizad</w:t>
                  </w:r>
                  <w:r w:rsidR="00E94753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a</w:t>
                  </w:r>
                  <w:r w:rsidR="00E94753"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s</w:t>
                  </w:r>
                  <w:r w:rsidR="00E94753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el acceso a mecanismos de </w:t>
                  </w:r>
                  <w:r w:rsidR="00E94753"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apoyo ofrecidos por el Estado</w:t>
                  </w:r>
                  <w:r w:rsidR="00E94753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. Esta estrategia debe ser</w:t>
                  </w:r>
                  <w:r w:rsidR="00377F27"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consistente con los lineamientos rectores establecidos a nivel nacional, tomando en cuenta aspectos</w:t>
                  </w:r>
                  <w:r w:rsidR="00AE5F6B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como sostenibilidad y calidad </w:t>
                  </w:r>
                  <w:r w:rsidR="00377F27"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ambiental (esquemas de certificación orgánica, comercio justo, y adaptación al cambio climático, entre otros). </w:t>
                  </w:r>
                </w:p>
              </w:tc>
              <w:tc>
                <w:tcPr>
                  <w:tcW w:w="4629" w:type="dxa"/>
                </w:tcPr>
                <w:p w:rsidR="00377F27" w:rsidRPr="006869BF" w:rsidRDefault="00377F27" w:rsidP="00F36E89">
                  <w:pPr>
                    <w:framePr w:hSpace="141" w:wrap="around" w:vAnchor="text" w:hAnchor="text" w:y="1"/>
                    <w:ind w:left="29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9BF">
                    <w:rPr>
                      <w:rFonts w:ascii="Arial" w:hAnsi="Arial" w:cs="Arial"/>
                      <w:sz w:val="20"/>
                      <w:szCs w:val="20"/>
                    </w:rPr>
                    <w:t xml:space="preserve">Oficio </w:t>
                  </w:r>
                  <w:r w:rsidR="00C474E6">
                    <w:rPr>
                      <w:rFonts w:ascii="Arial" w:hAnsi="Arial" w:cs="Arial"/>
                      <w:sz w:val="20"/>
                      <w:szCs w:val="20"/>
                    </w:rPr>
                    <w:t xml:space="preserve">N° 1701-2013-AG-DGCA/DPC del 28 jun.13 </w:t>
                  </w:r>
                  <w:r w:rsidRPr="006869BF">
                    <w:rPr>
                      <w:rFonts w:ascii="Arial" w:hAnsi="Arial" w:cs="Arial"/>
                      <w:sz w:val="20"/>
                      <w:szCs w:val="20"/>
                    </w:rPr>
                    <w:t>del MINAG</w:t>
                  </w:r>
                  <w:r w:rsidR="000634C8">
                    <w:rPr>
                      <w:rFonts w:ascii="Arial" w:hAnsi="Arial" w:cs="Arial"/>
                      <w:sz w:val="20"/>
                      <w:szCs w:val="20"/>
                    </w:rPr>
                    <w:t>RI</w:t>
                  </w:r>
                  <w:r w:rsidR="00C409F5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6869BF">
                    <w:rPr>
                      <w:rFonts w:ascii="Arial" w:hAnsi="Arial" w:cs="Arial"/>
                      <w:sz w:val="20"/>
                      <w:szCs w:val="20"/>
                    </w:rPr>
                    <w:t>remitiendo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Informe </w:t>
                  </w:r>
                  <w:r w:rsidR="00C409F5">
                    <w:rPr>
                      <w:rFonts w:ascii="Arial" w:hAnsi="Arial" w:cs="Arial"/>
                      <w:sz w:val="20"/>
                      <w:szCs w:val="20"/>
                    </w:rPr>
                    <w:t>que documente la incorporación del enfoque de cadenas</w:t>
                  </w:r>
                  <w:r w:rsidR="0011407B">
                    <w:rPr>
                      <w:rFonts w:ascii="Arial" w:hAnsi="Arial" w:cs="Arial"/>
                      <w:sz w:val="20"/>
                      <w:szCs w:val="20"/>
                    </w:rPr>
                    <w:t xml:space="preserve"> y el acceso a mecanismos de apoyo del Estado</w:t>
                  </w:r>
                  <w:r w:rsidR="00C409F5">
                    <w:rPr>
                      <w:rFonts w:ascii="Arial" w:hAnsi="Arial" w:cs="Arial"/>
                      <w:sz w:val="20"/>
                      <w:szCs w:val="20"/>
                    </w:rPr>
                    <w:t xml:space="preserve">  en las acciones que lleva a cabo el MINAG</w:t>
                  </w:r>
                  <w:r w:rsidR="000634C8">
                    <w:rPr>
                      <w:rFonts w:ascii="Arial" w:hAnsi="Arial" w:cs="Arial"/>
                      <w:sz w:val="20"/>
                      <w:szCs w:val="20"/>
                    </w:rPr>
                    <w:t>RI</w:t>
                  </w:r>
                  <w:r w:rsidR="00C409F5">
                    <w:rPr>
                      <w:rFonts w:ascii="Arial" w:hAnsi="Arial" w:cs="Arial"/>
                      <w:sz w:val="20"/>
                      <w:szCs w:val="20"/>
                    </w:rPr>
                    <w:t xml:space="preserve"> a través de la DGCA y en coordinación con las regiones y el sector privado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:rsidR="00377F27" w:rsidRPr="00AA7E12" w:rsidRDefault="00377F27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377F27" w:rsidRPr="00AA7E12" w:rsidRDefault="00DC1816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Oficio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AR"/>
                    </w:rPr>
                    <w:t xml:space="preserve"> N° 1891-2013-AG-DGCA/DPC del 17 jul.13 del MINAG</w:t>
                  </w:r>
                  <w:r w:rsidR="000634C8">
                    <w:rPr>
                      <w:rFonts w:ascii="Arial" w:hAnsi="Arial" w:cs="Arial"/>
                      <w:sz w:val="20"/>
                      <w:szCs w:val="20"/>
                      <w:lang w:val="es-AR"/>
                    </w:rPr>
                    <w:t>RI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AR"/>
                    </w:rPr>
                    <w:t xml:space="preserve"> remitiendo el Informe que evidencia la incorporación de cadenas tomando en cuenta aspectos de sostenibilidad y calidad ambiental en las actividades que realiza el MINAGRI.</w:t>
                  </w:r>
                </w:p>
              </w:tc>
              <w:tc>
                <w:tcPr>
                  <w:tcW w:w="4905" w:type="dxa"/>
                </w:tcPr>
                <w:p w:rsidR="00377F27" w:rsidRPr="006869BF" w:rsidRDefault="00DC1816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Cumplido</w:t>
                  </w:r>
                  <w:r w:rsidR="000A438D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</w:tr>
            <w:tr w:rsidR="00377F27" w:rsidRPr="00AA7E12" w:rsidTr="0095619D">
              <w:tc>
                <w:tcPr>
                  <w:tcW w:w="4629" w:type="dxa"/>
                </w:tcPr>
                <w:p w:rsidR="00377F27" w:rsidRPr="007A3A67" w:rsidRDefault="00377F27" w:rsidP="00F36E89">
                  <w:pPr>
                    <w:pStyle w:val="Sinespaciado1"/>
                    <w:framePr w:hSpace="141" w:wrap="around" w:vAnchor="text" w:hAnchor="text" w:y="1"/>
                    <w:numPr>
                      <w:ilvl w:val="0"/>
                      <w:numId w:val="5"/>
                    </w:numPr>
                    <w:ind w:left="426" w:hanging="284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Identificación y análisis de la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s principales limitantes y oportunidades</w:t>
                  </w:r>
                  <w:r w:rsidR="006277AB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al desarrollo de cadenas de valor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, </w:t>
                  </w:r>
                  <w:r w:rsidR="006277AB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incluyendo la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formulación de</w:t>
                  </w:r>
                  <w:r w:rsidR="006277AB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un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plan de acción</w:t>
                  </w:r>
                  <w:r w:rsidR="005A113E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, </w:t>
                  </w:r>
                  <w:r w:rsidR="006277AB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por el cual </w:t>
                  </w:r>
                  <w:r w:rsidR="005A113E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el MINAG</w:t>
                  </w:r>
                  <w:r w:rsidR="000634C8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RI</w:t>
                  </w:r>
                  <w:r w:rsidR="005A113E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y los GGRR </w:t>
                  </w:r>
                  <w:r w:rsidR="006277AB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acuerdan </w:t>
                  </w:r>
                  <w:r w:rsidR="005A113E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compromisos de impl</w:t>
                  </w:r>
                  <w:r w:rsidR="00AE5F6B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ementación </w:t>
                  </w:r>
                  <w:r w:rsidR="005A113E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de los planes respectivos de las cadenas de valor priorizadas</w:t>
                  </w:r>
                  <w:r w:rsidR="00C21BE8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.</w:t>
                  </w:r>
                </w:p>
                <w:p w:rsidR="007A3A67" w:rsidRPr="00AA7E12" w:rsidRDefault="007A3A67" w:rsidP="00F36E89">
                  <w:pPr>
                    <w:pStyle w:val="Sinespaciado1"/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629" w:type="dxa"/>
                </w:tcPr>
                <w:p w:rsidR="0057422F" w:rsidRDefault="00377F27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  <w:lang w:val="es-AR"/>
                    </w:rPr>
                  </w:pPr>
                  <w:r w:rsidRPr="006869BF">
                    <w:rPr>
                      <w:rFonts w:ascii="Arial" w:hAnsi="Arial" w:cs="Arial"/>
                      <w:sz w:val="20"/>
                      <w:szCs w:val="20"/>
                    </w:rPr>
                    <w:t>Ofici</w:t>
                  </w:r>
                  <w:r w:rsidR="00E130AB">
                    <w:rPr>
                      <w:rFonts w:ascii="Arial" w:hAnsi="Arial" w:cs="Arial"/>
                      <w:sz w:val="20"/>
                      <w:szCs w:val="20"/>
                    </w:rPr>
                    <w:t xml:space="preserve">o </w:t>
                  </w:r>
                  <w:r w:rsidR="0057422F" w:rsidRPr="003C2E0E">
                    <w:rPr>
                      <w:rFonts w:ascii="Arial" w:hAnsi="Arial" w:cs="Arial"/>
                      <w:sz w:val="20"/>
                      <w:szCs w:val="20"/>
                    </w:rPr>
                    <w:t>N°1372-2013-AG-DGCA-DPC del 27 may.12</w:t>
                  </w:r>
                  <w:r w:rsidR="0057422F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del MINAG</w:t>
                  </w:r>
                  <w:r w:rsidR="000634C8">
                    <w:rPr>
                      <w:rFonts w:ascii="Arial" w:hAnsi="Arial" w:cs="Arial"/>
                      <w:sz w:val="20"/>
                      <w:szCs w:val="20"/>
                    </w:rPr>
                    <w:t>RI</w:t>
                  </w:r>
                  <w:r w:rsidRPr="006869BF">
                    <w:rPr>
                      <w:rFonts w:ascii="Arial" w:hAnsi="Arial" w:cs="Arial"/>
                      <w:sz w:val="20"/>
                      <w:szCs w:val="20"/>
                    </w:rPr>
                    <w:t xml:space="preserve"> remitiendo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el </w:t>
                  </w:r>
                  <w:r w:rsidR="00AE5F6B">
                    <w:rPr>
                      <w:rFonts w:ascii="Arial" w:hAnsi="Arial" w:cs="Arial"/>
                      <w:sz w:val="20"/>
                      <w:szCs w:val="20"/>
                      <w:lang w:val="es-AR"/>
                    </w:rPr>
                    <w:t>informe</w:t>
                  </w:r>
                  <w:r w:rsidR="00994FCD">
                    <w:rPr>
                      <w:rFonts w:ascii="Arial" w:hAnsi="Arial" w:cs="Arial"/>
                      <w:sz w:val="20"/>
                      <w:szCs w:val="20"/>
                      <w:lang w:val="es-AR"/>
                    </w:rPr>
                    <w:t xml:space="preserve"> por el cual se priorizan las cadenas de valor</w:t>
                  </w:r>
                  <w:r w:rsidR="0057422F">
                    <w:rPr>
                      <w:rFonts w:ascii="Arial" w:hAnsi="Arial" w:cs="Arial"/>
                      <w:sz w:val="20"/>
                      <w:szCs w:val="20"/>
                      <w:lang w:val="es-AR"/>
                    </w:rPr>
                    <w:t>.</w:t>
                  </w:r>
                </w:p>
                <w:p w:rsidR="00C474E6" w:rsidRDefault="00C474E6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  <w:lang w:val="es-AR"/>
                    </w:rPr>
                  </w:pPr>
                </w:p>
                <w:p w:rsidR="00C474E6" w:rsidRDefault="00C474E6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  <w:lang w:val="es-AR"/>
                    </w:rPr>
                  </w:pPr>
                </w:p>
                <w:p w:rsidR="0057422F" w:rsidRDefault="0057422F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  <w:lang w:val="es-AR"/>
                    </w:rPr>
                  </w:pPr>
                </w:p>
                <w:p w:rsidR="00377F27" w:rsidRPr="00AA7E12" w:rsidRDefault="0057422F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AR"/>
                    </w:rPr>
                    <w:t xml:space="preserve">Oficio </w:t>
                  </w:r>
                  <w:r w:rsidR="00DC1816">
                    <w:rPr>
                      <w:rFonts w:ascii="Arial" w:hAnsi="Arial" w:cs="Arial"/>
                      <w:sz w:val="20"/>
                      <w:szCs w:val="20"/>
                      <w:lang w:val="es-AR"/>
                    </w:rPr>
                    <w:t xml:space="preserve">N° 1891-2013-AG-DGCA/DPC del 17 jul.13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AR"/>
                    </w:rPr>
                    <w:t>del MINAG</w:t>
                  </w:r>
                  <w:r w:rsidR="000634C8">
                    <w:rPr>
                      <w:rFonts w:ascii="Arial" w:hAnsi="Arial" w:cs="Arial"/>
                      <w:sz w:val="20"/>
                      <w:szCs w:val="20"/>
                      <w:lang w:val="es-AR"/>
                    </w:rPr>
                    <w:t>RI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AR"/>
                    </w:rPr>
                    <w:t xml:space="preserve"> remitiendo </w:t>
                  </w:r>
                  <w:r w:rsidR="00994FCD">
                    <w:rPr>
                      <w:rFonts w:ascii="Arial" w:hAnsi="Arial" w:cs="Arial"/>
                      <w:sz w:val="20"/>
                      <w:szCs w:val="20"/>
                      <w:lang w:val="es-AR"/>
                    </w:rPr>
                    <w:t>el</w:t>
                  </w:r>
                  <w:r w:rsidR="00994FCD" w:rsidRPr="00CF7185">
                    <w:rPr>
                      <w:rFonts w:ascii="Arial" w:hAnsi="Arial" w:cs="Arial"/>
                      <w:sz w:val="20"/>
                      <w:szCs w:val="20"/>
                      <w:lang w:val="es-AR"/>
                    </w:rPr>
                    <w:t xml:space="preserve"> </w:t>
                  </w:r>
                  <w:r w:rsidR="00377F27">
                    <w:rPr>
                      <w:rFonts w:ascii="Arial" w:hAnsi="Arial" w:cs="Arial"/>
                      <w:sz w:val="20"/>
                      <w:szCs w:val="20"/>
                    </w:rPr>
                    <w:t>Plan de acción</w:t>
                  </w:r>
                  <w:r w:rsidR="00994FCD">
                    <w:rPr>
                      <w:rFonts w:ascii="Arial" w:hAnsi="Arial" w:cs="Arial"/>
                      <w:sz w:val="20"/>
                      <w:szCs w:val="20"/>
                      <w:lang w:val="es-AR"/>
                    </w:rPr>
                    <w:t xml:space="preserve"> de las cadenas priorizadas</w:t>
                  </w:r>
                  <w:r w:rsidR="005A113E">
                    <w:rPr>
                      <w:rFonts w:ascii="Arial" w:hAnsi="Arial" w:cs="Arial"/>
                      <w:sz w:val="20"/>
                      <w:szCs w:val="20"/>
                      <w:lang w:val="es-AR"/>
                    </w:rPr>
                    <w:t>, validadas con los GGRR</w:t>
                  </w:r>
                  <w:r w:rsidR="00377F27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905" w:type="dxa"/>
                </w:tcPr>
                <w:p w:rsidR="005A113E" w:rsidRDefault="00DC1816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Cumplido</w:t>
                  </w:r>
                  <w:r w:rsidR="000805F2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</w:tr>
            <w:tr w:rsidR="00377F27" w:rsidRPr="00AA7E12" w:rsidTr="0095619D">
              <w:tc>
                <w:tcPr>
                  <w:tcW w:w="4629" w:type="dxa"/>
                </w:tcPr>
                <w:p w:rsidR="00377F27" w:rsidRPr="007A3A67" w:rsidRDefault="00377F27" w:rsidP="00F36E89">
                  <w:pPr>
                    <w:pStyle w:val="Sinespaciado1"/>
                    <w:framePr w:hSpace="141" w:wrap="around" w:vAnchor="text" w:hAnchor="text" w:y="1"/>
                    <w:numPr>
                      <w:ilvl w:val="0"/>
                      <w:numId w:val="5"/>
                    </w:numPr>
                    <w:ind w:left="426" w:hanging="284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Al menos c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uatro regiones han firmado 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lastRenderedPageBreak/>
                    <w:t>Convenios</w:t>
                  </w:r>
                  <w:r w:rsidR="00322470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Marco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de Cooperación con el MINAG</w:t>
                  </w:r>
                  <w:r w:rsidR="000634C8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RI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, para </w:t>
                  </w:r>
                  <w:r w:rsidR="00322470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facilitar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la implement</w:t>
                  </w:r>
                  <w:r w:rsidR="00AE5F6B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ación del plan de acción de las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cadenas de valor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priorizadas</w:t>
                  </w:r>
                  <w:r w:rsidR="00E130AB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</w:t>
                  </w:r>
                  <w:r w:rsidR="00994FCD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por el MINAG</w:t>
                  </w:r>
                  <w:r w:rsidR="0086578C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RI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.</w:t>
                  </w:r>
                </w:p>
                <w:p w:rsidR="007A3A67" w:rsidRPr="00AA7E12" w:rsidRDefault="007A3A67" w:rsidP="00F36E89">
                  <w:pPr>
                    <w:pStyle w:val="Sinespaciado1"/>
                    <w:framePr w:hSpace="141" w:wrap="around" w:vAnchor="text" w:hAnchor="text" w:y="1"/>
                    <w:ind w:left="426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629" w:type="dxa"/>
                </w:tcPr>
                <w:p w:rsidR="00377F27" w:rsidRDefault="00377F27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A7E12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 xml:space="preserve">Oficio </w:t>
                  </w:r>
                  <w:r w:rsidR="002F25E0">
                    <w:rPr>
                      <w:rFonts w:ascii="Arial" w:hAnsi="Arial" w:cs="Arial"/>
                      <w:sz w:val="20"/>
                      <w:szCs w:val="20"/>
                    </w:rPr>
                    <w:t xml:space="preserve">N° 1434-2013-AG-OPP/UPS del 23 </w:t>
                  </w:r>
                  <w:r w:rsidR="002F25E0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 xml:space="preserve">may.13 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</w:rPr>
                    <w:t>del MINAG</w:t>
                  </w:r>
                  <w:r w:rsidR="000634C8">
                    <w:rPr>
                      <w:rFonts w:ascii="Arial" w:hAnsi="Arial" w:cs="Arial"/>
                      <w:sz w:val="20"/>
                      <w:szCs w:val="20"/>
                    </w:rPr>
                    <w:t>RI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</w:rPr>
                    <w:t>, remitiendo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: a)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R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</w:rPr>
                    <w:t>eporte de Convenios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con los G</w:t>
                  </w:r>
                  <w:r w:rsidR="0017721E">
                    <w:rPr>
                      <w:rFonts w:ascii="Arial" w:hAnsi="Arial" w:cs="Arial"/>
                      <w:sz w:val="20"/>
                      <w:szCs w:val="20"/>
                    </w:rPr>
                    <w:t>G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R</w:t>
                  </w:r>
                  <w:r w:rsidR="0017721E">
                    <w:rPr>
                      <w:rFonts w:ascii="Arial" w:hAnsi="Arial" w:cs="Arial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apoyando cadenas de valor; y, b) Copia de los Convenios Suscritos con los Gobiernos Regionales.</w:t>
                  </w:r>
                </w:p>
                <w:p w:rsidR="00377F27" w:rsidRPr="00AA7E12" w:rsidRDefault="00377F27" w:rsidP="00F36E89">
                  <w:pPr>
                    <w:framePr w:hSpace="141" w:wrap="around" w:vAnchor="text" w:hAnchor="text" w:y="1"/>
                    <w:ind w:left="287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05" w:type="dxa"/>
                </w:tcPr>
                <w:p w:rsidR="00377F27" w:rsidRPr="00AA7E12" w:rsidRDefault="00377F27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 xml:space="preserve"> </w:t>
                  </w:r>
                  <w:r w:rsidR="00322470">
                    <w:rPr>
                      <w:rFonts w:ascii="Arial" w:hAnsi="Arial" w:cs="Arial"/>
                      <w:sz w:val="20"/>
                      <w:szCs w:val="20"/>
                    </w:rPr>
                    <w:t>Cumplido.</w:t>
                  </w:r>
                </w:p>
              </w:tc>
            </w:tr>
            <w:tr w:rsidR="00377F27" w:rsidRPr="00AA7E12" w:rsidTr="0095619D">
              <w:tc>
                <w:tcPr>
                  <w:tcW w:w="4629" w:type="dxa"/>
                </w:tcPr>
                <w:p w:rsidR="00377F27" w:rsidRDefault="00377F27" w:rsidP="00F36E89">
                  <w:pPr>
                    <w:framePr w:hSpace="141" w:wrap="around" w:vAnchor="text" w:hAnchor="text" w:y="1"/>
                    <w:numPr>
                      <w:ilvl w:val="0"/>
                      <w:numId w:val="5"/>
                    </w:numPr>
                    <w:ind w:left="454" w:hanging="283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lastRenderedPageBreak/>
                    <w:t xml:space="preserve">Inclusión en las asignaciones presupuestales </w:t>
                  </w:r>
                  <w:r w:rsidR="004C3869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2012-2013 </w:t>
                  </w:r>
                  <w:r w:rsidR="00994FCD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de recursos para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apoya</w:t>
                  </w:r>
                  <w:r w:rsidR="00994FCD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r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el desarrollo de las cadenas de valor priorizadas. </w:t>
                  </w:r>
                </w:p>
                <w:p w:rsidR="007A3A67" w:rsidRPr="00AA7E12" w:rsidRDefault="007A3A67" w:rsidP="00F36E89">
                  <w:pPr>
                    <w:framePr w:hSpace="141" w:wrap="around" w:vAnchor="text" w:hAnchor="text" w:y="1"/>
                    <w:ind w:left="426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4629" w:type="dxa"/>
                </w:tcPr>
                <w:p w:rsidR="00377F27" w:rsidRPr="00AA7E12" w:rsidRDefault="00377F27" w:rsidP="00F36E89">
                  <w:pPr>
                    <w:framePr w:hSpace="141" w:wrap="around" w:vAnchor="text" w:hAnchor="text" w:y="1"/>
                    <w:ind w:left="29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Oficio </w:t>
                  </w:r>
                  <w:r w:rsidR="00FC6AE2">
                    <w:rPr>
                      <w:rFonts w:ascii="Arial" w:hAnsi="Arial" w:cs="Arial"/>
                      <w:sz w:val="20"/>
                      <w:szCs w:val="20"/>
                    </w:rPr>
                    <w:t xml:space="preserve">N° 1701-2013-AG-DGCA/DPC del 28 jun.13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del MINAG</w:t>
                  </w:r>
                  <w:r w:rsidR="000634C8">
                    <w:rPr>
                      <w:rFonts w:ascii="Arial" w:hAnsi="Arial" w:cs="Arial"/>
                      <w:sz w:val="20"/>
                      <w:szCs w:val="20"/>
                    </w:rPr>
                    <w:t>RI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</w:rPr>
                    <w:t xml:space="preserve"> remitiendo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reporte de las asignaciones presupuestales </w:t>
                  </w:r>
                  <w:r w:rsidR="00994FCD">
                    <w:rPr>
                      <w:rFonts w:ascii="Arial" w:hAnsi="Arial" w:cs="Arial"/>
                      <w:sz w:val="20"/>
                      <w:szCs w:val="20"/>
                      <w:lang w:val="es-AR"/>
                    </w:rPr>
                    <w:t xml:space="preserve">para apoyar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las cadenas de valor priorizadas. </w:t>
                  </w:r>
                </w:p>
              </w:tc>
              <w:tc>
                <w:tcPr>
                  <w:tcW w:w="4905" w:type="dxa"/>
                </w:tcPr>
                <w:p w:rsidR="00377F27" w:rsidRPr="00AA7E12" w:rsidRDefault="00FC6AE2" w:rsidP="00F36E89">
                  <w:pPr>
                    <w:framePr w:hSpace="141" w:wrap="around" w:vAnchor="text" w:hAnchor="text" w:y="1"/>
                    <w:ind w:left="3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Cumplido.</w:t>
                  </w:r>
                  <w:r w:rsidR="004C3869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</w:t>
                  </w:r>
                </w:p>
              </w:tc>
            </w:tr>
          </w:tbl>
          <w:p w:rsidR="00917A40" w:rsidRPr="00917A40" w:rsidRDefault="00917A40" w:rsidP="00F03558">
            <w:pPr>
              <w:pStyle w:val="Sinespaciado1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155577" w:rsidRPr="00944636" w:rsidTr="00155577">
        <w:tc>
          <w:tcPr>
            <w:tcW w:w="5000" w:type="pct"/>
            <w:tcBorders>
              <w:bottom w:val="single" w:sz="4" w:space="0" w:color="000000"/>
            </w:tcBorders>
          </w:tcPr>
          <w:p w:rsidR="00155577" w:rsidRPr="001B6BF3" w:rsidRDefault="00155577" w:rsidP="00AA7E12">
            <w:pPr>
              <w:numPr>
                <w:ilvl w:val="0"/>
                <w:numId w:val="3"/>
              </w:numPr>
              <w:ind w:left="284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4636">
              <w:rPr>
                <w:rFonts w:ascii="Arial" w:hAnsi="Arial" w:cs="Arial"/>
                <w:b/>
                <w:sz w:val="20"/>
                <w:szCs w:val="20"/>
              </w:rPr>
              <w:lastRenderedPageBreak/>
              <w:t>Modernización del Sistema Nacional de Innovación Agraria (SNIA)</w:t>
            </w:r>
            <w:r w:rsidR="00EE5505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917A40" w:rsidRDefault="00917A40" w:rsidP="001B6BF3">
            <w:pPr>
              <w:ind w:left="14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17A40" w:rsidRDefault="001B6BF3" w:rsidP="001B6BF3">
            <w:pPr>
              <w:ind w:left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A40">
              <w:rPr>
                <w:rFonts w:ascii="Arial" w:hAnsi="Arial" w:cs="Arial"/>
                <w:sz w:val="20"/>
                <w:szCs w:val="20"/>
                <w:u w:val="single"/>
              </w:rPr>
              <w:t>Objetivo</w:t>
            </w:r>
            <w:r w:rsidRPr="001B6BF3">
              <w:rPr>
                <w:rFonts w:ascii="Arial" w:hAnsi="Arial" w:cs="Arial"/>
                <w:sz w:val="20"/>
                <w:szCs w:val="20"/>
              </w:rPr>
              <w:t xml:space="preserve">.- </w:t>
            </w:r>
            <w:r w:rsidRPr="001B6BF3">
              <w:t xml:space="preserve"> </w:t>
            </w:r>
            <w:r w:rsidRPr="001B6BF3">
              <w:rPr>
                <w:rFonts w:ascii="Arial" w:hAnsi="Arial" w:cs="Arial"/>
                <w:sz w:val="20"/>
                <w:szCs w:val="20"/>
              </w:rPr>
              <w:t>Apoyar la implementación del Sistema Nacional de Innovación Agraria, fortaleciendo sus capacidades estratégicas de investigación y de gestión, y la articulación de los actores públicos y privados del sistema.</w:t>
            </w:r>
          </w:p>
          <w:p w:rsidR="001B6BF3" w:rsidRDefault="001B6BF3" w:rsidP="001B6BF3">
            <w:pPr>
              <w:ind w:left="142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A40">
              <w:rPr>
                <w:rFonts w:ascii="Arial" w:hAnsi="Arial" w:cs="Arial"/>
                <w:sz w:val="20"/>
                <w:szCs w:val="20"/>
                <w:u w:val="single"/>
              </w:rPr>
              <w:t>Responsable</w:t>
            </w:r>
            <w:r>
              <w:rPr>
                <w:rFonts w:ascii="Arial" w:hAnsi="Arial" w:cs="Arial"/>
                <w:sz w:val="20"/>
                <w:szCs w:val="20"/>
              </w:rPr>
              <w:t xml:space="preserve">.- </w:t>
            </w:r>
            <w:r w:rsidRPr="0094463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Instituto Nacional de Innovación Agraria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(INIA) – Ministerio de Agricultura </w:t>
            </w:r>
            <w:r w:rsidR="000634C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y Riego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(MINAG</w:t>
            </w:r>
            <w:r w:rsidR="000634C8">
              <w:rPr>
                <w:rFonts w:ascii="Arial" w:hAnsi="Arial" w:cs="Arial"/>
                <w:sz w:val="20"/>
                <w:szCs w:val="20"/>
                <w:lang w:val="es-ES_tradnl"/>
              </w:rPr>
              <w:t>RI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).</w:t>
            </w:r>
          </w:p>
          <w:p w:rsidR="002C6B29" w:rsidRDefault="002C6B29" w:rsidP="002C6B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14073" w:type="dxa"/>
              <w:tblInd w:w="1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29"/>
              <w:gridCol w:w="4629"/>
              <w:gridCol w:w="4815"/>
            </w:tblGrid>
            <w:tr w:rsidR="00377F27" w:rsidRPr="00760E5C" w:rsidTr="0095619D">
              <w:tc>
                <w:tcPr>
                  <w:tcW w:w="4629" w:type="dxa"/>
                </w:tcPr>
                <w:p w:rsidR="00377F27" w:rsidRPr="00760E5C" w:rsidRDefault="00377F27" w:rsidP="00F36E89">
                  <w:pPr>
                    <w:framePr w:hSpace="141" w:wrap="around" w:vAnchor="text" w:hAnchor="text" w:y="1"/>
                    <w:ind w:left="142"/>
                    <w:suppressOverlap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</w:pPr>
                  <w:r w:rsidRPr="00760E5C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  <w:lang w:val="es-ES_tradnl"/>
                    </w:rPr>
                    <w:t>Compromisos</w:t>
                  </w:r>
                  <w:r w:rsidRPr="00760E5C"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  <w:t>.-</w:t>
                  </w:r>
                </w:p>
              </w:tc>
              <w:tc>
                <w:tcPr>
                  <w:tcW w:w="4629" w:type="dxa"/>
                </w:tcPr>
                <w:p w:rsidR="00377F27" w:rsidRPr="00760E5C" w:rsidRDefault="00377F27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</w:pPr>
                  <w:r w:rsidRPr="00760E5C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  <w:lang w:val="es-ES_tradnl"/>
                    </w:rPr>
                    <w:t>Medio probatorio</w:t>
                  </w:r>
                  <w:r w:rsidRPr="00760E5C"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  <w:t>.-</w:t>
                  </w:r>
                </w:p>
              </w:tc>
              <w:tc>
                <w:tcPr>
                  <w:tcW w:w="4815" w:type="dxa"/>
                </w:tcPr>
                <w:p w:rsidR="00377F27" w:rsidRPr="00760E5C" w:rsidRDefault="00377F27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  <w:lang w:val="es-ES_tradnl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  <w:lang w:val="es-ES_tradnl"/>
                    </w:rPr>
                    <w:t>Observaciones.-</w:t>
                  </w:r>
                </w:p>
              </w:tc>
            </w:tr>
            <w:tr w:rsidR="00377F27" w:rsidRPr="00AA7E12" w:rsidTr="0095619D">
              <w:trPr>
                <w:trHeight w:val="3676"/>
              </w:trPr>
              <w:tc>
                <w:tcPr>
                  <w:tcW w:w="4629" w:type="dxa"/>
                </w:tcPr>
                <w:p w:rsidR="00377F27" w:rsidRPr="008F4258" w:rsidRDefault="00377F27" w:rsidP="00F36E89">
                  <w:pPr>
                    <w:pStyle w:val="Sinespaciado1"/>
                    <w:framePr w:hSpace="141" w:wrap="around" w:vAnchor="text" w:hAnchor="text" w:y="1"/>
                    <w:numPr>
                      <w:ilvl w:val="0"/>
                      <w:numId w:val="6"/>
                    </w:numPr>
                    <w:ind w:left="426" w:hanging="284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Comisión Nacional de Innovación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y Capacitación</w:t>
                  </w:r>
                  <w:r w:rsidR="00267781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Agraria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en proceso de fortalecimiento</w:t>
                  </w:r>
                  <w:r w:rsidR="00B4133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. Dicho fortalecimiento incluye las siguientes acciones: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</w:t>
                  </w:r>
                  <w:r w:rsidR="00267781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(i)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la actualización de la conformación de sus miembros</w:t>
                  </w:r>
                  <w:r w:rsidR="00267781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; (ii) la aprobación</w:t>
                  </w:r>
                  <w:r w:rsidR="0049106B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</w:t>
                  </w:r>
                  <w:r w:rsidR="00267781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de su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reglamento operativo</w:t>
                  </w:r>
                  <w:r w:rsidR="00267781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;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y </w:t>
                  </w:r>
                  <w:r w:rsidR="00267781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(iii) la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presentación de una propuesta de funcionamiento de la Secretaría Técnica.</w:t>
                  </w:r>
                </w:p>
                <w:p w:rsidR="00377F27" w:rsidRPr="00F80BC0" w:rsidRDefault="00377F27" w:rsidP="00F36E89">
                  <w:pPr>
                    <w:pStyle w:val="Sinespaciado1"/>
                    <w:framePr w:hSpace="141" w:wrap="around" w:vAnchor="text" w:hAnchor="text" w:y="1"/>
                    <w:ind w:left="426"/>
                    <w:suppressOverlap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29" w:type="dxa"/>
                </w:tcPr>
                <w:p w:rsidR="00377F27" w:rsidRDefault="00377F27" w:rsidP="00F36E89">
                  <w:pPr>
                    <w:framePr w:hSpace="141" w:wrap="around" w:vAnchor="text" w:hAnchor="text" w:y="1"/>
                    <w:numPr>
                      <w:ilvl w:val="0"/>
                      <w:numId w:val="24"/>
                    </w:numPr>
                    <w:ind w:left="287" w:hanging="142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R</w:t>
                  </w:r>
                  <w:proofErr w:type="spellStart"/>
                  <w:r w:rsidR="008A2B47">
                    <w:rPr>
                      <w:rFonts w:ascii="Arial" w:hAnsi="Arial" w:cs="Arial"/>
                      <w:sz w:val="20"/>
                      <w:szCs w:val="20"/>
                      <w:lang w:val="es-AR"/>
                    </w:rPr>
                    <w:t>esolución</w:t>
                  </w:r>
                  <w:proofErr w:type="spellEnd"/>
                  <w:r w:rsidR="008A2B47">
                    <w:rPr>
                      <w:rFonts w:ascii="Arial" w:hAnsi="Arial" w:cs="Arial"/>
                      <w:sz w:val="20"/>
                      <w:szCs w:val="20"/>
                      <w:lang w:val="es-AR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M</w:t>
                  </w:r>
                  <w:proofErr w:type="spellStart"/>
                  <w:r w:rsidR="008A2B47">
                    <w:rPr>
                      <w:rFonts w:ascii="Arial" w:hAnsi="Arial" w:cs="Arial"/>
                      <w:sz w:val="20"/>
                      <w:szCs w:val="20"/>
                      <w:lang w:val="es-AR"/>
                    </w:rPr>
                    <w:t>inisterial</w:t>
                  </w:r>
                  <w:proofErr w:type="spellEnd"/>
                  <w:r w:rsidR="00B13FFE">
                    <w:rPr>
                      <w:rFonts w:ascii="Arial" w:hAnsi="Arial" w:cs="Arial"/>
                      <w:sz w:val="20"/>
                      <w:szCs w:val="20"/>
                      <w:lang w:val="es-AR"/>
                    </w:rPr>
                    <w:t xml:space="preserve"> N°0224-2013-AG del 18 jun.13, que designa </w:t>
                  </w:r>
                  <w:r w:rsidR="008A2B47">
                    <w:rPr>
                      <w:rFonts w:ascii="Arial" w:hAnsi="Arial" w:cs="Arial"/>
                      <w:sz w:val="20"/>
                      <w:szCs w:val="20"/>
                      <w:lang w:val="es-AR"/>
                    </w:rPr>
                    <w:t xml:space="preserve">los miembros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de</w:t>
                  </w:r>
                  <w:r w:rsidR="008A2B47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l</w:t>
                  </w:r>
                  <w:r w:rsidR="008A2B47">
                    <w:rPr>
                      <w:rFonts w:ascii="Arial" w:hAnsi="Arial" w:cs="Arial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CONICA</w:t>
                  </w:r>
                </w:p>
                <w:p w:rsidR="00377F27" w:rsidRDefault="00CB18C1" w:rsidP="00F36E89">
                  <w:pPr>
                    <w:framePr w:hSpace="141" w:wrap="around" w:vAnchor="text" w:hAnchor="text" w:y="1"/>
                    <w:numPr>
                      <w:ilvl w:val="0"/>
                      <w:numId w:val="24"/>
                    </w:numPr>
                    <w:ind w:left="287" w:hanging="142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Oficio N° 0655-2013-INIA-OGP/J del 05 jul.13 con el cual el MINAG</w:t>
                  </w:r>
                  <w:r w:rsidR="000634C8">
                    <w:rPr>
                      <w:rFonts w:ascii="Arial" w:hAnsi="Arial" w:cs="Arial"/>
                      <w:sz w:val="20"/>
                      <w:szCs w:val="20"/>
                    </w:rPr>
                    <w:t>RI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remite </w:t>
                  </w:r>
                  <w:r w:rsidR="00377F27">
                    <w:rPr>
                      <w:rFonts w:ascii="Arial" w:hAnsi="Arial" w:cs="Arial"/>
                      <w:sz w:val="20"/>
                      <w:szCs w:val="20"/>
                    </w:rPr>
                    <w:t>Acta de la CONICA que aprueba el Reglamento Operativo.</w:t>
                  </w:r>
                </w:p>
                <w:p w:rsidR="00377F27" w:rsidRDefault="00CB18C1" w:rsidP="00F36E89">
                  <w:pPr>
                    <w:framePr w:hSpace="141" w:wrap="around" w:vAnchor="text" w:hAnchor="text" w:y="1"/>
                    <w:numPr>
                      <w:ilvl w:val="0"/>
                      <w:numId w:val="24"/>
                    </w:numPr>
                    <w:ind w:left="287" w:hanging="142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Oficio N° 1092-2013-INIA-OGP/J del 30 abr.13, con el cual el MINAGRI comunica al MEF la aprobación del </w:t>
                  </w:r>
                  <w:r w:rsidR="00377F27">
                    <w:rPr>
                      <w:rFonts w:ascii="Arial" w:hAnsi="Arial" w:cs="Arial"/>
                      <w:sz w:val="20"/>
                      <w:szCs w:val="20"/>
                    </w:rPr>
                    <w:t xml:space="preserve">Perfil del Programa </w:t>
                  </w:r>
                  <w:r w:rsidR="008A2B47">
                    <w:rPr>
                      <w:rFonts w:ascii="Arial" w:hAnsi="Arial" w:cs="Arial"/>
                      <w:sz w:val="20"/>
                      <w:szCs w:val="20"/>
                      <w:lang w:val="es-AR"/>
                    </w:rPr>
                    <w:t>de Consolidación del Sistema Nacional de Innovación Agraria</w:t>
                  </w:r>
                  <w:r w:rsidR="008A2B47" w:rsidRPr="00CF7185">
                    <w:rPr>
                      <w:rFonts w:ascii="Arial" w:hAnsi="Arial" w:cs="Arial"/>
                      <w:sz w:val="20"/>
                      <w:szCs w:val="20"/>
                      <w:lang w:val="es-AR"/>
                    </w:rPr>
                    <w:t xml:space="preserve"> </w:t>
                  </w:r>
                  <w:r w:rsidR="008A2B47">
                    <w:rPr>
                      <w:rFonts w:ascii="Arial" w:hAnsi="Arial" w:cs="Arial"/>
                      <w:sz w:val="20"/>
                      <w:szCs w:val="20"/>
                      <w:lang w:val="es-AR"/>
                    </w:rPr>
                    <w:t xml:space="preserve">(SNIA) </w:t>
                  </w:r>
                  <w:r w:rsidR="00377F27">
                    <w:rPr>
                      <w:rFonts w:ascii="Arial" w:hAnsi="Arial" w:cs="Arial"/>
                      <w:sz w:val="20"/>
                      <w:szCs w:val="20"/>
                    </w:rPr>
                    <w:t xml:space="preserve">donde se describe el </w:t>
                  </w:r>
                  <w:r w:rsidR="008A2B47">
                    <w:rPr>
                      <w:rFonts w:ascii="Arial" w:hAnsi="Arial" w:cs="Arial"/>
                      <w:sz w:val="20"/>
                      <w:szCs w:val="20"/>
                    </w:rPr>
                    <w:t xml:space="preserve">fortalecimiento </w:t>
                  </w:r>
                  <w:r w:rsidR="00377F27">
                    <w:rPr>
                      <w:rFonts w:ascii="Arial" w:hAnsi="Arial" w:cs="Arial"/>
                      <w:sz w:val="20"/>
                      <w:szCs w:val="20"/>
                    </w:rPr>
                    <w:t xml:space="preserve">de </w:t>
                  </w:r>
                  <w:r w:rsidR="008A2B47">
                    <w:rPr>
                      <w:rFonts w:ascii="Arial" w:hAnsi="Arial" w:cs="Arial"/>
                      <w:sz w:val="20"/>
                      <w:szCs w:val="20"/>
                    </w:rPr>
                    <w:t xml:space="preserve">su </w:t>
                  </w:r>
                  <w:r w:rsidR="00377F27">
                    <w:rPr>
                      <w:rFonts w:ascii="Arial" w:hAnsi="Arial" w:cs="Arial"/>
                      <w:sz w:val="20"/>
                      <w:szCs w:val="20"/>
                    </w:rPr>
                    <w:t>Secretaría Técnica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, y remite el Informe Técnico N° 084-2013-AG-OPP/UIS</w:t>
                  </w:r>
                  <w:r w:rsidR="00377F27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:rsidR="00377F27" w:rsidRPr="00AA7E12" w:rsidRDefault="00377F27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15" w:type="dxa"/>
                </w:tcPr>
                <w:p w:rsidR="00377F27" w:rsidRPr="00AA7E12" w:rsidRDefault="00CB18C1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Cumplido.</w:t>
                  </w:r>
                </w:p>
              </w:tc>
            </w:tr>
            <w:tr w:rsidR="00377F27" w:rsidRPr="00AA7E12" w:rsidTr="0095619D">
              <w:trPr>
                <w:trHeight w:val="2128"/>
              </w:trPr>
              <w:tc>
                <w:tcPr>
                  <w:tcW w:w="4629" w:type="dxa"/>
                </w:tcPr>
                <w:p w:rsidR="00377F27" w:rsidRPr="0065537D" w:rsidRDefault="00377F27" w:rsidP="00F36E89">
                  <w:pPr>
                    <w:pStyle w:val="Sinespaciado1"/>
                    <w:framePr w:hSpace="141" w:wrap="around" w:vAnchor="text" w:hAnchor="text" w:y="1"/>
                    <w:numPr>
                      <w:ilvl w:val="0"/>
                      <w:numId w:val="6"/>
                    </w:numPr>
                    <w:ind w:left="426" w:hanging="284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Propuesta de 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Política Nacional de Innovación Agraria </w:t>
                  </w:r>
                  <w:r w:rsidR="0088672F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presentada a</w:t>
                  </w:r>
                  <w:r w:rsidR="00E76AE8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la CONICA</w:t>
                  </w:r>
                  <w:r w:rsidR="0043006D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y puesta a consulta </w:t>
                  </w:r>
                  <w:r w:rsidR="000C052D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con</w:t>
                  </w:r>
                  <w:r w:rsidR="0043006D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entidades públicas y privadas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, que aborde</w:t>
                  </w:r>
                  <w:r w:rsidR="00B66D87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, entre otros,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los siguientes temas estratégicos: </w:t>
                  </w:r>
                  <w:r w:rsidR="00B66D87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(i</w:t>
                  </w:r>
                  <w:r w:rsidR="008A2B47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)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consolidar la institucionalidad del SNIA</w:t>
                  </w:r>
                  <w:r w:rsidR="008A2B47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;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</w:t>
                  </w:r>
                  <w:r w:rsidR="00B66D87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(ii</w:t>
                  </w:r>
                  <w:r w:rsidR="008A2B47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)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incrementar la inversión pública e incentivar la inversión privada en los procesos de innovación</w:t>
                  </w:r>
                  <w:r w:rsidR="008A2B47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;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y  </w:t>
                  </w:r>
                  <w:r w:rsidR="008A2B47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(</w:t>
                  </w:r>
                  <w:r w:rsidR="00B66D87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iii</w:t>
                  </w:r>
                  <w:r w:rsidR="008A2B47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)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modernizar la institucionalidad del INIA.</w:t>
                  </w:r>
                </w:p>
                <w:p w:rsidR="00377F27" w:rsidRPr="00AA7E12" w:rsidRDefault="00377F27" w:rsidP="00F36E89">
                  <w:pPr>
                    <w:pStyle w:val="Sinespaciado1"/>
                    <w:framePr w:hSpace="141" w:wrap="around" w:vAnchor="text" w:hAnchor="text" w:y="1"/>
                    <w:ind w:left="426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629" w:type="dxa"/>
                </w:tcPr>
                <w:p w:rsidR="00377F27" w:rsidRPr="00DC10A2" w:rsidRDefault="00377F27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C10A2">
                    <w:rPr>
                      <w:rFonts w:ascii="Arial" w:hAnsi="Arial" w:cs="Arial"/>
                      <w:sz w:val="20"/>
                      <w:szCs w:val="20"/>
                    </w:rPr>
                    <w:t xml:space="preserve">Oficio </w:t>
                  </w:r>
                  <w:r w:rsidR="00B1082E" w:rsidRPr="00DC10A2">
                    <w:rPr>
                      <w:rFonts w:ascii="Arial" w:hAnsi="Arial" w:cs="Arial"/>
                      <w:sz w:val="20"/>
                      <w:szCs w:val="20"/>
                    </w:rPr>
                    <w:t>N° 572-2013-INIA-OGP/OP del 05 jul.13 con el cual el MINAG</w:t>
                  </w:r>
                  <w:r w:rsidR="000634C8">
                    <w:rPr>
                      <w:rFonts w:ascii="Arial" w:hAnsi="Arial" w:cs="Arial"/>
                      <w:sz w:val="20"/>
                      <w:szCs w:val="20"/>
                    </w:rPr>
                    <w:t>RI</w:t>
                  </w:r>
                  <w:r w:rsidR="00B1082E" w:rsidRPr="00DC10A2">
                    <w:rPr>
                      <w:rFonts w:ascii="Arial" w:hAnsi="Arial" w:cs="Arial"/>
                      <w:sz w:val="20"/>
                      <w:szCs w:val="20"/>
                    </w:rPr>
                    <w:t xml:space="preserve"> remite</w:t>
                  </w:r>
                  <w:r w:rsidR="00715C93" w:rsidRPr="00DC10A2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  <w:r w:rsidR="00B1082E" w:rsidRPr="00DC10A2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DC10A2">
                    <w:rPr>
                      <w:rFonts w:ascii="Arial" w:hAnsi="Arial" w:cs="Arial"/>
                      <w:sz w:val="20"/>
                      <w:szCs w:val="20"/>
                    </w:rPr>
                    <w:t xml:space="preserve">la </w:t>
                  </w:r>
                  <w:r w:rsidR="0043006D" w:rsidRPr="00DC10A2">
                    <w:rPr>
                      <w:rFonts w:ascii="Arial" w:hAnsi="Arial" w:cs="Arial"/>
                      <w:sz w:val="20"/>
                      <w:szCs w:val="20"/>
                    </w:rPr>
                    <w:t xml:space="preserve">propuesta de </w:t>
                  </w:r>
                  <w:r w:rsidRPr="00DC10A2">
                    <w:rPr>
                      <w:rFonts w:ascii="Arial" w:hAnsi="Arial" w:cs="Arial"/>
                      <w:sz w:val="20"/>
                      <w:szCs w:val="20"/>
                    </w:rPr>
                    <w:t xml:space="preserve">Política Nacional </w:t>
                  </w:r>
                  <w:r w:rsidR="004658D9" w:rsidRPr="00DC10A2">
                    <w:rPr>
                      <w:rFonts w:ascii="Arial" w:hAnsi="Arial" w:cs="Arial"/>
                      <w:sz w:val="20"/>
                      <w:szCs w:val="20"/>
                    </w:rPr>
                    <w:t xml:space="preserve"> a</w:t>
                  </w:r>
                  <w:r w:rsidRPr="00DC10A2">
                    <w:rPr>
                      <w:rFonts w:ascii="Arial" w:hAnsi="Arial" w:cs="Arial"/>
                      <w:sz w:val="20"/>
                      <w:szCs w:val="20"/>
                    </w:rPr>
                    <w:t xml:space="preserve"> la CONICA</w:t>
                  </w:r>
                  <w:r w:rsidR="00715C93" w:rsidRPr="00DC10A2">
                    <w:rPr>
                      <w:rFonts w:ascii="Arial" w:hAnsi="Arial" w:cs="Arial"/>
                      <w:sz w:val="20"/>
                      <w:szCs w:val="20"/>
                    </w:rPr>
                    <w:t>, y ii) la agenda de reunión de instalación que incluyó la revisión de la propuesta de política</w:t>
                  </w:r>
                  <w:r w:rsidRPr="00DC10A2">
                    <w:rPr>
                      <w:rFonts w:ascii="Arial" w:hAnsi="Arial" w:cs="Arial"/>
                      <w:sz w:val="20"/>
                      <w:szCs w:val="20"/>
                    </w:rPr>
                    <w:t xml:space="preserve">. </w:t>
                  </w:r>
                </w:p>
                <w:p w:rsidR="00377F27" w:rsidRPr="00DC10A2" w:rsidRDefault="00377F27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377F27" w:rsidRDefault="00653742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Comunicación múltiple mediante Carta N° 005-2013-INIA/J del 19 jul.13</w:t>
                  </w:r>
                  <w:r w:rsidR="000805F2" w:rsidRPr="00DC10A2">
                    <w:rPr>
                      <w:rFonts w:ascii="Arial" w:hAnsi="Arial" w:cs="Arial"/>
                      <w:sz w:val="20"/>
                      <w:szCs w:val="20"/>
                    </w:rPr>
                    <w:t xml:space="preserve"> de la Secretaría Técnica de la CONICA</w:t>
                  </w:r>
                  <w:r w:rsidR="008D71F2" w:rsidRPr="00DC10A2">
                    <w:rPr>
                      <w:rFonts w:ascii="Arial" w:hAnsi="Arial" w:cs="Arial"/>
                      <w:sz w:val="20"/>
                      <w:szCs w:val="20"/>
                    </w:rPr>
                    <w:t>, a los miembros de dicha Comisión,</w:t>
                  </w:r>
                  <w:r w:rsidR="000805F2" w:rsidRPr="00DC10A2">
                    <w:rPr>
                      <w:rFonts w:ascii="Arial" w:hAnsi="Arial" w:cs="Arial"/>
                      <w:sz w:val="20"/>
                      <w:szCs w:val="20"/>
                    </w:rPr>
                    <w:t xml:space="preserve"> indicando</w:t>
                  </w:r>
                  <w:r w:rsidR="00715C93" w:rsidRPr="00DC10A2">
                    <w:rPr>
                      <w:rFonts w:ascii="Arial" w:hAnsi="Arial" w:cs="Arial"/>
                      <w:sz w:val="20"/>
                      <w:szCs w:val="20"/>
                    </w:rPr>
                    <w:t xml:space="preserve">: i) la comunicación de convocatoria que incluyó el envío de la propuesta de política, ii) </w:t>
                  </w:r>
                  <w:r w:rsidR="000805F2" w:rsidRPr="00DC10A2">
                    <w:rPr>
                      <w:rFonts w:ascii="Arial" w:hAnsi="Arial" w:cs="Arial"/>
                      <w:sz w:val="20"/>
                      <w:szCs w:val="20"/>
                    </w:rPr>
                    <w:t xml:space="preserve">los temas a tratar de la siguiente reunión, </w:t>
                  </w:r>
                  <w:r w:rsidR="00715C93" w:rsidRPr="00DC10A2">
                    <w:rPr>
                      <w:rFonts w:ascii="Arial" w:hAnsi="Arial" w:cs="Arial"/>
                      <w:sz w:val="20"/>
                      <w:szCs w:val="20"/>
                    </w:rPr>
                    <w:t xml:space="preserve">incluyendo </w:t>
                  </w:r>
                  <w:r w:rsidR="000805F2" w:rsidRPr="00DC10A2">
                    <w:rPr>
                      <w:rFonts w:ascii="Arial" w:hAnsi="Arial" w:cs="Arial"/>
                      <w:sz w:val="20"/>
                      <w:szCs w:val="20"/>
                    </w:rPr>
                    <w:t>la aprobación de la Política Nacional de Innovación Agraria</w:t>
                  </w:r>
                  <w:r w:rsidR="00715C93" w:rsidRPr="00DC10A2">
                    <w:rPr>
                      <w:rFonts w:ascii="Arial" w:hAnsi="Arial" w:cs="Arial"/>
                      <w:sz w:val="20"/>
                      <w:szCs w:val="20"/>
                    </w:rPr>
                    <w:t>, y iii) el acta de reunión de la CONICA que será suscrita por sus miembros dónde se da cuenta de la autorización para ampliar el proceso de consulta</w:t>
                  </w:r>
                  <w:r w:rsidR="000805F2" w:rsidRPr="00DC10A2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:rsidR="00377F27" w:rsidRPr="001A5FC2" w:rsidRDefault="00377F27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15" w:type="dxa"/>
                </w:tcPr>
                <w:p w:rsidR="0070501E" w:rsidRDefault="00653742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Cumplido</w:t>
                  </w:r>
                  <w:r w:rsidR="0070501E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:rsidR="00377F27" w:rsidRPr="00AA7E12" w:rsidRDefault="00377F27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bookmarkStart w:id="0" w:name="_GoBack"/>
                  <w:bookmarkEnd w:id="0"/>
                </w:p>
              </w:tc>
            </w:tr>
            <w:tr w:rsidR="00097FCD" w:rsidRPr="00AA7E12" w:rsidTr="0095619D">
              <w:trPr>
                <w:trHeight w:val="1315"/>
              </w:trPr>
              <w:tc>
                <w:tcPr>
                  <w:tcW w:w="4629" w:type="dxa"/>
                </w:tcPr>
                <w:p w:rsidR="00097FCD" w:rsidRPr="00385330" w:rsidRDefault="00097FCD" w:rsidP="00F36E89">
                  <w:pPr>
                    <w:pStyle w:val="Sinespaciado1"/>
                    <w:framePr w:hSpace="141" w:wrap="around" w:vAnchor="text" w:hAnchor="text" w:y="1"/>
                    <w:numPr>
                      <w:ilvl w:val="0"/>
                      <w:numId w:val="6"/>
                    </w:numPr>
                    <w:ind w:left="426" w:hanging="284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Propuesta de 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Plan Nacional de Innovación Agraria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, presentado a la CONICA, que contendrá</w:t>
                  </w:r>
                  <w:r w:rsidR="00E6648C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, entre otros,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los siguientes aspectos:</w:t>
                  </w:r>
                </w:p>
                <w:p w:rsidR="00097FCD" w:rsidRPr="00385330" w:rsidRDefault="00097FCD" w:rsidP="00F36E89">
                  <w:pPr>
                    <w:pStyle w:val="Sinespaciado1"/>
                    <w:framePr w:hSpace="141" w:wrap="around" w:vAnchor="text" w:hAnchor="text" w:y="1"/>
                    <w:numPr>
                      <w:ilvl w:val="1"/>
                      <w:numId w:val="47"/>
                    </w:numPr>
                    <w:ind w:left="738" w:hanging="219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Contexto y oportunidad del proceso de innovación.</w:t>
                  </w:r>
                </w:p>
                <w:p w:rsidR="00097FCD" w:rsidRPr="002034F1" w:rsidRDefault="00097FCD" w:rsidP="00F36E89">
                  <w:pPr>
                    <w:pStyle w:val="Sinespaciado1"/>
                    <w:framePr w:hSpace="141" w:wrap="around" w:vAnchor="text" w:hAnchor="text" w:y="1"/>
                    <w:numPr>
                      <w:ilvl w:val="1"/>
                      <w:numId w:val="47"/>
                    </w:numPr>
                    <w:ind w:left="879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La visión/misión del SNIA.</w:t>
                  </w:r>
                </w:p>
                <w:p w:rsidR="00097FCD" w:rsidRPr="002034F1" w:rsidRDefault="00097FCD" w:rsidP="00F36E89">
                  <w:pPr>
                    <w:pStyle w:val="Sinespaciado1"/>
                    <w:framePr w:hSpace="141" w:wrap="around" w:vAnchor="text" w:hAnchor="text" w:y="1"/>
                    <w:numPr>
                      <w:ilvl w:val="1"/>
                      <w:numId w:val="47"/>
                    </w:numPr>
                    <w:ind w:left="879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2034F1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Los objetivos estratégicos</w:t>
                  </w:r>
                </w:p>
                <w:p w:rsidR="00097FCD" w:rsidRPr="002034F1" w:rsidRDefault="00097FCD" w:rsidP="00F36E89">
                  <w:pPr>
                    <w:pStyle w:val="Sinespaciado1"/>
                    <w:framePr w:hSpace="141" w:wrap="around" w:vAnchor="text" w:hAnchor="text" w:y="1"/>
                    <w:numPr>
                      <w:ilvl w:val="1"/>
                      <w:numId w:val="47"/>
                    </w:numPr>
                    <w:ind w:left="738" w:hanging="219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2034F1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Las estrategias en su relacionamiento con el sector privado, regiones, universidad y la vinculación internacional,</w:t>
                  </w:r>
                </w:p>
                <w:p w:rsidR="00097FCD" w:rsidRPr="002034F1" w:rsidRDefault="00097FCD" w:rsidP="00F36E89">
                  <w:pPr>
                    <w:pStyle w:val="Sinespaciado1"/>
                    <w:framePr w:hSpace="141" w:wrap="around" w:vAnchor="text" w:hAnchor="text" w:y="1"/>
                    <w:numPr>
                      <w:ilvl w:val="1"/>
                      <w:numId w:val="47"/>
                    </w:numPr>
                    <w:ind w:left="738" w:hanging="219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2034F1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Áreas estratégicas y prioridades.</w:t>
                  </w:r>
                </w:p>
                <w:p w:rsidR="00097FCD" w:rsidRPr="002034F1" w:rsidRDefault="00097FCD" w:rsidP="00F36E89">
                  <w:pPr>
                    <w:pStyle w:val="Sinespaciado1"/>
                    <w:framePr w:hSpace="141" w:wrap="around" w:vAnchor="text" w:hAnchor="text" w:y="1"/>
                    <w:numPr>
                      <w:ilvl w:val="1"/>
                      <w:numId w:val="47"/>
                    </w:numPr>
                    <w:ind w:left="879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2034F1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Metas y resultados.</w:t>
                  </w:r>
                </w:p>
                <w:p w:rsidR="00097FCD" w:rsidRPr="002034F1" w:rsidRDefault="00097FCD" w:rsidP="00F36E89">
                  <w:pPr>
                    <w:pStyle w:val="Sinespaciado1"/>
                    <w:framePr w:hSpace="141" w:wrap="around" w:vAnchor="text" w:hAnchor="text" w:y="1"/>
                    <w:numPr>
                      <w:ilvl w:val="1"/>
                      <w:numId w:val="47"/>
                    </w:numPr>
                    <w:ind w:left="738" w:hanging="219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2034F1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Rol de la CONICA y del INIA.</w:t>
                  </w:r>
                </w:p>
                <w:p w:rsidR="00097FCD" w:rsidRPr="002034F1" w:rsidRDefault="00097FCD" w:rsidP="00F36E89">
                  <w:pPr>
                    <w:pStyle w:val="Sinespaciado1"/>
                    <w:framePr w:hSpace="141" w:wrap="around" w:vAnchor="text" w:hAnchor="text" w:y="1"/>
                    <w:numPr>
                      <w:ilvl w:val="1"/>
                      <w:numId w:val="47"/>
                    </w:numPr>
                    <w:ind w:left="738" w:hanging="219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2034F1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Opciones y mecanismos de financiamiento.</w:t>
                  </w:r>
                </w:p>
                <w:p w:rsidR="00097FCD" w:rsidRPr="002034F1" w:rsidRDefault="00097FCD" w:rsidP="00F36E89">
                  <w:pPr>
                    <w:pStyle w:val="Sinespaciado1"/>
                    <w:framePr w:hSpace="141" w:wrap="around" w:vAnchor="text" w:hAnchor="text" w:y="1"/>
                    <w:numPr>
                      <w:ilvl w:val="1"/>
                      <w:numId w:val="47"/>
                    </w:numPr>
                    <w:ind w:left="879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2034F1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Zonificación</w:t>
                  </w:r>
                </w:p>
                <w:p w:rsidR="00097FCD" w:rsidRDefault="00097FCD" w:rsidP="00F36E89">
                  <w:pPr>
                    <w:pStyle w:val="Sinespaciado1"/>
                    <w:framePr w:hSpace="141" w:wrap="around" w:vAnchor="text" w:hAnchor="text" w:y="1"/>
                    <w:ind w:left="426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4629" w:type="dxa"/>
                </w:tcPr>
                <w:p w:rsidR="00097FCD" w:rsidRDefault="00097FCD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Oficio </w:t>
                  </w:r>
                  <w:r w:rsidR="00B1082E">
                    <w:rPr>
                      <w:rFonts w:ascii="Arial" w:hAnsi="Arial" w:cs="Arial"/>
                      <w:sz w:val="20"/>
                      <w:szCs w:val="20"/>
                    </w:rPr>
                    <w:t xml:space="preserve">N° 571-2013-INIA-OGP/OP del 05 jul.13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del MINAG</w:t>
                  </w:r>
                  <w:r w:rsidR="00B1082E">
                    <w:rPr>
                      <w:rFonts w:ascii="Arial" w:hAnsi="Arial" w:cs="Arial"/>
                      <w:sz w:val="20"/>
                      <w:szCs w:val="20"/>
                    </w:rPr>
                    <w:t>RI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remitiendo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AR"/>
                    </w:rPr>
                    <w:t>a la CONICA</w:t>
                  </w:r>
                  <w:r w:rsidRPr="00CF7185">
                    <w:rPr>
                      <w:rFonts w:ascii="Arial" w:hAnsi="Arial" w:cs="Arial"/>
                      <w:sz w:val="20"/>
                      <w:szCs w:val="20"/>
                      <w:lang w:val="es-AR"/>
                    </w:rPr>
                    <w:t xml:space="preserve"> </w:t>
                  </w:r>
                  <w:r w:rsidR="008A0CE7">
                    <w:rPr>
                      <w:rFonts w:ascii="Arial" w:hAnsi="Arial" w:cs="Arial"/>
                      <w:sz w:val="20"/>
                      <w:szCs w:val="20"/>
                    </w:rPr>
                    <w:t xml:space="preserve">la propuesta del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Plan Nacional</w:t>
                  </w:r>
                  <w:r w:rsidR="00F65BE1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:rsidR="008D71F2" w:rsidRDefault="008D71F2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8D71F2" w:rsidRPr="00AA7E12" w:rsidRDefault="00653742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Comunicación múltiple mediante Carta N° 005-2013-INIA/J del 19 jul.13</w:t>
                  </w:r>
                  <w:r w:rsidR="008D71F2">
                    <w:rPr>
                      <w:rFonts w:ascii="Arial" w:hAnsi="Arial" w:cs="Arial"/>
                      <w:sz w:val="20"/>
                      <w:szCs w:val="20"/>
                    </w:rPr>
                    <w:t>de la Secretaría Técnica de la CONICA, a los miembros de dicha Comisión, remitiendo la Propuesta del Plan Nacional de Innovación Agraria para su consideración en la próxima reunión.</w:t>
                  </w:r>
                </w:p>
              </w:tc>
              <w:tc>
                <w:tcPr>
                  <w:tcW w:w="4815" w:type="dxa"/>
                </w:tcPr>
                <w:p w:rsidR="00097FCD" w:rsidRPr="00AA7E12" w:rsidRDefault="00653742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Cumplido.</w:t>
                  </w:r>
                </w:p>
              </w:tc>
            </w:tr>
            <w:tr w:rsidR="00377F27" w:rsidRPr="00AA7E12" w:rsidTr="0095619D">
              <w:tc>
                <w:tcPr>
                  <w:tcW w:w="4629" w:type="dxa"/>
                </w:tcPr>
                <w:p w:rsidR="00377F27" w:rsidRPr="00F80BC0" w:rsidRDefault="00377F27" w:rsidP="00F36E89">
                  <w:pPr>
                    <w:pStyle w:val="Sinespaciado1"/>
                    <w:framePr w:hSpace="141" w:wrap="around" w:vAnchor="text" w:hAnchor="text" w:y="1"/>
                    <w:numPr>
                      <w:ilvl w:val="0"/>
                      <w:numId w:val="6"/>
                    </w:numPr>
                    <w:ind w:left="426" w:hanging="284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Programa de Inversión para el SNIA aprobado a nivel de </w:t>
                  </w:r>
                  <w:r w:rsidR="008A2B47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perfil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, que incluye dos proyectos de inversión, uno para fortalecer el SNIA, y el otro para consolidar al INIA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. </w:t>
                  </w:r>
                </w:p>
                <w:p w:rsidR="00377F27" w:rsidRPr="00AA7E12" w:rsidRDefault="00377F27" w:rsidP="00F36E89">
                  <w:pPr>
                    <w:pStyle w:val="Sinespaciado1"/>
                    <w:framePr w:hSpace="141" w:wrap="around" w:vAnchor="text" w:hAnchor="text" w:y="1"/>
                    <w:ind w:left="426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629" w:type="dxa"/>
                </w:tcPr>
                <w:p w:rsidR="00377F27" w:rsidRDefault="00377F27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A7E12">
                    <w:rPr>
                      <w:rFonts w:ascii="Arial" w:hAnsi="Arial" w:cs="Arial"/>
                      <w:sz w:val="20"/>
                      <w:szCs w:val="20"/>
                    </w:rPr>
                    <w:t>Oficio</w:t>
                  </w:r>
                  <w:r w:rsidR="00AD55D9">
                    <w:rPr>
                      <w:rFonts w:ascii="Arial" w:hAnsi="Arial" w:cs="Arial"/>
                      <w:sz w:val="20"/>
                      <w:szCs w:val="20"/>
                    </w:rPr>
                    <w:t>s N° 1092, 1044 y 1520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</w:rPr>
                    <w:t xml:space="preserve"> del MINAG</w:t>
                  </w:r>
                  <w:r w:rsidR="0086578C">
                    <w:rPr>
                      <w:rFonts w:ascii="Arial" w:hAnsi="Arial" w:cs="Arial"/>
                      <w:sz w:val="20"/>
                      <w:szCs w:val="20"/>
                    </w:rPr>
                    <w:t>RI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</w:rPr>
                    <w:t xml:space="preserve">, remitiendo </w:t>
                  </w:r>
                  <w:r w:rsidR="00273958">
                    <w:rPr>
                      <w:rFonts w:ascii="Arial" w:hAnsi="Arial" w:cs="Arial"/>
                      <w:sz w:val="20"/>
                      <w:szCs w:val="20"/>
                    </w:rPr>
                    <w:t>los</w:t>
                  </w:r>
                  <w:r w:rsidR="00273958" w:rsidRPr="00AA7E12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</w:rPr>
                    <w:t>informe</w:t>
                  </w:r>
                  <w:r w:rsidR="00273958">
                    <w:rPr>
                      <w:rFonts w:ascii="Arial" w:hAnsi="Arial" w:cs="Arial"/>
                      <w:sz w:val="20"/>
                      <w:szCs w:val="20"/>
                    </w:rPr>
                    <w:t>s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</w:rPr>
                    <w:t xml:space="preserve"> de aprobación</w:t>
                  </w:r>
                  <w:r w:rsidR="00273958">
                    <w:rPr>
                      <w:rFonts w:ascii="Arial" w:hAnsi="Arial" w:cs="Arial"/>
                      <w:sz w:val="20"/>
                      <w:szCs w:val="20"/>
                    </w:rPr>
                    <w:t xml:space="preserve"> por el SNIP</w:t>
                  </w:r>
                  <w:r w:rsidR="00273958" w:rsidRPr="00AA7E12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</w:rPr>
                    <w:t xml:space="preserve"> del perfil</w:t>
                  </w:r>
                  <w:r w:rsidR="00EB36A4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273958">
                    <w:rPr>
                      <w:rFonts w:ascii="Arial" w:hAnsi="Arial" w:cs="Arial"/>
                      <w:sz w:val="20"/>
                      <w:szCs w:val="20"/>
                    </w:rPr>
                    <w:t>del Programa y los proyectos que conforman dicho programa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:rsidR="008D71F2" w:rsidRDefault="008D71F2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8D71F2" w:rsidRPr="00AA7E12" w:rsidRDefault="008D71F2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Oficio N° 3375-2013-EF/63.01 del 08 jul.13 del MEF mediante el cual se autoriza la elaboración del estudio de factibilidad del Programa</w:t>
                  </w:r>
                </w:p>
              </w:tc>
              <w:tc>
                <w:tcPr>
                  <w:tcW w:w="4815" w:type="dxa"/>
                </w:tcPr>
                <w:p w:rsidR="00377F27" w:rsidRDefault="00273958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Cumplido. </w:t>
                  </w:r>
                </w:p>
              </w:tc>
            </w:tr>
            <w:tr w:rsidR="00377F27" w:rsidRPr="00AA7E12" w:rsidTr="0095619D">
              <w:tc>
                <w:tcPr>
                  <w:tcW w:w="4629" w:type="dxa"/>
                </w:tcPr>
                <w:p w:rsidR="00377F27" w:rsidRPr="00F80BC0" w:rsidRDefault="00377F27" w:rsidP="00F36E89">
                  <w:pPr>
                    <w:pStyle w:val="Sinespaciado1"/>
                    <w:framePr w:hSpace="141" w:wrap="around" w:vAnchor="text" w:hAnchor="text" w:y="1"/>
                    <w:numPr>
                      <w:ilvl w:val="0"/>
                      <w:numId w:val="6"/>
                    </w:numPr>
                    <w:ind w:left="426" w:hanging="284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Proyecto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de inversión del CNBAF a nivel de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factibilidad presentado a la OPI del MINAG</w:t>
                  </w:r>
                  <w:r w:rsidR="000634C8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RI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.</w:t>
                  </w:r>
                </w:p>
                <w:p w:rsidR="00377F27" w:rsidRPr="00AA7E12" w:rsidRDefault="00377F27" w:rsidP="00F36E89">
                  <w:pPr>
                    <w:pStyle w:val="Sinespaciado1"/>
                    <w:framePr w:hSpace="141" w:wrap="around" w:vAnchor="text" w:hAnchor="text" w:y="1"/>
                    <w:ind w:left="426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629" w:type="dxa"/>
                </w:tcPr>
                <w:p w:rsidR="008D71F2" w:rsidRDefault="00377F27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A7E12">
                    <w:rPr>
                      <w:rFonts w:ascii="Arial" w:hAnsi="Arial" w:cs="Arial"/>
                      <w:sz w:val="20"/>
                      <w:szCs w:val="20"/>
                    </w:rPr>
                    <w:t xml:space="preserve">Oficio </w:t>
                  </w:r>
                  <w:r w:rsidR="00603C45">
                    <w:rPr>
                      <w:rFonts w:ascii="Arial" w:hAnsi="Arial" w:cs="Arial"/>
                      <w:sz w:val="20"/>
                      <w:szCs w:val="20"/>
                    </w:rPr>
                    <w:t xml:space="preserve">N° 570-2013-INIA-OGP/OPI del 05 jul.13 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</w:rPr>
                    <w:t xml:space="preserve">del </w:t>
                  </w:r>
                  <w:r w:rsidR="0023512A">
                    <w:rPr>
                      <w:rFonts w:ascii="Arial" w:hAnsi="Arial" w:cs="Arial"/>
                      <w:sz w:val="20"/>
                      <w:szCs w:val="20"/>
                    </w:rPr>
                    <w:t>INIA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</w:rPr>
                    <w:t xml:space="preserve">, </w:t>
                  </w:r>
                  <w:r w:rsidR="00C21ACF">
                    <w:rPr>
                      <w:rFonts w:ascii="Arial" w:hAnsi="Arial" w:cs="Arial"/>
                      <w:sz w:val="20"/>
                      <w:szCs w:val="20"/>
                    </w:rPr>
                    <w:t xml:space="preserve">documentando </w:t>
                  </w:r>
                  <w:r w:rsidR="00603C45">
                    <w:rPr>
                      <w:rFonts w:ascii="Arial" w:hAnsi="Arial" w:cs="Arial"/>
                      <w:sz w:val="20"/>
                      <w:szCs w:val="20"/>
                    </w:rPr>
                    <w:t xml:space="preserve">el estado </w:t>
                  </w:r>
                  <w:r w:rsidR="0023512A">
                    <w:rPr>
                      <w:rFonts w:ascii="Arial" w:hAnsi="Arial" w:cs="Arial"/>
                      <w:sz w:val="20"/>
                      <w:szCs w:val="20"/>
                    </w:rPr>
                    <w:t>d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</w:rPr>
                    <w:t xml:space="preserve">el </w:t>
                  </w:r>
                  <w:r w:rsidR="00C42CC0">
                    <w:rPr>
                      <w:rFonts w:ascii="Arial" w:hAnsi="Arial" w:cs="Arial"/>
                      <w:sz w:val="20"/>
                      <w:szCs w:val="20"/>
                    </w:rPr>
                    <w:t xml:space="preserve">estudio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de factibilidad</w:t>
                  </w:r>
                  <w:r w:rsidR="00653742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:rsidR="00653742" w:rsidRDefault="00653742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53742" w:rsidRDefault="00653742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Oficio N° 537-2012-INIA-DIA-SUDIRGEB/J del 18 jul.13, con el cual se remite el estudio de factibilidad del Proyecto CNBAF a la Dirección General de Investigación Agraria para continuar con su trámite de aprobación.</w:t>
                  </w:r>
                </w:p>
                <w:p w:rsidR="008D71F2" w:rsidRDefault="008D71F2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377F27" w:rsidRPr="00AA7E12" w:rsidRDefault="00377F27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15" w:type="dxa"/>
                </w:tcPr>
                <w:p w:rsidR="00377F27" w:rsidRDefault="00653742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Cumplido</w:t>
                  </w:r>
                  <w:r w:rsidR="00C21ACF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</w:tr>
            <w:tr w:rsidR="00377F27" w:rsidRPr="00AA7E12" w:rsidTr="0095619D">
              <w:tc>
                <w:tcPr>
                  <w:tcW w:w="4629" w:type="dxa"/>
                </w:tcPr>
                <w:p w:rsidR="00377F27" w:rsidRPr="00AA7E12" w:rsidRDefault="00377F27" w:rsidP="00F36E89">
                  <w:pPr>
                    <w:pStyle w:val="Sinespaciado1"/>
                    <w:framePr w:hSpace="141" w:wrap="around" w:vAnchor="text" w:hAnchor="text" w:y="1"/>
                    <w:numPr>
                      <w:ilvl w:val="0"/>
                      <w:numId w:val="6"/>
                    </w:numPr>
                    <w:ind w:left="426" w:hanging="284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Sistema de Información, Control y Seguimiento del SNIA en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diseño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. </w:t>
                  </w:r>
                </w:p>
              </w:tc>
              <w:tc>
                <w:tcPr>
                  <w:tcW w:w="4629" w:type="dxa"/>
                </w:tcPr>
                <w:p w:rsidR="00377F27" w:rsidRDefault="00377F27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A7E12">
                    <w:rPr>
                      <w:rFonts w:ascii="Arial" w:hAnsi="Arial" w:cs="Arial"/>
                      <w:sz w:val="20"/>
                      <w:szCs w:val="20"/>
                    </w:rPr>
                    <w:t xml:space="preserve">Oficio </w:t>
                  </w:r>
                  <w:r w:rsidR="005A43BD">
                    <w:rPr>
                      <w:rFonts w:ascii="Arial" w:hAnsi="Arial" w:cs="Arial"/>
                      <w:sz w:val="20"/>
                      <w:szCs w:val="20"/>
                    </w:rPr>
                    <w:t xml:space="preserve"> N° 0655-2013-INIA-OGP/J del 05 jul.13 con el cual el MINAG</w:t>
                  </w:r>
                  <w:r w:rsidR="0046142D">
                    <w:rPr>
                      <w:rFonts w:ascii="Arial" w:hAnsi="Arial" w:cs="Arial"/>
                      <w:sz w:val="20"/>
                      <w:szCs w:val="20"/>
                    </w:rPr>
                    <w:t>RI</w:t>
                  </w:r>
                  <w:r w:rsidR="005A43BD">
                    <w:rPr>
                      <w:rFonts w:ascii="Arial" w:hAnsi="Arial" w:cs="Arial"/>
                      <w:sz w:val="20"/>
                      <w:szCs w:val="20"/>
                    </w:rPr>
                    <w:t xml:space="preserve"> remite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</w:rPr>
                    <w:t xml:space="preserve">, </w:t>
                  </w:r>
                  <w:r w:rsidR="008A2B47" w:rsidRPr="00CF7185">
                    <w:rPr>
                      <w:rFonts w:ascii="Arial" w:hAnsi="Arial" w:cs="Arial"/>
                      <w:sz w:val="20"/>
                      <w:szCs w:val="20"/>
                      <w:lang w:val="es-AR"/>
                    </w:rPr>
                    <w:t>la propuesta de diseño del sistema de información</w:t>
                  </w:r>
                  <w:r w:rsidR="008A2B47">
                    <w:rPr>
                      <w:rFonts w:ascii="Arial" w:hAnsi="Arial" w:cs="Arial"/>
                      <w:sz w:val="20"/>
                      <w:szCs w:val="20"/>
                      <w:lang w:val="es-AR"/>
                    </w:rPr>
                    <w:t xml:space="preserve"> y 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</w:rPr>
                    <w:t xml:space="preserve">el plan de trabajo </w:t>
                  </w:r>
                  <w:r w:rsidR="008A2B47">
                    <w:rPr>
                      <w:rFonts w:ascii="Arial" w:hAnsi="Arial" w:cs="Arial"/>
                      <w:sz w:val="20"/>
                      <w:szCs w:val="20"/>
                      <w:lang w:val="es-AR"/>
                    </w:rPr>
                    <w:t xml:space="preserve"> para la preparación 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</w:rPr>
                    <w:t>del PIP.</w:t>
                  </w:r>
                </w:p>
                <w:p w:rsidR="00377F27" w:rsidRPr="00AA7E12" w:rsidRDefault="00377F27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15" w:type="dxa"/>
                </w:tcPr>
                <w:p w:rsidR="00377F27" w:rsidRPr="00AA7E12" w:rsidRDefault="00C21ACF" w:rsidP="00F36E89">
                  <w:pPr>
                    <w:framePr w:hSpace="141" w:wrap="around" w:vAnchor="text" w:hAnchor="text" w:y="1"/>
                    <w:ind w:left="27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Cumplido. </w:t>
                  </w:r>
                </w:p>
              </w:tc>
            </w:tr>
            <w:tr w:rsidR="00377F27" w:rsidRPr="00AA7E12" w:rsidTr="0095619D">
              <w:tc>
                <w:tcPr>
                  <w:tcW w:w="4629" w:type="dxa"/>
                </w:tcPr>
                <w:p w:rsidR="00377F27" w:rsidRPr="00AA7E12" w:rsidRDefault="00377F27" w:rsidP="00F36E89">
                  <w:pPr>
                    <w:pStyle w:val="Sinespaciado1"/>
                    <w:framePr w:hSpace="141" w:wrap="around" w:vAnchor="text" w:hAnchor="text" w:y="1"/>
                    <w:numPr>
                      <w:ilvl w:val="0"/>
                      <w:numId w:val="6"/>
                    </w:numPr>
                    <w:ind w:left="426" w:hanging="284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Evaluación de la d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elegación de funciones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del INIA en materia de semillas a otros actores del sistema.</w:t>
                  </w:r>
                </w:p>
              </w:tc>
              <w:tc>
                <w:tcPr>
                  <w:tcW w:w="4629" w:type="dxa"/>
                </w:tcPr>
                <w:p w:rsidR="00377F27" w:rsidRDefault="00377F27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A7E12">
                    <w:rPr>
                      <w:rFonts w:ascii="Arial" w:hAnsi="Arial" w:cs="Arial"/>
                      <w:sz w:val="20"/>
                      <w:szCs w:val="20"/>
                    </w:rPr>
                    <w:t xml:space="preserve">Oficio </w:t>
                  </w:r>
                  <w:r w:rsidR="00530C7F">
                    <w:rPr>
                      <w:rFonts w:ascii="Arial" w:hAnsi="Arial" w:cs="Arial"/>
                      <w:sz w:val="20"/>
                      <w:szCs w:val="20"/>
                    </w:rPr>
                    <w:t xml:space="preserve"> N° </w:t>
                  </w:r>
                  <w:r w:rsidR="0024428C">
                    <w:rPr>
                      <w:rFonts w:ascii="Arial" w:hAnsi="Arial" w:cs="Arial"/>
                      <w:sz w:val="20"/>
                      <w:szCs w:val="20"/>
                    </w:rPr>
                    <w:t>0695</w:t>
                  </w:r>
                  <w:r w:rsidR="00530C7F">
                    <w:rPr>
                      <w:rFonts w:ascii="Arial" w:hAnsi="Arial" w:cs="Arial"/>
                      <w:sz w:val="20"/>
                      <w:szCs w:val="20"/>
                    </w:rPr>
                    <w:t>-</w:t>
                  </w:r>
                  <w:r w:rsidR="0024428C">
                    <w:rPr>
                      <w:rFonts w:ascii="Arial" w:hAnsi="Arial" w:cs="Arial"/>
                      <w:sz w:val="20"/>
                      <w:szCs w:val="20"/>
                    </w:rPr>
                    <w:t>2012</w:t>
                  </w:r>
                  <w:r w:rsidR="00530C7F">
                    <w:rPr>
                      <w:rFonts w:ascii="Arial" w:hAnsi="Arial" w:cs="Arial"/>
                      <w:sz w:val="20"/>
                      <w:szCs w:val="20"/>
                    </w:rPr>
                    <w:t>-INIA</w:t>
                  </w:r>
                  <w:r w:rsidR="0024428C">
                    <w:rPr>
                      <w:rFonts w:ascii="Arial" w:hAnsi="Arial" w:cs="Arial"/>
                      <w:sz w:val="20"/>
                      <w:szCs w:val="20"/>
                    </w:rPr>
                    <w:t>/J</w:t>
                  </w:r>
                  <w:r w:rsidR="00530C7F">
                    <w:rPr>
                      <w:rFonts w:ascii="Arial" w:hAnsi="Arial" w:cs="Arial"/>
                      <w:sz w:val="20"/>
                      <w:szCs w:val="20"/>
                    </w:rPr>
                    <w:t xml:space="preserve"> del </w:t>
                  </w:r>
                  <w:r w:rsidR="0024428C">
                    <w:rPr>
                      <w:rFonts w:ascii="Arial" w:hAnsi="Arial" w:cs="Arial"/>
                      <w:sz w:val="20"/>
                      <w:szCs w:val="20"/>
                    </w:rPr>
                    <w:t>19 jul</w:t>
                  </w:r>
                  <w:r w:rsidR="00530C7F">
                    <w:rPr>
                      <w:rFonts w:ascii="Arial" w:hAnsi="Arial" w:cs="Arial"/>
                      <w:sz w:val="20"/>
                      <w:szCs w:val="20"/>
                    </w:rPr>
                    <w:t xml:space="preserve">.13 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</w:rPr>
                    <w:t>del MINAG</w:t>
                  </w:r>
                  <w:r w:rsidR="000634C8">
                    <w:rPr>
                      <w:rFonts w:ascii="Arial" w:hAnsi="Arial" w:cs="Arial"/>
                      <w:sz w:val="20"/>
                      <w:szCs w:val="20"/>
                    </w:rPr>
                    <w:t>RI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</w:rPr>
                    <w:t xml:space="preserve">, </w:t>
                  </w:r>
                  <w:r w:rsidR="00530C7F">
                    <w:rPr>
                      <w:rFonts w:ascii="Arial" w:hAnsi="Arial" w:cs="Arial"/>
                      <w:sz w:val="20"/>
                      <w:szCs w:val="20"/>
                    </w:rPr>
                    <w:t xml:space="preserve">con el cual se </w:t>
                  </w:r>
                  <w:r w:rsidR="0024428C">
                    <w:rPr>
                      <w:rFonts w:ascii="Arial" w:hAnsi="Arial" w:cs="Arial"/>
                      <w:sz w:val="20"/>
                      <w:szCs w:val="20"/>
                    </w:rPr>
                    <w:t xml:space="preserve">remite el </w:t>
                  </w:r>
                  <w:r w:rsidR="00530C7F">
                    <w:rPr>
                      <w:rFonts w:ascii="Arial" w:hAnsi="Arial" w:cs="Arial"/>
                      <w:sz w:val="20"/>
                      <w:szCs w:val="20"/>
                    </w:rPr>
                    <w:t>inform</w:t>
                  </w:r>
                  <w:r w:rsidR="0024428C"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r w:rsidR="00530C7F">
                    <w:rPr>
                      <w:rFonts w:ascii="Arial" w:hAnsi="Arial" w:cs="Arial"/>
                      <w:sz w:val="20"/>
                      <w:szCs w:val="20"/>
                    </w:rPr>
                    <w:t xml:space="preserve"> sobre la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</w:rPr>
                    <w:t xml:space="preserve"> evaluación, donde se reporta el desempeño de las entidades en el ejercicio de las funciones delegadas.</w:t>
                  </w:r>
                </w:p>
                <w:p w:rsidR="00377F27" w:rsidRPr="00AA7E12" w:rsidRDefault="00377F27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15" w:type="dxa"/>
                </w:tcPr>
                <w:p w:rsidR="00377F27" w:rsidRPr="00AA7E12" w:rsidRDefault="0024428C" w:rsidP="00F36E89">
                  <w:pPr>
                    <w:framePr w:hSpace="141" w:wrap="around" w:vAnchor="text" w:hAnchor="text" w:y="1"/>
                    <w:ind w:left="27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Cumplido</w:t>
                  </w:r>
                  <w:r w:rsidR="00A26F05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</w:tr>
            <w:tr w:rsidR="00377F27" w:rsidRPr="00AA7E12" w:rsidTr="0095619D">
              <w:tc>
                <w:tcPr>
                  <w:tcW w:w="4629" w:type="dxa"/>
                </w:tcPr>
                <w:p w:rsidR="00377F27" w:rsidRDefault="00377F27" w:rsidP="00F36E89">
                  <w:pPr>
                    <w:pStyle w:val="Sinespaciado1"/>
                    <w:framePr w:hSpace="141" w:wrap="around" w:vAnchor="text" w:hAnchor="text" w:y="1"/>
                    <w:numPr>
                      <w:ilvl w:val="0"/>
                      <w:numId w:val="6"/>
                    </w:numPr>
                    <w:ind w:left="426" w:hanging="284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Fortalecimiento de las capacidades del INIA, que incluye;</w:t>
                  </w:r>
                </w:p>
                <w:p w:rsidR="00377F27" w:rsidRDefault="00377F27" w:rsidP="00F36E89">
                  <w:pPr>
                    <w:pStyle w:val="Sinespaciado1"/>
                    <w:framePr w:hSpace="141" w:wrap="around" w:vAnchor="text" w:hAnchor="text" w:y="1"/>
                    <w:numPr>
                      <w:ilvl w:val="1"/>
                      <w:numId w:val="5"/>
                    </w:numPr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Nuevo ROF del INIA</w:t>
                  </w:r>
                  <w:r w:rsidR="0046142D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en trámite de aprobación.</w:t>
                  </w:r>
                </w:p>
                <w:p w:rsidR="008A2B47" w:rsidRDefault="008A2B47" w:rsidP="00F36E89">
                  <w:pPr>
                    <w:framePr w:hSpace="141" w:wrap="around" w:vAnchor="text" w:hAnchor="text" w:y="1"/>
                    <w:numPr>
                      <w:ilvl w:val="1"/>
                      <w:numId w:val="5"/>
                    </w:numPr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Inicio de trámite para la transformación del INIA en un organismo técnico especializado (OTE)</w:t>
                  </w:r>
                </w:p>
                <w:p w:rsidR="00377F27" w:rsidRDefault="009D3F9A" w:rsidP="00F36E89">
                  <w:pPr>
                    <w:framePr w:hSpace="141" w:wrap="around" w:vAnchor="text" w:hAnchor="text" w:y="1"/>
                    <w:numPr>
                      <w:ilvl w:val="1"/>
                      <w:numId w:val="5"/>
                    </w:numPr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Lineamientos generales de la </w:t>
                  </w:r>
                  <w:r w:rsidR="00377F27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Estrategia de Recursos Humanos.</w:t>
                  </w:r>
                </w:p>
                <w:p w:rsidR="00377F27" w:rsidRDefault="00377F27" w:rsidP="00F36E89">
                  <w:pPr>
                    <w:pStyle w:val="Sinespaciado1"/>
                    <w:framePr w:hSpace="141" w:wrap="around" w:vAnchor="text" w:hAnchor="text" w:y="1"/>
                    <w:ind w:left="426"/>
                    <w:suppressOverlap/>
                    <w:jc w:val="center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4629" w:type="dxa"/>
                </w:tcPr>
                <w:p w:rsidR="00377F27" w:rsidRDefault="00377F27" w:rsidP="00F36E89">
                  <w:pPr>
                    <w:framePr w:hSpace="141" w:wrap="around" w:vAnchor="text" w:hAnchor="text" w:y="1"/>
                    <w:ind w:left="29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Oficio </w:t>
                  </w:r>
                  <w:r w:rsidR="00FA085B">
                    <w:rPr>
                      <w:rFonts w:ascii="Arial" w:hAnsi="Arial" w:cs="Arial"/>
                      <w:sz w:val="20"/>
                      <w:szCs w:val="20"/>
                    </w:rPr>
                    <w:t xml:space="preserve">N° 0648-2013-INIA-OGP-OP/J del 05 jul.13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del </w:t>
                  </w:r>
                  <w:r w:rsidR="00FA085B">
                    <w:rPr>
                      <w:rFonts w:ascii="Arial" w:hAnsi="Arial" w:cs="Arial"/>
                      <w:sz w:val="20"/>
                      <w:szCs w:val="20"/>
                    </w:rPr>
                    <w:t xml:space="preserve">INIA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remitiendo nuevo ROF</w:t>
                  </w:r>
                  <w:r w:rsidR="009D3F9A">
                    <w:rPr>
                      <w:rFonts w:ascii="Arial" w:hAnsi="Arial" w:cs="Arial"/>
                      <w:sz w:val="20"/>
                      <w:szCs w:val="20"/>
                    </w:rPr>
                    <w:t xml:space="preserve"> a</w:t>
                  </w:r>
                  <w:r w:rsidR="00FA085B">
                    <w:rPr>
                      <w:rFonts w:ascii="Arial" w:hAnsi="Arial" w:cs="Arial"/>
                      <w:sz w:val="20"/>
                      <w:szCs w:val="20"/>
                    </w:rPr>
                    <w:t xml:space="preserve">l </w:t>
                  </w:r>
                  <w:r w:rsidR="009D3F9A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FA085B">
                    <w:rPr>
                      <w:rFonts w:ascii="Arial" w:hAnsi="Arial" w:cs="Arial"/>
                      <w:sz w:val="20"/>
                      <w:szCs w:val="20"/>
                    </w:rPr>
                    <w:t>MINAG</w:t>
                  </w:r>
                  <w:r w:rsidR="0046142D">
                    <w:rPr>
                      <w:rFonts w:ascii="Arial" w:hAnsi="Arial" w:cs="Arial"/>
                      <w:sz w:val="20"/>
                      <w:szCs w:val="20"/>
                    </w:rPr>
                    <w:t>RI</w:t>
                  </w:r>
                  <w:r w:rsidR="009D3F9A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:rsidR="00C727F0" w:rsidRDefault="00C727F0" w:rsidP="00F36E89">
                  <w:pPr>
                    <w:framePr w:hSpace="141" w:wrap="around" w:vAnchor="text" w:hAnchor="text" w:y="1"/>
                    <w:ind w:left="29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727F0" w:rsidRDefault="00C727F0" w:rsidP="00F36E89">
                  <w:pPr>
                    <w:framePr w:hSpace="141" w:wrap="around" w:vAnchor="text" w:hAnchor="text" w:y="1"/>
                    <w:ind w:left="29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  <w:lang w:val="es-AR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AR"/>
                    </w:rPr>
                    <w:t>Oficio</w:t>
                  </w:r>
                  <w:r w:rsidR="00FA085B">
                    <w:rPr>
                      <w:rFonts w:ascii="Arial" w:hAnsi="Arial" w:cs="Arial"/>
                      <w:sz w:val="20"/>
                      <w:szCs w:val="20"/>
                      <w:lang w:val="es-AR"/>
                    </w:rPr>
                    <w:t xml:space="preserve"> N° 569-2013-INIA-OGP/OP del 05 jul.13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AR"/>
                    </w:rPr>
                    <w:t xml:space="preserve"> del </w:t>
                  </w:r>
                  <w:r w:rsidR="00FA085B">
                    <w:rPr>
                      <w:rFonts w:ascii="Arial" w:hAnsi="Arial" w:cs="Arial"/>
                      <w:sz w:val="20"/>
                      <w:szCs w:val="20"/>
                      <w:lang w:val="es-AR"/>
                    </w:rPr>
                    <w:t xml:space="preserve">INIA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AR"/>
                    </w:rPr>
                    <w:t>a</w:t>
                  </w:r>
                  <w:r w:rsidR="00FA085B">
                    <w:rPr>
                      <w:rFonts w:ascii="Arial" w:hAnsi="Arial" w:cs="Arial"/>
                      <w:sz w:val="20"/>
                      <w:szCs w:val="20"/>
                      <w:lang w:val="es-AR"/>
                    </w:rPr>
                    <w:t>l MINAG</w:t>
                  </w:r>
                  <w:r w:rsidR="0046142D">
                    <w:rPr>
                      <w:rFonts w:ascii="Arial" w:hAnsi="Arial" w:cs="Arial"/>
                      <w:sz w:val="20"/>
                      <w:szCs w:val="20"/>
                      <w:lang w:val="es-AR"/>
                    </w:rPr>
                    <w:t>RI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AR"/>
                    </w:rPr>
                    <w:t xml:space="preserve"> </w:t>
                  </w:r>
                  <w:r w:rsidR="00FA085B">
                    <w:rPr>
                      <w:rFonts w:ascii="Arial" w:hAnsi="Arial" w:cs="Arial"/>
                      <w:sz w:val="20"/>
                      <w:szCs w:val="20"/>
                      <w:lang w:val="es-AR"/>
                    </w:rPr>
                    <w:t>remitiendo el informe sobre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AR"/>
                    </w:rPr>
                    <w:t xml:space="preserve"> de transformación del INIA en OTE.</w:t>
                  </w:r>
                </w:p>
                <w:p w:rsidR="009D3F9A" w:rsidRDefault="009D3F9A" w:rsidP="00F36E89">
                  <w:pPr>
                    <w:framePr w:hSpace="141" w:wrap="around" w:vAnchor="text" w:hAnchor="text" w:y="1"/>
                    <w:ind w:left="29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  <w:lang w:val="es-AR"/>
                    </w:rPr>
                  </w:pPr>
                </w:p>
                <w:p w:rsidR="009D3F9A" w:rsidRDefault="009D3F9A" w:rsidP="00F36E89">
                  <w:pPr>
                    <w:framePr w:hSpace="141" w:wrap="around" w:vAnchor="text" w:hAnchor="text" w:y="1"/>
                    <w:ind w:left="29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  <w:lang w:val="es-AR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AR"/>
                    </w:rPr>
                    <w:t xml:space="preserve">Oficio </w:t>
                  </w:r>
                  <w:r w:rsidR="00FA085B">
                    <w:rPr>
                      <w:rFonts w:ascii="Arial" w:hAnsi="Arial" w:cs="Arial"/>
                      <w:sz w:val="20"/>
                      <w:szCs w:val="20"/>
                      <w:lang w:val="es-AR"/>
                    </w:rPr>
                    <w:t xml:space="preserve">N° </w:t>
                  </w:r>
                  <w:r w:rsidR="00FA085B">
                    <w:rPr>
                      <w:rFonts w:ascii="Arial" w:hAnsi="Arial" w:cs="Arial"/>
                      <w:sz w:val="20"/>
                      <w:szCs w:val="20"/>
                    </w:rPr>
                    <w:t xml:space="preserve">0655-2013-INIA-OGP/J del 05 jul.13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AR"/>
                    </w:rPr>
                    <w:t>del INIA remitiendo los lineamientos generales sobre la estrategia de recursos humanos.</w:t>
                  </w:r>
                </w:p>
                <w:p w:rsidR="00C51E40" w:rsidRDefault="00C51E40" w:rsidP="00F36E89">
                  <w:pPr>
                    <w:framePr w:hSpace="141" w:wrap="around" w:vAnchor="text" w:hAnchor="text" w:y="1"/>
                    <w:ind w:left="29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377F27" w:rsidRPr="00AA7E12" w:rsidRDefault="00377F27" w:rsidP="00F36E89">
                  <w:pPr>
                    <w:framePr w:hSpace="141" w:wrap="around" w:vAnchor="text" w:hAnchor="text" w:y="1"/>
                    <w:ind w:left="287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15" w:type="dxa"/>
                </w:tcPr>
                <w:p w:rsidR="0046142D" w:rsidRDefault="00FA085B" w:rsidP="00F36E89">
                  <w:pPr>
                    <w:framePr w:hSpace="141" w:wrap="around" w:vAnchor="text" w:hAnchor="text" w:y="1"/>
                    <w:ind w:left="27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Cumplido. </w:t>
                  </w:r>
                </w:p>
                <w:p w:rsidR="0046142D" w:rsidRPr="00AA7E12" w:rsidRDefault="0046142D" w:rsidP="00F36E89">
                  <w:pPr>
                    <w:framePr w:hSpace="141" w:wrap="around" w:vAnchor="text" w:hAnchor="text" w:y="1"/>
                    <w:ind w:left="27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917A40" w:rsidRPr="001B6BF3" w:rsidRDefault="00917A40" w:rsidP="001045E2">
            <w:pPr>
              <w:pStyle w:val="Sinespaciado1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146" w:rsidRPr="00944636" w:rsidTr="009E0146">
        <w:tc>
          <w:tcPr>
            <w:tcW w:w="5000" w:type="pct"/>
            <w:tcBorders>
              <w:top w:val="single" w:sz="4" w:space="0" w:color="auto"/>
              <w:bottom w:val="single" w:sz="4" w:space="0" w:color="000000"/>
            </w:tcBorders>
          </w:tcPr>
          <w:p w:rsidR="009E0146" w:rsidRPr="001B6BF3" w:rsidRDefault="009E0146" w:rsidP="00C51E40">
            <w:pPr>
              <w:keepNext/>
              <w:numPr>
                <w:ilvl w:val="0"/>
                <w:numId w:val="3"/>
              </w:numPr>
              <w:ind w:left="284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4636">
              <w:rPr>
                <w:rFonts w:ascii="Arial" w:hAnsi="Arial" w:cs="Arial"/>
                <w:b/>
                <w:sz w:val="20"/>
                <w:szCs w:val="20"/>
              </w:rPr>
              <w:t>Fortalecimiento del Sistema de Información de Estadísticas Agrarias</w:t>
            </w:r>
            <w:r w:rsidR="00EE5505">
              <w:rPr>
                <w:rFonts w:ascii="Arial" w:hAnsi="Arial" w:cs="Arial"/>
                <w:b/>
                <w:sz w:val="20"/>
                <w:szCs w:val="20"/>
              </w:rPr>
              <w:t xml:space="preserve"> (SIEA).</w:t>
            </w:r>
          </w:p>
          <w:p w:rsidR="00917A40" w:rsidRDefault="00917A40" w:rsidP="00C51E40">
            <w:pPr>
              <w:keepNext/>
              <w:ind w:left="14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17A40" w:rsidRDefault="001B6BF3" w:rsidP="00C51E40">
            <w:pPr>
              <w:keepNext/>
              <w:ind w:left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A40">
              <w:rPr>
                <w:rFonts w:ascii="Arial" w:hAnsi="Arial" w:cs="Arial"/>
                <w:sz w:val="20"/>
                <w:szCs w:val="20"/>
                <w:u w:val="single"/>
              </w:rPr>
              <w:t>Objetivo</w:t>
            </w:r>
            <w:r w:rsidRPr="001B6BF3">
              <w:rPr>
                <w:rFonts w:ascii="Arial" w:hAnsi="Arial" w:cs="Arial"/>
                <w:sz w:val="20"/>
                <w:szCs w:val="20"/>
              </w:rPr>
              <w:t xml:space="preserve">.- </w:t>
            </w:r>
            <w:r w:rsidRPr="001B6BF3">
              <w:t xml:space="preserve"> </w:t>
            </w:r>
            <w:r w:rsidRPr="001B6BF3">
              <w:rPr>
                <w:rFonts w:ascii="Arial" w:hAnsi="Arial" w:cs="Arial"/>
                <w:sz w:val="20"/>
                <w:szCs w:val="20"/>
              </w:rPr>
              <w:t>Fortalecer  el Sistema Integrado de Estadística Agraria, destinada a atender un amplio conjunto de usuarios, para la toma de decisiones.</w:t>
            </w:r>
          </w:p>
          <w:p w:rsidR="001B6BF3" w:rsidRDefault="001B6BF3" w:rsidP="001B6BF3">
            <w:pPr>
              <w:ind w:left="142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A40">
              <w:rPr>
                <w:rFonts w:ascii="Arial" w:hAnsi="Arial" w:cs="Arial"/>
                <w:sz w:val="20"/>
                <w:szCs w:val="20"/>
                <w:u w:val="single"/>
              </w:rPr>
              <w:t>Responsable</w:t>
            </w:r>
            <w:r>
              <w:rPr>
                <w:rFonts w:ascii="Arial" w:hAnsi="Arial" w:cs="Arial"/>
                <w:sz w:val="20"/>
                <w:szCs w:val="20"/>
              </w:rPr>
              <w:t xml:space="preserve">.- </w:t>
            </w:r>
            <w:r w:rsidRPr="0094463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Oficina de Estudios Económicos y Estadísticos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(OEEE) – Ministerio de Agricultura </w:t>
            </w:r>
            <w:r w:rsidR="000634C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y Riego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(MINAG</w:t>
            </w:r>
            <w:r w:rsidR="000634C8">
              <w:rPr>
                <w:rFonts w:ascii="Arial" w:hAnsi="Arial" w:cs="Arial"/>
                <w:sz w:val="20"/>
                <w:szCs w:val="20"/>
                <w:lang w:val="es-ES_tradnl"/>
              </w:rPr>
              <w:t>RI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).</w:t>
            </w:r>
          </w:p>
          <w:p w:rsidR="00917A40" w:rsidRDefault="00917A40" w:rsidP="001B6BF3">
            <w:pPr>
              <w:ind w:left="14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14073" w:type="dxa"/>
              <w:tblInd w:w="1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29"/>
              <w:gridCol w:w="4629"/>
              <w:gridCol w:w="4815"/>
            </w:tblGrid>
            <w:tr w:rsidR="00377F27" w:rsidRPr="00760E5C" w:rsidTr="0095619D">
              <w:tc>
                <w:tcPr>
                  <w:tcW w:w="4629" w:type="dxa"/>
                </w:tcPr>
                <w:p w:rsidR="00377F27" w:rsidRPr="00760E5C" w:rsidRDefault="00377F27" w:rsidP="00F36E89">
                  <w:pPr>
                    <w:framePr w:hSpace="141" w:wrap="around" w:vAnchor="text" w:hAnchor="text" w:y="1"/>
                    <w:ind w:left="142"/>
                    <w:suppressOverlap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</w:pPr>
                  <w:r w:rsidRPr="00760E5C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  <w:lang w:val="es-ES_tradnl"/>
                    </w:rPr>
                    <w:t>Compromisos</w:t>
                  </w:r>
                  <w:r w:rsidRPr="00760E5C"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  <w:t>.-</w:t>
                  </w:r>
                </w:p>
              </w:tc>
              <w:tc>
                <w:tcPr>
                  <w:tcW w:w="4629" w:type="dxa"/>
                </w:tcPr>
                <w:p w:rsidR="00377F27" w:rsidRPr="00760E5C" w:rsidRDefault="00377F27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</w:pPr>
                  <w:r w:rsidRPr="00760E5C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  <w:lang w:val="es-ES_tradnl"/>
                    </w:rPr>
                    <w:t>Medio probatorio</w:t>
                  </w:r>
                  <w:r w:rsidRPr="00760E5C"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  <w:t>.-</w:t>
                  </w:r>
                </w:p>
              </w:tc>
              <w:tc>
                <w:tcPr>
                  <w:tcW w:w="4815" w:type="dxa"/>
                </w:tcPr>
                <w:p w:rsidR="00377F27" w:rsidRPr="00760E5C" w:rsidRDefault="00377F27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  <w:lang w:val="es-ES_tradnl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  <w:lang w:val="es-ES_tradnl"/>
                    </w:rPr>
                    <w:t>Observaciones.-</w:t>
                  </w:r>
                </w:p>
              </w:tc>
            </w:tr>
            <w:tr w:rsidR="00377F27" w:rsidRPr="00AA7E12" w:rsidTr="0095619D">
              <w:tc>
                <w:tcPr>
                  <w:tcW w:w="4629" w:type="dxa"/>
                </w:tcPr>
                <w:p w:rsidR="00377F27" w:rsidRPr="00AA7E12" w:rsidRDefault="00E50BFA" w:rsidP="00F36E89">
                  <w:pPr>
                    <w:pStyle w:val="Sinespaciado1"/>
                    <w:framePr w:hSpace="141" w:wrap="around" w:vAnchor="text" w:hAnchor="text" w:y="1"/>
                    <w:numPr>
                      <w:ilvl w:val="0"/>
                      <w:numId w:val="7"/>
                    </w:numPr>
                    <w:ind w:left="426" w:hanging="284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Propuesta </w:t>
                  </w:r>
                  <w:r w:rsidR="0091586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del </w:t>
                  </w:r>
                  <w:r w:rsidR="00377F27"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Plan Estratégico del Sistema Integrado de Estadística Agraria</w:t>
                  </w:r>
                  <w:r w:rsidR="0091586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(PE)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, aprobado por el Comité </w:t>
                  </w:r>
                  <w:r w:rsidR="0049106B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Técnico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del Sistema Integrado de </w:t>
                  </w:r>
                  <w:r w:rsidR="0049106B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Estadística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Agraria</w:t>
                  </w:r>
                  <w:r w:rsidR="00377F27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, con el cual se busca mejorar la gobernabilidad</w:t>
                  </w:r>
                  <w:r w:rsidR="006D693C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</w:t>
                  </w:r>
                  <w:r w:rsidR="007B517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y</w:t>
                  </w:r>
                  <w:r w:rsidR="00377F27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calidad de la información estadística</w:t>
                  </w:r>
                  <w:r w:rsidR="007B517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. El Plan contendrá </w:t>
                  </w:r>
                  <w:r w:rsidR="00BE01CC" w:rsidRPr="00CF77C8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un plan de monitoreo y evaluación </w:t>
                  </w:r>
                  <w:r w:rsidR="007B517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para evaluar el desempeño de su implementación</w:t>
                  </w:r>
                  <w:r w:rsidR="00377F27"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. </w:t>
                  </w:r>
                </w:p>
              </w:tc>
              <w:tc>
                <w:tcPr>
                  <w:tcW w:w="4629" w:type="dxa"/>
                </w:tcPr>
                <w:p w:rsidR="00377F27" w:rsidRPr="00AA7E12" w:rsidRDefault="00377F27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Oficio </w:t>
                  </w:r>
                  <w:r w:rsidR="00126D9E">
                    <w:rPr>
                      <w:rFonts w:ascii="Arial" w:hAnsi="Arial" w:cs="Arial"/>
                      <w:sz w:val="20"/>
                      <w:szCs w:val="20"/>
                    </w:rPr>
                    <w:t xml:space="preserve">N° 2172-2013-MINAGRI-OPP/UPS del 16 jul.13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del MINAG</w:t>
                  </w:r>
                  <w:r w:rsidR="0086578C">
                    <w:rPr>
                      <w:rFonts w:ascii="Arial" w:hAnsi="Arial" w:cs="Arial"/>
                      <w:sz w:val="20"/>
                      <w:szCs w:val="20"/>
                    </w:rPr>
                    <w:t>RI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, remitiendo la </w:t>
                  </w:r>
                  <w:r w:rsidR="00DD4787">
                    <w:rPr>
                      <w:rFonts w:ascii="Arial" w:hAnsi="Arial" w:cs="Arial"/>
                      <w:sz w:val="20"/>
                      <w:szCs w:val="20"/>
                    </w:rPr>
                    <w:t xml:space="preserve">propuesta del PE y el Acta del </w:t>
                  </w:r>
                  <w:r w:rsidR="00DD4787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Comité </w:t>
                  </w:r>
                  <w:r w:rsidR="00AE5F6B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Técnico</w:t>
                  </w:r>
                  <w:r w:rsidR="00DD4787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del Sistema Integrado de </w:t>
                  </w:r>
                  <w:r w:rsidR="00AE5F6B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Estadística</w:t>
                  </w:r>
                  <w:r w:rsidR="00DD4787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Agraria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815" w:type="dxa"/>
                </w:tcPr>
                <w:p w:rsidR="00377F27" w:rsidRDefault="00126D9E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Cumplido</w:t>
                  </w:r>
                  <w:r w:rsidR="009A21A1">
                    <w:rPr>
                      <w:rFonts w:ascii="Arial" w:hAnsi="Arial" w:cs="Arial"/>
                      <w:sz w:val="20"/>
                      <w:szCs w:val="20"/>
                    </w:rPr>
                    <w:t xml:space="preserve">. </w:t>
                  </w:r>
                </w:p>
              </w:tc>
            </w:tr>
            <w:tr w:rsidR="00377F27" w:rsidRPr="00AA7E12" w:rsidTr="0095619D">
              <w:tc>
                <w:tcPr>
                  <w:tcW w:w="4629" w:type="dxa"/>
                </w:tcPr>
                <w:p w:rsidR="00377F27" w:rsidRPr="00AA7E12" w:rsidRDefault="00377F27" w:rsidP="00F36E89">
                  <w:pPr>
                    <w:pStyle w:val="Sinespaciado1"/>
                    <w:framePr w:hSpace="141" w:wrap="around" w:vAnchor="text" w:hAnchor="text" w:y="1"/>
                    <w:numPr>
                      <w:ilvl w:val="0"/>
                      <w:numId w:val="7"/>
                    </w:numPr>
                    <w:ind w:left="426" w:hanging="284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Evaluación de </w:t>
                  </w:r>
                  <w:r w:rsidR="0049106B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la aplicación</w:t>
                  </w:r>
                  <w:r w:rsidR="0073646A"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de la metodología probabilística</w:t>
                  </w:r>
                  <w:r w:rsidR="0073646A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utilizando marcos de área para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la generación de estadísticas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, </w:t>
                  </w:r>
                  <w:r w:rsidR="00E206A3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para las regiones de Arequipa, Ica y Lima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.</w:t>
                  </w:r>
                </w:p>
              </w:tc>
              <w:tc>
                <w:tcPr>
                  <w:tcW w:w="4629" w:type="dxa"/>
                </w:tcPr>
                <w:p w:rsidR="00377F27" w:rsidRDefault="00377F27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Oficio</w:t>
                  </w:r>
                  <w:r w:rsidR="00A86616">
                    <w:rPr>
                      <w:rFonts w:ascii="Arial" w:hAnsi="Arial" w:cs="Arial"/>
                      <w:sz w:val="20"/>
                      <w:szCs w:val="20"/>
                    </w:rPr>
                    <w:t xml:space="preserve"> N° 1617-2013-AG-OPP/UPS del 04 jun.13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del MINAG</w:t>
                  </w:r>
                  <w:r w:rsidR="000634C8">
                    <w:rPr>
                      <w:rFonts w:ascii="Arial" w:hAnsi="Arial" w:cs="Arial"/>
                      <w:sz w:val="20"/>
                      <w:szCs w:val="20"/>
                    </w:rPr>
                    <w:t>RI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, remitiendo el informe de evaluación de la metodología aprobado por la OEEE. </w:t>
                  </w:r>
                </w:p>
                <w:p w:rsidR="00221F8E" w:rsidRDefault="00221F8E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221F8E" w:rsidRPr="00AA7E12" w:rsidRDefault="0023379D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Oficio N° 0400-2013-AG-OEEE/DG del 19 jul.13, con el cual el MINAG remite el documento de trabajo de la evaluación de los principales componentes de la Encuesta realizada en los departamentos de Lima, Ica y Arequipa, en el marco de la Encuesta Nacional Agropecuaria (ENA)-2011.</w:t>
                  </w:r>
                </w:p>
              </w:tc>
              <w:tc>
                <w:tcPr>
                  <w:tcW w:w="4815" w:type="dxa"/>
                </w:tcPr>
                <w:p w:rsidR="00377F27" w:rsidRDefault="00CF77C8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Cumplido</w:t>
                  </w:r>
                  <w:r w:rsidR="0023379D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</w:tr>
            <w:tr w:rsidR="00377F27" w:rsidRPr="00AA7E12" w:rsidTr="0095619D">
              <w:tc>
                <w:tcPr>
                  <w:tcW w:w="4629" w:type="dxa"/>
                </w:tcPr>
                <w:p w:rsidR="00377F27" w:rsidRPr="00AA7E12" w:rsidRDefault="00377F27" w:rsidP="00F36E89">
                  <w:pPr>
                    <w:pStyle w:val="Sinespaciado1"/>
                    <w:framePr w:hSpace="141" w:wrap="around" w:vAnchor="text" w:hAnchor="text" w:y="1"/>
                    <w:numPr>
                      <w:ilvl w:val="0"/>
                      <w:numId w:val="7"/>
                    </w:numPr>
                    <w:ind w:left="426" w:hanging="284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Perfil del proyecto de inversión </w:t>
                  </w:r>
                  <w:r w:rsidR="0046142D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aprobado por el SNIP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, el cual incluye dos líneas de acción: a) </w:t>
                  </w:r>
                  <w:r w:rsidR="006E699E" w:rsidRPr="003C2E0E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mejoramiento del sistema de información de estadística </w:t>
                  </w:r>
                  <w:proofErr w:type="gramStart"/>
                  <w:r w:rsidR="006E699E" w:rsidRPr="003C2E0E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agraria</w:t>
                  </w:r>
                  <w:r w:rsidR="006E699E" w:rsidDel="006E699E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,</w:t>
                  </w:r>
                  <w:proofErr w:type="gramEnd"/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y b) </w:t>
                  </w:r>
                  <w:r w:rsidR="006E699E" w:rsidRPr="003C2E0E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mejoramiento del servicio de información agraria con la implementación del sistema GD  (Generación y Difusión) </w:t>
                  </w:r>
                  <w:r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.  </w:t>
                  </w:r>
                </w:p>
              </w:tc>
              <w:tc>
                <w:tcPr>
                  <w:tcW w:w="4629" w:type="dxa"/>
                </w:tcPr>
                <w:p w:rsidR="00377F27" w:rsidRDefault="00377F27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Oficio</w:t>
                  </w:r>
                  <w:r w:rsidR="00A86616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DC7054" w:rsidRPr="007A30D6">
                    <w:rPr>
                      <w:rFonts w:ascii="Arial" w:hAnsi="Arial" w:cs="Arial"/>
                      <w:sz w:val="20"/>
                      <w:szCs w:val="20"/>
                    </w:rPr>
                    <w:t xml:space="preserve">N° 1099-2013-AG-OPP/UPS, del </w:t>
                  </w:r>
                  <w:r w:rsidR="005F2B62">
                    <w:rPr>
                      <w:rFonts w:ascii="Arial" w:hAnsi="Arial" w:cs="Arial"/>
                      <w:sz w:val="20"/>
                      <w:szCs w:val="20"/>
                    </w:rPr>
                    <w:t>03</w:t>
                  </w:r>
                  <w:r w:rsidR="00DC7054" w:rsidRPr="007A30D6">
                    <w:rPr>
                      <w:rFonts w:ascii="Arial" w:hAnsi="Arial" w:cs="Arial"/>
                      <w:sz w:val="20"/>
                      <w:szCs w:val="20"/>
                    </w:rPr>
                    <w:t xml:space="preserve"> may.13,</w:t>
                  </w:r>
                  <w:r w:rsidR="00DC7054">
                    <w:rPr>
                      <w:rFonts w:cs="Arial"/>
                      <w:i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del MINAG</w:t>
                  </w:r>
                  <w:r w:rsidR="000634C8">
                    <w:rPr>
                      <w:rFonts w:ascii="Arial" w:hAnsi="Arial" w:cs="Arial"/>
                      <w:sz w:val="20"/>
                      <w:szCs w:val="20"/>
                    </w:rPr>
                    <w:t>RI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, remitiendo</w:t>
                  </w:r>
                  <w:r w:rsidR="007B5172">
                    <w:rPr>
                      <w:rFonts w:ascii="Arial" w:hAnsi="Arial" w:cs="Arial"/>
                      <w:sz w:val="20"/>
                      <w:szCs w:val="20"/>
                    </w:rPr>
                    <w:t xml:space="preserve"> 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nforme de aprobación del perfil por parte de la OPI sectorial.</w:t>
                  </w:r>
                </w:p>
                <w:p w:rsidR="007B07C1" w:rsidRDefault="007B07C1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7B07C1" w:rsidRPr="00AA7E12" w:rsidRDefault="007B07C1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Oficio N° 3258-2013-EF/63.01 del 24 jun.13 del MEF mediante el cual da conformidad a la evaluación del Proyecto y autoriza la elaboración del estudio de factibilidad.</w:t>
                  </w:r>
                </w:p>
              </w:tc>
              <w:tc>
                <w:tcPr>
                  <w:tcW w:w="4815" w:type="dxa"/>
                </w:tcPr>
                <w:p w:rsidR="00377F27" w:rsidRDefault="007B07C1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Cumplido</w:t>
                  </w:r>
                  <w:r w:rsidR="004F06F2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</w:tr>
            <w:tr w:rsidR="00377F27" w:rsidRPr="00AA7E12" w:rsidTr="0095619D">
              <w:tc>
                <w:tcPr>
                  <w:tcW w:w="4629" w:type="dxa"/>
                </w:tcPr>
                <w:p w:rsidR="00377F27" w:rsidRPr="00AA7E12" w:rsidRDefault="005A3D04" w:rsidP="00F36E89">
                  <w:pPr>
                    <w:pStyle w:val="Sinespaciado1"/>
                    <w:framePr w:hSpace="141" w:wrap="around" w:vAnchor="text" w:hAnchor="text" w:y="1"/>
                    <w:numPr>
                      <w:ilvl w:val="0"/>
                      <w:numId w:val="7"/>
                    </w:numPr>
                    <w:ind w:left="426" w:hanging="284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IV Censo Nacional Agropecuario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realizado y  r</w:t>
                  </w:r>
                  <w:r w:rsidR="00377F27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esultados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de las principales variables </w:t>
                  </w:r>
                  <w:r w:rsidR="008F1E7D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estructurales del sector</w:t>
                  </w:r>
                  <w:r w:rsidR="00DC10A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publicados</w:t>
                  </w:r>
                  <w:r w:rsidR="00377F27" w:rsidRPr="00AA7E12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.</w:t>
                  </w:r>
                </w:p>
              </w:tc>
              <w:tc>
                <w:tcPr>
                  <w:tcW w:w="4629" w:type="dxa"/>
                </w:tcPr>
                <w:p w:rsidR="005855D3" w:rsidRDefault="005855D3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Publicación del IV Censo Nacional Agropecuario mediante el siguiente vínculo:</w:t>
                  </w:r>
                </w:p>
                <w:p w:rsidR="00A85277" w:rsidRPr="00AA7E12" w:rsidRDefault="00F36E89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hyperlink r:id="rId9" w:history="1">
                    <w:r w:rsidR="005855D3" w:rsidRPr="00831BF8">
                      <w:rPr>
                        <w:rStyle w:val="Hyperlink"/>
                        <w:rFonts w:ascii="Arial" w:hAnsi="Arial" w:cs="Arial"/>
                        <w:sz w:val="20"/>
                        <w:szCs w:val="20"/>
                      </w:rPr>
                      <w:t>http://proyectos.inei.gob.pe/CenagroWeb/?id=DERECHA#</w:t>
                    </w:r>
                  </w:hyperlink>
                </w:p>
              </w:tc>
              <w:tc>
                <w:tcPr>
                  <w:tcW w:w="4815" w:type="dxa"/>
                </w:tcPr>
                <w:p w:rsidR="0070501E" w:rsidRDefault="004D530C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Cumplido</w:t>
                  </w:r>
                  <w:r w:rsidR="00377F27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  <w:r w:rsidR="00127BE3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F4310F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:rsidR="00377F27" w:rsidRDefault="00377F27" w:rsidP="00F36E89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917A40" w:rsidRPr="00917A40" w:rsidRDefault="00917A40" w:rsidP="001045E2">
            <w:pPr>
              <w:pStyle w:val="Sinespaciado1"/>
              <w:ind w:left="426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</w:tbl>
    <w:p w:rsidR="00BC1572" w:rsidRPr="00944636" w:rsidRDefault="00BC1572" w:rsidP="002C065E">
      <w:pPr>
        <w:jc w:val="both"/>
        <w:rPr>
          <w:rFonts w:ascii="Arial" w:hAnsi="Arial" w:cs="Arial"/>
        </w:rPr>
      </w:pPr>
    </w:p>
    <w:sectPr w:rsidR="00BC1572" w:rsidRPr="00944636" w:rsidSect="00052929">
      <w:headerReference w:type="default" r:id="rId10"/>
      <w:footerReference w:type="even" r:id="rId11"/>
      <w:pgSz w:w="16840" w:h="11907" w:orient="landscape" w:code="9"/>
      <w:pgMar w:top="1126" w:right="110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BF8" w:rsidRDefault="00831BF8">
      <w:r>
        <w:separator/>
      </w:r>
    </w:p>
  </w:endnote>
  <w:endnote w:type="continuationSeparator" w:id="0">
    <w:p w:rsidR="00831BF8" w:rsidRDefault="00831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3E3" w:rsidRDefault="00360552" w:rsidP="00BC15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223E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223E3" w:rsidRDefault="00E223E3" w:rsidP="00BC157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BF8" w:rsidRDefault="00831BF8">
      <w:r>
        <w:separator/>
      </w:r>
    </w:p>
  </w:footnote>
  <w:footnote w:type="continuationSeparator" w:id="0">
    <w:p w:rsidR="00831BF8" w:rsidRDefault="00831B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E40" w:rsidRDefault="00C51E40" w:rsidP="00052929">
    <w:pPr>
      <w:pStyle w:val="Header"/>
      <w:jc w:val="right"/>
      <w:rPr>
        <w:rFonts w:ascii="Arial" w:hAnsi="Arial" w:cs="Arial"/>
        <w:sz w:val="20"/>
        <w:lang w:val="en-US"/>
      </w:rPr>
    </w:pPr>
    <w:r>
      <w:rPr>
        <w:rFonts w:ascii="Arial" w:hAnsi="Arial" w:cs="Arial"/>
        <w:sz w:val="20"/>
        <w:lang w:val="en-US"/>
      </w:rPr>
      <w:t>PE-L1126</w:t>
    </w:r>
  </w:p>
  <w:p w:rsidR="00E223E3" w:rsidRDefault="005012E5" w:rsidP="00052929">
    <w:pPr>
      <w:pStyle w:val="Header"/>
      <w:jc w:val="right"/>
      <w:rPr>
        <w:rFonts w:ascii="Arial" w:hAnsi="Arial" w:cs="Arial"/>
        <w:b/>
        <w:sz w:val="20"/>
        <w:lang w:val="en-US"/>
      </w:rPr>
    </w:pPr>
    <w:proofErr w:type="spellStart"/>
    <w:r w:rsidRPr="006F38F4">
      <w:rPr>
        <w:rFonts w:ascii="Arial" w:hAnsi="Arial" w:cs="Arial"/>
        <w:sz w:val="20"/>
      </w:rPr>
      <w:t>P</w:t>
    </w:r>
    <w:r w:rsidRPr="006F38F4">
      <w:rPr>
        <w:rFonts w:ascii="Arial" w:hAnsi="Arial" w:cs="Arial"/>
        <w:sz w:val="20"/>
        <w:lang w:val="es-ES"/>
      </w:rPr>
      <w:t>ágina</w:t>
    </w:r>
    <w:proofErr w:type="spellEnd"/>
    <w:r w:rsidR="00BB0FB4" w:rsidRPr="006F38F4">
      <w:rPr>
        <w:rFonts w:ascii="Arial" w:hAnsi="Arial" w:cs="Arial"/>
        <w:sz w:val="20"/>
      </w:rPr>
      <w:t xml:space="preserve"> </w:t>
    </w:r>
    <w:r w:rsidR="00360552" w:rsidRPr="006F38F4">
      <w:rPr>
        <w:rFonts w:ascii="Arial" w:hAnsi="Arial" w:cs="Arial"/>
        <w:b/>
        <w:sz w:val="20"/>
      </w:rPr>
      <w:fldChar w:fldCharType="begin"/>
    </w:r>
    <w:r w:rsidR="00BB0FB4" w:rsidRPr="006F38F4">
      <w:rPr>
        <w:rFonts w:ascii="Arial" w:hAnsi="Arial" w:cs="Arial"/>
        <w:b/>
        <w:sz w:val="20"/>
      </w:rPr>
      <w:instrText xml:space="preserve"> PAGE </w:instrText>
    </w:r>
    <w:r w:rsidR="00360552" w:rsidRPr="006F38F4">
      <w:rPr>
        <w:rFonts w:ascii="Arial" w:hAnsi="Arial" w:cs="Arial"/>
        <w:b/>
        <w:sz w:val="20"/>
      </w:rPr>
      <w:fldChar w:fldCharType="separate"/>
    </w:r>
    <w:r w:rsidR="00F36E89">
      <w:rPr>
        <w:rFonts w:ascii="Arial" w:hAnsi="Arial" w:cs="Arial"/>
        <w:b/>
        <w:noProof/>
        <w:sz w:val="20"/>
      </w:rPr>
      <w:t>4</w:t>
    </w:r>
    <w:r w:rsidR="00360552" w:rsidRPr="006F38F4">
      <w:rPr>
        <w:rFonts w:ascii="Arial" w:hAnsi="Arial" w:cs="Arial"/>
        <w:b/>
        <w:sz w:val="20"/>
      </w:rPr>
      <w:fldChar w:fldCharType="end"/>
    </w:r>
    <w:r w:rsidRPr="006F38F4">
      <w:rPr>
        <w:rFonts w:ascii="Arial" w:hAnsi="Arial" w:cs="Arial"/>
        <w:sz w:val="20"/>
      </w:rPr>
      <w:t xml:space="preserve"> </w:t>
    </w:r>
    <w:r w:rsidRPr="006F38F4">
      <w:rPr>
        <w:rFonts w:ascii="Arial" w:hAnsi="Arial" w:cs="Arial"/>
        <w:sz w:val="20"/>
        <w:lang w:val="es-ES"/>
      </w:rPr>
      <w:t>de</w:t>
    </w:r>
    <w:r w:rsidR="00BB0FB4" w:rsidRPr="006F38F4">
      <w:rPr>
        <w:rFonts w:ascii="Arial" w:hAnsi="Arial" w:cs="Arial"/>
        <w:sz w:val="20"/>
      </w:rPr>
      <w:t xml:space="preserve"> </w:t>
    </w:r>
    <w:r w:rsidR="00360552" w:rsidRPr="006F38F4">
      <w:rPr>
        <w:rFonts w:ascii="Arial" w:hAnsi="Arial" w:cs="Arial"/>
        <w:b/>
        <w:sz w:val="20"/>
      </w:rPr>
      <w:fldChar w:fldCharType="begin"/>
    </w:r>
    <w:r w:rsidR="00BB0FB4" w:rsidRPr="006F38F4">
      <w:rPr>
        <w:rFonts w:ascii="Arial" w:hAnsi="Arial" w:cs="Arial"/>
        <w:b/>
        <w:sz w:val="20"/>
      </w:rPr>
      <w:instrText xml:space="preserve"> NUMPAGES  </w:instrText>
    </w:r>
    <w:r w:rsidR="00360552" w:rsidRPr="006F38F4">
      <w:rPr>
        <w:rFonts w:ascii="Arial" w:hAnsi="Arial" w:cs="Arial"/>
        <w:b/>
        <w:sz w:val="20"/>
      </w:rPr>
      <w:fldChar w:fldCharType="separate"/>
    </w:r>
    <w:r w:rsidR="00F36E89">
      <w:rPr>
        <w:rFonts w:ascii="Arial" w:hAnsi="Arial" w:cs="Arial"/>
        <w:b/>
        <w:noProof/>
        <w:sz w:val="20"/>
      </w:rPr>
      <w:t>6</w:t>
    </w:r>
    <w:r w:rsidR="00360552" w:rsidRPr="006F38F4">
      <w:rPr>
        <w:rFonts w:ascii="Arial" w:hAnsi="Arial" w:cs="Arial"/>
        <w:b/>
        <w:sz w:val="20"/>
      </w:rPr>
      <w:fldChar w:fldCharType="end"/>
    </w:r>
  </w:p>
  <w:p w:rsidR="00C51E40" w:rsidRPr="00C51E40" w:rsidRDefault="00C51E40" w:rsidP="00052929">
    <w:pPr>
      <w:pStyle w:val="Header"/>
      <w:jc w:val="right"/>
      <w:rPr>
        <w:rFonts w:ascii="Arial" w:hAnsi="Arial" w:cs="Arial"/>
        <w:sz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01AC6"/>
    <w:multiLevelType w:val="hybridMultilevel"/>
    <w:tmpl w:val="95CC260C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82707"/>
    <w:multiLevelType w:val="hybridMultilevel"/>
    <w:tmpl w:val="F954B1EA"/>
    <w:lvl w:ilvl="0" w:tplc="F6107CB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A7779"/>
    <w:multiLevelType w:val="hybridMultilevel"/>
    <w:tmpl w:val="D5663ED0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F40D45"/>
    <w:multiLevelType w:val="hybridMultilevel"/>
    <w:tmpl w:val="BEFE8D30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E35D4"/>
    <w:multiLevelType w:val="hybridMultilevel"/>
    <w:tmpl w:val="D5663ED0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AB7FC9"/>
    <w:multiLevelType w:val="multilevel"/>
    <w:tmpl w:val="50FC2F7A"/>
    <w:lvl w:ilvl="0">
      <w:start w:val="1"/>
      <w:numFmt w:val="upperRoman"/>
      <w:pStyle w:val="Chapter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1152"/>
        </w:tabs>
        <w:ind w:left="1152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6">
    <w:nsid w:val="13584BCA"/>
    <w:multiLevelType w:val="hybridMultilevel"/>
    <w:tmpl w:val="248EA10E"/>
    <w:lvl w:ilvl="0" w:tplc="217A8C8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D04C8C"/>
    <w:multiLevelType w:val="hybridMultilevel"/>
    <w:tmpl w:val="08421BD6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EC4333"/>
    <w:multiLevelType w:val="hybridMultilevel"/>
    <w:tmpl w:val="95CC260C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5E0B58"/>
    <w:multiLevelType w:val="hybridMultilevel"/>
    <w:tmpl w:val="A24EFD56"/>
    <w:lvl w:ilvl="0" w:tplc="922C24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F80DF9"/>
    <w:multiLevelType w:val="hybridMultilevel"/>
    <w:tmpl w:val="9238E630"/>
    <w:lvl w:ilvl="0" w:tplc="6FBAA5F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79533A"/>
    <w:multiLevelType w:val="multilevel"/>
    <w:tmpl w:val="B54C966C"/>
    <w:lvl w:ilvl="0">
      <w:start w:val="1"/>
      <w:numFmt w:val="none"/>
      <w:pStyle w:val="DocumentMap"/>
      <w:suff w:val="nothing"/>
      <w:lvlText w:val=""/>
      <w:lvlJc w:val="left"/>
      <w:pPr>
        <w:ind w:left="720" w:hanging="720"/>
      </w:pPr>
    </w:lvl>
    <w:lvl w:ilvl="1">
      <w:start w:val="1"/>
      <w:numFmt w:val="decimal"/>
      <w:pStyle w:val="SecHeading"/>
      <w:lvlText w:val="%2."/>
      <w:lvlJc w:val="left"/>
      <w:pPr>
        <w:tabs>
          <w:tab w:val="num" w:pos="1296"/>
        </w:tabs>
        <w:ind w:left="1296" w:hanging="576"/>
      </w:pPr>
    </w:lvl>
    <w:lvl w:ilvl="2">
      <w:start w:val="1"/>
      <w:numFmt w:val="lowerLetter"/>
      <w:pStyle w:val="SecHeading"/>
      <w:lvlText w:val="%3)"/>
      <w:lvlJc w:val="left"/>
      <w:pPr>
        <w:tabs>
          <w:tab w:val="num" w:pos="1872"/>
        </w:tabs>
        <w:ind w:left="1872" w:hanging="576"/>
      </w:pPr>
    </w:lvl>
    <w:lvl w:ilvl="3">
      <w:start w:val="1"/>
      <w:numFmt w:val="lowerRoman"/>
      <w:pStyle w:val="SubHeading1"/>
      <w:lvlText w:val="(%4)"/>
      <w:lvlJc w:val="right"/>
      <w:pPr>
        <w:tabs>
          <w:tab w:val="num" w:pos="2376"/>
        </w:tabs>
        <w:ind w:left="2376" w:hanging="288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1E927CA6"/>
    <w:multiLevelType w:val="hybridMultilevel"/>
    <w:tmpl w:val="A9E42B5E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8652D8"/>
    <w:multiLevelType w:val="hybridMultilevel"/>
    <w:tmpl w:val="A13CEA6C"/>
    <w:lvl w:ilvl="0" w:tplc="BCCC53C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237980"/>
    <w:multiLevelType w:val="hybridMultilevel"/>
    <w:tmpl w:val="08421BD6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3A1701"/>
    <w:multiLevelType w:val="hybridMultilevel"/>
    <w:tmpl w:val="85E0546C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72479C"/>
    <w:multiLevelType w:val="hybridMultilevel"/>
    <w:tmpl w:val="BA6EA602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6806F7"/>
    <w:multiLevelType w:val="hybridMultilevel"/>
    <w:tmpl w:val="D5663ED0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0721A4"/>
    <w:multiLevelType w:val="hybridMultilevel"/>
    <w:tmpl w:val="95CC260C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562AFA"/>
    <w:multiLevelType w:val="hybridMultilevel"/>
    <w:tmpl w:val="C20A891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2A5DD2"/>
    <w:multiLevelType w:val="hybridMultilevel"/>
    <w:tmpl w:val="CF2E997E"/>
    <w:lvl w:ilvl="0" w:tplc="0C6262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3B4EB5"/>
    <w:multiLevelType w:val="hybridMultilevel"/>
    <w:tmpl w:val="A9E42B5E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6A4F92"/>
    <w:multiLevelType w:val="hybridMultilevel"/>
    <w:tmpl w:val="D5663ED0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EC30C8"/>
    <w:multiLevelType w:val="hybridMultilevel"/>
    <w:tmpl w:val="D5663ED0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C069FF"/>
    <w:multiLevelType w:val="hybridMultilevel"/>
    <w:tmpl w:val="08421BD6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C86821"/>
    <w:multiLevelType w:val="hybridMultilevel"/>
    <w:tmpl w:val="95CC260C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E211B2"/>
    <w:multiLevelType w:val="hybridMultilevel"/>
    <w:tmpl w:val="08421BD6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233743"/>
    <w:multiLevelType w:val="hybridMultilevel"/>
    <w:tmpl w:val="A986FEAE"/>
    <w:lvl w:ilvl="0" w:tplc="0C0A0019">
      <w:start w:val="1"/>
      <w:numFmt w:val="lowerLetter"/>
      <w:lvlText w:val="%1."/>
      <w:lvlJc w:val="left"/>
      <w:pPr>
        <w:ind w:left="1146" w:hanging="360"/>
      </w:pPr>
    </w:lvl>
    <w:lvl w:ilvl="1" w:tplc="0C0A0019">
      <w:start w:val="1"/>
      <w:numFmt w:val="lowerLetter"/>
      <w:lvlText w:val="%2."/>
      <w:lvlJc w:val="left"/>
      <w:pPr>
        <w:ind w:left="1866" w:hanging="360"/>
      </w:pPr>
    </w:lvl>
    <w:lvl w:ilvl="2" w:tplc="0C0A001B" w:tentative="1">
      <w:start w:val="1"/>
      <w:numFmt w:val="lowerRoman"/>
      <w:lvlText w:val="%3."/>
      <w:lvlJc w:val="right"/>
      <w:pPr>
        <w:ind w:left="2586" w:hanging="180"/>
      </w:pPr>
    </w:lvl>
    <w:lvl w:ilvl="3" w:tplc="0C0A000F" w:tentative="1">
      <w:start w:val="1"/>
      <w:numFmt w:val="decimal"/>
      <w:lvlText w:val="%4."/>
      <w:lvlJc w:val="left"/>
      <w:pPr>
        <w:ind w:left="3306" w:hanging="360"/>
      </w:pPr>
    </w:lvl>
    <w:lvl w:ilvl="4" w:tplc="0C0A0019" w:tentative="1">
      <w:start w:val="1"/>
      <w:numFmt w:val="lowerLetter"/>
      <w:lvlText w:val="%5."/>
      <w:lvlJc w:val="left"/>
      <w:pPr>
        <w:ind w:left="4026" w:hanging="360"/>
      </w:pPr>
    </w:lvl>
    <w:lvl w:ilvl="5" w:tplc="0C0A001B" w:tentative="1">
      <w:start w:val="1"/>
      <w:numFmt w:val="lowerRoman"/>
      <w:lvlText w:val="%6."/>
      <w:lvlJc w:val="right"/>
      <w:pPr>
        <w:ind w:left="4746" w:hanging="180"/>
      </w:pPr>
    </w:lvl>
    <w:lvl w:ilvl="6" w:tplc="0C0A000F" w:tentative="1">
      <w:start w:val="1"/>
      <w:numFmt w:val="decimal"/>
      <w:lvlText w:val="%7."/>
      <w:lvlJc w:val="left"/>
      <w:pPr>
        <w:ind w:left="5466" w:hanging="360"/>
      </w:pPr>
    </w:lvl>
    <w:lvl w:ilvl="7" w:tplc="0C0A0019" w:tentative="1">
      <w:start w:val="1"/>
      <w:numFmt w:val="lowerLetter"/>
      <w:lvlText w:val="%8."/>
      <w:lvlJc w:val="left"/>
      <w:pPr>
        <w:ind w:left="6186" w:hanging="360"/>
      </w:pPr>
    </w:lvl>
    <w:lvl w:ilvl="8" w:tplc="0C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4F64022E"/>
    <w:multiLevelType w:val="hybridMultilevel"/>
    <w:tmpl w:val="A9E42B5E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0B65FE"/>
    <w:multiLevelType w:val="hybridMultilevel"/>
    <w:tmpl w:val="BEFE8D30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1C205D"/>
    <w:multiLevelType w:val="hybridMultilevel"/>
    <w:tmpl w:val="85E0546C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1D7922"/>
    <w:multiLevelType w:val="hybridMultilevel"/>
    <w:tmpl w:val="83BA1182"/>
    <w:lvl w:ilvl="0" w:tplc="C0D8D9B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560F06"/>
    <w:multiLevelType w:val="hybridMultilevel"/>
    <w:tmpl w:val="08421BD6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892742"/>
    <w:multiLevelType w:val="hybridMultilevel"/>
    <w:tmpl w:val="D9448C5C"/>
    <w:lvl w:ilvl="0" w:tplc="622ED72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8D15E7"/>
    <w:multiLevelType w:val="hybridMultilevel"/>
    <w:tmpl w:val="95CC260C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B23737"/>
    <w:multiLevelType w:val="hybridMultilevel"/>
    <w:tmpl w:val="109223FE"/>
    <w:lvl w:ilvl="0" w:tplc="33989F0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BE13FD"/>
    <w:multiLevelType w:val="hybridMultilevel"/>
    <w:tmpl w:val="A7387FB0"/>
    <w:lvl w:ilvl="0" w:tplc="69EAD27E">
      <w:start w:val="5"/>
      <w:numFmt w:val="lowerLetter"/>
      <w:lvlText w:val="%1."/>
      <w:lvlJc w:val="left"/>
      <w:pPr>
        <w:ind w:left="10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6" w:hanging="360"/>
      </w:pPr>
    </w:lvl>
    <w:lvl w:ilvl="2" w:tplc="0409001B" w:tentative="1">
      <w:start w:val="1"/>
      <w:numFmt w:val="lowerRoman"/>
      <w:lvlText w:val="%3."/>
      <w:lvlJc w:val="right"/>
      <w:pPr>
        <w:ind w:left="2526" w:hanging="180"/>
      </w:pPr>
    </w:lvl>
    <w:lvl w:ilvl="3" w:tplc="0409000F" w:tentative="1">
      <w:start w:val="1"/>
      <w:numFmt w:val="decimal"/>
      <w:lvlText w:val="%4."/>
      <w:lvlJc w:val="left"/>
      <w:pPr>
        <w:ind w:left="3246" w:hanging="360"/>
      </w:pPr>
    </w:lvl>
    <w:lvl w:ilvl="4" w:tplc="04090019" w:tentative="1">
      <w:start w:val="1"/>
      <w:numFmt w:val="lowerLetter"/>
      <w:lvlText w:val="%5."/>
      <w:lvlJc w:val="left"/>
      <w:pPr>
        <w:ind w:left="3966" w:hanging="360"/>
      </w:pPr>
    </w:lvl>
    <w:lvl w:ilvl="5" w:tplc="0409001B" w:tentative="1">
      <w:start w:val="1"/>
      <w:numFmt w:val="lowerRoman"/>
      <w:lvlText w:val="%6."/>
      <w:lvlJc w:val="right"/>
      <w:pPr>
        <w:ind w:left="4686" w:hanging="180"/>
      </w:pPr>
    </w:lvl>
    <w:lvl w:ilvl="6" w:tplc="0409000F" w:tentative="1">
      <w:start w:val="1"/>
      <w:numFmt w:val="decimal"/>
      <w:lvlText w:val="%7."/>
      <w:lvlJc w:val="left"/>
      <w:pPr>
        <w:ind w:left="5406" w:hanging="360"/>
      </w:pPr>
    </w:lvl>
    <w:lvl w:ilvl="7" w:tplc="04090019" w:tentative="1">
      <w:start w:val="1"/>
      <w:numFmt w:val="lowerLetter"/>
      <w:lvlText w:val="%8."/>
      <w:lvlJc w:val="left"/>
      <w:pPr>
        <w:ind w:left="6126" w:hanging="360"/>
      </w:pPr>
    </w:lvl>
    <w:lvl w:ilvl="8" w:tplc="0409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37">
    <w:nsid w:val="63921FF9"/>
    <w:multiLevelType w:val="hybridMultilevel"/>
    <w:tmpl w:val="A9E42B5E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413FC2"/>
    <w:multiLevelType w:val="hybridMultilevel"/>
    <w:tmpl w:val="7E946B3E"/>
    <w:lvl w:ilvl="0" w:tplc="1DA0E0E0">
      <w:start w:val="1"/>
      <w:numFmt w:val="lowerRoman"/>
      <w:lvlText w:val="%1."/>
      <w:lvlJc w:val="left"/>
      <w:pPr>
        <w:ind w:left="100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7" w:hanging="360"/>
      </w:pPr>
    </w:lvl>
    <w:lvl w:ilvl="2" w:tplc="0409001B" w:tentative="1">
      <w:start w:val="1"/>
      <w:numFmt w:val="lowerRoman"/>
      <w:lvlText w:val="%3."/>
      <w:lvlJc w:val="right"/>
      <w:pPr>
        <w:ind w:left="2087" w:hanging="180"/>
      </w:pPr>
    </w:lvl>
    <w:lvl w:ilvl="3" w:tplc="0409000F" w:tentative="1">
      <w:start w:val="1"/>
      <w:numFmt w:val="decimal"/>
      <w:lvlText w:val="%4."/>
      <w:lvlJc w:val="left"/>
      <w:pPr>
        <w:ind w:left="2807" w:hanging="360"/>
      </w:pPr>
    </w:lvl>
    <w:lvl w:ilvl="4" w:tplc="04090019" w:tentative="1">
      <w:start w:val="1"/>
      <w:numFmt w:val="lowerLetter"/>
      <w:lvlText w:val="%5."/>
      <w:lvlJc w:val="left"/>
      <w:pPr>
        <w:ind w:left="3527" w:hanging="360"/>
      </w:pPr>
    </w:lvl>
    <w:lvl w:ilvl="5" w:tplc="0409001B" w:tentative="1">
      <w:start w:val="1"/>
      <w:numFmt w:val="lowerRoman"/>
      <w:lvlText w:val="%6."/>
      <w:lvlJc w:val="right"/>
      <w:pPr>
        <w:ind w:left="4247" w:hanging="180"/>
      </w:pPr>
    </w:lvl>
    <w:lvl w:ilvl="6" w:tplc="0409000F" w:tentative="1">
      <w:start w:val="1"/>
      <w:numFmt w:val="decimal"/>
      <w:lvlText w:val="%7."/>
      <w:lvlJc w:val="left"/>
      <w:pPr>
        <w:ind w:left="4967" w:hanging="360"/>
      </w:pPr>
    </w:lvl>
    <w:lvl w:ilvl="7" w:tplc="04090019" w:tentative="1">
      <w:start w:val="1"/>
      <w:numFmt w:val="lowerLetter"/>
      <w:lvlText w:val="%8."/>
      <w:lvlJc w:val="left"/>
      <w:pPr>
        <w:ind w:left="5687" w:hanging="360"/>
      </w:pPr>
    </w:lvl>
    <w:lvl w:ilvl="8" w:tplc="0409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39">
    <w:nsid w:val="6C011E1C"/>
    <w:multiLevelType w:val="hybridMultilevel"/>
    <w:tmpl w:val="C20A891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9E27FB"/>
    <w:multiLevelType w:val="hybridMultilevel"/>
    <w:tmpl w:val="95CC260C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06613E"/>
    <w:multiLevelType w:val="hybridMultilevel"/>
    <w:tmpl w:val="C20A891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9E26B3"/>
    <w:multiLevelType w:val="hybridMultilevel"/>
    <w:tmpl w:val="AA90F080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925D15"/>
    <w:multiLevelType w:val="hybridMultilevel"/>
    <w:tmpl w:val="63843EFE"/>
    <w:lvl w:ilvl="0" w:tplc="9B069DA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372FB2"/>
    <w:multiLevelType w:val="hybridMultilevel"/>
    <w:tmpl w:val="DE1ECFB6"/>
    <w:lvl w:ilvl="0" w:tplc="8AAC4D6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0C7826"/>
    <w:multiLevelType w:val="hybridMultilevel"/>
    <w:tmpl w:val="A9E42B5E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FA1D36"/>
    <w:multiLevelType w:val="hybridMultilevel"/>
    <w:tmpl w:val="C20A891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46"/>
  </w:num>
  <w:num w:numId="5">
    <w:abstractNumId w:val="39"/>
  </w:num>
  <w:num w:numId="6">
    <w:abstractNumId w:val="41"/>
  </w:num>
  <w:num w:numId="7">
    <w:abstractNumId w:val="19"/>
  </w:num>
  <w:num w:numId="8">
    <w:abstractNumId w:val="22"/>
  </w:num>
  <w:num w:numId="9">
    <w:abstractNumId w:val="2"/>
  </w:num>
  <w:num w:numId="10">
    <w:abstractNumId w:val="4"/>
  </w:num>
  <w:num w:numId="11">
    <w:abstractNumId w:val="23"/>
  </w:num>
  <w:num w:numId="12">
    <w:abstractNumId w:val="17"/>
  </w:num>
  <w:num w:numId="13">
    <w:abstractNumId w:val="33"/>
  </w:num>
  <w:num w:numId="14">
    <w:abstractNumId w:val="10"/>
  </w:num>
  <w:num w:numId="15">
    <w:abstractNumId w:val="13"/>
  </w:num>
  <w:num w:numId="16">
    <w:abstractNumId w:val="35"/>
  </w:num>
  <w:num w:numId="17">
    <w:abstractNumId w:val="6"/>
  </w:num>
  <w:num w:numId="18">
    <w:abstractNumId w:val="31"/>
  </w:num>
  <w:num w:numId="19">
    <w:abstractNumId w:val="1"/>
  </w:num>
  <w:num w:numId="20">
    <w:abstractNumId w:val="43"/>
  </w:num>
  <w:num w:numId="21">
    <w:abstractNumId w:val="20"/>
  </w:num>
  <w:num w:numId="22">
    <w:abstractNumId w:val="44"/>
  </w:num>
  <w:num w:numId="23">
    <w:abstractNumId w:val="3"/>
  </w:num>
  <w:num w:numId="24">
    <w:abstractNumId w:val="29"/>
  </w:num>
  <w:num w:numId="25">
    <w:abstractNumId w:val="30"/>
  </w:num>
  <w:num w:numId="26">
    <w:abstractNumId w:val="15"/>
  </w:num>
  <w:num w:numId="27">
    <w:abstractNumId w:val="42"/>
  </w:num>
  <w:num w:numId="28">
    <w:abstractNumId w:val="16"/>
  </w:num>
  <w:num w:numId="29">
    <w:abstractNumId w:val="8"/>
  </w:num>
  <w:num w:numId="30">
    <w:abstractNumId w:val="0"/>
  </w:num>
  <w:num w:numId="31">
    <w:abstractNumId w:val="18"/>
  </w:num>
  <w:num w:numId="32">
    <w:abstractNumId w:val="25"/>
  </w:num>
  <w:num w:numId="33">
    <w:abstractNumId w:val="34"/>
  </w:num>
  <w:num w:numId="34">
    <w:abstractNumId w:val="40"/>
  </w:num>
  <w:num w:numId="35">
    <w:abstractNumId w:val="32"/>
  </w:num>
  <w:num w:numId="36">
    <w:abstractNumId w:val="37"/>
  </w:num>
  <w:num w:numId="37">
    <w:abstractNumId w:val="7"/>
  </w:num>
  <w:num w:numId="38">
    <w:abstractNumId w:val="26"/>
  </w:num>
  <w:num w:numId="39">
    <w:abstractNumId w:val="12"/>
  </w:num>
  <w:num w:numId="40">
    <w:abstractNumId w:val="28"/>
  </w:num>
  <w:num w:numId="41">
    <w:abstractNumId w:val="21"/>
  </w:num>
  <w:num w:numId="42">
    <w:abstractNumId w:val="24"/>
  </w:num>
  <w:num w:numId="43">
    <w:abstractNumId w:val="14"/>
  </w:num>
  <w:num w:numId="44">
    <w:abstractNumId w:val="45"/>
  </w:num>
  <w:num w:numId="45">
    <w:abstractNumId w:val="38"/>
  </w:num>
  <w:num w:numId="46">
    <w:abstractNumId w:val="36"/>
  </w:num>
  <w:num w:numId="47">
    <w:abstractNumId w:val="2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BBE"/>
    <w:rsid w:val="00003508"/>
    <w:rsid w:val="00003FAB"/>
    <w:rsid w:val="00004DFA"/>
    <w:rsid w:val="0001316D"/>
    <w:rsid w:val="000147BE"/>
    <w:rsid w:val="000153EB"/>
    <w:rsid w:val="00016074"/>
    <w:rsid w:val="00022208"/>
    <w:rsid w:val="00025F0C"/>
    <w:rsid w:val="00027863"/>
    <w:rsid w:val="000349FA"/>
    <w:rsid w:val="000363A8"/>
    <w:rsid w:val="00040C2D"/>
    <w:rsid w:val="0004194B"/>
    <w:rsid w:val="000436CD"/>
    <w:rsid w:val="0004515D"/>
    <w:rsid w:val="00052929"/>
    <w:rsid w:val="0005784E"/>
    <w:rsid w:val="00061376"/>
    <w:rsid w:val="000634C8"/>
    <w:rsid w:val="000661C2"/>
    <w:rsid w:val="0006724A"/>
    <w:rsid w:val="000677BA"/>
    <w:rsid w:val="0007025E"/>
    <w:rsid w:val="00075675"/>
    <w:rsid w:val="000805F2"/>
    <w:rsid w:val="00092AB3"/>
    <w:rsid w:val="00097FCD"/>
    <w:rsid w:val="000A079E"/>
    <w:rsid w:val="000A438D"/>
    <w:rsid w:val="000A4A01"/>
    <w:rsid w:val="000A79C4"/>
    <w:rsid w:val="000B22BA"/>
    <w:rsid w:val="000B3211"/>
    <w:rsid w:val="000B344E"/>
    <w:rsid w:val="000B7734"/>
    <w:rsid w:val="000C052D"/>
    <w:rsid w:val="000C555F"/>
    <w:rsid w:val="000C77CE"/>
    <w:rsid w:val="000C7C37"/>
    <w:rsid w:val="000D166B"/>
    <w:rsid w:val="000D24EC"/>
    <w:rsid w:val="000D4235"/>
    <w:rsid w:val="000D4443"/>
    <w:rsid w:val="000D70E1"/>
    <w:rsid w:val="000E015B"/>
    <w:rsid w:val="000E179F"/>
    <w:rsid w:val="000E4B06"/>
    <w:rsid w:val="000E5A2F"/>
    <w:rsid w:val="000E60BC"/>
    <w:rsid w:val="000F0E8E"/>
    <w:rsid w:val="00101712"/>
    <w:rsid w:val="00101928"/>
    <w:rsid w:val="001033A7"/>
    <w:rsid w:val="001045E2"/>
    <w:rsid w:val="001054F9"/>
    <w:rsid w:val="00107618"/>
    <w:rsid w:val="00112020"/>
    <w:rsid w:val="0011407B"/>
    <w:rsid w:val="0012436B"/>
    <w:rsid w:val="00125C6E"/>
    <w:rsid w:val="00126A9F"/>
    <w:rsid w:val="00126D9E"/>
    <w:rsid w:val="00127BE3"/>
    <w:rsid w:val="00136883"/>
    <w:rsid w:val="00144129"/>
    <w:rsid w:val="00144D80"/>
    <w:rsid w:val="00155577"/>
    <w:rsid w:val="001657EE"/>
    <w:rsid w:val="00167FE0"/>
    <w:rsid w:val="00173CDD"/>
    <w:rsid w:val="001744FC"/>
    <w:rsid w:val="0017721E"/>
    <w:rsid w:val="00177C1A"/>
    <w:rsid w:val="00182A85"/>
    <w:rsid w:val="00182E1C"/>
    <w:rsid w:val="00182EA5"/>
    <w:rsid w:val="0018390C"/>
    <w:rsid w:val="00191179"/>
    <w:rsid w:val="001926B5"/>
    <w:rsid w:val="00196765"/>
    <w:rsid w:val="001A5FC2"/>
    <w:rsid w:val="001B25BF"/>
    <w:rsid w:val="001B4C1C"/>
    <w:rsid w:val="001B6403"/>
    <w:rsid w:val="001B6BF3"/>
    <w:rsid w:val="001B7742"/>
    <w:rsid w:val="001C3236"/>
    <w:rsid w:val="001D0CF6"/>
    <w:rsid w:val="001D19F6"/>
    <w:rsid w:val="001D2F67"/>
    <w:rsid w:val="001D3652"/>
    <w:rsid w:val="001D6AE0"/>
    <w:rsid w:val="001E11EA"/>
    <w:rsid w:val="001E3833"/>
    <w:rsid w:val="001E52BD"/>
    <w:rsid w:val="001E57E6"/>
    <w:rsid w:val="001F5FE3"/>
    <w:rsid w:val="001F7CD5"/>
    <w:rsid w:val="00201D31"/>
    <w:rsid w:val="00203436"/>
    <w:rsid w:val="002034F1"/>
    <w:rsid w:val="00204520"/>
    <w:rsid w:val="00211E6A"/>
    <w:rsid w:val="0021348E"/>
    <w:rsid w:val="00215047"/>
    <w:rsid w:val="00216FB2"/>
    <w:rsid w:val="00217517"/>
    <w:rsid w:val="00221F8E"/>
    <w:rsid w:val="002300AA"/>
    <w:rsid w:val="0023379D"/>
    <w:rsid w:val="0023512A"/>
    <w:rsid w:val="00235CC4"/>
    <w:rsid w:val="00236323"/>
    <w:rsid w:val="002414C0"/>
    <w:rsid w:val="00243C23"/>
    <w:rsid w:val="0024428C"/>
    <w:rsid w:val="0024661E"/>
    <w:rsid w:val="0025777E"/>
    <w:rsid w:val="00257896"/>
    <w:rsid w:val="00257FD5"/>
    <w:rsid w:val="002604F3"/>
    <w:rsid w:val="00262310"/>
    <w:rsid w:val="00264C61"/>
    <w:rsid w:val="00266A9A"/>
    <w:rsid w:val="002673AF"/>
    <w:rsid w:val="00267781"/>
    <w:rsid w:val="00273958"/>
    <w:rsid w:val="00277C44"/>
    <w:rsid w:val="00277DF8"/>
    <w:rsid w:val="0028092D"/>
    <w:rsid w:val="00283E5E"/>
    <w:rsid w:val="00285944"/>
    <w:rsid w:val="00285C4A"/>
    <w:rsid w:val="00286873"/>
    <w:rsid w:val="002A070C"/>
    <w:rsid w:val="002A4F68"/>
    <w:rsid w:val="002A7BBE"/>
    <w:rsid w:val="002B067F"/>
    <w:rsid w:val="002B253D"/>
    <w:rsid w:val="002B2879"/>
    <w:rsid w:val="002B47E2"/>
    <w:rsid w:val="002B5465"/>
    <w:rsid w:val="002B6B67"/>
    <w:rsid w:val="002C065E"/>
    <w:rsid w:val="002C5219"/>
    <w:rsid w:val="002C6B29"/>
    <w:rsid w:val="002D167F"/>
    <w:rsid w:val="002D4D71"/>
    <w:rsid w:val="002D5136"/>
    <w:rsid w:val="002D51A7"/>
    <w:rsid w:val="002D7737"/>
    <w:rsid w:val="002E04AF"/>
    <w:rsid w:val="002E794C"/>
    <w:rsid w:val="002E7D87"/>
    <w:rsid w:val="002F25E0"/>
    <w:rsid w:val="002F384E"/>
    <w:rsid w:val="002F3E13"/>
    <w:rsid w:val="00300D59"/>
    <w:rsid w:val="00301A2E"/>
    <w:rsid w:val="003023DC"/>
    <w:rsid w:val="003038C3"/>
    <w:rsid w:val="003046C9"/>
    <w:rsid w:val="00306B0C"/>
    <w:rsid w:val="0031146A"/>
    <w:rsid w:val="003122F6"/>
    <w:rsid w:val="00316CAE"/>
    <w:rsid w:val="00322470"/>
    <w:rsid w:val="00324793"/>
    <w:rsid w:val="003321EF"/>
    <w:rsid w:val="00332974"/>
    <w:rsid w:val="00334D16"/>
    <w:rsid w:val="0034348E"/>
    <w:rsid w:val="00356F1D"/>
    <w:rsid w:val="00357BB3"/>
    <w:rsid w:val="00360552"/>
    <w:rsid w:val="00366B3F"/>
    <w:rsid w:val="003737A6"/>
    <w:rsid w:val="00373C25"/>
    <w:rsid w:val="00377463"/>
    <w:rsid w:val="00377F27"/>
    <w:rsid w:val="00385330"/>
    <w:rsid w:val="003920FA"/>
    <w:rsid w:val="00392B89"/>
    <w:rsid w:val="003971B9"/>
    <w:rsid w:val="003A3B46"/>
    <w:rsid w:val="003B1A48"/>
    <w:rsid w:val="003B3EF6"/>
    <w:rsid w:val="003B72B4"/>
    <w:rsid w:val="003C159D"/>
    <w:rsid w:val="003C24B8"/>
    <w:rsid w:val="003C2E0E"/>
    <w:rsid w:val="003C58A1"/>
    <w:rsid w:val="003C6C7F"/>
    <w:rsid w:val="003D5A82"/>
    <w:rsid w:val="003D5B63"/>
    <w:rsid w:val="003D5F5A"/>
    <w:rsid w:val="003D66CF"/>
    <w:rsid w:val="003D7676"/>
    <w:rsid w:val="003E6C6A"/>
    <w:rsid w:val="003E6DEB"/>
    <w:rsid w:val="003F0C37"/>
    <w:rsid w:val="003F308C"/>
    <w:rsid w:val="003F37BE"/>
    <w:rsid w:val="003F3BB1"/>
    <w:rsid w:val="003F4A04"/>
    <w:rsid w:val="003F7661"/>
    <w:rsid w:val="0040037A"/>
    <w:rsid w:val="00406BC3"/>
    <w:rsid w:val="00420857"/>
    <w:rsid w:val="0042102B"/>
    <w:rsid w:val="00425378"/>
    <w:rsid w:val="0043006D"/>
    <w:rsid w:val="00437D29"/>
    <w:rsid w:val="00456F92"/>
    <w:rsid w:val="00460F63"/>
    <w:rsid w:val="0046142D"/>
    <w:rsid w:val="004658D9"/>
    <w:rsid w:val="004670CF"/>
    <w:rsid w:val="004710F3"/>
    <w:rsid w:val="0047212B"/>
    <w:rsid w:val="00476FCB"/>
    <w:rsid w:val="00482C24"/>
    <w:rsid w:val="004842CB"/>
    <w:rsid w:val="00490BE0"/>
    <w:rsid w:val="0049106B"/>
    <w:rsid w:val="004B7667"/>
    <w:rsid w:val="004C0A2C"/>
    <w:rsid w:val="004C3869"/>
    <w:rsid w:val="004C703A"/>
    <w:rsid w:val="004C7130"/>
    <w:rsid w:val="004C72F6"/>
    <w:rsid w:val="004D3A36"/>
    <w:rsid w:val="004D530C"/>
    <w:rsid w:val="004E11DC"/>
    <w:rsid w:val="004E5034"/>
    <w:rsid w:val="004F06F2"/>
    <w:rsid w:val="004F1765"/>
    <w:rsid w:val="004F449A"/>
    <w:rsid w:val="005012E5"/>
    <w:rsid w:val="00503FBF"/>
    <w:rsid w:val="00504F24"/>
    <w:rsid w:val="005074F8"/>
    <w:rsid w:val="00511DD7"/>
    <w:rsid w:val="00511EB7"/>
    <w:rsid w:val="00514E9B"/>
    <w:rsid w:val="00515F50"/>
    <w:rsid w:val="00520956"/>
    <w:rsid w:val="0052376D"/>
    <w:rsid w:val="00530C7F"/>
    <w:rsid w:val="00530E31"/>
    <w:rsid w:val="0054415B"/>
    <w:rsid w:val="00553C81"/>
    <w:rsid w:val="00557095"/>
    <w:rsid w:val="005643FD"/>
    <w:rsid w:val="005648C5"/>
    <w:rsid w:val="005654CB"/>
    <w:rsid w:val="00566F51"/>
    <w:rsid w:val="0057269B"/>
    <w:rsid w:val="0057340B"/>
    <w:rsid w:val="0057422F"/>
    <w:rsid w:val="005753EE"/>
    <w:rsid w:val="0057559A"/>
    <w:rsid w:val="00575CBB"/>
    <w:rsid w:val="00575F99"/>
    <w:rsid w:val="00577331"/>
    <w:rsid w:val="005855D3"/>
    <w:rsid w:val="005A113E"/>
    <w:rsid w:val="005A3D04"/>
    <w:rsid w:val="005A43BD"/>
    <w:rsid w:val="005A6046"/>
    <w:rsid w:val="005B09EE"/>
    <w:rsid w:val="005B195C"/>
    <w:rsid w:val="005B1EF8"/>
    <w:rsid w:val="005B33FC"/>
    <w:rsid w:val="005B4013"/>
    <w:rsid w:val="005B410A"/>
    <w:rsid w:val="005B6B96"/>
    <w:rsid w:val="005C0F1B"/>
    <w:rsid w:val="005C1FE7"/>
    <w:rsid w:val="005C7921"/>
    <w:rsid w:val="005C7E6D"/>
    <w:rsid w:val="005D00F1"/>
    <w:rsid w:val="005D0FB6"/>
    <w:rsid w:val="005D3C45"/>
    <w:rsid w:val="005D629D"/>
    <w:rsid w:val="005E31A6"/>
    <w:rsid w:val="005E6E39"/>
    <w:rsid w:val="005E710C"/>
    <w:rsid w:val="005F03DD"/>
    <w:rsid w:val="005F2B62"/>
    <w:rsid w:val="005F320C"/>
    <w:rsid w:val="005F388C"/>
    <w:rsid w:val="005F4613"/>
    <w:rsid w:val="005F52AD"/>
    <w:rsid w:val="005F5624"/>
    <w:rsid w:val="006015F4"/>
    <w:rsid w:val="00603C45"/>
    <w:rsid w:val="00623202"/>
    <w:rsid w:val="006270A4"/>
    <w:rsid w:val="006277AB"/>
    <w:rsid w:val="0064575D"/>
    <w:rsid w:val="006465D6"/>
    <w:rsid w:val="00647BA4"/>
    <w:rsid w:val="00650AFB"/>
    <w:rsid w:val="00653253"/>
    <w:rsid w:val="00653742"/>
    <w:rsid w:val="00653CE6"/>
    <w:rsid w:val="0065537D"/>
    <w:rsid w:val="00667CC0"/>
    <w:rsid w:val="006840F6"/>
    <w:rsid w:val="006869BF"/>
    <w:rsid w:val="00694672"/>
    <w:rsid w:val="00695B69"/>
    <w:rsid w:val="00695F05"/>
    <w:rsid w:val="00696B1F"/>
    <w:rsid w:val="00697B46"/>
    <w:rsid w:val="006A28F7"/>
    <w:rsid w:val="006A3697"/>
    <w:rsid w:val="006A4F6D"/>
    <w:rsid w:val="006A71F1"/>
    <w:rsid w:val="006B0904"/>
    <w:rsid w:val="006B0B2D"/>
    <w:rsid w:val="006B3BA4"/>
    <w:rsid w:val="006B5BD2"/>
    <w:rsid w:val="006B7888"/>
    <w:rsid w:val="006C2075"/>
    <w:rsid w:val="006C20A9"/>
    <w:rsid w:val="006C55D4"/>
    <w:rsid w:val="006C69A6"/>
    <w:rsid w:val="006D0556"/>
    <w:rsid w:val="006D693C"/>
    <w:rsid w:val="006E306F"/>
    <w:rsid w:val="006E46CF"/>
    <w:rsid w:val="006E63E0"/>
    <w:rsid w:val="006E699E"/>
    <w:rsid w:val="006F239A"/>
    <w:rsid w:val="006F2D3A"/>
    <w:rsid w:val="006F38F4"/>
    <w:rsid w:val="0070182C"/>
    <w:rsid w:val="0070374F"/>
    <w:rsid w:val="00704725"/>
    <w:rsid w:val="0070501E"/>
    <w:rsid w:val="00707062"/>
    <w:rsid w:val="007102AE"/>
    <w:rsid w:val="00715C93"/>
    <w:rsid w:val="00716AF2"/>
    <w:rsid w:val="007246F5"/>
    <w:rsid w:val="007261AC"/>
    <w:rsid w:val="00726C21"/>
    <w:rsid w:val="0073646A"/>
    <w:rsid w:val="007403A1"/>
    <w:rsid w:val="007418A5"/>
    <w:rsid w:val="007521D4"/>
    <w:rsid w:val="00760E5C"/>
    <w:rsid w:val="007648A5"/>
    <w:rsid w:val="0077685A"/>
    <w:rsid w:val="00782C78"/>
    <w:rsid w:val="00791603"/>
    <w:rsid w:val="00795A5A"/>
    <w:rsid w:val="007A2B84"/>
    <w:rsid w:val="007A30D6"/>
    <w:rsid w:val="007A3A67"/>
    <w:rsid w:val="007A4640"/>
    <w:rsid w:val="007B03F9"/>
    <w:rsid w:val="007B07C1"/>
    <w:rsid w:val="007B4CF0"/>
    <w:rsid w:val="007B5172"/>
    <w:rsid w:val="007B57B1"/>
    <w:rsid w:val="007C1088"/>
    <w:rsid w:val="007C4E1B"/>
    <w:rsid w:val="007D2A28"/>
    <w:rsid w:val="007D6962"/>
    <w:rsid w:val="007D6F1C"/>
    <w:rsid w:val="007D7226"/>
    <w:rsid w:val="007D7DDD"/>
    <w:rsid w:val="007E0E67"/>
    <w:rsid w:val="007F3CB6"/>
    <w:rsid w:val="007F4ACC"/>
    <w:rsid w:val="007F5DCE"/>
    <w:rsid w:val="008021DA"/>
    <w:rsid w:val="0080514E"/>
    <w:rsid w:val="00813976"/>
    <w:rsid w:val="00821B86"/>
    <w:rsid w:val="00823884"/>
    <w:rsid w:val="00831BF8"/>
    <w:rsid w:val="008333E4"/>
    <w:rsid w:val="00833B92"/>
    <w:rsid w:val="00836EA6"/>
    <w:rsid w:val="008419AD"/>
    <w:rsid w:val="008539EE"/>
    <w:rsid w:val="00855BB2"/>
    <w:rsid w:val="008574F4"/>
    <w:rsid w:val="0085759D"/>
    <w:rsid w:val="0086578C"/>
    <w:rsid w:val="00872BD1"/>
    <w:rsid w:val="008733BC"/>
    <w:rsid w:val="00873C85"/>
    <w:rsid w:val="00877D72"/>
    <w:rsid w:val="00880D2D"/>
    <w:rsid w:val="00884ED9"/>
    <w:rsid w:val="0088672F"/>
    <w:rsid w:val="00892967"/>
    <w:rsid w:val="008A0CE7"/>
    <w:rsid w:val="008A182F"/>
    <w:rsid w:val="008A18B9"/>
    <w:rsid w:val="008A2B47"/>
    <w:rsid w:val="008A4C28"/>
    <w:rsid w:val="008A756C"/>
    <w:rsid w:val="008B24C3"/>
    <w:rsid w:val="008B43B4"/>
    <w:rsid w:val="008C25F2"/>
    <w:rsid w:val="008C61A5"/>
    <w:rsid w:val="008D087F"/>
    <w:rsid w:val="008D2E1D"/>
    <w:rsid w:val="008D71F2"/>
    <w:rsid w:val="008E122A"/>
    <w:rsid w:val="008E4CEA"/>
    <w:rsid w:val="008F1261"/>
    <w:rsid w:val="008F1D8C"/>
    <w:rsid w:val="008F1E7D"/>
    <w:rsid w:val="008F2B4F"/>
    <w:rsid w:val="008F4258"/>
    <w:rsid w:val="00903D76"/>
    <w:rsid w:val="00905E2E"/>
    <w:rsid w:val="00906C2C"/>
    <w:rsid w:val="0091339A"/>
    <w:rsid w:val="009139A8"/>
    <w:rsid w:val="00915862"/>
    <w:rsid w:val="00916451"/>
    <w:rsid w:val="00917A40"/>
    <w:rsid w:val="00922B64"/>
    <w:rsid w:val="00922FBE"/>
    <w:rsid w:val="0092615B"/>
    <w:rsid w:val="00937696"/>
    <w:rsid w:val="00941AAE"/>
    <w:rsid w:val="00943E4E"/>
    <w:rsid w:val="00944636"/>
    <w:rsid w:val="0094579E"/>
    <w:rsid w:val="00952BDF"/>
    <w:rsid w:val="00953B2E"/>
    <w:rsid w:val="0095619D"/>
    <w:rsid w:val="009627B9"/>
    <w:rsid w:val="00962CC1"/>
    <w:rsid w:val="00964374"/>
    <w:rsid w:val="0096590F"/>
    <w:rsid w:val="00970FF8"/>
    <w:rsid w:val="00977129"/>
    <w:rsid w:val="00984F94"/>
    <w:rsid w:val="00987FCD"/>
    <w:rsid w:val="00990E33"/>
    <w:rsid w:val="00991C6E"/>
    <w:rsid w:val="009948F9"/>
    <w:rsid w:val="00994FCD"/>
    <w:rsid w:val="0099687A"/>
    <w:rsid w:val="00997A0A"/>
    <w:rsid w:val="009A0A9E"/>
    <w:rsid w:val="009A21A1"/>
    <w:rsid w:val="009A392B"/>
    <w:rsid w:val="009B04AB"/>
    <w:rsid w:val="009B1343"/>
    <w:rsid w:val="009B172E"/>
    <w:rsid w:val="009B2209"/>
    <w:rsid w:val="009B478E"/>
    <w:rsid w:val="009B7473"/>
    <w:rsid w:val="009C1842"/>
    <w:rsid w:val="009C69AA"/>
    <w:rsid w:val="009D2E32"/>
    <w:rsid w:val="009D3869"/>
    <w:rsid w:val="009D3F9A"/>
    <w:rsid w:val="009E0146"/>
    <w:rsid w:val="009E0BB9"/>
    <w:rsid w:val="009E0C48"/>
    <w:rsid w:val="009E10D4"/>
    <w:rsid w:val="009E3ABA"/>
    <w:rsid w:val="009F1EAA"/>
    <w:rsid w:val="00A00FDD"/>
    <w:rsid w:val="00A10A48"/>
    <w:rsid w:val="00A146F8"/>
    <w:rsid w:val="00A160B7"/>
    <w:rsid w:val="00A17FFA"/>
    <w:rsid w:val="00A205A9"/>
    <w:rsid w:val="00A26F05"/>
    <w:rsid w:val="00A331DC"/>
    <w:rsid w:val="00A37F12"/>
    <w:rsid w:val="00A4481D"/>
    <w:rsid w:val="00A45E31"/>
    <w:rsid w:val="00A467D3"/>
    <w:rsid w:val="00A50EDA"/>
    <w:rsid w:val="00A51BF5"/>
    <w:rsid w:val="00A52E6B"/>
    <w:rsid w:val="00A52FFA"/>
    <w:rsid w:val="00A56782"/>
    <w:rsid w:val="00A67B0F"/>
    <w:rsid w:val="00A7363C"/>
    <w:rsid w:val="00A844F1"/>
    <w:rsid w:val="00A84CE7"/>
    <w:rsid w:val="00A85277"/>
    <w:rsid w:val="00A85F98"/>
    <w:rsid w:val="00A8615F"/>
    <w:rsid w:val="00A86616"/>
    <w:rsid w:val="00A86DA1"/>
    <w:rsid w:val="00A87E3E"/>
    <w:rsid w:val="00A905E0"/>
    <w:rsid w:val="00A90ED2"/>
    <w:rsid w:val="00A93181"/>
    <w:rsid w:val="00A94EE9"/>
    <w:rsid w:val="00A953B3"/>
    <w:rsid w:val="00AA1A0D"/>
    <w:rsid w:val="00AA2D99"/>
    <w:rsid w:val="00AA4CFA"/>
    <w:rsid w:val="00AA7E12"/>
    <w:rsid w:val="00AB3AC5"/>
    <w:rsid w:val="00AC0F5F"/>
    <w:rsid w:val="00AC6B7C"/>
    <w:rsid w:val="00AC6E0C"/>
    <w:rsid w:val="00AD0B2E"/>
    <w:rsid w:val="00AD3F08"/>
    <w:rsid w:val="00AD4979"/>
    <w:rsid w:val="00AD55D9"/>
    <w:rsid w:val="00AE24B0"/>
    <w:rsid w:val="00AE5F6B"/>
    <w:rsid w:val="00AE63EB"/>
    <w:rsid w:val="00AF1626"/>
    <w:rsid w:val="00AF2A14"/>
    <w:rsid w:val="00B03154"/>
    <w:rsid w:val="00B046B0"/>
    <w:rsid w:val="00B06166"/>
    <w:rsid w:val="00B1082E"/>
    <w:rsid w:val="00B13FFE"/>
    <w:rsid w:val="00B21DA5"/>
    <w:rsid w:val="00B25946"/>
    <w:rsid w:val="00B32E50"/>
    <w:rsid w:val="00B37A31"/>
    <w:rsid w:val="00B41332"/>
    <w:rsid w:val="00B42F46"/>
    <w:rsid w:val="00B4474C"/>
    <w:rsid w:val="00B51690"/>
    <w:rsid w:val="00B560AC"/>
    <w:rsid w:val="00B5744C"/>
    <w:rsid w:val="00B66D87"/>
    <w:rsid w:val="00B675B3"/>
    <w:rsid w:val="00B676AE"/>
    <w:rsid w:val="00B713F3"/>
    <w:rsid w:val="00B71BC5"/>
    <w:rsid w:val="00B73D88"/>
    <w:rsid w:val="00B74814"/>
    <w:rsid w:val="00B768A7"/>
    <w:rsid w:val="00B77C90"/>
    <w:rsid w:val="00B86E51"/>
    <w:rsid w:val="00B9224A"/>
    <w:rsid w:val="00B95D27"/>
    <w:rsid w:val="00B97E60"/>
    <w:rsid w:val="00BA0741"/>
    <w:rsid w:val="00BA23DE"/>
    <w:rsid w:val="00BA31AD"/>
    <w:rsid w:val="00BA5052"/>
    <w:rsid w:val="00BB0FB4"/>
    <w:rsid w:val="00BB7394"/>
    <w:rsid w:val="00BC1572"/>
    <w:rsid w:val="00BC4031"/>
    <w:rsid w:val="00BC65B8"/>
    <w:rsid w:val="00BC6C0C"/>
    <w:rsid w:val="00BD6620"/>
    <w:rsid w:val="00BE01CC"/>
    <w:rsid w:val="00BE11A5"/>
    <w:rsid w:val="00BE1A0F"/>
    <w:rsid w:val="00BE2618"/>
    <w:rsid w:val="00BE3643"/>
    <w:rsid w:val="00BE539A"/>
    <w:rsid w:val="00C05447"/>
    <w:rsid w:val="00C16F9D"/>
    <w:rsid w:val="00C17126"/>
    <w:rsid w:val="00C20078"/>
    <w:rsid w:val="00C21214"/>
    <w:rsid w:val="00C21ACF"/>
    <w:rsid w:val="00C21BE8"/>
    <w:rsid w:val="00C22C7A"/>
    <w:rsid w:val="00C24DA5"/>
    <w:rsid w:val="00C259C6"/>
    <w:rsid w:val="00C31426"/>
    <w:rsid w:val="00C35FA1"/>
    <w:rsid w:val="00C37686"/>
    <w:rsid w:val="00C409F5"/>
    <w:rsid w:val="00C42CC0"/>
    <w:rsid w:val="00C42EC9"/>
    <w:rsid w:val="00C4725A"/>
    <w:rsid w:val="00C474E6"/>
    <w:rsid w:val="00C51E40"/>
    <w:rsid w:val="00C55B1B"/>
    <w:rsid w:val="00C61576"/>
    <w:rsid w:val="00C6493D"/>
    <w:rsid w:val="00C71070"/>
    <w:rsid w:val="00C72167"/>
    <w:rsid w:val="00C727F0"/>
    <w:rsid w:val="00C748B1"/>
    <w:rsid w:val="00C7566B"/>
    <w:rsid w:val="00C85C5B"/>
    <w:rsid w:val="00C85EA4"/>
    <w:rsid w:val="00C87D7A"/>
    <w:rsid w:val="00C95CE4"/>
    <w:rsid w:val="00CA7713"/>
    <w:rsid w:val="00CA7CE2"/>
    <w:rsid w:val="00CB18C1"/>
    <w:rsid w:val="00CB566F"/>
    <w:rsid w:val="00CB5EE5"/>
    <w:rsid w:val="00CB7A0B"/>
    <w:rsid w:val="00CC0C93"/>
    <w:rsid w:val="00CD0C37"/>
    <w:rsid w:val="00CD1B10"/>
    <w:rsid w:val="00CD1F5B"/>
    <w:rsid w:val="00CE1296"/>
    <w:rsid w:val="00CF1A31"/>
    <w:rsid w:val="00CF38FE"/>
    <w:rsid w:val="00CF77C8"/>
    <w:rsid w:val="00D108A9"/>
    <w:rsid w:val="00D12400"/>
    <w:rsid w:val="00D15487"/>
    <w:rsid w:val="00D158B8"/>
    <w:rsid w:val="00D16BB7"/>
    <w:rsid w:val="00D235D7"/>
    <w:rsid w:val="00D27CAF"/>
    <w:rsid w:val="00D30A69"/>
    <w:rsid w:val="00D4321F"/>
    <w:rsid w:val="00D43D3C"/>
    <w:rsid w:val="00D54CF8"/>
    <w:rsid w:val="00D60088"/>
    <w:rsid w:val="00D6227A"/>
    <w:rsid w:val="00D70A9D"/>
    <w:rsid w:val="00D74C7D"/>
    <w:rsid w:val="00D82B70"/>
    <w:rsid w:val="00D8741A"/>
    <w:rsid w:val="00D90376"/>
    <w:rsid w:val="00D92102"/>
    <w:rsid w:val="00D962D7"/>
    <w:rsid w:val="00DA3A18"/>
    <w:rsid w:val="00DA78CA"/>
    <w:rsid w:val="00DB4D26"/>
    <w:rsid w:val="00DB72D7"/>
    <w:rsid w:val="00DC10A2"/>
    <w:rsid w:val="00DC1816"/>
    <w:rsid w:val="00DC28DD"/>
    <w:rsid w:val="00DC7054"/>
    <w:rsid w:val="00DD1C0C"/>
    <w:rsid w:val="00DD2551"/>
    <w:rsid w:val="00DD2B9C"/>
    <w:rsid w:val="00DD3A06"/>
    <w:rsid w:val="00DD4787"/>
    <w:rsid w:val="00DD6A99"/>
    <w:rsid w:val="00DE4374"/>
    <w:rsid w:val="00DF1BD2"/>
    <w:rsid w:val="00DF344E"/>
    <w:rsid w:val="00DF501D"/>
    <w:rsid w:val="00DF50E3"/>
    <w:rsid w:val="00E04357"/>
    <w:rsid w:val="00E11B68"/>
    <w:rsid w:val="00E130AB"/>
    <w:rsid w:val="00E14AB4"/>
    <w:rsid w:val="00E206A3"/>
    <w:rsid w:val="00E223E3"/>
    <w:rsid w:val="00E23864"/>
    <w:rsid w:val="00E2647B"/>
    <w:rsid w:val="00E2682E"/>
    <w:rsid w:val="00E36151"/>
    <w:rsid w:val="00E401CA"/>
    <w:rsid w:val="00E423EC"/>
    <w:rsid w:val="00E47C48"/>
    <w:rsid w:val="00E50BFA"/>
    <w:rsid w:val="00E53A70"/>
    <w:rsid w:val="00E53D0D"/>
    <w:rsid w:val="00E564E0"/>
    <w:rsid w:val="00E56D0F"/>
    <w:rsid w:val="00E632A0"/>
    <w:rsid w:val="00E6422B"/>
    <w:rsid w:val="00E66186"/>
    <w:rsid w:val="00E6648C"/>
    <w:rsid w:val="00E703DA"/>
    <w:rsid w:val="00E70935"/>
    <w:rsid w:val="00E76AE8"/>
    <w:rsid w:val="00E7741D"/>
    <w:rsid w:val="00E80353"/>
    <w:rsid w:val="00E834E5"/>
    <w:rsid w:val="00E84631"/>
    <w:rsid w:val="00E8587F"/>
    <w:rsid w:val="00E938A2"/>
    <w:rsid w:val="00E94753"/>
    <w:rsid w:val="00E95E65"/>
    <w:rsid w:val="00EA0991"/>
    <w:rsid w:val="00EB018A"/>
    <w:rsid w:val="00EB0385"/>
    <w:rsid w:val="00EB29D4"/>
    <w:rsid w:val="00EB339D"/>
    <w:rsid w:val="00EB36A4"/>
    <w:rsid w:val="00EC29DA"/>
    <w:rsid w:val="00EC3026"/>
    <w:rsid w:val="00EC5A10"/>
    <w:rsid w:val="00EC5A7E"/>
    <w:rsid w:val="00EC5FAE"/>
    <w:rsid w:val="00EC792D"/>
    <w:rsid w:val="00EC7A59"/>
    <w:rsid w:val="00ED486D"/>
    <w:rsid w:val="00ED77AB"/>
    <w:rsid w:val="00EE0472"/>
    <w:rsid w:val="00EE5505"/>
    <w:rsid w:val="00EE5915"/>
    <w:rsid w:val="00EF206A"/>
    <w:rsid w:val="00EF5D1A"/>
    <w:rsid w:val="00EF6DE8"/>
    <w:rsid w:val="00EF7D38"/>
    <w:rsid w:val="00F01B83"/>
    <w:rsid w:val="00F03558"/>
    <w:rsid w:val="00F04DE0"/>
    <w:rsid w:val="00F05796"/>
    <w:rsid w:val="00F06C15"/>
    <w:rsid w:val="00F11D85"/>
    <w:rsid w:val="00F15181"/>
    <w:rsid w:val="00F21822"/>
    <w:rsid w:val="00F303EC"/>
    <w:rsid w:val="00F314A7"/>
    <w:rsid w:val="00F33EEF"/>
    <w:rsid w:val="00F35D8C"/>
    <w:rsid w:val="00F364DF"/>
    <w:rsid w:val="00F36E89"/>
    <w:rsid w:val="00F4310F"/>
    <w:rsid w:val="00F47861"/>
    <w:rsid w:val="00F50CD1"/>
    <w:rsid w:val="00F51AEE"/>
    <w:rsid w:val="00F52509"/>
    <w:rsid w:val="00F53058"/>
    <w:rsid w:val="00F555BC"/>
    <w:rsid w:val="00F6111B"/>
    <w:rsid w:val="00F62599"/>
    <w:rsid w:val="00F64F6C"/>
    <w:rsid w:val="00F65BE1"/>
    <w:rsid w:val="00F65CB2"/>
    <w:rsid w:val="00F676C1"/>
    <w:rsid w:val="00F80BC0"/>
    <w:rsid w:val="00F91C8F"/>
    <w:rsid w:val="00F91D35"/>
    <w:rsid w:val="00F960C2"/>
    <w:rsid w:val="00F9713C"/>
    <w:rsid w:val="00FA031B"/>
    <w:rsid w:val="00FA085B"/>
    <w:rsid w:val="00FA23D1"/>
    <w:rsid w:val="00FC3E2B"/>
    <w:rsid w:val="00FC6AE2"/>
    <w:rsid w:val="00FD08A2"/>
    <w:rsid w:val="00FD2AAD"/>
    <w:rsid w:val="00FD4B00"/>
    <w:rsid w:val="00FD7C2A"/>
    <w:rsid w:val="00FF2DA1"/>
    <w:rsid w:val="00FF4089"/>
    <w:rsid w:val="00FF59D3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5D1C"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Normal"/>
    <w:rsid w:val="00FF6AE1"/>
    <w:pPr>
      <w:numPr>
        <w:numId w:val="1"/>
      </w:numPr>
      <w:tabs>
        <w:tab w:val="left" w:pos="1440"/>
      </w:tabs>
      <w:spacing w:after="240"/>
      <w:jc w:val="center"/>
    </w:pPr>
    <w:rPr>
      <w:b/>
      <w:smallCaps/>
      <w:szCs w:val="20"/>
    </w:rPr>
  </w:style>
  <w:style w:type="paragraph" w:customStyle="1" w:styleId="Paragraph">
    <w:name w:val="Paragraph"/>
    <w:basedOn w:val="BodyTextIndent"/>
    <w:rsid w:val="00FF6AE1"/>
    <w:pPr>
      <w:numPr>
        <w:ilvl w:val="1"/>
        <w:numId w:val="1"/>
      </w:numPr>
      <w:spacing w:before="120"/>
      <w:jc w:val="both"/>
      <w:outlineLvl w:val="1"/>
    </w:pPr>
    <w:rPr>
      <w:szCs w:val="20"/>
    </w:rPr>
  </w:style>
  <w:style w:type="paragraph" w:customStyle="1" w:styleId="subpar">
    <w:name w:val="subpar"/>
    <w:basedOn w:val="BodyTextIndent3"/>
    <w:rsid w:val="00FF6AE1"/>
    <w:pPr>
      <w:numPr>
        <w:ilvl w:val="2"/>
        <w:numId w:val="1"/>
      </w:numPr>
      <w:spacing w:before="120"/>
      <w:jc w:val="both"/>
      <w:outlineLvl w:val="2"/>
    </w:pPr>
    <w:rPr>
      <w:sz w:val="24"/>
      <w:szCs w:val="20"/>
      <w:lang w:val="es-ES_tradnl"/>
    </w:rPr>
  </w:style>
  <w:style w:type="paragraph" w:customStyle="1" w:styleId="SubSubPar">
    <w:name w:val="SubSubPar"/>
    <w:basedOn w:val="subpar"/>
    <w:rsid w:val="00FF6AE1"/>
    <w:pPr>
      <w:numPr>
        <w:ilvl w:val="3"/>
      </w:numPr>
      <w:tabs>
        <w:tab w:val="clear" w:pos="1584"/>
        <w:tab w:val="left" w:pos="0"/>
        <w:tab w:val="num" w:pos="360"/>
      </w:tabs>
    </w:pPr>
  </w:style>
  <w:style w:type="paragraph" w:styleId="FootnoteText">
    <w:name w:val="footnote text"/>
    <w:basedOn w:val="Normal"/>
    <w:semiHidden/>
    <w:rsid w:val="00FF6AE1"/>
    <w:pPr>
      <w:tabs>
        <w:tab w:val="left" w:pos="567"/>
      </w:tabs>
      <w:spacing w:after="60"/>
      <w:jc w:val="both"/>
    </w:pPr>
    <w:rPr>
      <w:sz w:val="22"/>
      <w:szCs w:val="22"/>
      <w:lang w:val="es-PE" w:eastAsia="es-MX"/>
    </w:rPr>
  </w:style>
  <w:style w:type="character" w:styleId="FootnoteReference">
    <w:name w:val="footnote reference"/>
    <w:semiHidden/>
    <w:rsid w:val="00FF6AE1"/>
    <w:rPr>
      <w:vertAlign w:val="superscript"/>
    </w:rPr>
  </w:style>
  <w:style w:type="paragraph" w:styleId="BodyTextIndent">
    <w:name w:val="Body Text Indent"/>
    <w:basedOn w:val="Normal"/>
    <w:rsid w:val="00FF6AE1"/>
    <w:pPr>
      <w:spacing w:after="120"/>
      <w:ind w:left="360"/>
    </w:pPr>
  </w:style>
  <w:style w:type="paragraph" w:styleId="BodyTextIndent3">
    <w:name w:val="Body Text Indent 3"/>
    <w:basedOn w:val="Normal"/>
    <w:rsid w:val="00FF6AE1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rsid w:val="006540F2"/>
    <w:pPr>
      <w:numPr>
        <w:numId w:val="2"/>
      </w:numPr>
      <w:shd w:val="clear" w:color="auto" w:fill="000080"/>
      <w:spacing w:after="120"/>
      <w:ind w:left="0" w:firstLine="0"/>
    </w:pPr>
    <w:rPr>
      <w:rFonts w:ascii="Tahoma" w:hAnsi="Tahoma"/>
      <w:szCs w:val="20"/>
      <w:lang w:val="en-US" w:eastAsia="en-US"/>
    </w:rPr>
  </w:style>
  <w:style w:type="paragraph" w:customStyle="1" w:styleId="SecHeading">
    <w:name w:val="SecHeading"/>
    <w:basedOn w:val="Normal"/>
    <w:next w:val="Paragraph"/>
    <w:rsid w:val="006540F2"/>
    <w:pPr>
      <w:keepNext/>
      <w:numPr>
        <w:ilvl w:val="2"/>
        <w:numId w:val="2"/>
      </w:numPr>
      <w:tabs>
        <w:tab w:val="clear" w:pos="1872"/>
        <w:tab w:val="num" w:pos="1296"/>
      </w:tabs>
      <w:spacing w:before="120" w:after="120"/>
      <w:ind w:left="0" w:firstLine="0"/>
    </w:pPr>
    <w:rPr>
      <w:b/>
      <w:szCs w:val="20"/>
      <w:lang w:val="es-ES_tradnl" w:eastAsia="en-US"/>
    </w:rPr>
  </w:style>
  <w:style w:type="paragraph" w:customStyle="1" w:styleId="SubHeading1">
    <w:name w:val="SubHeading1"/>
    <w:basedOn w:val="SecHeading"/>
    <w:rsid w:val="006540F2"/>
    <w:pPr>
      <w:numPr>
        <w:ilvl w:val="3"/>
      </w:numPr>
      <w:tabs>
        <w:tab w:val="clear" w:pos="2376"/>
        <w:tab w:val="num" w:pos="1872"/>
      </w:tabs>
      <w:ind w:left="1872" w:hanging="576"/>
    </w:pPr>
  </w:style>
  <w:style w:type="paragraph" w:styleId="Caption">
    <w:name w:val="caption"/>
    <w:basedOn w:val="Normal"/>
    <w:next w:val="Normal"/>
    <w:link w:val="CaptionChar"/>
    <w:qFormat/>
    <w:rsid w:val="006540F2"/>
    <w:pPr>
      <w:spacing w:after="120"/>
      <w:jc w:val="center"/>
    </w:pPr>
    <w:rPr>
      <w:b/>
      <w:szCs w:val="20"/>
      <w:lang w:eastAsia="en-US"/>
    </w:rPr>
  </w:style>
  <w:style w:type="character" w:customStyle="1" w:styleId="CaptionChar">
    <w:name w:val="Caption Char"/>
    <w:link w:val="Caption"/>
    <w:rsid w:val="006540F2"/>
    <w:rPr>
      <w:b/>
      <w:sz w:val="24"/>
      <w:lang w:val="es-ES" w:eastAsia="en-US" w:bidi="ar-SA"/>
    </w:rPr>
  </w:style>
  <w:style w:type="paragraph" w:customStyle="1" w:styleId="FirstHeading">
    <w:name w:val="FirstHeading"/>
    <w:basedOn w:val="Normal"/>
    <w:rsid w:val="00911B30"/>
    <w:pPr>
      <w:keepNext/>
      <w:tabs>
        <w:tab w:val="left" w:pos="0"/>
        <w:tab w:val="left" w:pos="90"/>
      </w:tabs>
      <w:spacing w:before="120" w:after="120"/>
      <w:ind w:left="720" w:hanging="720"/>
    </w:pPr>
    <w:rPr>
      <w:b/>
      <w:szCs w:val="20"/>
      <w:lang w:eastAsia="en-US"/>
    </w:rPr>
  </w:style>
  <w:style w:type="paragraph" w:customStyle="1" w:styleId="Subheading2">
    <w:name w:val="Subheading2"/>
    <w:basedOn w:val="SecHeading"/>
    <w:rsid w:val="00911B30"/>
    <w:pPr>
      <w:numPr>
        <w:ilvl w:val="0"/>
        <w:numId w:val="0"/>
      </w:numPr>
      <w:tabs>
        <w:tab w:val="num" w:pos="360"/>
      </w:tabs>
      <w:ind w:left="2376" w:hanging="288"/>
    </w:pPr>
  </w:style>
  <w:style w:type="paragraph" w:customStyle="1" w:styleId="Prrafodelista1">
    <w:name w:val="Párrafo de lista1"/>
    <w:basedOn w:val="Normal"/>
    <w:qFormat/>
    <w:rsid w:val="00911B30"/>
    <w:pPr>
      <w:widowControl w:val="0"/>
      <w:ind w:left="720"/>
    </w:pPr>
    <w:rPr>
      <w:rFonts w:ascii="Baskerville Old Face" w:hAnsi="Baskerville Old Face"/>
      <w:snapToGrid w:val="0"/>
      <w:szCs w:val="20"/>
      <w:lang w:val="en-US" w:eastAsia="en-US"/>
    </w:rPr>
  </w:style>
  <w:style w:type="paragraph" w:styleId="BalloonText">
    <w:name w:val="Balloon Text"/>
    <w:basedOn w:val="Normal"/>
    <w:semiHidden/>
    <w:rsid w:val="00911B30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4B4646"/>
    <w:pPr>
      <w:tabs>
        <w:tab w:val="center" w:pos="4320"/>
        <w:tab w:val="right" w:pos="8640"/>
      </w:tabs>
    </w:pPr>
    <w:rPr>
      <w:lang w:val="x-none" w:eastAsia="x-none"/>
    </w:rPr>
  </w:style>
  <w:style w:type="character" w:styleId="PageNumber">
    <w:name w:val="page number"/>
    <w:basedOn w:val="DefaultParagraphFont"/>
    <w:rsid w:val="004B4646"/>
  </w:style>
  <w:style w:type="table" w:styleId="TableGrid">
    <w:name w:val="Table Grid"/>
    <w:basedOn w:val="TableNormal"/>
    <w:rsid w:val="003A36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link w:val="SubtitleChar"/>
    <w:qFormat/>
    <w:rsid w:val="00142048"/>
    <w:pPr>
      <w:spacing w:line="360" w:lineRule="auto"/>
      <w:jc w:val="both"/>
    </w:pPr>
    <w:rPr>
      <w:b/>
      <w:bCs/>
      <w:u w:val="single"/>
      <w:lang w:val="es-ES_tradnl"/>
    </w:rPr>
  </w:style>
  <w:style w:type="character" w:customStyle="1" w:styleId="SubtitleChar">
    <w:name w:val="Subtitle Char"/>
    <w:link w:val="Subtitle"/>
    <w:rsid w:val="00142048"/>
    <w:rPr>
      <w:b/>
      <w:bCs/>
      <w:sz w:val="24"/>
      <w:szCs w:val="24"/>
      <w:u w:val="single"/>
      <w:lang w:val="es-ES_tradnl" w:eastAsia="es-ES"/>
    </w:rPr>
  </w:style>
  <w:style w:type="character" w:styleId="CommentReference">
    <w:name w:val="annotation reference"/>
    <w:semiHidden/>
    <w:rsid w:val="00E6297F"/>
    <w:rPr>
      <w:sz w:val="16"/>
      <w:szCs w:val="16"/>
    </w:rPr>
  </w:style>
  <w:style w:type="paragraph" w:styleId="CommentText">
    <w:name w:val="annotation text"/>
    <w:basedOn w:val="Normal"/>
    <w:semiHidden/>
    <w:rsid w:val="00E6297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E6297F"/>
    <w:rPr>
      <w:b/>
      <w:bCs/>
    </w:rPr>
  </w:style>
  <w:style w:type="paragraph" w:styleId="Header">
    <w:name w:val="header"/>
    <w:basedOn w:val="Normal"/>
    <w:link w:val="HeaderChar"/>
    <w:uiPriority w:val="99"/>
    <w:rsid w:val="00B31822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B31822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B31822"/>
    <w:rPr>
      <w:sz w:val="24"/>
      <w:szCs w:val="24"/>
    </w:rPr>
  </w:style>
  <w:style w:type="paragraph" w:customStyle="1" w:styleId="Revisin1">
    <w:name w:val="Revisión1"/>
    <w:hidden/>
    <w:uiPriority w:val="99"/>
    <w:semiHidden/>
    <w:rsid w:val="00C829EA"/>
    <w:rPr>
      <w:sz w:val="24"/>
      <w:szCs w:val="24"/>
      <w:lang w:val="es-ES" w:eastAsia="es-ES"/>
    </w:rPr>
  </w:style>
  <w:style w:type="paragraph" w:customStyle="1" w:styleId="Sinespaciado1">
    <w:name w:val="Sin espaciado1"/>
    <w:uiPriority w:val="1"/>
    <w:qFormat/>
    <w:rsid w:val="00A1410E"/>
    <w:rPr>
      <w:sz w:val="24"/>
      <w:szCs w:val="24"/>
      <w:lang w:val="es-ES" w:eastAsia="es-ES"/>
    </w:rPr>
  </w:style>
  <w:style w:type="paragraph" w:customStyle="1" w:styleId="Listavistosa-nfasis11">
    <w:name w:val="Lista vistosa - Énfasis 11"/>
    <w:basedOn w:val="Normal"/>
    <w:uiPriority w:val="34"/>
    <w:qFormat/>
    <w:rsid w:val="00CE70E4"/>
    <w:pPr>
      <w:ind w:left="720"/>
    </w:pPr>
  </w:style>
  <w:style w:type="paragraph" w:customStyle="1" w:styleId="Sinespaciado2">
    <w:name w:val="Sin espaciado2"/>
    <w:qFormat/>
    <w:rsid w:val="00A844F1"/>
    <w:rPr>
      <w:sz w:val="24"/>
      <w:szCs w:val="24"/>
      <w:lang w:val="es-ES" w:eastAsia="es-ES"/>
    </w:rPr>
  </w:style>
  <w:style w:type="paragraph" w:styleId="ListParagraph">
    <w:name w:val="List Paragraph"/>
    <w:basedOn w:val="Normal"/>
    <w:uiPriority w:val="34"/>
    <w:qFormat/>
    <w:rsid w:val="00A85277"/>
    <w:pPr>
      <w:ind w:left="720"/>
    </w:pPr>
  </w:style>
  <w:style w:type="character" w:styleId="Hyperlink">
    <w:name w:val="Hyperlink"/>
    <w:rsid w:val="005855D3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5D1C"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Normal"/>
    <w:rsid w:val="00FF6AE1"/>
    <w:pPr>
      <w:numPr>
        <w:numId w:val="1"/>
      </w:numPr>
      <w:tabs>
        <w:tab w:val="left" w:pos="1440"/>
      </w:tabs>
      <w:spacing w:after="240"/>
      <w:jc w:val="center"/>
    </w:pPr>
    <w:rPr>
      <w:b/>
      <w:smallCaps/>
      <w:szCs w:val="20"/>
    </w:rPr>
  </w:style>
  <w:style w:type="paragraph" w:customStyle="1" w:styleId="Paragraph">
    <w:name w:val="Paragraph"/>
    <w:basedOn w:val="BodyTextIndent"/>
    <w:rsid w:val="00FF6AE1"/>
    <w:pPr>
      <w:numPr>
        <w:ilvl w:val="1"/>
        <w:numId w:val="1"/>
      </w:numPr>
      <w:spacing w:before="120"/>
      <w:jc w:val="both"/>
      <w:outlineLvl w:val="1"/>
    </w:pPr>
    <w:rPr>
      <w:szCs w:val="20"/>
    </w:rPr>
  </w:style>
  <w:style w:type="paragraph" w:customStyle="1" w:styleId="subpar">
    <w:name w:val="subpar"/>
    <w:basedOn w:val="BodyTextIndent3"/>
    <w:rsid w:val="00FF6AE1"/>
    <w:pPr>
      <w:numPr>
        <w:ilvl w:val="2"/>
        <w:numId w:val="1"/>
      </w:numPr>
      <w:spacing w:before="120"/>
      <w:jc w:val="both"/>
      <w:outlineLvl w:val="2"/>
    </w:pPr>
    <w:rPr>
      <w:sz w:val="24"/>
      <w:szCs w:val="20"/>
      <w:lang w:val="es-ES_tradnl"/>
    </w:rPr>
  </w:style>
  <w:style w:type="paragraph" w:customStyle="1" w:styleId="SubSubPar">
    <w:name w:val="SubSubPar"/>
    <w:basedOn w:val="subpar"/>
    <w:rsid w:val="00FF6AE1"/>
    <w:pPr>
      <w:numPr>
        <w:ilvl w:val="3"/>
      </w:numPr>
      <w:tabs>
        <w:tab w:val="clear" w:pos="1584"/>
        <w:tab w:val="left" w:pos="0"/>
        <w:tab w:val="num" w:pos="360"/>
      </w:tabs>
    </w:pPr>
  </w:style>
  <w:style w:type="paragraph" w:styleId="FootnoteText">
    <w:name w:val="footnote text"/>
    <w:basedOn w:val="Normal"/>
    <w:semiHidden/>
    <w:rsid w:val="00FF6AE1"/>
    <w:pPr>
      <w:tabs>
        <w:tab w:val="left" w:pos="567"/>
      </w:tabs>
      <w:spacing w:after="60"/>
      <w:jc w:val="both"/>
    </w:pPr>
    <w:rPr>
      <w:sz w:val="22"/>
      <w:szCs w:val="22"/>
      <w:lang w:val="es-PE" w:eastAsia="es-MX"/>
    </w:rPr>
  </w:style>
  <w:style w:type="character" w:styleId="FootnoteReference">
    <w:name w:val="footnote reference"/>
    <w:semiHidden/>
    <w:rsid w:val="00FF6AE1"/>
    <w:rPr>
      <w:vertAlign w:val="superscript"/>
    </w:rPr>
  </w:style>
  <w:style w:type="paragraph" w:styleId="BodyTextIndent">
    <w:name w:val="Body Text Indent"/>
    <w:basedOn w:val="Normal"/>
    <w:rsid w:val="00FF6AE1"/>
    <w:pPr>
      <w:spacing w:after="120"/>
      <w:ind w:left="360"/>
    </w:pPr>
  </w:style>
  <w:style w:type="paragraph" w:styleId="BodyTextIndent3">
    <w:name w:val="Body Text Indent 3"/>
    <w:basedOn w:val="Normal"/>
    <w:rsid w:val="00FF6AE1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rsid w:val="006540F2"/>
    <w:pPr>
      <w:numPr>
        <w:numId w:val="2"/>
      </w:numPr>
      <w:shd w:val="clear" w:color="auto" w:fill="000080"/>
      <w:spacing w:after="120"/>
      <w:ind w:left="0" w:firstLine="0"/>
    </w:pPr>
    <w:rPr>
      <w:rFonts w:ascii="Tahoma" w:hAnsi="Tahoma"/>
      <w:szCs w:val="20"/>
      <w:lang w:val="en-US" w:eastAsia="en-US"/>
    </w:rPr>
  </w:style>
  <w:style w:type="paragraph" w:customStyle="1" w:styleId="SecHeading">
    <w:name w:val="SecHeading"/>
    <w:basedOn w:val="Normal"/>
    <w:next w:val="Paragraph"/>
    <w:rsid w:val="006540F2"/>
    <w:pPr>
      <w:keepNext/>
      <w:numPr>
        <w:ilvl w:val="2"/>
        <w:numId w:val="2"/>
      </w:numPr>
      <w:tabs>
        <w:tab w:val="clear" w:pos="1872"/>
        <w:tab w:val="num" w:pos="1296"/>
      </w:tabs>
      <w:spacing w:before="120" w:after="120"/>
      <w:ind w:left="0" w:firstLine="0"/>
    </w:pPr>
    <w:rPr>
      <w:b/>
      <w:szCs w:val="20"/>
      <w:lang w:val="es-ES_tradnl" w:eastAsia="en-US"/>
    </w:rPr>
  </w:style>
  <w:style w:type="paragraph" w:customStyle="1" w:styleId="SubHeading1">
    <w:name w:val="SubHeading1"/>
    <w:basedOn w:val="SecHeading"/>
    <w:rsid w:val="006540F2"/>
    <w:pPr>
      <w:numPr>
        <w:ilvl w:val="3"/>
      </w:numPr>
      <w:tabs>
        <w:tab w:val="clear" w:pos="2376"/>
        <w:tab w:val="num" w:pos="1872"/>
      </w:tabs>
      <w:ind w:left="1872" w:hanging="576"/>
    </w:pPr>
  </w:style>
  <w:style w:type="paragraph" w:styleId="Caption">
    <w:name w:val="caption"/>
    <w:basedOn w:val="Normal"/>
    <w:next w:val="Normal"/>
    <w:link w:val="CaptionChar"/>
    <w:qFormat/>
    <w:rsid w:val="006540F2"/>
    <w:pPr>
      <w:spacing w:after="120"/>
      <w:jc w:val="center"/>
    </w:pPr>
    <w:rPr>
      <w:b/>
      <w:szCs w:val="20"/>
      <w:lang w:eastAsia="en-US"/>
    </w:rPr>
  </w:style>
  <w:style w:type="character" w:customStyle="1" w:styleId="CaptionChar">
    <w:name w:val="Caption Char"/>
    <w:link w:val="Caption"/>
    <w:rsid w:val="006540F2"/>
    <w:rPr>
      <w:b/>
      <w:sz w:val="24"/>
      <w:lang w:val="es-ES" w:eastAsia="en-US" w:bidi="ar-SA"/>
    </w:rPr>
  </w:style>
  <w:style w:type="paragraph" w:customStyle="1" w:styleId="FirstHeading">
    <w:name w:val="FirstHeading"/>
    <w:basedOn w:val="Normal"/>
    <w:rsid w:val="00911B30"/>
    <w:pPr>
      <w:keepNext/>
      <w:tabs>
        <w:tab w:val="left" w:pos="0"/>
        <w:tab w:val="left" w:pos="90"/>
      </w:tabs>
      <w:spacing w:before="120" w:after="120"/>
      <w:ind w:left="720" w:hanging="720"/>
    </w:pPr>
    <w:rPr>
      <w:b/>
      <w:szCs w:val="20"/>
      <w:lang w:eastAsia="en-US"/>
    </w:rPr>
  </w:style>
  <w:style w:type="paragraph" w:customStyle="1" w:styleId="Subheading2">
    <w:name w:val="Subheading2"/>
    <w:basedOn w:val="SecHeading"/>
    <w:rsid w:val="00911B30"/>
    <w:pPr>
      <w:numPr>
        <w:ilvl w:val="0"/>
        <w:numId w:val="0"/>
      </w:numPr>
      <w:tabs>
        <w:tab w:val="num" w:pos="360"/>
      </w:tabs>
      <w:ind w:left="2376" w:hanging="288"/>
    </w:pPr>
  </w:style>
  <w:style w:type="paragraph" w:customStyle="1" w:styleId="Prrafodelista1">
    <w:name w:val="Párrafo de lista1"/>
    <w:basedOn w:val="Normal"/>
    <w:qFormat/>
    <w:rsid w:val="00911B30"/>
    <w:pPr>
      <w:widowControl w:val="0"/>
      <w:ind w:left="720"/>
    </w:pPr>
    <w:rPr>
      <w:rFonts w:ascii="Baskerville Old Face" w:hAnsi="Baskerville Old Face"/>
      <w:snapToGrid w:val="0"/>
      <w:szCs w:val="20"/>
      <w:lang w:val="en-US" w:eastAsia="en-US"/>
    </w:rPr>
  </w:style>
  <w:style w:type="paragraph" w:styleId="BalloonText">
    <w:name w:val="Balloon Text"/>
    <w:basedOn w:val="Normal"/>
    <w:semiHidden/>
    <w:rsid w:val="00911B30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4B4646"/>
    <w:pPr>
      <w:tabs>
        <w:tab w:val="center" w:pos="4320"/>
        <w:tab w:val="right" w:pos="8640"/>
      </w:tabs>
    </w:pPr>
    <w:rPr>
      <w:lang w:val="x-none" w:eastAsia="x-none"/>
    </w:rPr>
  </w:style>
  <w:style w:type="character" w:styleId="PageNumber">
    <w:name w:val="page number"/>
    <w:basedOn w:val="DefaultParagraphFont"/>
    <w:rsid w:val="004B4646"/>
  </w:style>
  <w:style w:type="table" w:styleId="TableGrid">
    <w:name w:val="Table Grid"/>
    <w:basedOn w:val="TableNormal"/>
    <w:rsid w:val="003A36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link w:val="SubtitleChar"/>
    <w:qFormat/>
    <w:rsid w:val="00142048"/>
    <w:pPr>
      <w:spacing w:line="360" w:lineRule="auto"/>
      <w:jc w:val="both"/>
    </w:pPr>
    <w:rPr>
      <w:b/>
      <w:bCs/>
      <w:u w:val="single"/>
      <w:lang w:val="es-ES_tradnl"/>
    </w:rPr>
  </w:style>
  <w:style w:type="character" w:customStyle="1" w:styleId="SubtitleChar">
    <w:name w:val="Subtitle Char"/>
    <w:link w:val="Subtitle"/>
    <w:rsid w:val="00142048"/>
    <w:rPr>
      <w:b/>
      <w:bCs/>
      <w:sz w:val="24"/>
      <w:szCs w:val="24"/>
      <w:u w:val="single"/>
      <w:lang w:val="es-ES_tradnl" w:eastAsia="es-ES"/>
    </w:rPr>
  </w:style>
  <w:style w:type="character" w:styleId="CommentReference">
    <w:name w:val="annotation reference"/>
    <w:semiHidden/>
    <w:rsid w:val="00E6297F"/>
    <w:rPr>
      <w:sz w:val="16"/>
      <w:szCs w:val="16"/>
    </w:rPr>
  </w:style>
  <w:style w:type="paragraph" w:styleId="CommentText">
    <w:name w:val="annotation text"/>
    <w:basedOn w:val="Normal"/>
    <w:semiHidden/>
    <w:rsid w:val="00E6297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E6297F"/>
    <w:rPr>
      <w:b/>
      <w:bCs/>
    </w:rPr>
  </w:style>
  <w:style w:type="paragraph" w:styleId="Header">
    <w:name w:val="header"/>
    <w:basedOn w:val="Normal"/>
    <w:link w:val="HeaderChar"/>
    <w:uiPriority w:val="99"/>
    <w:rsid w:val="00B31822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B31822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B31822"/>
    <w:rPr>
      <w:sz w:val="24"/>
      <w:szCs w:val="24"/>
    </w:rPr>
  </w:style>
  <w:style w:type="paragraph" w:customStyle="1" w:styleId="Revisin1">
    <w:name w:val="Revisión1"/>
    <w:hidden/>
    <w:uiPriority w:val="99"/>
    <w:semiHidden/>
    <w:rsid w:val="00C829EA"/>
    <w:rPr>
      <w:sz w:val="24"/>
      <w:szCs w:val="24"/>
      <w:lang w:val="es-ES" w:eastAsia="es-ES"/>
    </w:rPr>
  </w:style>
  <w:style w:type="paragraph" w:customStyle="1" w:styleId="Sinespaciado1">
    <w:name w:val="Sin espaciado1"/>
    <w:uiPriority w:val="1"/>
    <w:qFormat/>
    <w:rsid w:val="00A1410E"/>
    <w:rPr>
      <w:sz w:val="24"/>
      <w:szCs w:val="24"/>
      <w:lang w:val="es-ES" w:eastAsia="es-ES"/>
    </w:rPr>
  </w:style>
  <w:style w:type="paragraph" w:customStyle="1" w:styleId="Listavistosa-nfasis11">
    <w:name w:val="Lista vistosa - Énfasis 11"/>
    <w:basedOn w:val="Normal"/>
    <w:uiPriority w:val="34"/>
    <w:qFormat/>
    <w:rsid w:val="00CE70E4"/>
    <w:pPr>
      <w:ind w:left="720"/>
    </w:pPr>
  </w:style>
  <w:style w:type="paragraph" w:customStyle="1" w:styleId="Sinespaciado2">
    <w:name w:val="Sin espaciado2"/>
    <w:qFormat/>
    <w:rsid w:val="00A844F1"/>
    <w:rPr>
      <w:sz w:val="24"/>
      <w:szCs w:val="24"/>
      <w:lang w:val="es-ES" w:eastAsia="es-ES"/>
    </w:rPr>
  </w:style>
  <w:style w:type="paragraph" w:styleId="ListParagraph">
    <w:name w:val="List Paragraph"/>
    <w:basedOn w:val="Normal"/>
    <w:uiPriority w:val="34"/>
    <w:qFormat/>
    <w:rsid w:val="00A85277"/>
    <w:pPr>
      <w:ind w:left="720"/>
    </w:pPr>
  </w:style>
  <w:style w:type="character" w:styleId="Hyperlink">
    <w:name w:val="Hyperlink"/>
    <w:rsid w:val="005855D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openxmlformats.org/officeDocument/2006/relationships/customXml" Target="../customXml/item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proyectos.inei.gob.pe/CenagroWeb/?id=DERECHA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10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11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3D3C008EFCE8E047AA188F5BFC876E80" ma:contentTypeVersion="1913" ma:contentTypeDescription="The base project type from which other project content types inherit their information." ma:contentTypeScope="" ma:versionID="363d57ac0adcf2fcd1d27e2759ebef2a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debd62a969ab0658bee3269b05fb97a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>R0002775934</Record_x0020_Number>
    <Key_x0020_Document xmlns="cdc7663a-08f0-4737-9e8c-148ce897a09c">false</Key_x0020_Document>
    <Division_x0020_or_x0020_Unit xmlns="cdc7663a-08f0-4737-9e8c-148ce897a09c">INE/RND</Division_x0020_or_x0020_Unit>
    <IDBDocs_x0020_Number xmlns="cdc7663a-08f0-4737-9e8c-148ce897a09c">37812351</IDBDocs_x0020_Number>
    <Document_x0020_Author xmlns="cdc7663a-08f0-4737-9e8c-148ce897a09c">Quiroga, Ricardo E.</Document_x0020_Author>
    <Operation_x0020_Type xmlns="cdc7663a-08f0-4737-9e8c-148ce897a09c" xsi:nil="true"/>
    <TaxCatchAll xmlns="cdc7663a-08f0-4737-9e8c-148ce897a09c"/>
    <Fiscal_x0020_Year_x0020_IDB xmlns="cdc7663a-08f0-4737-9e8c-148ce897a09c">2013</Fiscal_x0020_Year_x0020_IDB>
    <Project_x0020_Number xmlns="cdc7663a-08f0-4737-9e8c-148ce897a09c">PE-L1126</Project_x0020_Number>
    <Package_x0020_Code xmlns="cdc7663a-08f0-4737-9e8c-148ce897a09c" xsi:nil="true"/>
    <Migration_x0020_Info xmlns="cdc7663a-08f0-4737-9e8c-148ce897a09c">MS WORDLPLoan Proposal0YPO-PE-L1126-Plan1067782684</Migration_x0020_Info>
    <Approval_x0020_Number xmlns="cdc7663a-08f0-4737-9e8c-148ce897a09c" xsi:nil="true"/>
    <Business_x0020_Area xmlns="cdc7663a-08f0-4737-9e8c-148ce897a09c" xsi:nil="true"/>
    <SISCOR_x0020_Number xmlns="cdc7663a-08f0-4737-9e8c-148ce897a09c" xsi:nil="true"/>
    <Identifier xmlns="cdc7663a-08f0-4737-9e8c-148ce897a09c"> ANNEX</Identifier>
    <Document_x0020_Language_x0020_IDB xmlns="cdc7663a-08f0-4737-9e8c-148ce897a09c">Spanish</Document_x0020_Language_x0020_IDB>
    <Phase xmlns="cdc7663a-08f0-4737-9e8c-148ce897a09c" xsi:nil="true"/>
    <Other_x0020_Author xmlns="cdc7663a-08f0-4737-9e8c-148ce897a09c" xsi:nil="true"/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EZSHARE-1299494432-69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https://idbg.sharepoint.com/teams/EZ-PE-LON/PE-L1126/_layouts/15/DocIdRedir.aspx?ID=EZSHARE-1299494432-69</Url>
      <Description>EZSHARE-1299494432-69</Description>
    </_dlc_DocIdUrl>
  </documentManagement>
</p:properties>
</file>

<file path=customXml/item7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9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E8846259-EDAE-4E56-BD52-A2160591C180}"/>
</file>

<file path=customXml/itemProps10.xml><?xml version="1.0" encoding="utf-8"?>
<ds:datastoreItem xmlns:ds="http://schemas.openxmlformats.org/officeDocument/2006/customXml" ds:itemID="{611A3CB2-6A33-485F-BDD0-0E5717E3841A}"/>
</file>

<file path=customXml/itemProps11.xml><?xml version="1.0" encoding="utf-8"?>
<ds:datastoreItem xmlns:ds="http://schemas.openxmlformats.org/officeDocument/2006/customXml" ds:itemID="{76100FCE-7680-44EE-B4BC-AB9DF29613AE}"/>
</file>

<file path=customXml/itemProps2.xml><?xml version="1.0" encoding="utf-8"?>
<ds:datastoreItem xmlns:ds="http://schemas.openxmlformats.org/officeDocument/2006/customXml" ds:itemID="{3B19E806-D3E4-458C-93CF-65E84B6F285D}"/>
</file>

<file path=customXml/itemProps3.xml><?xml version="1.0" encoding="utf-8"?>
<ds:datastoreItem xmlns:ds="http://schemas.openxmlformats.org/officeDocument/2006/customXml" ds:itemID="{3DC85BC0-D3C8-40C4-A40E-23E746206D98}"/>
</file>

<file path=customXml/itemProps4.xml><?xml version="1.0" encoding="utf-8"?>
<ds:datastoreItem xmlns:ds="http://schemas.openxmlformats.org/officeDocument/2006/customXml" ds:itemID="{14D58C93-8208-41EC-A9D1-D7AA09C78DF1}"/>
</file>

<file path=customXml/itemProps5.xml><?xml version="1.0" encoding="utf-8"?>
<ds:datastoreItem xmlns:ds="http://schemas.openxmlformats.org/officeDocument/2006/customXml" ds:itemID="{769B32ED-75B5-4972-87A6-8360FA7F5B59}"/>
</file>

<file path=customXml/itemProps6.xml><?xml version="1.0" encoding="utf-8"?>
<ds:datastoreItem xmlns:ds="http://schemas.openxmlformats.org/officeDocument/2006/customXml" ds:itemID="{54B6EF46-D4FA-4D4A-99EC-4C17AAF9D87C}"/>
</file>

<file path=customXml/itemProps7.xml><?xml version="1.0" encoding="utf-8"?>
<ds:datastoreItem xmlns:ds="http://schemas.openxmlformats.org/officeDocument/2006/customXml" ds:itemID="{66D370B7-9439-4B8F-92F4-018328E42331}"/>
</file>

<file path=customXml/itemProps8.xml><?xml version="1.0" encoding="utf-8"?>
<ds:datastoreItem xmlns:ds="http://schemas.openxmlformats.org/officeDocument/2006/customXml" ds:itemID="{1F02EB40-E292-4270-B234-E463673397A3}"/>
</file>

<file path=customXml/itemProps9.xml><?xml version="1.0" encoding="utf-8"?>
<ds:datastoreItem xmlns:ds="http://schemas.openxmlformats.org/officeDocument/2006/customXml" ds:itemID="{6A727F3A-42D8-4E2E-B127-22841655C4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1931</Words>
  <Characters>11169</Characters>
  <Application>Microsoft Office Word</Application>
  <DocSecurity>4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13074</CharactersWithSpaces>
  <SharedDoc>false</SharedDoc>
  <HLinks>
    <vt:vector size="6" baseType="variant">
      <vt:variant>
        <vt:i4>2293808</vt:i4>
      </vt:variant>
      <vt:variant>
        <vt:i4>0</vt:i4>
      </vt:variant>
      <vt:variant>
        <vt:i4>0</vt:i4>
      </vt:variant>
      <vt:variant>
        <vt:i4>5</vt:i4>
      </vt:variant>
      <vt:variant>
        <vt:lpwstr>http://proyectos.inei.gob.pe/CenagroWeb/?id=DERECHA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de Verificación - PE-L1126</dc:title>
  <dc:creator>FERNANDO</dc:creator>
  <cp:lastModifiedBy>Test</cp:lastModifiedBy>
  <cp:revision>2</cp:revision>
  <cp:lastPrinted>2013-03-20T21:13:00Z</cp:lastPrinted>
  <dcterms:created xsi:type="dcterms:W3CDTF">2013-07-29T14:57:00Z</dcterms:created>
  <dcterms:modified xsi:type="dcterms:W3CDTF">2013-07-29T14:57:00Z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ABAAVOAfoSrQoywAgucGWPcP+emKKohZ4cZufaABh6MA/gEaKiT4WCU1fbXYGKgsp2ba</vt:lpwstr>
  </property>
  <property fmtid="{D5CDD505-2E9C-101B-9397-08002B2CF9AE}" pid="3" name="RESPONSE_SENDER_NAME">
    <vt:lpwstr>gAAAdya76B99d4hLGUR1rQ+8TxTv0GGEPdix</vt:lpwstr>
  </property>
  <property fmtid="{D5CDD505-2E9C-101B-9397-08002B2CF9AE}" pid="4" name="EMAIL_OWNER_ADDRESS">
    <vt:lpwstr>sAAA4E8dREqJqIrb/k2SsJXjjCb+qEfYVq76Ez76m9YjuqM=</vt:lpwstr>
  </property>
  <property fmtid="{D5CDD505-2E9C-101B-9397-08002B2CF9AE}" pid="5" name="TaxKeyword">
    <vt:lpwstr/>
  </property>
  <property fmtid="{D5CDD505-2E9C-101B-9397-08002B2CF9AE}" pid="6" name="Sub_x002d_Sector">
    <vt:lpwstr/>
  </property>
  <property fmtid="{D5CDD505-2E9C-101B-9397-08002B2CF9AE}" pid="7" name="ContentTypeId">
    <vt:lpwstr>0x010100ACF722E9F6B0B149B0CD8BE2560A6672003D3C008EFCE8E047AA188F5BFC876E80</vt:lpwstr>
  </property>
  <property fmtid="{D5CDD505-2E9C-101B-9397-08002B2CF9AE}" pid="8" name="TaxKeywordTaxHTField">
    <vt:lpwstr/>
  </property>
  <property fmtid="{D5CDD505-2E9C-101B-9397-08002B2CF9AE}" pid="9" name="Series Operations IDB">
    <vt:lpwstr>15;#Project Profile (PP)|ac5f0c28-f2f6-431c-8d05-62f851b6a822</vt:lpwstr>
  </property>
  <property fmtid="{D5CDD505-2E9C-101B-9397-08002B2CF9AE}" pid="10" name="Sub-Sector">
    <vt:lpwstr/>
  </property>
  <property fmtid="{D5CDD505-2E9C-101B-9397-08002B2CF9AE}" pid="11" name="Country">
    <vt:lpwstr/>
  </property>
  <property fmtid="{D5CDD505-2E9C-101B-9397-08002B2CF9AE}" pid="12" name="Fund IDB">
    <vt:lpwstr/>
  </property>
  <property fmtid="{D5CDD505-2E9C-101B-9397-08002B2CF9AE}" pid="13" name="Series_x0020_Operations_x0020_IDB">
    <vt:lpwstr>15;#Project Profile (PP)|ac5f0c28-f2f6-431c-8d05-62f851b6a822</vt:lpwstr>
  </property>
  <property fmtid="{D5CDD505-2E9C-101B-9397-08002B2CF9AE}" pid="14" name="To:">
    <vt:lpwstr/>
  </property>
  <property fmtid="{D5CDD505-2E9C-101B-9397-08002B2CF9AE}" pid="15" name="From:">
    <vt:lpwstr/>
  </property>
  <property fmtid="{D5CDD505-2E9C-101B-9397-08002B2CF9AE}" pid="16" name="Sector IDB">
    <vt:lpwstr/>
  </property>
  <property fmtid="{D5CDD505-2E9C-101B-9397-08002B2CF9AE}" pid="17" name="Function Operations IDB">
    <vt:lpwstr/>
  </property>
  <property fmtid="{D5CDD505-2E9C-101B-9397-08002B2CF9AE}" pid="19" name="Disclosure Activity">
    <vt:lpwstr>Loan Proposal</vt:lpwstr>
  </property>
  <property fmtid="{D5CDD505-2E9C-101B-9397-08002B2CF9AE}" pid="23" name="Webtopic">
    <vt:lpwstr>Agriculture and Rural Development</vt:lpwstr>
  </property>
  <property fmtid="{D5CDD505-2E9C-101B-9397-08002B2CF9AE}" pid="25" name="Disclosed">
    <vt:bool>true</vt:bool>
  </property>
  <property fmtid="{D5CDD505-2E9C-101B-9397-08002B2CF9AE}" pid="29" name="_dlc_DocIdItemGuid">
    <vt:lpwstr>ded88b4a-9f9d-46e2-ab51-1272d2d91204</vt:lpwstr>
  </property>
</Properties>
</file>