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3BA" w:rsidRPr="0035727D" w:rsidRDefault="00233524" w:rsidP="00970064">
      <w:pPr>
        <w:pStyle w:val="Heading1"/>
        <w:spacing w:before="0" w:line="240" w:lineRule="auto"/>
        <w:jc w:val="center"/>
        <w:rPr>
          <w:rFonts w:ascii="Arial" w:hAnsi="Arial" w:cs="Arial"/>
          <w:sz w:val="22"/>
          <w:szCs w:val="22"/>
        </w:rPr>
      </w:pPr>
      <w:r w:rsidRPr="0035727D">
        <w:rPr>
          <w:rFonts w:ascii="Arial" w:hAnsi="Arial" w:cs="Arial"/>
          <w:sz w:val="22"/>
          <w:szCs w:val="22"/>
        </w:rPr>
        <w:t xml:space="preserve">BNDES: </w:t>
      </w:r>
      <w:r w:rsidRPr="00970064">
        <w:rPr>
          <w:rFonts w:ascii="Arial" w:hAnsi="Arial" w:cs="Arial"/>
          <w:smallCaps/>
          <w:sz w:val="22"/>
          <w:szCs w:val="22"/>
        </w:rPr>
        <w:t>Apresentação Instistucional</w:t>
      </w:r>
    </w:p>
    <w:p w:rsidR="00233524" w:rsidRPr="0035727D" w:rsidRDefault="00233524" w:rsidP="0035727D">
      <w:pPr>
        <w:spacing w:after="0" w:line="240" w:lineRule="auto"/>
        <w:jc w:val="both"/>
        <w:rPr>
          <w:rFonts w:ascii="Arial" w:hAnsi="Arial" w:cs="Arial"/>
          <w:b/>
        </w:rPr>
      </w:pPr>
    </w:p>
    <w:p w:rsidR="00233524" w:rsidRPr="0035727D" w:rsidRDefault="00233524" w:rsidP="00970064">
      <w:pPr>
        <w:pStyle w:val="Heading2"/>
        <w:numPr>
          <w:ilvl w:val="0"/>
          <w:numId w:val="3"/>
        </w:numPr>
        <w:spacing w:before="0" w:line="240" w:lineRule="auto"/>
        <w:ind w:left="360"/>
        <w:jc w:val="both"/>
        <w:rPr>
          <w:rFonts w:ascii="Arial" w:hAnsi="Arial" w:cs="Arial"/>
          <w:sz w:val="22"/>
          <w:szCs w:val="22"/>
          <w:lang w:val="pt-BR"/>
        </w:rPr>
      </w:pPr>
      <w:r w:rsidRPr="0035727D">
        <w:rPr>
          <w:rFonts w:ascii="Arial" w:hAnsi="Arial" w:cs="Arial"/>
          <w:sz w:val="22"/>
          <w:szCs w:val="22"/>
          <w:lang w:val="pt-BR"/>
        </w:rPr>
        <w:t>Criação</w:t>
      </w:r>
      <w:r w:rsidR="00BB22BA" w:rsidRPr="0035727D">
        <w:rPr>
          <w:rFonts w:ascii="Arial" w:hAnsi="Arial" w:cs="Arial"/>
          <w:sz w:val="22"/>
          <w:szCs w:val="22"/>
          <w:lang w:val="pt-BR"/>
        </w:rPr>
        <w:t xml:space="preserve"> e</w:t>
      </w:r>
      <w:r w:rsidRPr="0035727D">
        <w:rPr>
          <w:rFonts w:ascii="Arial" w:hAnsi="Arial" w:cs="Arial"/>
          <w:sz w:val="22"/>
          <w:szCs w:val="22"/>
          <w:lang w:val="pt-BR"/>
        </w:rPr>
        <w:t xml:space="preserve"> </w:t>
      </w:r>
      <w:r w:rsidR="00BB22BA" w:rsidRPr="0035727D">
        <w:rPr>
          <w:rFonts w:ascii="Arial" w:hAnsi="Arial" w:cs="Arial"/>
          <w:sz w:val="22"/>
          <w:szCs w:val="22"/>
          <w:lang w:val="pt-BR"/>
        </w:rPr>
        <w:t xml:space="preserve">vínculo </w:t>
      </w:r>
      <w:r w:rsidRPr="0035727D">
        <w:rPr>
          <w:rFonts w:ascii="Arial" w:hAnsi="Arial" w:cs="Arial"/>
          <w:sz w:val="22"/>
          <w:szCs w:val="22"/>
          <w:lang w:val="pt-BR"/>
        </w:rPr>
        <w:t>históric</w:t>
      </w:r>
      <w:r w:rsidR="00BB22BA" w:rsidRPr="0035727D">
        <w:rPr>
          <w:rFonts w:ascii="Arial" w:hAnsi="Arial" w:cs="Arial"/>
          <w:sz w:val="22"/>
          <w:szCs w:val="22"/>
          <w:lang w:val="pt-BR"/>
        </w:rPr>
        <w:t>o do BNDES com as políticas de desenvolvimento no Brasil</w:t>
      </w:r>
      <w:r w:rsidR="00CD113B" w:rsidRPr="0035727D">
        <w:rPr>
          <w:rStyle w:val="FootnoteReference"/>
          <w:rFonts w:ascii="Arial" w:hAnsi="Arial" w:cs="Arial"/>
          <w:sz w:val="22"/>
          <w:szCs w:val="22"/>
        </w:rPr>
        <w:footnoteReference w:id="1"/>
      </w:r>
    </w:p>
    <w:p w:rsidR="0053770D" w:rsidRPr="0035727D" w:rsidRDefault="0053770D" w:rsidP="0035727D">
      <w:pPr>
        <w:spacing w:after="0" w:line="240" w:lineRule="auto"/>
        <w:jc w:val="both"/>
        <w:rPr>
          <w:rFonts w:ascii="Arial" w:hAnsi="Arial" w:cs="Arial"/>
          <w:lang w:val="pt-BR"/>
        </w:rPr>
      </w:pPr>
    </w:p>
    <w:p w:rsidR="000B73DE" w:rsidRPr="0035727D" w:rsidRDefault="000B73DE" w:rsidP="0035727D">
      <w:pPr>
        <w:spacing w:after="0" w:line="240" w:lineRule="auto"/>
        <w:jc w:val="both"/>
        <w:rPr>
          <w:rFonts w:ascii="Arial" w:hAnsi="Arial" w:cs="Arial"/>
          <w:lang w:val="pt-BR"/>
        </w:rPr>
      </w:pPr>
      <w:r w:rsidRPr="0035727D">
        <w:rPr>
          <w:rFonts w:ascii="Arial" w:hAnsi="Arial" w:cs="Arial"/>
          <w:lang w:val="pt-BR"/>
        </w:rPr>
        <w:t>No marco d</w:t>
      </w:r>
      <w:r w:rsidR="000C4A3B" w:rsidRPr="0035727D">
        <w:rPr>
          <w:rFonts w:ascii="Arial" w:hAnsi="Arial" w:cs="Arial"/>
          <w:lang w:val="pt-BR"/>
        </w:rPr>
        <w:t xml:space="preserve">os trabalhos, em 1951, </w:t>
      </w:r>
      <w:r w:rsidR="0053770D" w:rsidRPr="0035727D">
        <w:rPr>
          <w:rFonts w:ascii="Arial" w:hAnsi="Arial" w:cs="Arial"/>
          <w:lang w:val="pt-BR"/>
        </w:rPr>
        <w:t>da Comissão Mista Brasil-Estados Unidos</w:t>
      </w:r>
      <w:r w:rsidRPr="0035727D">
        <w:rPr>
          <w:rFonts w:ascii="Arial" w:hAnsi="Arial" w:cs="Arial"/>
          <w:lang w:val="pt-BR"/>
        </w:rPr>
        <w:t xml:space="preserve"> foram </w:t>
      </w:r>
      <w:r w:rsidR="000C4A3B" w:rsidRPr="0035727D">
        <w:rPr>
          <w:rFonts w:ascii="Arial" w:hAnsi="Arial" w:cs="Arial"/>
          <w:lang w:val="pt-BR"/>
        </w:rPr>
        <w:t xml:space="preserve">criadas a condições para a fundação do </w:t>
      </w:r>
      <w:r w:rsidRPr="0035727D">
        <w:rPr>
          <w:rFonts w:ascii="Arial" w:hAnsi="Arial" w:cs="Arial"/>
          <w:lang w:val="pt-BR"/>
        </w:rPr>
        <w:t>Banco Nacional de Desenvolvimento Econômico (BNDE)</w:t>
      </w:r>
      <w:r w:rsidR="000C4A3B" w:rsidRPr="0035727D">
        <w:rPr>
          <w:rFonts w:ascii="Arial" w:hAnsi="Arial" w:cs="Arial"/>
          <w:lang w:val="pt-BR"/>
        </w:rPr>
        <w:t>, através da promulgação da Lei nº 1.628, de 20 de junho de 1952</w:t>
      </w:r>
      <w:r w:rsidRPr="0035727D">
        <w:rPr>
          <w:rFonts w:ascii="Arial" w:hAnsi="Arial" w:cs="Arial"/>
          <w:lang w:val="pt-BR"/>
        </w:rPr>
        <w:t>. O objetivo da nova autarquia federal era ser o órgão formulador e executor da política nacional de desenvolvimento econômico.</w:t>
      </w:r>
    </w:p>
    <w:p w:rsidR="00970064" w:rsidRDefault="00970064" w:rsidP="0035727D">
      <w:pPr>
        <w:spacing w:after="0" w:line="240" w:lineRule="auto"/>
        <w:jc w:val="both"/>
        <w:rPr>
          <w:rFonts w:ascii="Arial" w:hAnsi="Arial" w:cs="Arial"/>
          <w:lang w:val="pt-BR"/>
        </w:rPr>
      </w:pPr>
    </w:p>
    <w:p w:rsidR="000C3342" w:rsidRPr="0035727D" w:rsidRDefault="003B5113" w:rsidP="0035727D">
      <w:pPr>
        <w:spacing w:after="0" w:line="240" w:lineRule="auto"/>
        <w:jc w:val="both"/>
        <w:rPr>
          <w:rFonts w:ascii="Arial" w:hAnsi="Arial" w:cs="Arial"/>
          <w:lang w:val="pt-BR"/>
        </w:rPr>
      </w:pPr>
      <w:r w:rsidRPr="0035727D">
        <w:rPr>
          <w:rFonts w:ascii="Arial" w:hAnsi="Arial" w:cs="Arial"/>
          <w:lang w:val="pt-BR"/>
        </w:rPr>
        <w:t xml:space="preserve">Na </w:t>
      </w:r>
      <w:r w:rsidRPr="0035727D">
        <w:rPr>
          <w:rFonts w:ascii="Arial" w:hAnsi="Arial" w:cs="Arial"/>
          <w:b/>
          <w:u w:val="single"/>
          <w:lang w:val="pt-BR"/>
        </w:rPr>
        <w:t>década de 1950</w:t>
      </w:r>
      <w:r w:rsidRPr="0035727D">
        <w:rPr>
          <w:rFonts w:ascii="Arial" w:hAnsi="Arial" w:cs="Arial"/>
          <w:lang w:val="pt-BR"/>
        </w:rPr>
        <w:t xml:space="preserve"> o BNDE encontrou um Brasil com 52 milhões de habitantes, essencialmente agrícola, com poucas indústrias. O café e o açúcar ainda sustentavam a economia, o que a tornava bastante vulnerável. Grande parte dos produtos consumidos no país ainda era importada.</w:t>
      </w:r>
    </w:p>
    <w:p w:rsidR="00970064" w:rsidRDefault="00970064" w:rsidP="0035727D">
      <w:pPr>
        <w:spacing w:after="0" w:line="240" w:lineRule="auto"/>
        <w:jc w:val="both"/>
        <w:rPr>
          <w:rFonts w:ascii="Arial" w:hAnsi="Arial" w:cs="Arial"/>
          <w:lang w:val="pt-BR"/>
        </w:rPr>
      </w:pPr>
    </w:p>
    <w:p w:rsidR="00417366" w:rsidRPr="0035727D" w:rsidRDefault="003B5113" w:rsidP="0035727D">
      <w:pPr>
        <w:spacing w:after="0" w:line="240" w:lineRule="auto"/>
        <w:jc w:val="both"/>
        <w:rPr>
          <w:rFonts w:ascii="Arial" w:hAnsi="Arial" w:cs="Arial"/>
          <w:lang w:val="pt-BR"/>
        </w:rPr>
      </w:pPr>
      <w:r w:rsidRPr="0035727D">
        <w:rPr>
          <w:rFonts w:ascii="Arial" w:hAnsi="Arial" w:cs="Arial"/>
          <w:lang w:val="pt-BR"/>
        </w:rPr>
        <w:t>Nos seu</w:t>
      </w:r>
      <w:r w:rsidR="00417366" w:rsidRPr="0035727D">
        <w:rPr>
          <w:rFonts w:ascii="Arial" w:hAnsi="Arial" w:cs="Arial"/>
          <w:lang w:val="pt-BR"/>
        </w:rPr>
        <w:t>s</w:t>
      </w:r>
      <w:r w:rsidRPr="0035727D">
        <w:rPr>
          <w:rFonts w:ascii="Arial" w:hAnsi="Arial" w:cs="Arial"/>
          <w:lang w:val="pt-BR"/>
        </w:rPr>
        <w:t xml:space="preserve"> primeiros anos, o Fundo de Reaparelhamento Econômico foi a principal fonte de recursos do BNDE. Adicionalmente foi-lhe dado a responsável pela negociação dos  empréstimos externos para o financiamento do </w:t>
      </w:r>
      <w:r w:rsidRPr="0035727D">
        <w:rPr>
          <w:rFonts w:ascii="Arial" w:hAnsi="Arial" w:cs="Arial"/>
          <w:b/>
          <w:lang w:val="pt-BR"/>
        </w:rPr>
        <w:t>Plano de Reaparelhamento</w:t>
      </w:r>
      <w:r w:rsidR="000C3342" w:rsidRPr="0035727D">
        <w:rPr>
          <w:rFonts w:ascii="Arial" w:hAnsi="Arial" w:cs="Arial"/>
          <w:lang w:val="pt-BR"/>
        </w:rPr>
        <w:t xml:space="preserve"> </w:t>
      </w:r>
      <w:r w:rsidR="000C3342" w:rsidRPr="0035727D">
        <w:rPr>
          <w:rFonts w:ascii="Arial" w:hAnsi="Arial" w:cs="Arial"/>
          <w:b/>
          <w:lang w:val="pt-BR"/>
        </w:rPr>
        <w:t>Econômico</w:t>
      </w:r>
      <w:r w:rsidRPr="0035727D">
        <w:rPr>
          <w:rFonts w:ascii="Arial" w:hAnsi="Arial" w:cs="Arial"/>
          <w:lang w:val="pt-BR"/>
        </w:rPr>
        <w:t xml:space="preserve"> e por executar as operações financeiras conexas</w:t>
      </w:r>
      <w:r w:rsidR="00417366" w:rsidRPr="0035727D">
        <w:rPr>
          <w:rFonts w:ascii="Arial" w:hAnsi="Arial" w:cs="Arial"/>
          <w:lang w:val="pt-BR"/>
        </w:rPr>
        <w:t>. O objetivo do Banco era levantar a contrapartida em cruzeiros aos financiamentos estrangeiros para a realização dos projetos aprovados pela Comissão Mista Brasil-Estados Unidos. Sem essa contrapartida, não haveria financiamentos externos. Essa foi a razão de ser da criação do BNDE e da formulação de toda a sua política.</w:t>
      </w:r>
    </w:p>
    <w:p w:rsidR="00970064" w:rsidRDefault="00970064" w:rsidP="0035727D">
      <w:pPr>
        <w:spacing w:after="0" w:line="240" w:lineRule="auto"/>
        <w:jc w:val="both"/>
        <w:rPr>
          <w:rFonts w:ascii="Arial" w:hAnsi="Arial" w:cs="Arial"/>
          <w:lang w:val="pt-BR"/>
        </w:rPr>
      </w:pPr>
    </w:p>
    <w:p w:rsidR="003B5113" w:rsidRPr="0035727D" w:rsidRDefault="00417366" w:rsidP="0035727D">
      <w:pPr>
        <w:spacing w:after="0" w:line="240" w:lineRule="auto"/>
        <w:jc w:val="both"/>
        <w:rPr>
          <w:rFonts w:ascii="Arial" w:hAnsi="Arial" w:cs="Arial"/>
          <w:lang w:val="pt-BR"/>
        </w:rPr>
      </w:pPr>
      <w:r w:rsidRPr="0035727D">
        <w:rPr>
          <w:rFonts w:ascii="Arial" w:hAnsi="Arial" w:cs="Arial"/>
          <w:lang w:val="pt-BR"/>
        </w:rPr>
        <w:t>R</w:t>
      </w:r>
      <w:r w:rsidR="003B5113" w:rsidRPr="0035727D">
        <w:rPr>
          <w:rFonts w:ascii="Arial" w:hAnsi="Arial" w:cs="Arial"/>
          <w:lang w:val="pt-BR"/>
        </w:rPr>
        <w:t>ealizava também as análises econômicas e identifica</w:t>
      </w:r>
      <w:r w:rsidRPr="0035727D">
        <w:rPr>
          <w:rFonts w:ascii="Arial" w:hAnsi="Arial" w:cs="Arial"/>
          <w:lang w:val="pt-BR"/>
        </w:rPr>
        <w:t>va</w:t>
      </w:r>
      <w:r w:rsidR="003B5113" w:rsidRPr="0035727D">
        <w:rPr>
          <w:rFonts w:ascii="Arial" w:hAnsi="Arial" w:cs="Arial"/>
          <w:lang w:val="pt-BR"/>
        </w:rPr>
        <w:t xml:space="preserve"> os principais gargalos econômicos do País</w:t>
      </w:r>
      <w:r w:rsidRPr="0035727D">
        <w:rPr>
          <w:rFonts w:ascii="Arial" w:hAnsi="Arial" w:cs="Arial"/>
          <w:lang w:val="pt-BR"/>
        </w:rPr>
        <w:t xml:space="preserve">, assumindo  assim </w:t>
      </w:r>
      <w:r w:rsidR="003B5113" w:rsidRPr="0035727D">
        <w:rPr>
          <w:rFonts w:ascii="Arial" w:hAnsi="Arial" w:cs="Arial"/>
          <w:lang w:val="pt-BR"/>
        </w:rPr>
        <w:t xml:space="preserve">um papel estruturante e de agente direto nos setores que exigiam investimentos de longo prazo. </w:t>
      </w:r>
      <w:r w:rsidRPr="0035727D">
        <w:rPr>
          <w:rFonts w:ascii="Arial" w:hAnsi="Arial" w:cs="Arial"/>
          <w:lang w:val="pt-BR"/>
        </w:rPr>
        <w:t>Os primei</w:t>
      </w:r>
      <w:r w:rsidR="00503BA9" w:rsidRPr="0035727D">
        <w:rPr>
          <w:rFonts w:ascii="Arial" w:hAnsi="Arial" w:cs="Arial"/>
          <w:lang w:val="pt-BR"/>
        </w:rPr>
        <w:t>ros projetos apoiados pelo BNDE</w:t>
      </w:r>
      <w:r w:rsidRPr="0035727D">
        <w:rPr>
          <w:rFonts w:ascii="Arial" w:hAnsi="Arial" w:cs="Arial"/>
          <w:lang w:val="pt-BR"/>
        </w:rPr>
        <w:t xml:space="preserve"> seguiram as diretrizes estabelecidas pela Comissão Mista Brasil- Estados Unidos, concentrando o seu foco em projetos de infraestrutura, em especial nos setores de transporte e energia. </w:t>
      </w:r>
    </w:p>
    <w:p w:rsidR="00970064" w:rsidRDefault="00970064" w:rsidP="0035727D">
      <w:pPr>
        <w:spacing w:after="0" w:line="240" w:lineRule="auto"/>
        <w:jc w:val="both"/>
        <w:rPr>
          <w:rFonts w:ascii="Arial" w:hAnsi="Arial" w:cs="Arial"/>
          <w:lang w:val="pt-BR"/>
        </w:rPr>
      </w:pPr>
    </w:p>
    <w:p w:rsidR="003B5113" w:rsidRPr="0035727D" w:rsidRDefault="00503BA9" w:rsidP="0035727D">
      <w:pPr>
        <w:spacing w:after="0" w:line="240" w:lineRule="auto"/>
        <w:jc w:val="both"/>
        <w:rPr>
          <w:rFonts w:ascii="Arial" w:hAnsi="Arial" w:cs="Arial"/>
          <w:lang w:val="pt-BR"/>
        </w:rPr>
      </w:pPr>
      <w:r w:rsidRPr="0035727D">
        <w:rPr>
          <w:rFonts w:ascii="Arial" w:hAnsi="Arial" w:cs="Arial"/>
          <w:lang w:val="pt-BR"/>
        </w:rPr>
        <w:t>A</w:t>
      </w:r>
      <w:r w:rsidR="00417366" w:rsidRPr="0035727D">
        <w:rPr>
          <w:rFonts w:ascii="Arial" w:hAnsi="Arial" w:cs="Arial"/>
          <w:lang w:val="pt-BR"/>
        </w:rPr>
        <w:t xml:space="preserve"> criação do </w:t>
      </w:r>
      <w:r w:rsidR="00417366" w:rsidRPr="0035727D">
        <w:rPr>
          <w:rFonts w:ascii="Arial" w:hAnsi="Arial" w:cs="Arial"/>
          <w:b/>
          <w:lang w:val="pt-BR"/>
        </w:rPr>
        <w:t>Plano de Metas</w:t>
      </w:r>
      <w:r w:rsidR="00417366" w:rsidRPr="0035727D">
        <w:rPr>
          <w:rFonts w:ascii="Arial" w:hAnsi="Arial" w:cs="Arial"/>
          <w:lang w:val="pt-BR"/>
        </w:rPr>
        <w:t xml:space="preserve"> pelo Governo de Juscelino Kubitscheck</w:t>
      </w:r>
      <w:r w:rsidRPr="0035727D">
        <w:rPr>
          <w:rFonts w:ascii="Arial" w:hAnsi="Arial" w:cs="Arial"/>
          <w:lang w:val="pt-BR"/>
        </w:rPr>
        <w:t xml:space="preserve"> foi o primeiro plano com a contribuição institucional do BNDE. Foi elaborado com base nos estudos do Grupo Misto BNDES-Cepal, tendo como objetivo dar continuidade e incrementar o processo de industrialização por meio da política de substituição de importações. Adicionalmente, </w:t>
      </w:r>
      <w:r w:rsidR="00417366" w:rsidRPr="0035727D">
        <w:rPr>
          <w:rFonts w:ascii="Arial" w:hAnsi="Arial" w:cs="Arial"/>
          <w:lang w:val="pt-BR"/>
        </w:rPr>
        <w:t xml:space="preserve"> foi criado o Conselho Nacional de Desenvolvimento para coordená-lo, ficando a sua secretaria executiva a cargo do </w:t>
      </w:r>
      <w:r w:rsidRPr="0035727D">
        <w:rPr>
          <w:rFonts w:ascii="Arial" w:hAnsi="Arial" w:cs="Arial"/>
          <w:lang w:val="pt-BR"/>
        </w:rPr>
        <w:t>BNDE e transformando o BNDE em uma escola de planejamento, e gerenciamento e financiamento de projetos. Entre 1956 e 1960, o Banco financiou projetos de usinas hidrelétricas, rodovias, linhas de transmissão e dos setores siderúrgico e de papel e celulose.</w:t>
      </w:r>
    </w:p>
    <w:p w:rsidR="00970064" w:rsidRDefault="00970064" w:rsidP="0035727D">
      <w:pPr>
        <w:spacing w:after="0" w:line="240" w:lineRule="auto"/>
        <w:jc w:val="both"/>
        <w:rPr>
          <w:rFonts w:ascii="Arial" w:hAnsi="Arial" w:cs="Arial"/>
          <w:lang w:val="pt-BR"/>
        </w:rPr>
      </w:pPr>
    </w:p>
    <w:p w:rsidR="00503BA9" w:rsidRPr="0035727D" w:rsidRDefault="000A77D1" w:rsidP="0035727D">
      <w:pPr>
        <w:spacing w:after="0" w:line="240" w:lineRule="auto"/>
        <w:jc w:val="both"/>
        <w:rPr>
          <w:rFonts w:ascii="Arial" w:hAnsi="Arial" w:cs="Arial"/>
          <w:lang w:val="pt-BR"/>
        </w:rPr>
      </w:pPr>
      <w:r w:rsidRPr="0035727D">
        <w:rPr>
          <w:rFonts w:ascii="Arial" w:hAnsi="Arial" w:cs="Arial"/>
          <w:lang w:val="pt-BR"/>
        </w:rPr>
        <w:t>Os anos da</w:t>
      </w:r>
      <w:r w:rsidR="000C3342" w:rsidRPr="0035727D">
        <w:rPr>
          <w:rFonts w:ascii="Arial" w:hAnsi="Arial" w:cs="Arial"/>
          <w:lang w:val="pt-BR"/>
        </w:rPr>
        <w:t>s</w:t>
      </w:r>
      <w:r w:rsidRPr="0035727D">
        <w:rPr>
          <w:rFonts w:ascii="Arial" w:hAnsi="Arial" w:cs="Arial"/>
          <w:lang w:val="pt-BR"/>
        </w:rPr>
        <w:t xml:space="preserve"> </w:t>
      </w:r>
      <w:r w:rsidRPr="0035727D">
        <w:rPr>
          <w:rFonts w:ascii="Arial" w:hAnsi="Arial" w:cs="Arial"/>
          <w:b/>
          <w:u w:val="single"/>
          <w:lang w:val="pt-BR"/>
        </w:rPr>
        <w:t>década</w:t>
      </w:r>
      <w:r w:rsidR="000C3342" w:rsidRPr="0035727D">
        <w:rPr>
          <w:rFonts w:ascii="Arial" w:hAnsi="Arial" w:cs="Arial"/>
          <w:b/>
          <w:u w:val="single"/>
          <w:lang w:val="pt-BR"/>
        </w:rPr>
        <w:t>s</w:t>
      </w:r>
      <w:r w:rsidRPr="0035727D">
        <w:rPr>
          <w:rFonts w:ascii="Arial" w:hAnsi="Arial" w:cs="Arial"/>
          <w:b/>
          <w:u w:val="single"/>
          <w:lang w:val="pt-BR"/>
        </w:rPr>
        <w:t xml:space="preserve"> de 196</w:t>
      </w:r>
      <w:r w:rsidR="000C3342" w:rsidRPr="0035727D">
        <w:rPr>
          <w:rFonts w:ascii="Arial" w:hAnsi="Arial" w:cs="Arial"/>
          <w:b/>
          <w:u w:val="single"/>
          <w:lang w:val="pt-BR"/>
        </w:rPr>
        <w:t>0 e 197</w:t>
      </w:r>
      <w:r w:rsidRPr="0035727D">
        <w:rPr>
          <w:rFonts w:ascii="Arial" w:hAnsi="Arial" w:cs="Arial"/>
          <w:b/>
          <w:u w:val="single"/>
          <w:lang w:val="pt-BR"/>
        </w:rPr>
        <w:t>0</w:t>
      </w:r>
      <w:r w:rsidRPr="0035727D">
        <w:rPr>
          <w:rFonts w:ascii="Arial" w:hAnsi="Arial" w:cs="Arial"/>
          <w:lang w:val="pt-BR"/>
        </w:rPr>
        <w:t xml:space="preserve"> permitiram que o BNDE passasse por seu primeiro </w:t>
      </w:r>
      <w:r w:rsidR="000C3342" w:rsidRPr="0035727D">
        <w:rPr>
          <w:rFonts w:ascii="Arial" w:hAnsi="Arial" w:cs="Arial"/>
          <w:lang w:val="pt-BR"/>
        </w:rPr>
        <w:t>teste de resiliência</w:t>
      </w:r>
      <w:r w:rsidRPr="0035727D">
        <w:rPr>
          <w:rFonts w:ascii="Arial" w:hAnsi="Arial" w:cs="Arial"/>
          <w:lang w:val="pt-BR"/>
        </w:rPr>
        <w:t xml:space="preserve"> organizacional</w:t>
      </w:r>
      <w:r w:rsidR="000C3342" w:rsidRPr="0035727D">
        <w:rPr>
          <w:rFonts w:ascii="Arial" w:hAnsi="Arial" w:cs="Arial"/>
          <w:lang w:val="pt-BR"/>
        </w:rPr>
        <w:t>, com as mudanças impostas pelo término de um ciclo de desenvolvimento e a abertura de um novo ciclo, em meio a mudanças intensas tanto na esfera política como na esfera econômica.</w:t>
      </w:r>
    </w:p>
    <w:p w:rsidR="00970064" w:rsidRDefault="00970064" w:rsidP="0035727D">
      <w:pPr>
        <w:spacing w:after="0" w:line="240" w:lineRule="auto"/>
        <w:jc w:val="both"/>
        <w:rPr>
          <w:rFonts w:ascii="Arial" w:hAnsi="Arial" w:cs="Arial"/>
          <w:lang w:val="pt-BR"/>
        </w:rPr>
      </w:pPr>
    </w:p>
    <w:p w:rsidR="00FC2B5D" w:rsidRPr="0035727D" w:rsidRDefault="000C3342" w:rsidP="0035727D">
      <w:pPr>
        <w:spacing w:after="0" w:line="240" w:lineRule="auto"/>
        <w:jc w:val="both"/>
        <w:rPr>
          <w:rFonts w:ascii="Arial" w:hAnsi="Arial" w:cs="Arial"/>
          <w:lang w:val="pt-BR"/>
        </w:rPr>
      </w:pPr>
      <w:r w:rsidRPr="0035727D">
        <w:rPr>
          <w:rFonts w:ascii="Arial" w:hAnsi="Arial" w:cs="Arial"/>
          <w:lang w:val="pt-BR"/>
        </w:rPr>
        <w:lastRenderedPageBreak/>
        <w:t xml:space="preserve">Em 1962, o Governo Federal procurou retomar a prática de planejamento econômico, lançando o </w:t>
      </w:r>
      <w:r w:rsidRPr="0035727D">
        <w:rPr>
          <w:rFonts w:ascii="Arial" w:hAnsi="Arial" w:cs="Arial"/>
          <w:b/>
          <w:lang w:val="pt-BR"/>
        </w:rPr>
        <w:t>Plano Trienal de Desenvolvimento Econômico e Social</w:t>
      </w:r>
      <w:r w:rsidRPr="0035727D">
        <w:rPr>
          <w:rFonts w:ascii="Arial" w:hAnsi="Arial" w:cs="Arial"/>
          <w:lang w:val="pt-BR"/>
        </w:rPr>
        <w:t>, elaborado por Celso Furtado</w:t>
      </w:r>
      <w:r w:rsidR="00FC2B5D" w:rsidRPr="0035727D">
        <w:rPr>
          <w:rFonts w:ascii="Arial" w:hAnsi="Arial" w:cs="Arial"/>
          <w:lang w:val="pt-BR"/>
        </w:rPr>
        <w:t>, sendo que só foi possível elaborar este plano de forma tão expedita (4</w:t>
      </w:r>
      <w:r w:rsidR="001D6E1E">
        <w:rPr>
          <w:rFonts w:ascii="Arial" w:hAnsi="Arial" w:cs="Arial"/>
          <w:lang w:val="pt-BR"/>
        </w:rPr>
        <w:t> </w:t>
      </w:r>
      <w:r w:rsidR="00FC2B5D" w:rsidRPr="0035727D">
        <w:rPr>
          <w:rFonts w:ascii="Arial" w:hAnsi="Arial" w:cs="Arial"/>
          <w:lang w:val="pt-BR"/>
        </w:rPr>
        <w:t>meses) porque existia o BNDE</w:t>
      </w:r>
      <w:r w:rsidRPr="0035727D">
        <w:rPr>
          <w:rFonts w:ascii="Arial" w:hAnsi="Arial" w:cs="Arial"/>
          <w:lang w:val="pt-BR"/>
        </w:rPr>
        <w:t xml:space="preserve">. </w:t>
      </w:r>
      <w:r w:rsidR="00FC2B5D" w:rsidRPr="0035727D">
        <w:rPr>
          <w:rFonts w:ascii="Arial" w:hAnsi="Arial" w:cs="Arial"/>
          <w:lang w:val="pt-BR"/>
        </w:rPr>
        <w:t xml:space="preserve">Compreendendo o </w:t>
      </w:r>
      <w:r w:rsidRPr="0035727D">
        <w:rPr>
          <w:rFonts w:ascii="Arial" w:hAnsi="Arial" w:cs="Arial"/>
          <w:lang w:val="pt-BR"/>
        </w:rPr>
        <w:t xml:space="preserve">período 1963-1965 </w:t>
      </w:r>
      <w:r w:rsidR="00FC2B5D" w:rsidRPr="0035727D">
        <w:rPr>
          <w:rFonts w:ascii="Arial" w:hAnsi="Arial" w:cs="Arial"/>
          <w:lang w:val="pt-BR"/>
        </w:rPr>
        <w:t>o Plano tinha por objetivos</w:t>
      </w:r>
      <w:r w:rsidRPr="0035727D">
        <w:rPr>
          <w:rFonts w:ascii="Arial" w:hAnsi="Arial" w:cs="Arial"/>
          <w:lang w:val="pt-BR"/>
        </w:rPr>
        <w:t>: o combate à inflação, a renegociação da dívida externa e a criação de incentivos para o crescimento econômico. No plano, estavam também previstas as chamadas “reformas de base”, por incidirem principalmente em reformas fiscal, bancária, urbana, agrária e universitária.</w:t>
      </w:r>
      <w:r w:rsidR="00FC2B5D" w:rsidRPr="0035727D">
        <w:rPr>
          <w:rFonts w:ascii="Arial" w:hAnsi="Arial" w:cs="Arial"/>
          <w:lang w:val="pt-BR"/>
        </w:rPr>
        <w:t xml:space="preserve">  Até 1961, a maior parte dos investimentos do BNDES esteve concentrada na área de infraestrutura, no entanto a partir de 1962 a concentração passou a ser na indústria.</w:t>
      </w:r>
    </w:p>
    <w:p w:rsidR="00970064" w:rsidRDefault="00970064" w:rsidP="0035727D">
      <w:pPr>
        <w:spacing w:after="0" w:line="240" w:lineRule="auto"/>
        <w:jc w:val="both"/>
        <w:rPr>
          <w:rFonts w:ascii="Arial" w:hAnsi="Arial" w:cs="Arial"/>
          <w:lang w:val="pt-BR"/>
        </w:rPr>
      </w:pPr>
    </w:p>
    <w:p w:rsidR="00FC2B5D" w:rsidRPr="0035727D" w:rsidRDefault="00FC2B5D" w:rsidP="0035727D">
      <w:pPr>
        <w:spacing w:after="0" w:line="240" w:lineRule="auto"/>
        <w:jc w:val="both"/>
        <w:rPr>
          <w:rFonts w:ascii="Arial" w:hAnsi="Arial" w:cs="Arial"/>
          <w:lang w:val="pt-BR"/>
        </w:rPr>
      </w:pPr>
      <w:r w:rsidRPr="0035727D">
        <w:rPr>
          <w:rFonts w:ascii="Arial" w:hAnsi="Arial" w:cs="Arial"/>
          <w:lang w:val="pt-BR"/>
        </w:rPr>
        <w:t xml:space="preserve">Novo Governo, novas orientações, entrava em vigor em novembro de 1964 o </w:t>
      </w:r>
      <w:r w:rsidRPr="0035727D">
        <w:rPr>
          <w:rFonts w:ascii="Arial" w:hAnsi="Arial" w:cs="Arial"/>
          <w:b/>
          <w:lang w:val="pt-BR"/>
        </w:rPr>
        <w:t>Plano de Ação Econômica do Governo (Paeg)</w:t>
      </w:r>
      <w:r w:rsidR="005F0E2A" w:rsidRPr="0035727D">
        <w:rPr>
          <w:rFonts w:ascii="Arial" w:hAnsi="Arial" w:cs="Arial"/>
          <w:lang w:val="pt-BR"/>
        </w:rPr>
        <w:t>, que propunha uma ação coordenada do Governo no campo econômico, dividida em duas linhas: medidas conjunturais e reformas estruturais.  Estas linhas estavam fundam</w:t>
      </w:r>
      <w:r w:rsidR="001D6E1E">
        <w:rPr>
          <w:rFonts w:ascii="Arial" w:hAnsi="Arial" w:cs="Arial"/>
          <w:lang w:val="pt-BR"/>
        </w:rPr>
        <w:t>entadas em cinco objetivos: (i) </w:t>
      </w:r>
      <w:r w:rsidR="005F0E2A" w:rsidRPr="0035727D">
        <w:rPr>
          <w:rFonts w:ascii="Arial" w:hAnsi="Arial" w:cs="Arial"/>
          <w:lang w:val="pt-BR"/>
        </w:rPr>
        <w:t>conter progressivamente o processo inflacionário; (ii) acelerar o desenvolvimento econômico; (iii) atenuar os desníveis setoriais e regionais e as tensões criadas pelos desequilíbrios sociais mediante a melhoria das condições de vida; (iv) aumentar a política de investimentos e, com isso, gerar empregos; e (v) corrigir a tendência ao desequilíbrio do balanço de pagamento.</w:t>
      </w:r>
      <w:r w:rsidRPr="0035727D">
        <w:rPr>
          <w:rFonts w:ascii="Arial" w:hAnsi="Arial" w:cs="Arial"/>
          <w:lang w:val="pt-BR"/>
        </w:rPr>
        <w:t xml:space="preserve">  </w:t>
      </w:r>
    </w:p>
    <w:p w:rsidR="00970064" w:rsidRDefault="00970064" w:rsidP="0035727D">
      <w:pPr>
        <w:spacing w:after="0" w:line="240" w:lineRule="auto"/>
        <w:jc w:val="both"/>
        <w:rPr>
          <w:rFonts w:ascii="Arial" w:hAnsi="Arial" w:cs="Arial"/>
          <w:lang w:val="pt-BR"/>
        </w:rPr>
      </w:pPr>
    </w:p>
    <w:p w:rsidR="00F3130A" w:rsidRDefault="00E90B90" w:rsidP="0035727D">
      <w:pPr>
        <w:spacing w:after="0" w:line="240" w:lineRule="auto"/>
        <w:jc w:val="both"/>
        <w:rPr>
          <w:rFonts w:ascii="Arial" w:hAnsi="Arial" w:cs="Arial"/>
          <w:lang w:val="pt-BR"/>
        </w:rPr>
      </w:pPr>
      <w:r w:rsidRPr="0035727D">
        <w:rPr>
          <w:rFonts w:ascii="Arial" w:hAnsi="Arial" w:cs="Arial"/>
          <w:lang w:val="pt-BR"/>
        </w:rPr>
        <w:t>A parcela mais importante dos recursos financeiros administrados pelo BNDES correspondeu no período ao Fundo de Reaparelhamento Econômico, reforçado - a partir de 1965 - pelo Governo, que passou a destinar ao BNDES 20% da arrecadação do Imposto de Renda.</w:t>
      </w:r>
      <w:r w:rsidR="00F3130A" w:rsidRPr="0035727D">
        <w:rPr>
          <w:rFonts w:ascii="Arial" w:hAnsi="Arial" w:cs="Arial"/>
          <w:lang w:val="pt-BR"/>
        </w:rPr>
        <w:t xml:space="preserve"> Adicionalmente o Governo colocou sobre a administração do Banco uma série de outros fundos</w:t>
      </w:r>
      <w:r w:rsidR="00F3130A" w:rsidRPr="0035727D">
        <w:rPr>
          <w:rStyle w:val="FootnoteReference"/>
          <w:rFonts w:ascii="Arial" w:hAnsi="Arial" w:cs="Arial"/>
          <w:lang w:val="pt-BR"/>
        </w:rPr>
        <w:footnoteReference w:id="2"/>
      </w:r>
      <w:r w:rsidR="00F3130A" w:rsidRPr="0035727D">
        <w:rPr>
          <w:rFonts w:ascii="Arial" w:hAnsi="Arial" w:cs="Arial"/>
          <w:lang w:val="pt-BR"/>
        </w:rPr>
        <w:t>, entre eles o Finame (Fundo de Financiamento para Aquisição de Máquinas e Equipamentos Industriais)</w:t>
      </w:r>
      <w:r w:rsidR="007E4B6B" w:rsidRPr="0035727D">
        <w:rPr>
          <w:rStyle w:val="FootnoteReference"/>
          <w:rFonts w:ascii="Arial" w:hAnsi="Arial" w:cs="Arial"/>
          <w:lang w:val="pt-BR"/>
        </w:rPr>
        <w:footnoteReference w:id="3"/>
      </w:r>
      <w:r w:rsidR="007E4B6B" w:rsidRPr="0035727D">
        <w:rPr>
          <w:rFonts w:ascii="Arial" w:hAnsi="Arial" w:cs="Arial"/>
          <w:lang w:val="pt-BR"/>
        </w:rPr>
        <w:t>. A relevância do Finame implicou na criação, junto ao Banco, de uma autarquia chamada de Agência Especial de Financiamento Industrial, incorporando o referido fundo. A nova agência, que manteve a sigla Finame, procurou desenvolver e consolidar o parque industrial brasileiro, dinamizando a política de substituição de importações.</w:t>
      </w:r>
    </w:p>
    <w:p w:rsidR="001D6E1E" w:rsidRPr="0035727D" w:rsidRDefault="001D6E1E" w:rsidP="0035727D">
      <w:pPr>
        <w:spacing w:after="0" w:line="240" w:lineRule="auto"/>
        <w:jc w:val="both"/>
        <w:rPr>
          <w:rFonts w:ascii="Arial" w:hAnsi="Arial" w:cs="Arial"/>
          <w:lang w:val="pt-BR"/>
        </w:rPr>
      </w:pPr>
    </w:p>
    <w:p w:rsidR="000B73DE" w:rsidRPr="0035727D" w:rsidRDefault="00E90B90" w:rsidP="0035727D">
      <w:pPr>
        <w:spacing w:after="0" w:line="240" w:lineRule="auto"/>
        <w:jc w:val="both"/>
        <w:rPr>
          <w:rFonts w:ascii="Arial" w:hAnsi="Arial" w:cs="Arial"/>
          <w:lang w:val="pt-BR"/>
        </w:rPr>
      </w:pPr>
      <w:r w:rsidRPr="0035727D">
        <w:rPr>
          <w:rFonts w:ascii="Arial" w:hAnsi="Arial" w:cs="Arial"/>
          <w:lang w:val="pt-BR"/>
        </w:rPr>
        <w:t xml:space="preserve">Outro marco importante </w:t>
      </w:r>
      <w:r w:rsidR="007E4B6B" w:rsidRPr="0035727D">
        <w:rPr>
          <w:rFonts w:ascii="Arial" w:hAnsi="Arial" w:cs="Arial"/>
          <w:lang w:val="pt-BR"/>
        </w:rPr>
        <w:t xml:space="preserve">do período </w:t>
      </w:r>
      <w:r w:rsidRPr="0035727D">
        <w:rPr>
          <w:rFonts w:ascii="Arial" w:hAnsi="Arial" w:cs="Arial"/>
          <w:lang w:val="pt-BR"/>
        </w:rPr>
        <w:t xml:space="preserve">foi que, a partir de </w:t>
      </w:r>
      <w:r w:rsidR="000B73DE" w:rsidRPr="0035727D">
        <w:rPr>
          <w:rFonts w:ascii="Arial" w:hAnsi="Arial" w:cs="Arial"/>
          <w:lang w:val="pt-BR"/>
        </w:rPr>
        <w:t xml:space="preserve">1964, o Banco </w:t>
      </w:r>
      <w:r w:rsidRPr="0035727D">
        <w:rPr>
          <w:rFonts w:ascii="Arial" w:hAnsi="Arial" w:cs="Arial"/>
          <w:lang w:val="pt-BR"/>
        </w:rPr>
        <w:t>passava</w:t>
      </w:r>
      <w:r w:rsidR="000C3342" w:rsidRPr="0035727D">
        <w:rPr>
          <w:rFonts w:ascii="Arial" w:hAnsi="Arial" w:cs="Arial"/>
          <w:lang w:val="pt-BR"/>
        </w:rPr>
        <w:t xml:space="preserve"> descentraliza</w:t>
      </w:r>
      <w:r w:rsidRPr="0035727D">
        <w:rPr>
          <w:rFonts w:ascii="Arial" w:hAnsi="Arial" w:cs="Arial"/>
          <w:lang w:val="pt-BR"/>
        </w:rPr>
        <w:t>r</w:t>
      </w:r>
      <w:r w:rsidR="000C3342" w:rsidRPr="0035727D">
        <w:rPr>
          <w:rFonts w:ascii="Arial" w:hAnsi="Arial" w:cs="Arial"/>
          <w:lang w:val="pt-BR"/>
        </w:rPr>
        <w:t xml:space="preserve"> suas operações</w:t>
      </w:r>
      <w:r w:rsidRPr="0035727D">
        <w:rPr>
          <w:rFonts w:ascii="Arial" w:hAnsi="Arial" w:cs="Arial"/>
          <w:lang w:val="pt-BR"/>
        </w:rPr>
        <w:t xml:space="preserve">, </w:t>
      </w:r>
      <w:r w:rsidR="000B73DE" w:rsidRPr="0035727D">
        <w:rPr>
          <w:rFonts w:ascii="Arial" w:hAnsi="Arial" w:cs="Arial"/>
          <w:lang w:val="pt-BR"/>
        </w:rPr>
        <w:t>opera</w:t>
      </w:r>
      <w:r w:rsidRPr="0035727D">
        <w:rPr>
          <w:rFonts w:ascii="Arial" w:hAnsi="Arial" w:cs="Arial"/>
          <w:lang w:val="pt-BR"/>
        </w:rPr>
        <w:t xml:space="preserve">ndo </w:t>
      </w:r>
      <w:r w:rsidR="000B73DE" w:rsidRPr="0035727D">
        <w:rPr>
          <w:rFonts w:ascii="Arial" w:hAnsi="Arial" w:cs="Arial"/>
          <w:lang w:val="pt-BR"/>
        </w:rPr>
        <w:t>em parceria com uma rede de agentes financeiros credenciados espalhados por todo o Brasil.</w:t>
      </w:r>
      <w:r w:rsidR="005F0E2A" w:rsidRPr="0035727D">
        <w:rPr>
          <w:rFonts w:ascii="Arial" w:hAnsi="Arial" w:cs="Arial"/>
          <w:lang w:val="pt-BR"/>
        </w:rPr>
        <w:t xml:space="preserve"> </w:t>
      </w:r>
    </w:p>
    <w:p w:rsidR="00970064" w:rsidRDefault="00970064" w:rsidP="0035727D">
      <w:pPr>
        <w:spacing w:after="0" w:line="240" w:lineRule="auto"/>
        <w:jc w:val="both"/>
        <w:rPr>
          <w:rFonts w:ascii="Arial" w:hAnsi="Arial" w:cs="Arial"/>
          <w:lang w:val="pt-BR"/>
        </w:rPr>
      </w:pPr>
    </w:p>
    <w:p w:rsidR="0053770D" w:rsidRPr="0035727D" w:rsidRDefault="005F0E2A" w:rsidP="001D6E1E">
      <w:pPr>
        <w:tabs>
          <w:tab w:val="left" w:pos="360"/>
        </w:tabs>
        <w:spacing w:after="0" w:line="240" w:lineRule="auto"/>
        <w:jc w:val="both"/>
        <w:rPr>
          <w:rFonts w:ascii="Arial" w:hAnsi="Arial" w:cs="Arial"/>
          <w:lang w:val="pt-BR"/>
        </w:rPr>
      </w:pPr>
      <w:r w:rsidRPr="0035727D">
        <w:rPr>
          <w:rFonts w:ascii="Arial" w:hAnsi="Arial" w:cs="Arial"/>
          <w:lang w:val="pt-BR"/>
        </w:rPr>
        <w:t xml:space="preserve">Em 1968, o Ministério do Planejamento lançava </w:t>
      </w:r>
      <w:r w:rsidRPr="0035727D">
        <w:rPr>
          <w:rFonts w:ascii="Arial" w:hAnsi="Arial" w:cs="Arial"/>
          <w:b/>
          <w:lang w:val="pt-BR"/>
        </w:rPr>
        <w:t>Programa Estratégico de Desenvolvimento (PED)</w:t>
      </w:r>
      <w:r w:rsidRPr="0035727D">
        <w:rPr>
          <w:rFonts w:ascii="Arial" w:hAnsi="Arial" w:cs="Arial"/>
          <w:lang w:val="pt-BR"/>
        </w:rPr>
        <w:t>, redefinindo a política econômica para o triênio 1968-1970. O programa previa o combate à inflação, a expansão das oportunidades de emprego e a aceleração do crescimento econômico a partir da ampliação da capacidade produtiva.  Sobre este último objetivo o PED enfocava-se na expansão de setores considerados dinâmicos, como os de bens de capital e de bens intermediários, capazes de acelerar o crescimento econômico.</w:t>
      </w:r>
    </w:p>
    <w:p w:rsidR="0053770D" w:rsidRDefault="005F0E2A" w:rsidP="0035727D">
      <w:pPr>
        <w:spacing w:after="0" w:line="240" w:lineRule="auto"/>
        <w:jc w:val="both"/>
        <w:rPr>
          <w:rFonts w:ascii="Arial" w:hAnsi="Arial" w:cs="Arial"/>
          <w:lang w:val="pt-BR"/>
        </w:rPr>
      </w:pPr>
      <w:r w:rsidRPr="0035727D">
        <w:rPr>
          <w:rFonts w:ascii="Arial" w:hAnsi="Arial" w:cs="Arial"/>
          <w:lang w:val="pt-BR"/>
        </w:rPr>
        <w:lastRenderedPageBreak/>
        <w:t>Neste marco foi ampliada a atuação do BNDE, mas dentro da mesma tendência de financiamento da indústria.  Setores de petroquímica, siderurgia e metalurgia do alumínio, papel e celulose, indústrias mecânica e elétrica, agropecuária, comunicações, entre outros foram priorizados. As medidas adotadas surtiram resultados. O país começou a superar a crise e retomou o crescimento. Somente em 1968, a economia cresceu 9,3%, fortemente influenciado pelo desempenho da indústria, que se expandiu 15,5%.</w:t>
      </w:r>
    </w:p>
    <w:p w:rsidR="001D6E1E" w:rsidRPr="0035727D" w:rsidRDefault="001D6E1E" w:rsidP="0035727D">
      <w:pPr>
        <w:spacing w:after="0" w:line="240" w:lineRule="auto"/>
        <w:jc w:val="both"/>
        <w:rPr>
          <w:rFonts w:ascii="Arial" w:hAnsi="Arial" w:cs="Arial"/>
          <w:lang w:val="pt-BR"/>
        </w:rPr>
      </w:pPr>
    </w:p>
    <w:p w:rsidR="005F0E2A" w:rsidRPr="0035727D" w:rsidRDefault="004D4D91" w:rsidP="0035727D">
      <w:pPr>
        <w:spacing w:after="0" w:line="240" w:lineRule="auto"/>
        <w:jc w:val="both"/>
        <w:rPr>
          <w:rFonts w:ascii="Arial" w:hAnsi="Arial" w:cs="Arial"/>
          <w:lang w:val="pt-BR"/>
        </w:rPr>
      </w:pPr>
      <w:r w:rsidRPr="0035727D">
        <w:rPr>
          <w:rFonts w:ascii="Arial" w:hAnsi="Arial" w:cs="Arial"/>
          <w:lang w:val="pt-BR"/>
        </w:rPr>
        <w:t xml:space="preserve">A </w:t>
      </w:r>
      <w:r w:rsidRPr="0035727D">
        <w:rPr>
          <w:rFonts w:ascii="Arial" w:hAnsi="Arial" w:cs="Arial"/>
          <w:b/>
          <w:u w:val="single"/>
          <w:lang w:val="pt-BR"/>
        </w:rPr>
        <w:t>década de 1970</w:t>
      </w:r>
      <w:r w:rsidRPr="0035727D">
        <w:rPr>
          <w:rFonts w:ascii="Arial" w:hAnsi="Arial" w:cs="Arial"/>
          <w:lang w:val="pt-BR"/>
        </w:rPr>
        <w:t xml:space="preserve"> começava em pleno ritmo do “Milagre Brasileiro”, com taxas </w:t>
      </w:r>
      <w:r w:rsidR="00955E54" w:rsidRPr="0035727D">
        <w:rPr>
          <w:rFonts w:ascii="Arial" w:hAnsi="Arial" w:cs="Arial"/>
          <w:lang w:val="pt-BR"/>
        </w:rPr>
        <w:t xml:space="preserve">de crescimento do PIB </w:t>
      </w:r>
      <w:r w:rsidRPr="0035727D">
        <w:rPr>
          <w:rFonts w:ascii="Arial" w:hAnsi="Arial" w:cs="Arial"/>
          <w:lang w:val="pt-BR"/>
        </w:rPr>
        <w:t>superiores a 10%</w:t>
      </w:r>
      <w:r w:rsidR="00955E54" w:rsidRPr="0035727D">
        <w:rPr>
          <w:rFonts w:ascii="Arial" w:hAnsi="Arial" w:cs="Arial"/>
          <w:lang w:val="pt-BR"/>
        </w:rPr>
        <w:t>.</w:t>
      </w:r>
      <w:r w:rsidR="00BB22BA" w:rsidRPr="0035727D">
        <w:rPr>
          <w:rFonts w:ascii="Arial" w:hAnsi="Arial" w:cs="Arial"/>
          <w:lang w:val="pt-BR"/>
        </w:rPr>
        <w:t>, em meio a um ambiente político de exceções</w:t>
      </w:r>
      <w:r w:rsidR="000B30AB" w:rsidRPr="0035727D">
        <w:rPr>
          <w:rFonts w:ascii="Arial" w:hAnsi="Arial" w:cs="Arial"/>
          <w:lang w:val="pt-BR"/>
        </w:rPr>
        <w:t xml:space="preserve">. Os históricos resultados econômicos guardava relação </w:t>
      </w:r>
      <w:r w:rsidR="00BB22BA" w:rsidRPr="0035727D">
        <w:rPr>
          <w:rFonts w:ascii="Arial" w:hAnsi="Arial" w:cs="Arial"/>
          <w:lang w:val="pt-BR"/>
        </w:rPr>
        <w:t xml:space="preserve">com o Primeiro Plano Nacional de Desenvolvimento (I PND), </w:t>
      </w:r>
      <w:r w:rsidR="000B30AB" w:rsidRPr="0035727D">
        <w:rPr>
          <w:rFonts w:ascii="Arial" w:hAnsi="Arial" w:cs="Arial"/>
          <w:lang w:val="pt-BR"/>
        </w:rPr>
        <w:t xml:space="preserve">que cobriu </w:t>
      </w:r>
      <w:r w:rsidR="00BB22BA" w:rsidRPr="0035727D">
        <w:rPr>
          <w:rFonts w:ascii="Arial" w:hAnsi="Arial" w:cs="Arial"/>
          <w:lang w:val="pt-BR"/>
        </w:rPr>
        <w:t xml:space="preserve">o período de 1970-74. </w:t>
      </w:r>
      <w:r w:rsidR="000B30AB" w:rsidRPr="0035727D">
        <w:rPr>
          <w:rFonts w:ascii="Arial" w:hAnsi="Arial" w:cs="Arial"/>
          <w:lang w:val="pt-BR"/>
        </w:rPr>
        <w:t xml:space="preserve">O Plano possuía </w:t>
      </w:r>
      <w:r w:rsidR="00BB22BA" w:rsidRPr="0035727D">
        <w:rPr>
          <w:rFonts w:ascii="Arial" w:hAnsi="Arial" w:cs="Arial"/>
          <w:lang w:val="pt-BR"/>
        </w:rPr>
        <w:t>uma meta ambiciosa: elevar o Brasil</w:t>
      </w:r>
      <w:r w:rsidR="000B30AB" w:rsidRPr="0035727D">
        <w:rPr>
          <w:rFonts w:ascii="Arial" w:hAnsi="Arial" w:cs="Arial"/>
          <w:lang w:val="pt-BR"/>
        </w:rPr>
        <w:t xml:space="preserve"> </w:t>
      </w:r>
      <w:r w:rsidR="00BB22BA" w:rsidRPr="0035727D">
        <w:rPr>
          <w:rFonts w:ascii="Arial" w:hAnsi="Arial" w:cs="Arial"/>
          <w:lang w:val="pt-BR"/>
        </w:rPr>
        <w:t>à categoria das nações desenvolvida</w:t>
      </w:r>
      <w:r w:rsidR="000B30AB" w:rsidRPr="0035727D">
        <w:rPr>
          <w:rFonts w:ascii="Arial" w:hAnsi="Arial" w:cs="Arial"/>
          <w:lang w:val="pt-BR"/>
        </w:rPr>
        <w:t>s “no espaço de uma geração”. D</w:t>
      </w:r>
      <w:r w:rsidR="00BB22BA" w:rsidRPr="0035727D">
        <w:rPr>
          <w:rFonts w:ascii="Arial" w:hAnsi="Arial" w:cs="Arial"/>
          <w:lang w:val="pt-BR"/>
        </w:rPr>
        <w:t>everia prover o país com a infraestrutura necessária para que</w:t>
      </w:r>
      <w:r w:rsidR="000B30AB" w:rsidRPr="0035727D">
        <w:rPr>
          <w:rFonts w:ascii="Arial" w:hAnsi="Arial" w:cs="Arial"/>
          <w:lang w:val="pt-BR"/>
        </w:rPr>
        <w:t xml:space="preserve"> </w:t>
      </w:r>
      <w:r w:rsidR="00BB22BA" w:rsidRPr="0035727D">
        <w:rPr>
          <w:rFonts w:ascii="Arial" w:hAnsi="Arial" w:cs="Arial"/>
          <w:lang w:val="pt-BR"/>
        </w:rPr>
        <w:t xml:space="preserve">alcançasse pleno desenvolvimento nas décadas seguintes. </w:t>
      </w:r>
      <w:r w:rsidR="000B30AB" w:rsidRPr="0035727D">
        <w:rPr>
          <w:rFonts w:ascii="Arial" w:hAnsi="Arial" w:cs="Arial"/>
          <w:lang w:val="pt-BR"/>
        </w:rPr>
        <w:t>E</w:t>
      </w:r>
      <w:r w:rsidR="00BB22BA" w:rsidRPr="0035727D">
        <w:rPr>
          <w:rFonts w:ascii="Arial" w:hAnsi="Arial" w:cs="Arial"/>
          <w:lang w:val="pt-BR"/>
        </w:rPr>
        <w:t>nergia, transportes e telecomunicações</w:t>
      </w:r>
      <w:r w:rsidR="000B30AB" w:rsidRPr="0035727D">
        <w:rPr>
          <w:rFonts w:ascii="Arial" w:hAnsi="Arial" w:cs="Arial"/>
          <w:lang w:val="pt-BR"/>
        </w:rPr>
        <w:t xml:space="preserve"> era a ênfase, no entanto incorporava metas para a </w:t>
      </w:r>
      <w:r w:rsidR="00BB22BA" w:rsidRPr="0035727D">
        <w:rPr>
          <w:rFonts w:ascii="Arial" w:hAnsi="Arial" w:cs="Arial"/>
          <w:lang w:val="pt-BR"/>
        </w:rPr>
        <w:t>educação, ciência, tecnologia</w:t>
      </w:r>
      <w:r w:rsidR="000B30AB" w:rsidRPr="0035727D">
        <w:rPr>
          <w:rFonts w:ascii="Arial" w:hAnsi="Arial" w:cs="Arial"/>
          <w:lang w:val="pt-BR"/>
        </w:rPr>
        <w:t>, integração</w:t>
      </w:r>
      <w:r w:rsidR="00BB22BA" w:rsidRPr="0035727D">
        <w:rPr>
          <w:rFonts w:ascii="Arial" w:hAnsi="Arial" w:cs="Arial"/>
          <w:lang w:val="pt-BR"/>
        </w:rPr>
        <w:t xml:space="preserve"> e, sobretudo,</w:t>
      </w:r>
      <w:r w:rsidR="000B30AB" w:rsidRPr="0035727D">
        <w:rPr>
          <w:rFonts w:ascii="Arial" w:hAnsi="Arial" w:cs="Arial"/>
          <w:lang w:val="pt-BR"/>
        </w:rPr>
        <w:t xml:space="preserve"> </w:t>
      </w:r>
      <w:r w:rsidR="00BB22BA" w:rsidRPr="0035727D">
        <w:rPr>
          <w:rFonts w:ascii="Arial" w:hAnsi="Arial" w:cs="Arial"/>
          <w:lang w:val="pt-BR"/>
        </w:rPr>
        <w:t>a ampliação do parque industrial, com destaque para siderúrgica</w:t>
      </w:r>
      <w:r w:rsidR="000B30AB" w:rsidRPr="0035727D">
        <w:rPr>
          <w:rFonts w:ascii="Arial" w:hAnsi="Arial" w:cs="Arial"/>
          <w:lang w:val="pt-BR"/>
        </w:rPr>
        <w:t xml:space="preserve"> </w:t>
      </w:r>
      <w:r w:rsidR="00BB22BA" w:rsidRPr="0035727D">
        <w:rPr>
          <w:rFonts w:ascii="Arial" w:hAnsi="Arial" w:cs="Arial"/>
          <w:lang w:val="pt-BR"/>
        </w:rPr>
        <w:t xml:space="preserve">e petroquímica. </w:t>
      </w:r>
      <w:r w:rsidR="000B30AB" w:rsidRPr="0035727D">
        <w:rPr>
          <w:rFonts w:ascii="Arial" w:hAnsi="Arial" w:cs="Arial"/>
          <w:lang w:val="pt-BR"/>
        </w:rPr>
        <w:t xml:space="preserve"> </w:t>
      </w:r>
    </w:p>
    <w:p w:rsidR="00970064" w:rsidRDefault="00970064" w:rsidP="0035727D">
      <w:pPr>
        <w:spacing w:after="0" w:line="240" w:lineRule="auto"/>
        <w:jc w:val="both"/>
        <w:rPr>
          <w:rFonts w:ascii="Arial" w:hAnsi="Arial" w:cs="Arial"/>
          <w:lang w:val="pt-BR"/>
        </w:rPr>
      </w:pPr>
    </w:p>
    <w:p w:rsidR="000B30AB" w:rsidRPr="0035727D" w:rsidRDefault="000B30AB" w:rsidP="0035727D">
      <w:pPr>
        <w:spacing w:after="0" w:line="240" w:lineRule="auto"/>
        <w:jc w:val="both"/>
        <w:rPr>
          <w:rFonts w:ascii="Arial" w:hAnsi="Arial" w:cs="Arial"/>
          <w:lang w:val="pt-BR"/>
        </w:rPr>
      </w:pPr>
      <w:r w:rsidRPr="0035727D">
        <w:rPr>
          <w:rFonts w:ascii="Arial" w:hAnsi="Arial" w:cs="Arial"/>
          <w:lang w:val="pt-BR"/>
        </w:rPr>
        <w:t xml:space="preserve">A segunda metade da década foi marcada por uma virada no contexto internacional, tendo como marco inicial a crise do petróleo </w:t>
      </w:r>
      <w:r w:rsidR="009C331A" w:rsidRPr="0035727D">
        <w:rPr>
          <w:rFonts w:ascii="Arial" w:hAnsi="Arial" w:cs="Arial"/>
          <w:lang w:val="pt-BR"/>
        </w:rPr>
        <w:t>de 1973, quando os preços internacionais passaram de US</w:t>
      </w:r>
      <w:r w:rsidR="001D6E1E">
        <w:rPr>
          <w:rFonts w:ascii="Arial" w:hAnsi="Arial" w:cs="Arial"/>
          <w:lang w:val="pt-BR"/>
        </w:rPr>
        <w:t>$</w:t>
      </w:r>
      <w:r w:rsidR="009C331A" w:rsidRPr="0035727D">
        <w:rPr>
          <w:rFonts w:ascii="Arial" w:hAnsi="Arial" w:cs="Arial"/>
          <w:lang w:val="pt-BR"/>
        </w:rPr>
        <w:t xml:space="preserve">3 para </w:t>
      </w:r>
      <w:r w:rsidR="001D6E1E">
        <w:rPr>
          <w:rFonts w:ascii="Arial" w:hAnsi="Arial" w:cs="Arial"/>
          <w:lang w:val="pt-BR"/>
        </w:rPr>
        <w:t>US$</w:t>
      </w:r>
      <w:r w:rsidR="009C331A" w:rsidRPr="0035727D">
        <w:rPr>
          <w:rFonts w:ascii="Arial" w:hAnsi="Arial" w:cs="Arial"/>
          <w:lang w:val="pt-BR"/>
        </w:rPr>
        <w:t>12 o barril, e que no final da década se encaminhava para superar a barreiras do US</w:t>
      </w:r>
      <w:r w:rsidR="001D6E1E">
        <w:rPr>
          <w:rFonts w:ascii="Arial" w:hAnsi="Arial" w:cs="Arial"/>
          <w:lang w:val="pt-BR"/>
        </w:rPr>
        <w:t>$</w:t>
      </w:r>
      <w:r w:rsidR="009C331A" w:rsidRPr="0035727D">
        <w:rPr>
          <w:rFonts w:ascii="Arial" w:hAnsi="Arial" w:cs="Arial"/>
          <w:lang w:val="pt-BR"/>
        </w:rPr>
        <w:t>30/barril</w:t>
      </w:r>
      <w:r w:rsidR="00F12758" w:rsidRPr="0035727D">
        <w:rPr>
          <w:rFonts w:ascii="Arial" w:hAnsi="Arial" w:cs="Arial"/>
          <w:lang w:val="pt-BR"/>
        </w:rPr>
        <w:t>, o que era grave para um país que importava 85% do petróleo que consumia</w:t>
      </w:r>
      <w:r w:rsidR="009C331A" w:rsidRPr="0035727D">
        <w:rPr>
          <w:rFonts w:ascii="Arial" w:hAnsi="Arial" w:cs="Arial"/>
          <w:lang w:val="pt-BR"/>
        </w:rPr>
        <w:t>. Do ponto de vista econômico o Governo lançava o II PND, e lançava o País em um processo de desenvolvimento “em marcha forçada</w:t>
      </w:r>
      <w:r w:rsidR="009C331A" w:rsidRPr="0035727D">
        <w:rPr>
          <w:rStyle w:val="FootnoteReference"/>
          <w:rFonts w:ascii="Arial" w:hAnsi="Arial" w:cs="Arial"/>
          <w:lang w:val="pt-BR"/>
        </w:rPr>
        <w:footnoteReference w:id="4"/>
      </w:r>
      <w:r w:rsidR="001D6E1E">
        <w:rPr>
          <w:rFonts w:ascii="Arial" w:hAnsi="Arial" w:cs="Arial"/>
          <w:lang w:val="pt-BR"/>
        </w:rPr>
        <w:t>”</w:t>
      </w:r>
      <w:r w:rsidR="00AF69E6" w:rsidRPr="0035727D">
        <w:rPr>
          <w:rFonts w:ascii="Arial" w:hAnsi="Arial" w:cs="Arial"/>
          <w:lang w:val="pt-BR"/>
        </w:rPr>
        <w:t xml:space="preserve"> em um cenário de crescente inflação</w:t>
      </w:r>
      <w:r w:rsidR="009C331A" w:rsidRPr="0035727D">
        <w:rPr>
          <w:rFonts w:ascii="Arial" w:hAnsi="Arial" w:cs="Arial"/>
          <w:lang w:val="pt-BR"/>
        </w:rPr>
        <w:t>.</w:t>
      </w:r>
      <w:r w:rsidR="00F12758" w:rsidRPr="0035727D">
        <w:rPr>
          <w:rFonts w:ascii="Arial" w:hAnsi="Arial" w:cs="Arial"/>
          <w:lang w:val="pt-BR"/>
        </w:rPr>
        <w:t xml:space="preserve"> O II PND optou por uma estratégia de transformação estrutural, procurando manter o crescimento da economia dos últimos anos, através da complementação de forma mais eficaz a política de substituição de importações. Novos investimentos foram previstos para diversificar e consolidar o parque industrial nacional, tendo como foco as petroquímicas, siderúrgicas, mineradoras de cobre e indústria pesada. A ideia do Brasil como grande potência foi reforçada com novos projetos, como a Usina Nuclear de Angra dos Reis, no Rio de Janeiro e a Hidrelétrica de Itaipu, no Paraná.</w:t>
      </w:r>
    </w:p>
    <w:p w:rsidR="00970064" w:rsidRDefault="00970064" w:rsidP="0035727D">
      <w:pPr>
        <w:spacing w:after="0" w:line="240" w:lineRule="auto"/>
        <w:jc w:val="both"/>
        <w:rPr>
          <w:rFonts w:ascii="Arial" w:hAnsi="Arial" w:cs="Arial"/>
          <w:lang w:val="pt-BR"/>
        </w:rPr>
      </w:pPr>
    </w:p>
    <w:p w:rsidR="005F0E2A" w:rsidRPr="0035727D" w:rsidRDefault="00F12758" w:rsidP="0035727D">
      <w:pPr>
        <w:spacing w:after="0" w:line="240" w:lineRule="auto"/>
        <w:jc w:val="both"/>
        <w:rPr>
          <w:rFonts w:ascii="Arial" w:hAnsi="Arial" w:cs="Arial"/>
          <w:lang w:val="pt-BR"/>
        </w:rPr>
      </w:pPr>
      <w:r w:rsidRPr="0035727D">
        <w:rPr>
          <w:rFonts w:ascii="Arial" w:hAnsi="Arial" w:cs="Arial"/>
          <w:lang w:val="pt-BR"/>
        </w:rPr>
        <w:t>A década foi importante para o BNDE</w:t>
      </w:r>
      <w:r w:rsidR="00AF69E6" w:rsidRPr="0035727D">
        <w:rPr>
          <w:rFonts w:ascii="Arial" w:hAnsi="Arial" w:cs="Arial"/>
          <w:lang w:val="pt-BR"/>
        </w:rPr>
        <w:t xml:space="preserve"> ao assumir o papel de principal instrumento de desenvolvimento do Governo, tendo um papel decisivo no processo de diversificação e consolidação do parque industrial brasileiro ao apoiar os setores de bens de capital e insumos básicos</w:t>
      </w:r>
      <w:r w:rsidRPr="0035727D">
        <w:rPr>
          <w:rFonts w:ascii="Arial" w:hAnsi="Arial" w:cs="Arial"/>
          <w:lang w:val="pt-BR"/>
        </w:rPr>
        <w:t xml:space="preserve">. </w:t>
      </w:r>
      <w:r w:rsidR="00AF69E6" w:rsidRPr="0035727D">
        <w:rPr>
          <w:rFonts w:ascii="Arial" w:hAnsi="Arial" w:cs="Arial"/>
          <w:lang w:val="pt-BR"/>
        </w:rPr>
        <w:t xml:space="preserve"> </w:t>
      </w:r>
      <w:r w:rsidRPr="0035727D">
        <w:rPr>
          <w:rFonts w:ascii="Arial" w:hAnsi="Arial" w:cs="Arial"/>
          <w:lang w:val="pt-BR"/>
        </w:rPr>
        <w:t>Em 1971, deixou de ser uma autarquia e passou à categoria de empresa pública. Nesse mesmo período, foi constituído o Sistema BNDES, composto pela subsidiária FINAME e pelo recém-criado Centro Brasileiro de Assistência Gerencial à Pequena e Média Empresa (Cebrae), que posteriormente teve seu nome alterado para Sebrae (Serviço Brasileiro de Apoio às Micro e Pequenas Empresas).  O Banco passou a contar com os recursos do Programa de Integração Social (PIS) e do Programa de Formação do Patrimônio do Servidor Público (Pasep), que foram criados quatro anos antes e estavam sob a gestão da Caixa Econômica Federal e do Banco do Brasil, respectivamente.</w:t>
      </w:r>
      <w:r w:rsidR="00C0188D" w:rsidRPr="0035727D">
        <w:rPr>
          <w:rFonts w:ascii="Arial" w:hAnsi="Arial" w:cs="Arial"/>
          <w:lang w:val="pt-BR"/>
        </w:rPr>
        <w:t xml:space="preserve"> A entrada desses recursos possibilitou um salto nas atividades do Banco. Foram criadas, nesse mesmo ano, subsidiárias diretamente ligadas ao </w:t>
      </w:r>
      <w:r w:rsidR="00C0188D" w:rsidRPr="0035727D">
        <w:rPr>
          <w:rFonts w:ascii="Arial" w:hAnsi="Arial" w:cs="Arial"/>
          <w:lang w:val="pt-BR"/>
        </w:rPr>
        <w:lastRenderedPageBreak/>
        <w:t>Banco, visando incentivar o crescimento do parque industrial: Mecânica Brasileira S.A. (Embramec), Insumos Básicos S.A. (Fibase), Investimentos Brasileiros S.A. (Ibrasa). O BNDES buscou também incentivar o mercado de capitais, apoiando a capitalização das empresas nacionais.</w:t>
      </w:r>
      <w:r w:rsidR="00AF69E6" w:rsidRPr="0035727D">
        <w:rPr>
          <w:rFonts w:ascii="Arial" w:hAnsi="Arial" w:cs="Arial"/>
          <w:lang w:val="pt-BR"/>
        </w:rPr>
        <w:t xml:space="preserve">  </w:t>
      </w:r>
      <w:r w:rsidRPr="0035727D">
        <w:rPr>
          <w:rFonts w:ascii="Arial" w:hAnsi="Arial" w:cs="Arial"/>
          <w:lang w:val="pt-BR"/>
        </w:rPr>
        <w:t xml:space="preserve">A FINAME, subsidiária do BNDES, </w:t>
      </w:r>
      <w:r w:rsidR="00AF69E6" w:rsidRPr="0035727D">
        <w:rPr>
          <w:rFonts w:ascii="Arial" w:hAnsi="Arial" w:cs="Arial"/>
          <w:lang w:val="pt-BR"/>
        </w:rPr>
        <w:t xml:space="preserve">também </w:t>
      </w:r>
      <w:r w:rsidRPr="0035727D">
        <w:rPr>
          <w:rFonts w:ascii="Arial" w:hAnsi="Arial" w:cs="Arial"/>
          <w:lang w:val="pt-BR"/>
        </w:rPr>
        <w:t>teve um importante papel neste período, em um país cuja pauta de importações Brasil era composta, aproximadamente, de 40% de equipamentos, 40% de petróleo e 20% do restante.</w:t>
      </w:r>
    </w:p>
    <w:p w:rsidR="00970064" w:rsidRDefault="00970064" w:rsidP="0035727D">
      <w:pPr>
        <w:spacing w:after="0" w:line="240" w:lineRule="auto"/>
        <w:jc w:val="both"/>
        <w:rPr>
          <w:rFonts w:ascii="Arial" w:hAnsi="Arial" w:cs="Arial"/>
          <w:lang w:val="pt-BR"/>
        </w:rPr>
      </w:pPr>
    </w:p>
    <w:p w:rsidR="00AF69E6" w:rsidRDefault="005C0A9D" w:rsidP="0035727D">
      <w:pPr>
        <w:spacing w:after="0" w:line="240" w:lineRule="auto"/>
        <w:jc w:val="both"/>
        <w:rPr>
          <w:rFonts w:ascii="Arial" w:hAnsi="Arial" w:cs="Arial"/>
          <w:lang w:val="pt-BR"/>
        </w:rPr>
      </w:pPr>
      <w:r w:rsidRPr="0035727D">
        <w:rPr>
          <w:rFonts w:ascii="Arial" w:hAnsi="Arial" w:cs="Arial"/>
          <w:lang w:val="pt-BR"/>
        </w:rPr>
        <w:t xml:space="preserve">As </w:t>
      </w:r>
      <w:r w:rsidRPr="0035727D">
        <w:rPr>
          <w:rFonts w:ascii="Arial" w:hAnsi="Arial" w:cs="Arial"/>
          <w:u w:val="single"/>
          <w:lang w:val="pt-BR"/>
        </w:rPr>
        <w:t>décadas de 1980 e 1990</w:t>
      </w:r>
      <w:r w:rsidRPr="0035727D">
        <w:rPr>
          <w:rFonts w:ascii="Arial" w:hAnsi="Arial" w:cs="Arial"/>
          <w:lang w:val="pt-BR"/>
        </w:rPr>
        <w:t xml:space="preserve"> marcaram o fim de um ciclo ascendente da economia brasileira</w:t>
      </w:r>
      <w:r w:rsidR="00A071DE" w:rsidRPr="0035727D">
        <w:rPr>
          <w:rFonts w:ascii="Arial" w:hAnsi="Arial" w:cs="Arial"/>
          <w:lang w:val="pt-BR"/>
        </w:rPr>
        <w:t xml:space="preserve"> e a redemocratização do País. O Brasil abriria um processo de </w:t>
      </w:r>
      <w:r w:rsidRPr="0035727D">
        <w:rPr>
          <w:rFonts w:ascii="Arial" w:hAnsi="Arial" w:cs="Arial"/>
          <w:lang w:val="pt-BR"/>
        </w:rPr>
        <w:t xml:space="preserve">confrontação direta com </w:t>
      </w:r>
      <w:r w:rsidR="00A071DE" w:rsidRPr="0035727D">
        <w:rPr>
          <w:rFonts w:ascii="Arial" w:hAnsi="Arial" w:cs="Arial"/>
          <w:lang w:val="pt-BR"/>
        </w:rPr>
        <w:t>três</w:t>
      </w:r>
      <w:r w:rsidRPr="0035727D">
        <w:rPr>
          <w:rFonts w:ascii="Arial" w:hAnsi="Arial" w:cs="Arial"/>
          <w:lang w:val="pt-BR"/>
        </w:rPr>
        <w:t xml:space="preserve"> problemas que até hoje assombram os formuladores de políticas econômicas, altos níveis de endividamento externo, taxas elevadas de inflação e a estagnação econômica, elevando consigo as taxas de desemprego na economia</w:t>
      </w:r>
      <w:r w:rsidR="001F5D5D" w:rsidRPr="0035727D">
        <w:rPr>
          <w:rFonts w:ascii="Arial" w:hAnsi="Arial" w:cs="Arial"/>
          <w:lang w:val="pt-BR"/>
        </w:rPr>
        <w:t xml:space="preserve"> e os problemas sociais então mais visíveis em um país cada dia mais urbanizado</w:t>
      </w:r>
      <w:r w:rsidRPr="0035727D">
        <w:rPr>
          <w:rFonts w:ascii="Arial" w:hAnsi="Arial" w:cs="Arial"/>
          <w:lang w:val="pt-BR"/>
        </w:rPr>
        <w:t>.</w:t>
      </w:r>
      <w:r w:rsidR="001F5D5D" w:rsidRPr="0035727D">
        <w:rPr>
          <w:rFonts w:ascii="Arial" w:hAnsi="Arial" w:cs="Arial"/>
          <w:lang w:val="pt-BR"/>
        </w:rPr>
        <w:t xml:space="preserve"> Com problemas desta natureza as políticas de fomento ao setor produtivo perdia espaço para um processo de tentativa e erros de programas de estabilização monetária, que solapavam a seu reboque o setor produtivo nacional, com reflexos importantes na degeneração econômica e social da população.</w:t>
      </w:r>
    </w:p>
    <w:p w:rsidR="001D6E1E" w:rsidRPr="0035727D" w:rsidRDefault="001D6E1E" w:rsidP="0035727D">
      <w:pPr>
        <w:spacing w:after="0" w:line="240" w:lineRule="auto"/>
        <w:jc w:val="both"/>
        <w:rPr>
          <w:rFonts w:ascii="Arial" w:hAnsi="Arial" w:cs="Arial"/>
          <w:lang w:val="pt-BR"/>
        </w:rPr>
      </w:pPr>
    </w:p>
    <w:p w:rsidR="00776673" w:rsidRPr="0035727D" w:rsidRDefault="00776673" w:rsidP="0035727D">
      <w:pPr>
        <w:spacing w:after="0" w:line="240" w:lineRule="auto"/>
        <w:jc w:val="both"/>
        <w:rPr>
          <w:rFonts w:ascii="Arial" w:hAnsi="Arial" w:cs="Arial"/>
          <w:lang w:val="pt-BR"/>
        </w:rPr>
      </w:pPr>
      <w:r w:rsidRPr="0035727D">
        <w:rPr>
          <w:rFonts w:ascii="Arial" w:hAnsi="Arial" w:cs="Arial"/>
          <w:lang w:val="pt-BR"/>
        </w:rPr>
        <w:t>Com a Rio 92 (Conferência das Nações Unidas sobre o Meio Ambiente e o Desenvolvimento, realizada no Rio de Janeiro, em junho de 1992), o sucesso da estabilização monetária produzida pelo Plano Real (1993-1997), as crises cambiais e financeiras internacionais (iniciada no México em 1994 extendendo-se até a da Argentina em 2001-02), o Brasil se dava conta que fazia parte de um complexo sistema internacional de economias e sociedades, e que suas oportunidades e problemas iam para além de suas fronteiras e suas praias.  Inaugurava-se um novo momento em que o Brasil teria que reencontrar se caminho de desenvolvimento nesta nova economia, mais integrada, mais informatizada e o</w:t>
      </w:r>
      <w:r w:rsidR="00CD4B5D" w:rsidRPr="0035727D">
        <w:rPr>
          <w:rFonts w:ascii="Arial" w:hAnsi="Arial" w:cs="Arial"/>
          <w:lang w:val="pt-BR"/>
        </w:rPr>
        <w:t>nde as distâncias se encurtavam. A boa noticia era que o país voltava a crescer.</w:t>
      </w:r>
    </w:p>
    <w:p w:rsidR="00970064" w:rsidRDefault="00970064" w:rsidP="0035727D">
      <w:pPr>
        <w:spacing w:after="0" w:line="240" w:lineRule="auto"/>
        <w:jc w:val="both"/>
        <w:rPr>
          <w:rFonts w:ascii="Arial" w:hAnsi="Arial" w:cs="Arial"/>
          <w:lang w:val="pt-BR"/>
        </w:rPr>
      </w:pPr>
    </w:p>
    <w:p w:rsidR="001F5D5D" w:rsidRPr="0035727D" w:rsidRDefault="001F5D5D" w:rsidP="0035727D">
      <w:pPr>
        <w:spacing w:after="0" w:line="240" w:lineRule="auto"/>
        <w:jc w:val="both"/>
        <w:rPr>
          <w:rFonts w:ascii="Arial" w:hAnsi="Arial" w:cs="Arial"/>
          <w:lang w:val="pt-BR"/>
        </w:rPr>
      </w:pPr>
      <w:r w:rsidRPr="0035727D">
        <w:rPr>
          <w:rFonts w:ascii="Arial" w:hAnsi="Arial" w:cs="Arial"/>
          <w:lang w:val="pt-BR"/>
        </w:rPr>
        <w:t>Dentro de este ambiente, o BNDE se viu frente ao segundo desafio de macro ajustamento em sua história, o que trouxe novidades que mudaram a rotina e a estrutura do então BNDE. A primeira delas, em 1982, foi o acréscimo do “S” do social a suas atividades passando para a sua designação atual  Banco Nacional de Desenvolvimento Econômico e Social – BNDES e com a nova responsabilidade de gerir o Fundo de Investimento Social (Finsocial). Neste mesmo</w:t>
      </w:r>
      <w:r w:rsidR="00C33093" w:rsidRPr="0035727D">
        <w:rPr>
          <w:rFonts w:ascii="Arial" w:hAnsi="Arial" w:cs="Arial"/>
          <w:lang w:val="pt-BR"/>
        </w:rPr>
        <w:t xml:space="preserve">, o Sistema BNDES foi reestruturado e foi criado o BNDES Participações (BNDESPAR), originada do processo de fusão das subsidiárias Fibase, Ibrasa e Embramec. Para contornar as fortes oscilações na economia brasileira, durante toda a década de 1980 e 1990, o BNDES redirecionou suas ações de modo a </w:t>
      </w:r>
      <w:r w:rsidR="00A071DE" w:rsidRPr="0035727D">
        <w:rPr>
          <w:rFonts w:ascii="Arial" w:hAnsi="Arial" w:cs="Arial"/>
          <w:lang w:val="pt-BR"/>
        </w:rPr>
        <w:t xml:space="preserve">(i) </w:t>
      </w:r>
      <w:r w:rsidR="00C33093" w:rsidRPr="0035727D">
        <w:rPr>
          <w:rFonts w:ascii="Arial" w:hAnsi="Arial" w:cs="Arial"/>
          <w:lang w:val="pt-BR"/>
        </w:rPr>
        <w:t xml:space="preserve">preservar o parque industrial nacional consolidado nos anos anteriores </w:t>
      </w:r>
      <w:r w:rsidR="00A071DE" w:rsidRPr="0035727D">
        <w:rPr>
          <w:rFonts w:ascii="Arial" w:hAnsi="Arial" w:cs="Arial"/>
          <w:lang w:val="pt-BR"/>
        </w:rPr>
        <w:t xml:space="preserve">– apoiando as empresas endividadas; (ii) </w:t>
      </w:r>
      <w:r w:rsidR="00C33093" w:rsidRPr="0035727D">
        <w:rPr>
          <w:rFonts w:ascii="Arial" w:hAnsi="Arial" w:cs="Arial"/>
          <w:lang w:val="pt-BR"/>
        </w:rPr>
        <w:t xml:space="preserve">e </w:t>
      </w:r>
      <w:r w:rsidR="00A071DE" w:rsidRPr="0035727D">
        <w:rPr>
          <w:rFonts w:ascii="Arial" w:hAnsi="Arial" w:cs="Arial"/>
          <w:lang w:val="pt-BR"/>
        </w:rPr>
        <w:t xml:space="preserve"> </w:t>
      </w:r>
      <w:r w:rsidR="00C33093" w:rsidRPr="0035727D">
        <w:rPr>
          <w:rFonts w:ascii="Arial" w:hAnsi="Arial" w:cs="Arial"/>
          <w:lang w:val="pt-BR"/>
        </w:rPr>
        <w:t>reforçar as exportações</w:t>
      </w:r>
      <w:r w:rsidR="00A071DE" w:rsidRPr="0035727D">
        <w:rPr>
          <w:rFonts w:ascii="Arial" w:hAnsi="Arial" w:cs="Arial"/>
          <w:lang w:val="pt-BR"/>
        </w:rPr>
        <w:t xml:space="preserve">. Isto terminou por </w:t>
      </w:r>
      <w:r w:rsidR="00C33093" w:rsidRPr="0035727D">
        <w:rPr>
          <w:rFonts w:ascii="Arial" w:hAnsi="Arial" w:cs="Arial"/>
          <w:lang w:val="pt-BR"/>
        </w:rPr>
        <w:t>reforça</w:t>
      </w:r>
      <w:r w:rsidR="00A071DE" w:rsidRPr="0035727D">
        <w:rPr>
          <w:rFonts w:ascii="Arial" w:hAnsi="Arial" w:cs="Arial"/>
          <w:lang w:val="pt-BR"/>
        </w:rPr>
        <w:t xml:space="preserve">r </w:t>
      </w:r>
      <w:r w:rsidR="00C33093" w:rsidRPr="0035727D">
        <w:rPr>
          <w:rFonts w:ascii="Arial" w:hAnsi="Arial" w:cs="Arial"/>
          <w:lang w:val="pt-BR"/>
        </w:rPr>
        <w:t>sua atuação multissetorial</w:t>
      </w:r>
      <w:r w:rsidR="00A071DE" w:rsidRPr="0035727D">
        <w:rPr>
          <w:rFonts w:ascii="Arial" w:hAnsi="Arial" w:cs="Arial"/>
          <w:lang w:val="pt-BR"/>
        </w:rPr>
        <w:t>, no entanto trouxe se foco de longo para o curto prazo</w:t>
      </w:r>
      <w:r w:rsidR="00C33093" w:rsidRPr="0035727D">
        <w:rPr>
          <w:rFonts w:ascii="Arial" w:hAnsi="Arial" w:cs="Arial"/>
          <w:lang w:val="pt-BR"/>
        </w:rPr>
        <w:t>.</w:t>
      </w:r>
      <w:r w:rsidR="00A071DE" w:rsidRPr="0035727D">
        <w:rPr>
          <w:rFonts w:ascii="Arial" w:hAnsi="Arial" w:cs="Arial"/>
          <w:lang w:val="pt-BR"/>
        </w:rPr>
        <w:t xml:space="preserve"> </w:t>
      </w:r>
    </w:p>
    <w:p w:rsidR="00970064" w:rsidRDefault="00970064" w:rsidP="0035727D">
      <w:pPr>
        <w:spacing w:after="0" w:line="240" w:lineRule="auto"/>
        <w:jc w:val="both"/>
        <w:rPr>
          <w:rFonts w:ascii="Arial" w:hAnsi="Arial" w:cs="Arial"/>
          <w:lang w:val="pt-BR"/>
        </w:rPr>
      </w:pPr>
    </w:p>
    <w:p w:rsidR="00AF4793" w:rsidRPr="0035727D" w:rsidRDefault="00AF4793" w:rsidP="0035727D">
      <w:pPr>
        <w:spacing w:after="0" w:line="240" w:lineRule="auto"/>
        <w:jc w:val="both"/>
        <w:rPr>
          <w:rFonts w:ascii="Arial" w:hAnsi="Arial" w:cs="Arial"/>
          <w:lang w:val="pt-BR"/>
        </w:rPr>
      </w:pPr>
      <w:r w:rsidRPr="0035727D">
        <w:rPr>
          <w:rFonts w:ascii="Arial" w:hAnsi="Arial" w:cs="Arial"/>
          <w:lang w:val="pt-BR"/>
        </w:rPr>
        <w:t xml:space="preserve">Outro marco importante foi a criação da Área de Crédito do BNDES (1989), para a realização de estudos de classificação de risco. A nova área modificou a forma de o Banco formular as suas análises de projeto. Desse momento em diante, os estudos passaram a avaliar as possibilidades de risco contidas nos projetos a serem apoiados e as chances de recuperação do crédito. Além disso, o foco da análise foi ampliado, passando a incluir ainda o histórico do cliente. Essa nova metodologia foi extremamente importante para o Banco, não somente por preservar os investimentos, como também </w:t>
      </w:r>
      <w:r w:rsidRPr="0035727D">
        <w:rPr>
          <w:rFonts w:ascii="Arial" w:hAnsi="Arial" w:cs="Arial"/>
          <w:lang w:val="pt-BR"/>
        </w:rPr>
        <w:lastRenderedPageBreak/>
        <w:t xml:space="preserve">conservar os empreendimentos e seus desdobramentos, como a geração de emprego, tributos e desenvolvimento local. </w:t>
      </w:r>
    </w:p>
    <w:p w:rsidR="00970064" w:rsidRDefault="00970064" w:rsidP="0035727D">
      <w:pPr>
        <w:spacing w:after="0" w:line="240" w:lineRule="auto"/>
        <w:jc w:val="both"/>
        <w:rPr>
          <w:rFonts w:ascii="Arial" w:hAnsi="Arial" w:cs="Arial"/>
          <w:lang w:val="pt-BR"/>
        </w:rPr>
      </w:pPr>
    </w:p>
    <w:p w:rsidR="00CD4B5D" w:rsidRPr="0035727D" w:rsidRDefault="00AF4793" w:rsidP="0035727D">
      <w:pPr>
        <w:spacing w:after="0" w:line="240" w:lineRule="auto"/>
        <w:jc w:val="both"/>
        <w:rPr>
          <w:rFonts w:ascii="Arial" w:hAnsi="Arial" w:cs="Arial"/>
          <w:lang w:val="pt-BR"/>
        </w:rPr>
      </w:pPr>
      <w:r w:rsidRPr="0035727D">
        <w:rPr>
          <w:rFonts w:ascii="Arial" w:hAnsi="Arial" w:cs="Arial"/>
          <w:lang w:val="pt-BR"/>
        </w:rPr>
        <w:t>Com um o novo fundo, Fundo de Amparo aos Tra</w:t>
      </w:r>
      <w:r w:rsidR="00A66CD1" w:rsidRPr="0035727D">
        <w:rPr>
          <w:rFonts w:ascii="Arial" w:hAnsi="Arial" w:cs="Arial"/>
          <w:lang w:val="pt-BR"/>
        </w:rPr>
        <w:t>b</w:t>
      </w:r>
      <w:r w:rsidRPr="0035727D">
        <w:rPr>
          <w:rFonts w:ascii="Arial" w:hAnsi="Arial" w:cs="Arial"/>
          <w:lang w:val="pt-BR"/>
        </w:rPr>
        <w:t>alhadores – FAT a partir de 1989, e como resultado das privatizações do Plano Nacional de Privatizações (PND), o BNDES começava a recuperar na década de 1990 a sua capacidade econômico financeira e voltava a exercer o papel de agente de desenvolvimento.</w:t>
      </w:r>
      <w:r w:rsidR="00776673" w:rsidRPr="0035727D">
        <w:rPr>
          <w:rFonts w:ascii="Arial" w:hAnsi="Arial" w:cs="Arial"/>
          <w:lang w:val="pt-BR"/>
        </w:rPr>
        <w:t xml:space="preserve"> </w:t>
      </w:r>
      <w:r w:rsidR="00CD4B5D" w:rsidRPr="0035727D">
        <w:rPr>
          <w:rFonts w:ascii="Arial" w:hAnsi="Arial" w:cs="Arial"/>
          <w:lang w:val="pt-BR"/>
        </w:rPr>
        <w:t xml:space="preserve"> Também importante, foi a capacidade das equipes de planejamento do BNDES foi fundamental para alongar os horizontes do Banco e trabalhar em cenários futuros de retomada.</w:t>
      </w:r>
    </w:p>
    <w:p w:rsidR="001D6E1E" w:rsidRDefault="001D6E1E" w:rsidP="0035727D">
      <w:pPr>
        <w:spacing w:after="0" w:line="240" w:lineRule="auto"/>
        <w:jc w:val="both"/>
        <w:rPr>
          <w:rFonts w:ascii="Arial" w:hAnsi="Arial" w:cs="Arial"/>
          <w:lang w:val="pt-BR"/>
        </w:rPr>
      </w:pPr>
    </w:p>
    <w:p w:rsidR="00AF4793" w:rsidRPr="0035727D" w:rsidRDefault="00A66CD1" w:rsidP="0035727D">
      <w:pPr>
        <w:spacing w:after="0" w:line="240" w:lineRule="auto"/>
        <w:jc w:val="both"/>
        <w:rPr>
          <w:rFonts w:ascii="Arial" w:hAnsi="Arial" w:cs="Arial"/>
          <w:lang w:val="pt-BR"/>
        </w:rPr>
      </w:pPr>
      <w:r w:rsidRPr="0035727D">
        <w:rPr>
          <w:rFonts w:ascii="Arial" w:hAnsi="Arial" w:cs="Arial"/>
          <w:lang w:val="pt-BR"/>
        </w:rPr>
        <w:t xml:space="preserve">Com a entrada dos anos 2000, </w:t>
      </w:r>
      <w:r w:rsidR="00CD4B5D" w:rsidRPr="0035727D">
        <w:rPr>
          <w:rFonts w:ascii="Arial" w:hAnsi="Arial" w:cs="Arial"/>
          <w:lang w:val="pt-BR"/>
        </w:rPr>
        <w:t>a retomada aconteceu, e o BNDES estava preparado par acompanhar e apoiar este processo, ampliando seus desembolsos e ampliando sua atuação para permitir a atualização tecnológica e a inserção internacional das empresas Brasileiras</w:t>
      </w:r>
      <w:r w:rsidRPr="0035727D">
        <w:rPr>
          <w:rFonts w:ascii="Arial" w:hAnsi="Arial" w:cs="Arial"/>
          <w:lang w:val="pt-BR"/>
        </w:rPr>
        <w:t>, dentro de uma abordagem de sustentabilidade e respeito ao meio ambiente, e onde a inclusão social</w:t>
      </w:r>
      <w:r w:rsidR="00CD4B5D" w:rsidRPr="0035727D">
        <w:rPr>
          <w:rFonts w:ascii="Arial" w:hAnsi="Arial" w:cs="Arial"/>
          <w:lang w:val="pt-BR"/>
        </w:rPr>
        <w:t>.</w:t>
      </w:r>
    </w:p>
    <w:p w:rsidR="00970064" w:rsidRDefault="00970064" w:rsidP="0035727D">
      <w:pPr>
        <w:spacing w:after="0" w:line="240" w:lineRule="auto"/>
        <w:jc w:val="both"/>
        <w:rPr>
          <w:rFonts w:ascii="Arial" w:hAnsi="Arial" w:cs="Arial"/>
          <w:lang w:val="pt-BR"/>
        </w:rPr>
      </w:pPr>
    </w:p>
    <w:p w:rsidR="00CD4B5D" w:rsidRPr="0035727D" w:rsidRDefault="00CD4B5D" w:rsidP="0035727D">
      <w:pPr>
        <w:spacing w:after="0" w:line="240" w:lineRule="auto"/>
        <w:jc w:val="both"/>
        <w:rPr>
          <w:rFonts w:ascii="Arial" w:hAnsi="Arial" w:cs="Arial"/>
          <w:lang w:val="pt-BR"/>
        </w:rPr>
      </w:pPr>
      <w:r w:rsidRPr="0035727D">
        <w:rPr>
          <w:rFonts w:ascii="Arial" w:hAnsi="Arial" w:cs="Arial"/>
          <w:lang w:val="pt-BR"/>
        </w:rPr>
        <w:t>Para o BNDES o período começo</w:t>
      </w:r>
      <w:r w:rsidR="00A66CD1" w:rsidRPr="0035727D">
        <w:rPr>
          <w:rFonts w:ascii="Arial" w:hAnsi="Arial" w:cs="Arial"/>
          <w:lang w:val="pt-BR"/>
        </w:rPr>
        <w:t>u</w:t>
      </w:r>
      <w:r w:rsidRPr="0035727D">
        <w:rPr>
          <w:rFonts w:ascii="Arial" w:hAnsi="Arial" w:cs="Arial"/>
          <w:lang w:val="pt-BR"/>
        </w:rPr>
        <w:t xml:space="preserve"> com um processo de planejamento estratégico, estabelecendo-se o Plano BNDES 2000-2005. O Banco identificou sete prioridades: (i) a continuidade do apoio aos setores industriais, buscando competitividade e a modernização da indústria nacional; (ii) continuar financiando o investimento na infraestrutura: construção de estradas, portos, linhas de transmissão, estradas de ferro, vias navegáveis etc</w:t>
      </w:r>
      <w:r w:rsidR="003731E9" w:rsidRPr="0035727D">
        <w:rPr>
          <w:rFonts w:ascii="Arial" w:hAnsi="Arial" w:cs="Arial"/>
          <w:lang w:val="pt-BR"/>
        </w:rPr>
        <w:t xml:space="preserve">; (iii) </w:t>
      </w:r>
      <w:r w:rsidRPr="0035727D">
        <w:rPr>
          <w:rFonts w:ascii="Arial" w:hAnsi="Arial" w:cs="Arial"/>
          <w:lang w:val="pt-BR"/>
        </w:rPr>
        <w:t>apoio às exportações</w:t>
      </w:r>
      <w:r w:rsidR="003731E9" w:rsidRPr="0035727D">
        <w:rPr>
          <w:rFonts w:ascii="Arial" w:hAnsi="Arial" w:cs="Arial"/>
          <w:lang w:val="pt-BR"/>
        </w:rPr>
        <w:t xml:space="preserve">; (iv) </w:t>
      </w:r>
      <w:r w:rsidRPr="0035727D">
        <w:rPr>
          <w:rFonts w:ascii="Arial" w:hAnsi="Arial" w:cs="Arial"/>
          <w:lang w:val="pt-BR"/>
        </w:rPr>
        <w:t>diversificação regional</w:t>
      </w:r>
      <w:r w:rsidR="003731E9" w:rsidRPr="0035727D">
        <w:rPr>
          <w:rFonts w:ascii="Arial" w:hAnsi="Arial" w:cs="Arial"/>
          <w:lang w:val="pt-BR"/>
        </w:rPr>
        <w:t xml:space="preserve"> e desconcentração do desenvolvimento; (v) apoio à micro, pequena e média empresa pela sua capacidade de criação de emprego, de “alavancar” recursos e aumentar a eficiência da produção brasileira; (vi) área Social; e (vii) reenfatizar o compromisso do Banco com a privatização.</w:t>
      </w:r>
    </w:p>
    <w:p w:rsidR="00970064" w:rsidRDefault="00970064" w:rsidP="0035727D">
      <w:pPr>
        <w:spacing w:after="0" w:line="240" w:lineRule="auto"/>
        <w:jc w:val="both"/>
        <w:rPr>
          <w:rFonts w:ascii="Arial" w:hAnsi="Arial" w:cs="Arial"/>
          <w:lang w:val="pt-BR"/>
        </w:rPr>
      </w:pPr>
    </w:p>
    <w:p w:rsidR="001F5D5D" w:rsidRPr="0035727D" w:rsidRDefault="00A66CD1" w:rsidP="0035727D">
      <w:pPr>
        <w:spacing w:after="0" w:line="240" w:lineRule="auto"/>
        <w:jc w:val="both"/>
        <w:rPr>
          <w:rFonts w:ascii="Arial" w:hAnsi="Arial" w:cs="Arial"/>
          <w:lang w:val="pt-BR"/>
        </w:rPr>
      </w:pPr>
      <w:r w:rsidRPr="0035727D">
        <w:rPr>
          <w:rFonts w:ascii="Arial" w:hAnsi="Arial" w:cs="Arial"/>
          <w:lang w:val="pt-BR"/>
        </w:rPr>
        <w:t>Em 2002 era lançado um instrumento que ajudaria ao BNDES a ocupando uma lacuna no atendimento das demandas de crédito de micro, pequenas e médias empresas para realizar investimentos, o Cartão BNDES.  Dez anos depois já eram mais de 550 mil cartões emitidos para empresas de várias áreas de atuação e localizadas em 96% dos municípios brasileiros, contando com 46 mil fornecedores credenciados, que disponibilizam mais de 207 mil itens para venda</w:t>
      </w:r>
      <w:r w:rsidR="00F0153C" w:rsidRPr="0035727D">
        <w:rPr>
          <w:rFonts w:ascii="Arial" w:hAnsi="Arial" w:cs="Arial"/>
          <w:lang w:val="pt-BR"/>
        </w:rPr>
        <w:t>,</w:t>
      </w:r>
      <w:r w:rsidRPr="0035727D">
        <w:rPr>
          <w:rFonts w:ascii="Arial" w:hAnsi="Arial" w:cs="Arial"/>
          <w:lang w:val="pt-BR"/>
        </w:rPr>
        <w:t xml:space="preserve"> realizad</w:t>
      </w:r>
      <w:r w:rsidR="00F0153C" w:rsidRPr="0035727D">
        <w:rPr>
          <w:rFonts w:ascii="Arial" w:hAnsi="Arial" w:cs="Arial"/>
          <w:lang w:val="pt-BR"/>
        </w:rPr>
        <w:t>as</w:t>
      </w:r>
      <w:r w:rsidRPr="0035727D">
        <w:rPr>
          <w:rFonts w:ascii="Arial" w:hAnsi="Arial" w:cs="Arial"/>
          <w:lang w:val="pt-BR"/>
        </w:rPr>
        <w:t xml:space="preserve"> 1,7 milhão de operações, somando desembolsos da ordem de 25 bilhões de reais.</w:t>
      </w:r>
      <w:r w:rsidR="00F0153C" w:rsidRPr="0035727D">
        <w:rPr>
          <w:rFonts w:ascii="Arial" w:hAnsi="Arial" w:cs="Arial"/>
          <w:lang w:val="pt-BR"/>
        </w:rPr>
        <w:t xml:space="preserve"> Ainda voltado para as  MPMEs, o Banco criou o Programa de Participação em Fundos de Capital de Risco, destinado à capitalização dessas empresas em 2005.</w:t>
      </w:r>
    </w:p>
    <w:p w:rsidR="001D6E1E" w:rsidRDefault="001D6E1E" w:rsidP="0035727D">
      <w:pPr>
        <w:spacing w:after="0" w:line="240" w:lineRule="auto"/>
        <w:jc w:val="both"/>
        <w:rPr>
          <w:rFonts w:ascii="Arial" w:hAnsi="Arial" w:cs="Arial"/>
          <w:lang w:val="pt-BR"/>
        </w:rPr>
      </w:pPr>
    </w:p>
    <w:p w:rsidR="00F0153C" w:rsidRPr="0035727D" w:rsidRDefault="00F0153C" w:rsidP="0035727D">
      <w:pPr>
        <w:spacing w:after="0" w:line="240" w:lineRule="auto"/>
        <w:jc w:val="both"/>
        <w:rPr>
          <w:rFonts w:ascii="Arial" w:hAnsi="Arial" w:cs="Arial"/>
          <w:lang w:val="pt-BR"/>
        </w:rPr>
      </w:pPr>
      <w:r w:rsidRPr="0035727D">
        <w:rPr>
          <w:rFonts w:ascii="Arial" w:hAnsi="Arial" w:cs="Arial"/>
          <w:lang w:val="pt-BR"/>
        </w:rPr>
        <w:t>Na área de sustentabilidade, o BNDES reforçou o seu suporte à infraestrutura, criando em 2005, o Programa de Apoio Financeiro a Investimentos em Fontes Alternativas de Energia Elétrica (Proinfa), para apoiar projetos de geração de energia por meio de fontes alternativas e pequena</w:t>
      </w:r>
      <w:r w:rsidR="004A669A" w:rsidRPr="0035727D">
        <w:rPr>
          <w:rFonts w:ascii="Arial" w:hAnsi="Arial" w:cs="Arial"/>
          <w:lang w:val="pt-BR"/>
        </w:rPr>
        <w:t>s centrais hidrelétricas (PCHs). Também entre 2008 e 2010, o BNDES ficou com a responsabilidade de administrar dois importantes instrumentos da política nacional relacionada ao meio ambiente, o Fundo Amazônia e o Fundo Nacional sobre Mudança do Clima (Fundo Clima).</w:t>
      </w:r>
    </w:p>
    <w:p w:rsidR="00970064" w:rsidRDefault="00970064" w:rsidP="0035727D">
      <w:pPr>
        <w:spacing w:after="0" w:line="240" w:lineRule="auto"/>
        <w:jc w:val="both"/>
        <w:rPr>
          <w:rFonts w:ascii="Arial" w:hAnsi="Arial" w:cs="Arial"/>
          <w:lang w:val="pt-BR"/>
        </w:rPr>
      </w:pPr>
    </w:p>
    <w:p w:rsidR="00F0153C" w:rsidRPr="0035727D" w:rsidRDefault="0085695C" w:rsidP="0035727D">
      <w:pPr>
        <w:spacing w:after="0" w:line="240" w:lineRule="auto"/>
        <w:jc w:val="both"/>
        <w:rPr>
          <w:rFonts w:ascii="Arial" w:hAnsi="Arial" w:cs="Arial"/>
          <w:lang w:val="pt-BR"/>
        </w:rPr>
      </w:pPr>
      <w:r w:rsidRPr="0035727D">
        <w:rPr>
          <w:rFonts w:ascii="Arial" w:hAnsi="Arial" w:cs="Arial"/>
          <w:lang w:val="pt-BR"/>
        </w:rPr>
        <w:t xml:space="preserve">Com a crise financeira internacional de 2008, que mostrou seus reflexos de maior impacto para o Brasil a partir de 2014, conjugada com o ciclo político que terminou levando a uma crise política cujo final ainda é imprevisível terminou por levar o País a sua primeira grande crise do presente século. O BNDES manifestou-se estar presente seja pela sua expansão de sua capacidade de acompanhar uma politica púbica que o colocou como eixo central das políticas de desenvolvimento , tendo atingido seu recorde </w:t>
      </w:r>
      <w:r w:rsidRPr="0035727D">
        <w:rPr>
          <w:rFonts w:ascii="Arial" w:hAnsi="Arial" w:cs="Arial"/>
          <w:lang w:val="pt-BR"/>
        </w:rPr>
        <w:lastRenderedPageBreak/>
        <w:t>histórico de desembolsos no ano de 2013 com R$ 190,4 bilhões</w:t>
      </w:r>
      <w:r w:rsidR="00710767" w:rsidRPr="0035727D">
        <w:rPr>
          <w:rFonts w:ascii="Arial" w:hAnsi="Arial" w:cs="Arial"/>
          <w:lang w:val="pt-BR"/>
        </w:rPr>
        <w:t xml:space="preserve">, e tendo executado o Programa de Sustentação do Investimento (PSI) </w:t>
      </w:r>
      <w:r w:rsidRPr="0035727D">
        <w:rPr>
          <w:rFonts w:ascii="Arial" w:hAnsi="Arial" w:cs="Arial"/>
          <w:lang w:val="pt-BR"/>
        </w:rPr>
        <w:t xml:space="preserve">. Como também foi capaz de reajustar-se ao ser chamado </w:t>
      </w:r>
      <w:r w:rsidR="00710767" w:rsidRPr="0035727D">
        <w:rPr>
          <w:rFonts w:ascii="Arial" w:hAnsi="Arial" w:cs="Arial"/>
          <w:lang w:val="pt-BR"/>
        </w:rPr>
        <w:t xml:space="preserve">no decorrer do ano de 2016 </w:t>
      </w:r>
      <w:r w:rsidRPr="0035727D">
        <w:rPr>
          <w:rFonts w:ascii="Arial" w:hAnsi="Arial" w:cs="Arial"/>
          <w:lang w:val="pt-BR"/>
        </w:rPr>
        <w:t xml:space="preserve">a devolver </w:t>
      </w:r>
      <w:r w:rsidR="00710767" w:rsidRPr="0035727D">
        <w:rPr>
          <w:rFonts w:ascii="Arial" w:hAnsi="Arial" w:cs="Arial"/>
          <w:lang w:val="pt-BR"/>
        </w:rPr>
        <w:t>US$ 100 d</w:t>
      </w:r>
      <w:r w:rsidRPr="0035727D">
        <w:rPr>
          <w:rFonts w:ascii="Arial" w:hAnsi="Arial" w:cs="Arial"/>
          <w:lang w:val="pt-BR"/>
        </w:rPr>
        <w:t xml:space="preserve">os </w:t>
      </w:r>
      <w:r w:rsidR="00710767" w:rsidRPr="0035727D">
        <w:rPr>
          <w:rFonts w:ascii="Arial" w:hAnsi="Arial" w:cs="Arial"/>
          <w:lang w:val="pt-BR"/>
        </w:rPr>
        <w:t>R$ 516 bilhões recebidos d</w:t>
      </w:r>
      <w:r w:rsidRPr="0035727D">
        <w:rPr>
          <w:rFonts w:ascii="Arial" w:hAnsi="Arial" w:cs="Arial"/>
          <w:lang w:val="pt-BR"/>
        </w:rPr>
        <w:t>o tesouro nacional</w:t>
      </w:r>
      <w:r w:rsidR="00710767" w:rsidRPr="0035727D">
        <w:rPr>
          <w:rFonts w:ascii="Arial" w:hAnsi="Arial" w:cs="Arial"/>
          <w:lang w:val="pt-BR"/>
        </w:rPr>
        <w:t>.  Sem falar no processo de planejamento por cenários que o Banco fez entre os anos de 2014-15, tendo como horizonte o ano de 2030</w:t>
      </w:r>
      <w:r w:rsidR="00710767" w:rsidRPr="0035727D">
        <w:rPr>
          <w:rStyle w:val="FootnoteReference"/>
          <w:rFonts w:ascii="Arial" w:hAnsi="Arial" w:cs="Arial"/>
          <w:lang w:val="pt-BR"/>
        </w:rPr>
        <w:footnoteReference w:id="5"/>
      </w:r>
      <w:r w:rsidR="00710767" w:rsidRPr="0035727D">
        <w:rPr>
          <w:rFonts w:ascii="Arial" w:hAnsi="Arial" w:cs="Arial"/>
          <w:lang w:val="pt-BR"/>
        </w:rPr>
        <w:t xml:space="preserve">. </w:t>
      </w:r>
      <w:r w:rsidR="00AB2247" w:rsidRPr="0035727D">
        <w:rPr>
          <w:rFonts w:ascii="Arial" w:hAnsi="Arial" w:cs="Arial"/>
          <w:lang w:val="pt-BR"/>
        </w:rPr>
        <w:t xml:space="preserve"> Mantendo a tradição de planejamento da instituição, o BNDES está sempre no presente com suas operaçõ</w:t>
      </w:r>
      <w:r w:rsidR="001173AC" w:rsidRPr="0035727D">
        <w:rPr>
          <w:rFonts w:ascii="Arial" w:hAnsi="Arial" w:cs="Arial"/>
          <w:lang w:val="pt-BR"/>
        </w:rPr>
        <w:t xml:space="preserve">es, respondendo aos requerimentos atuais do desenvolvimento Brasileiro, mas com seu corpo técnico e de planejamento preparando sua atuação para as diferentes alternativas que podem apresentar-se </w:t>
      </w:r>
      <w:r w:rsidR="008100ED" w:rsidRPr="0035727D">
        <w:rPr>
          <w:rFonts w:ascii="Arial" w:hAnsi="Arial" w:cs="Arial"/>
          <w:lang w:val="pt-BR"/>
        </w:rPr>
        <w:t xml:space="preserve">para o Brasil </w:t>
      </w:r>
      <w:r w:rsidR="001173AC" w:rsidRPr="0035727D">
        <w:rPr>
          <w:rFonts w:ascii="Arial" w:hAnsi="Arial" w:cs="Arial"/>
          <w:lang w:val="pt-BR"/>
        </w:rPr>
        <w:t>nos</w:t>
      </w:r>
      <w:r w:rsidR="008100ED" w:rsidRPr="0035727D">
        <w:rPr>
          <w:rFonts w:ascii="Arial" w:hAnsi="Arial" w:cs="Arial"/>
          <w:lang w:val="pt-BR"/>
        </w:rPr>
        <w:t xml:space="preserve"> próximos anos.</w:t>
      </w:r>
    </w:p>
    <w:p w:rsidR="0076185A" w:rsidRPr="0035727D" w:rsidRDefault="0076185A" w:rsidP="0035727D">
      <w:pPr>
        <w:spacing w:after="0" w:line="240" w:lineRule="auto"/>
        <w:jc w:val="both"/>
        <w:rPr>
          <w:rFonts w:ascii="Arial" w:hAnsi="Arial" w:cs="Arial"/>
          <w:lang w:val="pt-BR"/>
        </w:rPr>
      </w:pPr>
    </w:p>
    <w:p w:rsidR="003065B5" w:rsidRPr="0035727D" w:rsidRDefault="0076185A" w:rsidP="00970064">
      <w:pPr>
        <w:pStyle w:val="Heading2"/>
        <w:numPr>
          <w:ilvl w:val="0"/>
          <w:numId w:val="3"/>
        </w:numPr>
        <w:spacing w:before="0" w:line="240" w:lineRule="auto"/>
        <w:ind w:left="360"/>
        <w:jc w:val="both"/>
        <w:rPr>
          <w:rFonts w:ascii="Arial" w:hAnsi="Arial" w:cs="Arial"/>
          <w:sz w:val="22"/>
          <w:szCs w:val="22"/>
          <w:lang w:val="pt-BR"/>
        </w:rPr>
      </w:pPr>
      <w:r w:rsidRPr="0035727D">
        <w:rPr>
          <w:rFonts w:ascii="Arial" w:hAnsi="Arial" w:cs="Arial"/>
          <w:sz w:val="22"/>
          <w:szCs w:val="22"/>
          <w:lang w:val="pt-BR"/>
        </w:rPr>
        <w:t>Organização e Estrutura do BNDES</w:t>
      </w:r>
    </w:p>
    <w:p w:rsidR="0076185A" w:rsidRPr="0035727D" w:rsidRDefault="0076185A" w:rsidP="0035727D">
      <w:pPr>
        <w:spacing w:after="0" w:line="240" w:lineRule="auto"/>
        <w:jc w:val="both"/>
        <w:rPr>
          <w:rFonts w:ascii="Arial" w:hAnsi="Arial" w:cs="Arial"/>
          <w:lang w:val="pt-BR"/>
        </w:rPr>
      </w:pPr>
    </w:p>
    <w:p w:rsidR="0076185A" w:rsidRPr="0035727D" w:rsidRDefault="0076185A" w:rsidP="0035727D">
      <w:pPr>
        <w:spacing w:after="0" w:line="240" w:lineRule="auto"/>
        <w:jc w:val="both"/>
        <w:rPr>
          <w:rFonts w:ascii="Arial" w:hAnsi="Arial" w:cs="Arial"/>
          <w:lang w:val="pt-BR"/>
        </w:rPr>
      </w:pPr>
      <w:r w:rsidRPr="0035727D">
        <w:rPr>
          <w:rFonts w:ascii="Arial" w:hAnsi="Arial" w:cs="Arial"/>
          <w:lang w:val="pt-BR"/>
        </w:rPr>
        <w:t>O BNDES</w:t>
      </w:r>
      <w:r w:rsidRPr="0035727D">
        <w:rPr>
          <w:rStyle w:val="FootnoteReference"/>
          <w:rFonts w:ascii="Arial" w:hAnsi="Arial" w:cs="Arial"/>
          <w:lang w:val="pt-BR"/>
        </w:rPr>
        <w:footnoteReference w:id="6"/>
      </w:r>
      <w:r w:rsidRPr="0035727D">
        <w:rPr>
          <w:rFonts w:ascii="Arial" w:hAnsi="Arial" w:cs="Arial"/>
          <w:lang w:val="pt-BR"/>
        </w:rPr>
        <w:t xml:space="preserve"> é uma empresa pública</w:t>
      </w:r>
      <w:r w:rsidR="00055B09" w:rsidRPr="0035727D">
        <w:rPr>
          <w:rFonts w:ascii="Arial" w:hAnsi="Arial" w:cs="Arial"/>
          <w:lang w:val="pt-BR"/>
        </w:rPr>
        <w:t xml:space="preserve"> dotada de personalidade jurídica de direito privado e patrimônio próprio,</w:t>
      </w:r>
      <w:r w:rsidRPr="0035727D">
        <w:rPr>
          <w:rFonts w:ascii="Arial" w:hAnsi="Arial" w:cs="Arial"/>
          <w:lang w:val="pt-BR"/>
        </w:rPr>
        <w:t xml:space="preserve"> e não um banco comercial, e que justifica que sua concessão do apoio tenha como foco o impacto socioambiental e econômico no Brasil. </w:t>
      </w:r>
    </w:p>
    <w:p w:rsidR="001D6E1E" w:rsidRDefault="001D6E1E" w:rsidP="0035727D">
      <w:pPr>
        <w:spacing w:after="0" w:line="240" w:lineRule="auto"/>
        <w:jc w:val="both"/>
        <w:rPr>
          <w:rFonts w:ascii="Arial" w:hAnsi="Arial" w:cs="Arial"/>
          <w:lang w:val="pt-BR"/>
        </w:rPr>
      </w:pPr>
    </w:p>
    <w:p w:rsidR="009271DE" w:rsidRPr="0035727D" w:rsidRDefault="009271DE" w:rsidP="0035727D">
      <w:pPr>
        <w:spacing w:after="0" w:line="240" w:lineRule="auto"/>
        <w:jc w:val="both"/>
        <w:rPr>
          <w:rFonts w:ascii="Arial" w:hAnsi="Arial" w:cs="Arial"/>
          <w:lang w:val="pt-BR"/>
        </w:rPr>
      </w:pPr>
      <w:r w:rsidRPr="0035727D">
        <w:rPr>
          <w:rFonts w:ascii="Arial" w:hAnsi="Arial" w:cs="Arial"/>
          <w:lang w:val="pt-BR"/>
        </w:rPr>
        <w:t>O BNDES está organizado de acordo de acordo a um estatuto, seu organograma está sintetizado na figura 1 a seguir:</w:t>
      </w:r>
    </w:p>
    <w:p w:rsidR="00970064" w:rsidRDefault="00970064" w:rsidP="0035727D">
      <w:pPr>
        <w:spacing w:after="0" w:line="240" w:lineRule="auto"/>
        <w:jc w:val="both"/>
        <w:rPr>
          <w:rFonts w:ascii="Arial" w:hAnsi="Arial" w:cs="Arial"/>
          <w:b/>
          <w:u w:val="single"/>
          <w:lang w:val="pt-BR"/>
        </w:rPr>
      </w:pPr>
    </w:p>
    <w:p w:rsidR="009271DE" w:rsidRPr="00970064" w:rsidRDefault="009271DE" w:rsidP="0035727D">
      <w:pPr>
        <w:spacing w:after="0" w:line="240" w:lineRule="auto"/>
        <w:jc w:val="both"/>
        <w:rPr>
          <w:rFonts w:ascii="Arial" w:hAnsi="Arial" w:cs="Arial"/>
          <w:b/>
          <w:sz w:val="20"/>
          <w:szCs w:val="20"/>
          <w:lang w:val="pt-BR"/>
        </w:rPr>
      </w:pPr>
      <w:r w:rsidRPr="00970064">
        <w:rPr>
          <w:rFonts w:ascii="Arial" w:hAnsi="Arial" w:cs="Arial"/>
          <w:b/>
          <w:sz w:val="20"/>
          <w:szCs w:val="20"/>
          <w:u w:val="single"/>
          <w:lang w:val="pt-BR"/>
        </w:rPr>
        <w:t>FIGURA 1</w:t>
      </w:r>
      <w:r w:rsidRPr="00970064">
        <w:rPr>
          <w:rFonts w:ascii="Arial" w:hAnsi="Arial" w:cs="Arial"/>
          <w:b/>
          <w:sz w:val="20"/>
          <w:szCs w:val="20"/>
          <w:lang w:val="pt-BR"/>
        </w:rPr>
        <w:t>. Organograma sintético do BNDES</w:t>
      </w:r>
    </w:p>
    <w:p w:rsidR="009271DE" w:rsidRPr="0035727D" w:rsidRDefault="009271DE" w:rsidP="0035727D">
      <w:pPr>
        <w:spacing w:after="0" w:line="240" w:lineRule="auto"/>
        <w:jc w:val="both"/>
        <w:rPr>
          <w:rFonts w:ascii="Arial" w:hAnsi="Arial" w:cs="Arial"/>
          <w:lang w:val="pt-BR"/>
        </w:rPr>
      </w:pPr>
      <w:r w:rsidRPr="0035727D">
        <w:rPr>
          <w:rFonts w:ascii="Arial" w:hAnsi="Arial" w:cs="Arial"/>
          <w:noProof/>
        </w:rPr>
        <w:drawing>
          <wp:inline distT="0" distB="0" distL="0" distR="0" wp14:anchorId="43602E22" wp14:editId="5BD696A8">
            <wp:extent cx="4978400" cy="2787585"/>
            <wp:effectExtent l="19050" t="19050" r="12700" b="133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979350" cy="2788117"/>
                    </a:xfrm>
                    <a:prstGeom prst="rect">
                      <a:avLst/>
                    </a:prstGeom>
                    <a:ln>
                      <a:solidFill>
                        <a:schemeClr val="accent1"/>
                      </a:solidFill>
                    </a:ln>
                  </pic:spPr>
                </pic:pic>
              </a:graphicData>
            </a:graphic>
          </wp:inline>
        </w:drawing>
      </w:r>
    </w:p>
    <w:p w:rsidR="009271DE" w:rsidRPr="0035727D" w:rsidRDefault="009271DE" w:rsidP="0035727D">
      <w:pPr>
        <w:spacing w:after="0" w:line="240" w:lineRule="auto"/>
        <w:jc w:val="both"/>
        <w:rPr>
          <w:rFonts w:ascii="Arial" w:hAnsi="Arial" w:cs="Arial"/>
          <w:lang w:val="pt-BR"/>
        </w:rPr>
      </w:pPr>
    </w:p>
    <w:p w:rsidR="001D41C8" w:rsidRDefault="00055B09" w:rsidP="0035727D">
      <w:pPr>
        <w:spacing w:after="0" w:line="240" w:lineRule="auto"/>
        <w:jc w:val="both"/>
        <w:rPr>
          <w:rFonts w:ascii="Arial" w:hAnsi="Arial" w:cs="Arial"/>
          <w:lang w:val="pt-BR"/>
        </w:rPr>
      </w:pPr>
      <w:r w:rsidRPr="0035727D">
        <w:rPr>
          <w:rFonts w:ascii="Arial" w:hAnsi="Arial" w:cs="Arial"/>
          <w:lang w:val="pt-BR"/>
        </w:rPr>
        <w:t xml:space="preserve">O </w:t>
      </w:r>
      <w:hyperlink r:id="rId10" w:history="1">
        <w:r w:rsidRPr="0035727D">
          <w:rPr>
            <w:rStyle w:val="Hyperlink"/>
            <w:rFonts w:ascii="Arial" w:hAnsi="Arial" w:cs="Arial"/>
            <w:lang w:val="pt-BR"/>
          </w:rPr>
          <w:t>estatuto do BNDES</w:t>
        </w:r>
      </w:hyperlink>
      <w:r w:rsidRPr="0035727D">
        <w:rPr>
          <w:rFonts w:ascii="Arial" w:hAnsi="Arial" w:cs="Arial"/>
          <w:lang w:val="pt-BR"/>
        </w:rPr>
        <w:t xml:space="preserve"> foi promulgado pelo Decreto n. 4.418 de 11 de outubro de 2002, </w:t>
      </w:r>
      <w:r w:rsidR="00B04C7E" w:rsidRPr="0035727D">
        <w:rPr>
          <w:rFonts w:ascii="Arial" w:hAnsi="Arial" w:cs="Arial"/>
          <w:lang w:val="pt-BR"/>
        </w:rPr>
        <w:t>e está sob supervisão do Ministério Planejamento, Desenvolvimento e Gestão</w:t>
      </w:r>
      <w:r w:rsidR="00B04C7E" w:rsidRPr="0035727D">
        <w:rPr>
          <w:rStyle w:val="FootnoteReference"/>
          <w:rFonts w:ascii="Arial" w:hAnsi="Arial" w:cs="Arial"/>
          <w:lang w:val="pt-BR"/>
        </w:rPr>
        <w:footnoteReference w:id="7"/>
      </w:r>
      <w:r w:rsidR="00B04C7E" w:rsidRPr="0035727D">
        <w:rPr>
          <w:rFonts w:ascii="Arial" w:hAnsi="Arial" w:cs="Arial"/>
          <w:lang w:val="pt-BR"/>
        </w:rPr>
        <w:t xml:space="preserve"> </w:t>
      </w:r>
      <w:r w:rsidR="001D41C8" w:rsidRPr="0035727D">
        <w:rPr>
          <w:rFonts w:ascii="Arial" w:hAnsi="Arial" w:cs="Arial"/>
          <w:lang w:val="pt-BR"/>
        </w:rPr>
        <w:t>e é governado por um Conselho de Administração e por uma Diretoria.</w:t>
      </w:r>
    </w:p>
    <w:p w:rsidR="00970064" w:rsidRPr="0035727D" w:rsidRDefault="00970064" w:rsidP="0035727D">
      <w:pPr>
        <w:spacing w:after="0" w:line="240" w:lineRule="auto"/>
        <w:jc w:val="both"/>
        <w:rPr>
          <w:rFonts w:ascii="Arial" w:hAnsi="Arial" w:cs="Arial"/>
          <w:lang w:val="pt-BR"/>
        </w:rPr>
      </w:pPr>
    </w:p>
    <w:p w:rsidR="001D41C8" w:rsidRPr="0035727D" w:rsidRDefault="001D41C8" w:rsidP="0035727D">
      <w:pPr>
        <w:pStyle w:val="ListParagraph"/>
        <w:numPr>
          <w:ilvl w:val="0"/>
          <w:numId w:val="5"/>
        </w:numPr>
        <w:spacing w:after="0" w:line="240" w:lineRule="auto"/>
        <w:jc w:val="both"/>
        <w:rPr>
          <w:rFonts w:ascii="Arial" w:hAnsi="Arial" w:cs="Arial"/>
          <w:b/>
          <w:u w:val="single"/>
          <w:lang w:val="pt-BR"/>
        </w:rPr>
      </w:pPr>
      <w:r w:rsidRPr="0035727D">
        <w:rPr>
          <w:rFonts w:ascii="Arial" w:hAnsi="Arial" w:cs="Arial"/>
          <w:b/>
          <w:u w:val="single"/>
          <w:lang w:val="pt-BR"/>
        </w:rPr>
        <w:t>Conselho de Administração</w:t>
      </w:r>
    </w:p>
    <w:p w:rsidR="001D41C8" w:rsidRPr="0035727D" w:rsidRDefault="001D41C8" w:rsidP="0035727D">
      <w:pPr>
        <w:spacing w:after="0" w:line="240" w:lineRule="auto"/>
        <w:ind w:left="720"/>
        <w:jc w:val="both"/>
        <w:rPr>
          <w:rFonts w:ascii="Arial" w:hAnsi="Arial" w:cs="Arial"/>
          <w:lang w:val="pt-BR"/>
        </w:rPr>
      </w:pPr>
      <w:r w:rsidRPr="0035727D">
        <w:rPr>
          <w:rFonts w:ascii="Arial" w:hAnsi="Arial" w:cs="Arial"/>
          <w:lang w:val="pt-BR"/>
        </w:rPr>
        <w:t xml:space="preserve">De acordo com o artigo 11 do Estatuto do BNDES o conselho de administração é “o órgão de orientação superior do BNDES é o Conselho de Administração, </w:t>
      </w:r>
      <w:r w:rsidRPr="0035727D">
        <w:rPr>
          <w:rFonts w:ascii="Arial" w:hAnsi="Arial" w:cs="Arial"/>
          <w:lang w:val="pt-BR"/>
        </w:rPr>
        <w:lastRenderedPageBreak/>
        <w:t>composto por  dez membros, entre eles o Presidente do Conselho, sendo quatro indicados, respectivamente, pelos Ministros de Estado do Planejamento, Orçamento e Gestão (SIC), do Trabalho e Emprego, da Fazenda e das Relações Exteriores, e os demais pelo Ministro de Estado do Desenvolvimento, Indústria e Comércio Exterior; (...) um representante dos empregados do BNDES, (...); (e) o Presidente do BNDES, que exercerá a Vice-Presidência do Conselho.</w:t>
      </w:r>
    </w:p>
    <w:p w:rsidR="001D41C8" w:rsidRDefault="001D41C8" w:rsidP="0035727D">
      <w:pPr>
        <w:spacing w:after="0" w:line="240" w:lineRule="auto"/>
        <w:ind w:left="720"/>
        <w:jc w:val="both"/>
        <w:rPr>
          <w:rFonts w:ascii="Arial" w:hAnsi="Arial" w:cs="Arial"/>
          <w:lang w:val="pt-BR"/>
        </w:rPr>
      </w:pPr>
      <w:r w:rsidRPr="0035727D">
        <w:rPr>
          <w:rFonts w:ascii="Arial" w:hAnsi="Arial" w:cs="Arial"/>
          <w:lang w:val="pt-BR"/>
        </w:rPr>
        <w:t xml:space="preserve"> Os membros mencionados são nomeados pelo Presidente da República dentre brasileiros de notórios conhecimentos e experiência, idoneidade moral e reputação ilibada, com mandato de três anos, contados da data de publicação do ato de nomeação, podendo ser reconduzidos por igual período.</w:t>
      </w:r>
    </w:p>
    <w:p w:rsidR="00970064" w:rsidRPr="0035727D" w:rsidRDefault="00970064" w:rsidP="0035727D">
      <w:pPr>
        <w:spacing w:after="0" w:line="240" w:lineRule="auto"/>
        <w:ind w:left="720"/>
        <w:jc w:val="both"/>
        <w:rPr>
          <w:rFonts w:ascii="Arial" w:hAnsi="Arial" w:cs="Arial"/>
          <w:lang w:val="pt-BR"/>
        </w:rPr>
      </w:pPr>
    </w:p>
    <w:p w:rsidR="0076185A" w:rsidRPr="0035727D" w:rsidRDefault="001D41C8" w:rsidP="0035727D">
      <w:pPr>
        <w:pStyle w:val="ListParagraph"/>
        <w:numPr>
          <w:ilvl w:val="0"/>
          <w:numId w:val="5"/>
        </w:numPr>
        <w:spacing w:after="0" w:line="240" w:lineRule="auto"/>
        <w:jc w:val="both"/>
        <w:rPr>
          <w:rFonts w:ascii="Arial" w:hAnsi="Arial" w:cs="Arial"/>
          <w:b/>
          <w:u w:val="single"/>
          <w:lang w:val="pt-BR"/>
        </w:rPr>
      </w:pPr>
      <w:r w:rsidRPr="0035727D">
        <w:rPr>
          <w:rFonts w:ascii="Arial" w:hAnsi="Arial" w:cs="Arial"/>
          <w:b/>
          <w:u w:val="single"/>
          <w:lang w:val="pt-BR"/>
        </w:rPr>
        <w:t xml:space="preserve">Diretoria. </w:t>
      </w:r>
    </w:p>
    <w:p w:rsidR="001D41C8" w:rsidRPr="0035727D" w:rsidRDefault="00D836CE" w:rsidP="0035727D">
      <w:pPr>
        <w:spacing w:after="0" w:line="240" w:lineRule="auto"/>
        <w:ind w:left="720"/>
        <w:jc w:val="both"/>
        <w:rPr>
          <w:rFonts w:ascii="Arial" w:hAnsi="Arial" w:cs="Arial"/>
          <w:lang w:val="pt-BR"/>
        </w:rPr>
      </w:pPr>
      <w:r w:rsidRPr="0035727D">
        <w:rPr>
          <w:rFonts w:ascii="Arial" w:hAnsi="Arial" w:cs="Arial"/>
          <w:lang w:val="pt-BR"/>
        </w:rPr>
        <w:t xml:space="preserve">A administração do BNDES compete à </w:t>
      </w:r>
      <w:r w:rsidR="001D41C8" w:rsidRPr="0035727D">
        <w:rPr>
          <w:rFonts w:ascii="Arial" w:hAnsi="Arial" w:cs="Arial"/>
          <w:lang w:val="pt-BR"/>
        </w:rPr>
        <w:t>Diretoria</w:t>
      </w:r>
      <w:r w:rsidRPr="0035727D">
        <w:rPr>
          <w:rFonts w:ascii="Arial" w:hAnsi="Arial" w:cs="Arial"/>
          <w:lang w:val="pt-BR"/>
        </w:rPr>
        <w:t xml:space="preserve">, conforme estabelecido em seus Estatutos. Ela é </w:t>
      </w:r>
      <w:r w:rsidR="001D41C8" w:rsidRPr="0035727D">
        <w:rPr>
          <w:rFonts w:ascii="Arial" w:hAnsi="Arial" w:cs="Arial"/>
          <w:lang w:val="pt-BR"/>
        </w:rPr>
        <w:t xml:space="preserve"> composta pelo Presidente, Vice-Presidente e por sete Diretores, todos nomeados pelo Presidente da República e demissíveis </w:t>
      </w:r>
      <w:r w:rsidR="001D41C8" w:rsidRPr="0035727D">
        <w:rPr>
          <w:rFonts w:ascii="Arial" w:hAnsi="Arial" w:cs="Arial"/>
          <w:i/>
          <w:lang w:val="pt-BR"/>
        </w:rPr>
        <w:t>ad nutum</w:t>
      </w:r>
      <w:r w:rsidR="001D41C8" w:rsidRPr="0035727D">
        <w:rPr>
          <w:rFonts w:ascii="Arial" w:hAnsi="Arial" w:cs="Arial"/>
          <w:lang w:val="pt-BR"/>
        </w:rPr>
        <w:t xml:space="preserve">. </w:t>
      </w:r>
    </w:p>
    <w:p w:rsidR="00970064" w:rsidRDefault="00970064" w:rsidP="0035727D">
      <w:pPr>
        <w:spacing w:after="0" w:line="240" w:lineRule="auto"/>
        <w:ind w:left="720"/>
        <w:jc w:val="both"/>
        <w:rPr>
          <w:rFonts w:ascii="Arial" w:hAnsi="Arial" w:cs="Arial"/>
          <w:lang w:val="pt-BR"/>
        </w:rPr>
      </w:pPr>
    </w:p>
    <w:p w:rsidR="00D836CE" w:rsidRPr="0035727D" w:rsidRDefault="001D41C8" w:rsidP="0035727D">
      <w:pPr>
        <w:spacing w:after="0" w:line="240" w:lineRule="auto"/>
        <w:ind w:left="720"/>
        <w:jc w:val="both"/>
        <w:rPr>
          <w:rFonts w:ascii="Arial" w:hAnsi="Arial" w:cs="Arial"/>
          <w:lang w:val="pt-BR"/>
        </w:rPr>
      </w:pPr>
      <w:r w:rsidRPr="0035727D">
        <w:rPr>
          <w:rFonts w:ascii="Arial" w:hAnsi="Arial" w:cs="Arial"/>
          <w:lang w:val="pt-BR"/>
        </w:rPr>
        <w:t>A nomeação do Presidente e do Vice-Presidente será feita por prazo indeterminado e a dos Diretores obedecerá ao regime de mandato com duração de três anos, admitida a recondução por igual período.</w:t>
      </w:r>
    </w:p>
    <w:p w:rsidR="0076185A" w:rsidRDefault="00D836CE" w:rsidP="0035727D">
      <w:pPr>
        <w:spacing w:after="0" w:line="240" w:lineRule="auto"/>
        <w:ind w:left="720"/>
        <w:jc w:val="both"/>
        <w:rPr>
          <w:rFonts w:ascii="Arial" w:hAnsi="Arial" w:cs="Arial"/>
          <w:lang w:val="pt-BR"/>
        </w:rPr>
      </w:pPr>
      <w:r w:rsidRPr="0035727D">
        <w:rPr>
          <w:rFonts w:ascii="Arial" w:hAnsi="Arial" w:cs="Arial"/>
          <w:lang w:val="pt-BR"/>
        </w:rPr>
        <w:t xml:space="preserve">As sete diretorias têm sob sua subordinação as </w:t>
      </w:r>
      <w:r w:rsidR="00182DB9" w:rsidRPr="0035727D">
        <w:rPr>
          <w:rFonts w:ascii="Arial" w:hAnsi="Arial" w:cs="Arial"/>
          <w:lang w:val="pt-BR"/>
        </w:rPr>
        <w:t xml:space="preserve">Superintendências ou </w:t>
      </w:r>
      <w:r w:rsidRPr="0035727D">
        <w:rPr>
          <w:rFonts w:ascii="Arial" w:hAnsi="Arial" w:cs="Arial"/>
          <w:lang w:val="pt-BR"/>
        </w:rPr>
        <w:t>Áreas Operacionais do BNDES, cada uma delas lideradas por um Superintendente.  A configuração da Diretoria e Áreas Subordinadas, vigente em agosto de 2016, é a seguinte:</w:t>
      </w:r>
    </w:p>
    <w:p w:rsidR="00970064" w:rsidRPr="0035727D" w:rsidRDefault="00970064" w:rsidP="0035727D">
      <w:pPr>
        <w:spacing w:after="0" w:line="240" w:lineRule="auto"/>
        <w:ind w:left="720"/>
        <w:jc w:val="both"/>
        <w:rPr>
          <w:rFonts w:ascii="Arial" w:hAnsi="Arial" w:cs="Arial"/>
          <w:lang w:val="pt-BR"/>
        </w:rPr>
      </w:pPr>
    </w:p>
    <w:p w:rsidR="00182DB9" w:rsidRPr="0035727D" w:rsidRDefault="00182DB9" w:rsidP="0035727D">
      <w:pPr>
        <w:pStyle w:val="ListParagraph"/>
        <w:numPr>
          <w:ilvl w:val="0"/>
          <w:numId w:val="7"/>
        </w:numPr>
        <w:spacing w:after="0" w:line="240" w:lineRule="auto"/>
        <w:ind w:left="1440"/>
        <w:jc w:val="both"/>
        <w:rPr>
          <w:rFonts w:ascii="Arial" w:hAnsi="Arial" w:cs="Arial"/>
          <w:lang w:val="pt-BR"/>
        </w:rPr>
      </w:pPr>
      <w:r w:rsidRPr="0035727D">
        <w:rPr>
          <w:rFonts w:ascii="Arial" w:hAnsi="Arial" w:cs="Arial"/>
          <w:color w:val="333333"/>
          <w:lang w:val="pt-BR"/>
        </w:rPr>
        <w:t>Diretoria das áreas de Indústria e Serviços (AI); e de Indústrias de Base (AIB),</w:t>
      </w:r>
    </w:p>
    <w:p w:rsidR="00182DB9" w:rsidRPr="0035727D" w:rsidRDefault="00182DB9" w:rsidP="0035727D">
      <w:pPr>
        <w:pStyle w:val="ListParagraph"/>
        <w:numPr>
          <w:ilvl w:val="0"/>
          <w:numId w:val="7"/>
        </w:numPr>
        <w:spacing w:after="0" w:line="240" w:lineRule="auto"/>
        <w:ind w:left="1440"/>
        <w:jc w:val="both"/>
        <w:rPr>
          <w:rFonts w:ascii="Arial" w:hAnsi="Arial" w:cs="Arial"/>
          <w:lang w:val="pt-BR"/>
        </w:rPr>
      </w:pPr>
      <w:r w:rsidRPr="0035727D">
        <w:rPr>
          <w:rFonts w:ascii="Arial" w:hAnsi="Arial" w:cs="Arial"/>
          <w:color w:val="333333"/>
          <w:lang w:val="pt-BR"/>
        </w:rPr>
        <w:t>Diretoria das áreas de Crédito (AC); e Financeira e Internacional (AF),</w:t>
      </w:r>
    </w:p>
    <w:p w:rsidR="00182DB9" w:rsidRPr="0035727D" w:rsidRDefault="00182DB9" w:rsidP="0035727D">
      <w:pPr>
        <w:pStyle w:val="ListParagraph"/>
        <w:numPr>
          <w:ilvl w:val="0"/>
          <w:numId w:val="7"/>
        </w:numPr>
        <w:spacing w:after="0" w:line="240" w:lineRule="auto"/>
        <w:ind w:left="1440"/>
        <w:jc w:val="both"/>
        <w:rPr>
          <w:rFonts w:ascii="Arial" w:hAnsi="Arial" w:cs="Arial"/>
          <w:lang w:val="pt-BR"/>
        </w:rPr>
      </w:pPr>
      <w:r w:rsidRPr="0035727D">
        <w:rPr>
          <w:rFonts w:ascii="Arial" w:hAnsi="Arial" w:cs="Arial"/>
          <w:color w:val="333333"/>
          <w:lang w:val="pt-BR"/>
        </w:rPr>
        <w:t>Diretoria da área de Mercado de Capitais (AMC).</w:t>
      </w:r>
    </w:p>
    <w:p w:rsidR="00182DB9" w:rsidRPr="0035727D" w:rsidRDefault="00182DB9" w:rsidP="0035727D">
      <w:pPr>
        <w:pStyle w:val="ListParagraph"/>
        <w:numPr>
          <w:ilvl w:val="0"/>
          <w:numId w:val="7"/>
        </w:numPr>
        <w:spacing w:after="0" w:line="240" w:lineRule="auto"/>
        <w:ind w:left="1440"/>
        <w:jc w:val="both"/>
        <w:rPr>
          <w:rFonts w:ascii="Arial" w:hAnsi="Arial" w:cs="Arial"/>
          <w:lang w:val="pt-BR"/>
        </w:rPr>
      </w:pPr>
      <w:r w:rsidRPr="0035727D">
        <w:rPr>
          <w:rFonts w:ascii="Arial" w:hAnsi="Arial" w:cs="Arial"/>
          <w:color w:val="333333"/>
          <w:lang w:val="pt-BR"/>
        </w:rPr>
        <w:t>Diretoria das áreas de Energia (AE); de Gestão Pública e Socioambiental (AGS); e de Saneamento e Transporte (AST).</w:t>
      </w:r>
    </w:p>
    <w:p w:rsidR="00182DB9" w:rsidRPr="0035727D" w:rsidRDefault="00182DB9" w:rsidP="0035727D">
      <w:pPr>
        <w:pStyle w:val="ListParagraph"/>
        <w:numPr>
          <w:ilvl w:val="0"/>
          <w:numId w:val="7"/>
        </w:numPr>
        <w:spacing w:after="0" w:line="240" w:lineRule="auto"/>
        <w:ind w:left="1440"/>
        <w:jc w:val="both"/>
        <w:rPr>
          <w:rFonts w:ascii="Arial" w:hAnsi="Arial" w:cs="Arial"/>
          <w:lang w:val="pt-BR"/>
        </w:rPr>
      </w:pPr>
      <w:r w:rsidRPr="0035727D">
        <w:rPr>
          <w:rFonts w:ascii="Arial" w:hAnsi="Arial" w:cs="Arial"/>
          <w:color w:val="333333"/>
          <w:lang w:val="pt-BR"/>
        </w:rPr>
        <w:t>Diretoria das áreas de Controladoria (ACO); de Gestão de Riscos (AGR); e de Tecnologia da Informação (ATI).</w:t>
      </w:r>
    </w:p>
    <w:p w:rsidR="00182DB9" w:rsidRPr="0035727D" w:rsidRDefault="00182DB9" w:rsidP="0035727D">
      <w:pPr>
        <w:pStyle w:val="ListParagraph"/>
        <w:numPr>
          <w:ilvl w:val="0"/>
          <w:numId w:val="7"/>
        </w:numPr>
        <w:spacing w:after="0" w:line="240" w:lineRule="auto"/>
        <w:ind w:left="1440"/>
        <w:jc w:val="both"/>
        <w:rPr>
          <w:rFonts w:ascii="Arial" w:hAnsi="Arial" w:cs="Arial"/>
          <w:lang w:val="pt-BR"/>
        </w:rPr>
      </w:pPr>
      <w:r w:rsidRPr="0035727D">
        <w:rPr>
          <w:rFonts w:ascii="Arial" w:hAnsi="Arial" w:cs="Arial"/>
          <w:color w:val="333333"/>
          <w:lang w:val="pt-BR"/>
        </w:rPr>
        <w:t>Diretoria das áreas de Administração e Recursos Humanos (AARH); Comércio Exterior e Fundos Garantidores (AEX); e de Operações Indiretas (AOI). </w:t>
      </w:r>
    </w:p>
    <w:p w:rsidR="00182DB9" w:rsidRPr="0035727D" w:rsidRDefault="00182DB9" w:rsidP="0035727D">
      <w:pPr>
        <w:pStyle w:val="ListParagraph"/>
        <w:numPr>
          <w:ilvl w:val="0"/>
          <w:numId w:val="7"/>
        </w:numPr>
        <w:spacing w:after="0" w:line="240" w:lineRule="auto"/>
        <w:ind w:left="1440"/>
        <w:jc w:val="both"/>
        <w:rPr>
          <w:rFonts w:ascii="Arial" w:hAnsi="Arial" w:cs="Arial"/>
          <w:lang w:val="pt-BR"/>
        </w:rPr>
      </w:pPr>
      <w:r w:rsidRPr="0035727D">
        <w:rPr>
          <w:rFonts w:ascii="Arial" w:hAnsi="Arial" w:cs="Arial"/>
          <w:color w:val="333333"/>
          <w:lang w:val="pt-BR"/>
        </w:rPr>
        <w:t>Diretoria da Área de Planejamento e Pesquisa (APP).</w:t>
      </w:r>
    </w:p>
    <w:p w:rsidR="003F17FF" w:rsidRPr="0035727D" w:rsidRDefault="003F17FF" w:rsidP="0035727D">
      <w:pPr>
        <w:spacing w:after="0" w:line="240" w:lineRule="auto"/>
        <w:jc w:val="both"/>
        <w:rPr>
          <w:rFonts w:ascii="Arial" w:hAnsi="Arial" w:cs="Arial"/>
          <w:lang w:val="pt-BR"/>
        </w:rPr>
      </w:pPr>
    </w:p>
    <w:p w:rsidR="00D836CE" w:rsidRDefault="009271DE" w:rsidP="0035727D">
      <w:pPr>
        <w:spacing w:after="0" w:line="240" w:lineRule="auto"/>
        <w:jc w:val="both"/>
        <w:rPr>
          <w:rFonts w:ascii="Arial" w:hAnsi="Arial" w:cs="Arial"/>
          <w:lang w:val="pt-BR"/>
        </w:rPr>
      </w:pPr>
      <w:r w:rsidRPr="0035727D">
        <w:rPr>
          <w:rFonts w:ascii="Arial" w:hAnsi="Arial" w:cs="Arial"/>
          <w:lang w:val="pt-BR"/>
        </w:rPr>
        <w:t>Em termos de supervisão e fiscalização interna o BNDES conta com dois órgãos vinculados diretamente ao Conselho de Administração, são eles o Conselho Fiscal</w:t>
      </w:r>
      <w:r w:rsidR="000679D1" w:rsidRPr="0035727D">
        <w:rPr>
          <w:rFonts w:ascii="Arial" w:hAnsi="Arial" w:cs="Arial"/>
          <w:lang w:val="pt-BR"/>
        </w:rPr>
        <w:t>; o Comitê de Auditoria</w:t>
      </w:r>
      <w:r w:rsidRPr="0035727D">
        <w:rPr>
          <w:rFonts w:ascii="Arial" w:hAnsi="Arial" w:cs="Arial"/>
          <w:lang w:val="pt-BR"/>
        </w:rPr>
        <w:t xml:space="preserve"> e a Auditoria Interna cujas funções e responsabilidades estão detalhadas nos pontos a seguir</w:t>
      </w:r>
      <w:r w:rsidRPr="0035727D">
        <w:rPr>
          <w:rStyle w:val="FootnoteReference"/>
          <w:rFonts w:ascii="Arial" w:hAnsi="Arial" w:cs="Arial"/>
          <w:lang w:val="pt-BR"/>
        </w:rPr>
        <w:footnoteReference w:id="8"/>
      </w:r>
      <w:r w:rsidRPr="0035727D">
        <w:rPr>
          <w:rFonts w:ascii="Arial" w:hAnsi="Arial" w:cs="Arial"/>
          <w:lang w:val="pt-BR"/>
        </w:rPr>
        <w:t>.</w:t>
      </w:r>
    </w:p>
    <w:p w:rsidR="00970064" w:rsidRPr="0035727D" w:rsidRDefault="00970064" w:rsidP="0035727D">
      <w:pPr>
        <w:spacing w:after="0" w:line="240" w:lineRule="auto"/>
        <w:jc w:val="both"/>
        <w:rPr>
          <w:rFonts w:ascii="Arial" w:hAnsi="Arial" w:cs="Arial"/>
          <w:lang w:val="pt-BR"/>
        </w:rPr>
      </w:pPr>
    </w:p>
    <w:p w:rsidR="009271DE" w:rsidRPr="0035727D" w:rsidRDefault="009271DE" w:rsidP="0035727D">
      <w:pPr>
        <w:pStyle w:val="ListParagraph"/>
        <w:numPr>
          <w:ilvl w:val="0"/>
          <w:numId w:val="8"/>
        </w:numPr>
        <w:spacing w:after="0" w:line="240" w:lineRule="auto"/>
        <w:jc w:val="both"/>
        <w:rPr>
          <w:rFonts w:ascii="Arial" w:hAnsi="Arial" w:cs="Arial"/>
          <w:b/>
          <w:u w:val="single"/>
          <w:lang w:val="pt-BR"/>
        </w:rPr>
      </w:pPr>
      <w:r w:rsidRPr="0035727D">
        <w:rPr>
          <w:rFonts w:ascii="Arial" w:hAnsi="Arial" w:cs="Arial"/>
          <w:b/>
          <w:u w:val="single"/>
          <w:lang w:val="pt-BR"/>
        </w:rPr>
        <w:t>Conselho de Fiscal</w:t>
      </w:r>
    </w:p>
    <w:p w:rsidR="00970064" w:rsidRDefault="00970064" w:rsidP="0035727D">
      <w:pPr>
        <w:spacing w:after="0" w:line="240" w:lineRule="auto"/>
        <w:jc w:val="both"/>
        <w:rPr>
          <w:rFonts w:ascii="Arial" w:hAnsi="Arial" w:cs="Arial"/>
          <w:lang w:val="pt-BR"/>
        </w:rPr>
      </w:pPr>
    </w:p>
    <w:p w:rsidR="009271DE" w:rsidRPr="0035727D" w:rsidRDefault="009271DE" w:rsidP="0035727D">
      <w:pPr>
        <w:spacing w:after="0" w:line="240" w:lineRule="auto"/>
        <w:jc w:val="both"/>
        <w:rPr>
          <w:rFonts w:ascii="Arial" w:hAnsi="Arial" w:cs="Arial"/>
          <w:lang w:val="pt-BR"/>
        </w:rPr>
      </w:pPr>
      <w:r w:rsidRPr="0035727D">
        <w:rPr>
          <w:rFonts w:ascii="Arial" w:hAnsi="Arial" w:cs="Arial"/>
          <w:lang w:val="pt-BR"/>
        </w:rPr>
        <w:t xml:space="preserve">O Conselho Fiscal do BNDES é </w:t>
      </w:r>
      <w:r w:rsidR="003F17FF" w:rsidRPr="0035727D">
        <w:rPr>
          <w:rFonts w:ascii="Arial" w:hAnsi="Arial" w:cs="Arial"/>
          <w:lang w:val="pt-BR"/>
        </w:rPr>
        <w:t>“</w:t>
      </w:r>
      <w:r w:rsidRPr="0035727D">
        <w:rPr>
          <w:rFonts w:ascii="Arial" w:hAnsi="Arial" w:cs="Arial"/>
          <w:lang w:val="pt-BR"/>
        </w:rPr>
        <w:t xml:space="preserve">composto de três membros e três suplentes, todos com mandato de dois anos, admitida a recondução por igual período, sendo dois membros efetivos e respectivos suplentes indicados pelo Ministro de Estado do Desenvolvimento, Indústria e Comércio Exterior </w:t>
      </w:r>
      <w:r w:rsidR="003F17FF" w:rsidRPr="0035727D">
        <w:rPr>
          <w:rFonts w:ascii="Arial" w:hAnsi="Arial" w:cs="Arial"/>
          <w:lang w:val="pt-BR"/>
        </w:rPr>
        <w:t xml:space="preserve">(SIC) </w:t>
      </w:r>
      <w:r w:rsidRPr="0035727D">
        <w:rPr>
          <w:rFonts w:ascii="Arial" w:hAnsi="Arial" w:cs="Arial"/>
          <w:lang w:val="pt-BR"/>
        </w:rPr>
        <w:t xml:space="preserve">e um membro efetivo e respectivo </w:t>
      </w:r>
      <w:r w:rsidRPr="0035727D">
        <w:rPr>
          <w:rFonts w:ascii="Arial" w:hAnsi="Arial" w:cs="Arial"/>
          <w:lang w:val="pt-BR"/>
        </w:rPr>
        <w:lastRenderedPageBreak/>
        <w:t>suplente indicados pelo Ministro de Estado da Fazenda, como representantes do Tesouro Nacional, nomeados pelo Presidente da República, em qualquer dos casos</w:t>
      </w:r>
      <w:r w:rsidR="003F17FF" w:rsidRPr="0035727D">
        <w:rPr>
          <w:rFonts w:ascii="Arial" w:hAnsi="Arial" w:cs="Arial"/>
          <w:lang w:val="pt-BR"/>
        </w:rPr>
        <w:t>”</w:t>
      </w:r>
      <w:r w:rsidRPr="0035727D">
        <w:rPr>
          <w:rFonts w:ascii="Arial" w:hAnsi="Arial" w:cs="Arial"/>
          <w:lang w:val="pt-BR"/>
        </w:rPr>
        <w:t>.</w:t>
      </w:r>
    </w:p>
    <w:p w:rsidR="001D6E1E" w:rsidRDefault="001D6E1E" w:rsidP="0035727D">
      <w:pPr>
        <w:spacing w:after="0" w:line="240" w:lineRule="auto"/>
        <w:jc w:val="both"/>
        <w:rPr>
          <w:rFonts w:ascii="Arial" w:hAnsi="Arial" w:cs="Arial"/>
          <w:lang w:val="pt-BR"/>
        </w:rPr>
      </w:pPr>
    </w:p>
    <w:p w:rsidR="009271DE" w:rsidRDefault="003F17FF" w:rsidP="0035727D">
      <w:pPr>
        <w:spacing w:after="0" w:line="240" w:lineRule="auto"/>
        <w:jc w:val="both"/>
        <w:rPr>
          <w:rFonts w:ascii="Arial" w:hAnsi="Arial" w:cs="Arial"/>
          <w:lang w:val="pt-BR"/>
        </w:rPr>
      </w:pPr>
      <w:r w:rsidRPr="0035727D">
        <w:rPr>
          <w:rFonts w:ascii="Arial" w:hAnsi="Arial" w:cs="Arial"/>
          <w:lang w:val="pt-BR"/>
        </w:rPr>
        <w:t>O</w:t>
      </w:r>
      <w:r w:rsidR="009271DE" w:rsidRPr="0035727D">
        <w:rPr>
          <w:rFonts w:ascii="Arial" w:hAnsi="Arial" w:cs="Arial"/>
          <w:lang w:val="pt-BR"/>
        </w:rPr>
        <w:t xml:space="preserve"> Conselho Fiscal </w:t>
      </w:r>
      <w:r w:rsidRPr="0035727D">
        <w:rPr>
          <w:rFonts w:ascii="Arial" w:hAnsi="Arial" w:cs="Arial"/>
          <w:lang w:val="pt-BR"/>
        </w:rPr>
        <w:t>tem por atribuição “</w:t>
      </w:r>
      <w:r w:rsidR="009271DE" w:rsidRPr="0035727D">
        <w:rPr>
          <w:rFonts w:ascii="Arial" w:hAnsi="Arial" w:cs="Arial"/>
          <w:lang w:val="pt-BR"/>
        </w:rPr>
        <w:t>examinar e emitir parecer sobre os balanços patrimoniais e demais demonstrações financeiras, bem como sobre as prestações de contas semestrais da Diretoria do BNDES, e exercer outras atribuições previstas na Lei das Sociedades por Ações</w:t>
      </w:r>
      <w:r w:rsidRPr="0035727D">
        <w:rPr>
          <w:rFonts w:ascii="Arial" w:hAnsi="Arial" w:cs="Arial"/>
          <w:lang w:val="pt-BR"/>
        </w:rPr>
        <w:t>”</w:t>
      </w:r>
      <w:r w:rsidR="009271DE" w:rsidRPr="0035727D">
        <w:rPr>
          <w:rFonts w:ascii="Arial" w:hAnsi="Arial" w:cs="Arial"/>
          <w:lang w:val="pt-BR"/>
        </w:rPr>
        <w:t>.</w:t>
      </w:r>
    </w:p>
    <w:p w:rsidR="00970064" w:rsidRPr="0035727D" w:rsidRDefault="00970064" w:rsidP="0035727D">
      <w:pPr>
        <w:spacing w:after="0" w:line="240" w:lineRule="auto"/>
        <w:jc w:val="both"/>
        <w:rPr>
          <w:rFonts w:ascii="Arial" w:hAnsi="Arial" w:cs="Arial"/>
          <w:lang w:val="pt-BR"/>
        </w:rPr>
      </w:pPr>
    </w:p>
    <w:p w:rsidR="009271DE" w:rsidRPr="0035727D" w:rsidRDefault="003F17FF" w:rsidP="0035727D">
      <w:pPr>
        <w:pStyle w:val="ListParagraph"/>
        <w:numPr>
          <w:ilvl w:val="0"/>
          <w:numId w:val="8"/>
        </w:numPr>
        <w:spacing w:after="0" w:line="240" w:lineRule="auto"/>
        <w:jc w:val="both"/>
        <w:rPr>
          <w:rFonts w:ascii="Arial" w:hAnsi="Arial" w:cs="Arial"/>
          <w:b/>
          <w:u w:val="single"/>
          <w:lang w:val="pt-BR"/>
        </w:rPr>
      </w:pPr>
      <w:r w:rsidRPr="0035727D">
        <w:rPr>
          <w:rFonts w:ascii="Arial" w:hAnsi="Arial" w:cs="Arial"/>
          <w:b/>
          <w:u w:val="single"/>
          <w:lang w:val="pt-BR"/>
        </w:rPr>
        <w:t>Comitê de A</w:t>
      </w:r>
      <w:r w:rsidR="009271DE" w:rsidRPr="0035727D">
        <w:rPr>
          <w:rFonts w:ascii="Arial" w:hAnsi="Arial" w:cs="Arial"/>
          <w:b/>
          <w:u w:val="single"/>
          <w:lang w:val="pt-BR"/>
        </w:rPr>
        <w:t>uditoria</w:t>
      </w:r>
    </w:p>
    <w:p w:rsidR="00970064" w:rsidRDefault="00970064" w:rsidP="0035727D">
      <w:pPr>
        <w:spacing w:after="0" w:line="240" w:lineRule="auto"/>
        <w:jc w:val="both"/>
        <w:rPr>
          <w:rFonts w:ascii="Arial" w:hAnsi="Arial" w:cs="Arial"/>
          <w:lang w:val="pt-BR"/>
        </w:rPr>
      </w:pPr>
    </w:p>
    <w:p w:rsidR="003F17FF" w:rsidRPr="0035727D" w:rsidRDefault="003F17FF" w:rsidP="0035727D">
      <w:pPr>
        <w:spacing w:after="0" w:line="240" w:lineRule="auto"/>
        <w:jc w:val="both"/>
        <w:rPr>
          <w:rFonts w:ascii="Arial" w:hAnsi="Arial" w:cs="Arial"/>
          <w:lang w:val="pt-BR"/>
        </w:rPr>
      </w:pPr>
      <w:r w:rsidRPr="0035727D">
        <w:rPr>
          <w:rFonts w:ascii="Arial" w:hAnsi="Arial" w:cs="Arial"/>
          <w:lang w:val="pt-BR"/>
        </w:rPr>
        <w:t>O Comitê de Auditoria é “composto por até seis membros, designados pelo Conselho de Administração”, seguindo as “as regras adotadas pelo Conselho Monetário Nacional, concernentes às condições para o exercício do respectivo mandato”.</w:t>
      </w:r>
    </w:p>
    <w:p w:rsidR="001D6E1E" w:rsidRDefault="001D6E1E" w:rsidP="0035727D">
      <w:pPr>
        <w:spacing w:after="0" w:line="240" w:lineRule="auto"/>
        <w:jc w:val="both"/>
        <w:rPr>
          <w:rFonts w:ascii="Arial" w:hAnsi="Arial" w:cs="Arial"/>
          <w:lang w:val="pt-BR"/>
        </w:rPr>
      </w:pPr>
    </w:p>
    <w:p w:rsidR="003F17FF" w:rsidRPr="0035727D" w:rsidRDefault="003F17FF" w:rsidP="0035727D">
      <w:pPr>
        <w:spacing w:after="0" w:line="240" w:lineRule="auto"/>
        <w:jc w:val="both"/>
        <w:rPr>
          <w:rFonts w:ascii="Arial" w:hAnsi="Arial" w:cs="Arial"/>
          <w:lang w:val="pt-BR"/>
        </w:rPr>
      </w:pPr>
      <w:r w:rsidRPr="0035727D">
        <w:rPr>
          <w:rFonts w:ascii="Arial" w:hAnsi="Arial" w:cs="Arial"/>
          <w:lang w:val="pt-BR"/>
        </w:rPr>
        <w:t xml:space="preserve">O Comitê de Auditoria reportar-se ao Conselho de Administração e é o único para o BNDES, a Agência Especial de Financiamento Industrial - FINAME e a BNDES Participações S.A. - BNDESPAR, que constituem o Sistema BNDES. </w:t>
      </w:r>
    </w:p>
    <w:p w:rsidR="001D6E1E" w:rsidRDefault="001D6E1E" w:rsidP="0035727D">
      <w:pPr>
        <w:spacing w:after="0" w:line="240" w:lineRule="auto"/>
        <w:jc w:val="both"/>
        <w:rPr>
          <w:rFonts w:ascii="Arial" w:hAnsi="Arial" w:cs="Arial"/>
          <w:lang w:val="pt-BR"/>
        </w:rPr>
      </w:pPr>
    </w:p>
    <w:p w:rsidR="003F17FF" w:rsidRDefault="003F17FF" w:rsidP="0035727D">
      <w:pPr>
        <w:spacing w:after="0" w:line="240" w:lineRule="auto"/>
        <w:jc w:val="both"/>
        <w:rPr>
          <w:rFonts w:ascii="Arial" w:hAnsi="Arial" w:cs="Arial"/>
          <w:lang w:val="pt-BR"/>
        </w:rPr>
      </w:pPr>
      <w:r w:rsidRPr="0035727D">
        <w:rPr>
          <w:rFonts w:ascii="Arial" w:hAnsi="Arial" w:cs="Arial"/>
          <w:lang w:val="pt-BR"/>
        </w:rPr>
        <w:t>As atribuições do Comitê de Auditoria estende</w:t>
      </w:r>
      <w:r w:rsidR="00A134DE" w:rsidRPr="0035727D">
        <w:rPr>
          <w:rFonts w:ascii="Arial" w:hAnsi="Arial" w:cs="Arial"/>
          <w:lang w:val="pt-BR"/>
        </w:rPr>
        <w:t>m</w:t>
      </w:r>
      <w:r w:rsidRPr="0035727D">
        <w:rPr>
          <w:rFonts w:ascii="Arial" w:hAnsi="Arial" w:cs="Arial"/>
          <w:lang w:val="pt-BR"/>
        </w:rPr>
        <w:t>-se por uma série de atividades que vão desde a aprovação e supervisão da auditoria externa, até a proposta de políticas, normas e sistemas de controles internos, garantindo e supervisionando a qualidade e fidedignidade dos dados financeiros e das operações do BNDES.</w:t>
      </w:r>
    </w:p>
    <w:p w:rsidR="00970064" w:rsidRPr="0035727D" w:rsidRDefault="00970064" w:rsidP="0035727D">
      <w:pPr>
        <w:spacing w:after="0" w:line="240" w:lineRule="auto"/>
        <w:jc w:val="both"/>
        <w:rPr>
          <w:rFonts w:ascii="Arial" w:hAnsi="Arial" w:cs="Arial"/>
          <w:lang w:val="pt-BR"/>
        </w:rPr>
      </w:pPr>
    </w:p>
    <w:p w:rsidR="000679D1" w:rsidRPr="0035727D" w:rsidRDefault="000679D1" w:rsidP="0035727D">
      <w:pPr>
        <w:pStyle w:val="ListParagraph"/>
        <w:numPr>
          <w:ilvl w:val="0"/>
          <w:numId w:val="8"/>
        </w:numPr>
        <w:spacing w:after="0" w:line="240" w:lineRule="auto"/>
        <w:jc w:val="both"/>
        <w:rPr>
          <w:rFonts w:ascii="Arial" w:hAnsi="Arial" w:cs="Arial"/>
          <w:b/>
          <w:u w:val="single"/>
          <w:lang w:val="pt-BR"/>
        </w:rPr>
      </w:pPr>
      <w:r w:rsidRPr="0035727D">
        <w:rPr>
          <w:rFonts w:ascii="Arial" w:hAnsi="Arial" w:cs="Arial"/>
          <w:b/>
          <w:u w:val="single"/>
          <w:lang w:val="pt-BR"/>
        </w:rPr>
        <w:t>Auditoria Interna</w:t>
      </w:r>
    </w:p>
    <w:p w:rsidR="00970064" w:rsidRDefault="00970064" w:rsidP="0035727D">
      <w:pPr>
        <w:spacing w:after="0" w:line="240" w:lineRule="auto"/>
        <w:jc w:val="both"/>
        <w:rPr>
          <w:rFonts w:ascii="Arial" w:hAnsi="Arial" w:cs="Arial"/>
          <w:lang w:val="pt-BR"/>
        </w:rPr>
      </w:pPr>
    </w:p>
    <w:p w:rsidR="000679D1" w:rsidRDefault="000679D1" w:rsidP="0035727D">
      <w:pPr>
        <w:spacing w:after="0" w:line="240" w:lineRule="auto"/>
        <w:jc w:val="both"/>
        <w:rPr>
          <w:rFonts w:ascii="Arial" w:hAnsi="Arial" w:cs="Arial"/>
          <w:lang w:val="pt-BR"/>
        </w:rPr>
      </w:pPr>
      <w:r w:rsidRPr="0035727D">
        <w:rPr>
          <w:rFonts w:ascii="Arial" w:hAnsi="Arial" w:cs="Arial"/>
          <w:lang w:val="pt-BR"/>
        </w:rPr>
        <w:t xml:space="preserve">A unidade de </w:t>
      </w:r>
      <w:hyperlink r:id="rId11" w:history="1">
        <w:r w:rsidRPr="0035727D">
          <w:rPr>
            <w:rStyle w:val="Hyperlink"/>
            <w:rFonts w:ascii="Arial" w:hAnsi="Arial" w:cs="Arial"/>
            <w:lang w:val="pt-BR"/>
          </w:rPr>
          <w:t>Auditoria Interna</w:t>
        </w:r>
      </w:hyperlink>
      <w:r w:rsidRPr="0035727D">
        <w:rPr>
          <w:rFonts w:ascii="Arial" w:hAnsi="Arial" w:cs="Arial"/>
          <w:lang w:val="pt-BR"/>
        </w:rPr>
        <w:t xml:space="preserve"> (AT) do BNDES está vinculada diretamente ao Conselho de Administração e visa contribuir para o aperfeiçoamento dos processos, gestão de riscos e controles internos, tendo por principais objetivos: </w:t>
      </w:r>
    </w:p>
    <w:p w:rsidR="00970064" w:rsidRPr="0035727D" w:rsidRDefault="00970064" w:rsidP="0035727D">
      <w:pPr>
        <w:spacing w:after="0" w:line="240" w:lineRule="auto"/>
        <w:jc w:val="both"/>
        <w:rPr>
          <w:rFonts w:ascii="Arial" w:hAnsi="Arial" w:cs="Arial"/>
          <w:lang w:val="pt-BR"/>
        </w:rPr>
      </w:pPr>
    </w:p>
    <w:p w:rsidR="000679D1" w:rsidRPr="0035727D" w:rsidRDefault="000679D1" w:rsidP="0035727D">
      <w:pPr>
        <w:pStyle w:val="ListParagraph"/>
        <w:numPr>
          <w:ilvl w:val="0"/>
          <w:numId w:val="10"/>
        </w:numPr>
        <w:spacing w:after="0" w:line="240" w:lineRule="auto"/>
        <w:jc w:val="both"/>
        <w:rPr>
          <w:rFonts w:ascii="Arial" w:hAnsi="Arial" w:cs="Arial"/>
          <w:lang w:val="pt-BR"/>
        </w:rPr>
      </w:pPr>
      <w:r w:rsidRPr="0035727D">
        <w:rPr>
          <w:rFonts w:ascii="Arial" w:hAnsi="Arial" w:cs="Arial"/>
          <w:lang w:val="pt-BR"/>
        </w:rPr>
        <w:t>Avaliar a eficiência, eficácia e aderência às regulamentações internas e externas dos processos corporativos e de tecnologia da informação; e</w:t>
      </w:r>
    </w:p>
    <w:p w:rsidR="003F17FF" w:rsidRPr="0035727D" w:rsidRDefault="000679D1" w:rsidP="0035727D">
      <w:pPr>
        <w:pStyle w:val="ListParagraph"/>
        <w:numPr>
          <w:ilvl w:val="0"/>
          <w:numId w:val="10"/>
        </w:numPr>
        <w:spacing w:after="0" w:line="240" w:lineRule="auto"/>
        <w:jc w:val="both"/>
        <w:rPr>
          <w:rFonts w:ascii="Arial" w:hAnsi="Arial" w:cs="Arial"/>
          <w:lang w:val="pt-BR"/>
        </w:rPr>
      </w:pPr>
      <w:r w:rsidRPr="0035727D">
        <w:rPr>
          <w:rFonts w:ascii="Arial" w:hAnsi="Arial" w:cs="Arial"/>
          <w:lang w:val="pt-BR"/>
        </w:rPr>
        <w:t>Realizar a interlocução do Sistema BNDES com os órgãos externos de controle e supervisão (Tribunal de Contas da União - TCU, Controladoria-Geral da União - CGU e Banco Central do Brasil - Bacen).</w:t>
      </w:r>
    </w:p>
    <w:p w:rsidR="000679D1" w:rsidRDefault="000679D1" w:rsidP="0035727D">
      <w:pPr>
        <w:spacing w:after="0" w:line="240" w:lineRule="auto"/>
        <w:jc w:val="both"/>
        <w:rPr>
          <w:rFonts w:ascii="Arial" w:hAnsi="Arial" w:cs="Arial"/>
          <w:lang w:val="pt-BR"/>
        </w:rPr>
      </w:pPr>
    </w:p>
    <w:p w:rsidR="00970064" w:rsidRPr="0035727D" w:rsidRDefault="00970064" w:rsidP="0035727D">
      <w:pPr>
        <w:spacing w:after="0" w:line="240" w:lineRule="auto"/>
        <w:jc w:val="both"/>
        <w:rPr>
          <w:rFonts w:ascii="Arial" w:hAnsi="Arial" w:cs="Arial"/>
          <w:lang w:val="pt-BR"/>
        </w:rPr>
      </w:pPr>
    </w:p>
    <w:p w:rsidR="00D360B6" w:rsidRPr="0035727D" w:rsidRDefault="00D360B6" w:rsidP="00970064">
      <w:pPr>
        <w:pStyle w:val="Heading2"/>
        <w:numPr>
          <w:ilvl w:val="0"/>
          <w:numId w:val="3"/>
        </w:numPr>
        <w:spacing w:before="0" w:line="240" w:lineRule="auto"/>
        <w:ind w:left="360"/>
        <w:jc w:val="both"/>
        <w:rPr>
          <w:rFonts w:ascii="Arial" w:hAnsi="Arial" w:cs="Arial"/>
          <w:sz w:val="22"/>
          <w:szCs w:val="22"/>
          <w:lang w:val="pt-BR"/>
        </w:rPr>
      </w:pPr>
      <w:r w:rsidRPr="0035727D">
        <w:rPr>
          <w:rFonts w:ascii="Arial" w:hAnsi="Arial" w:cs="Arial"/>
          <w:sz w:val="22"/>
          <w:szCs w:val="22"/>
          <w:lang w:val="pt-BR"/>
        </w:rPr>
        <w:t>Acesso a Informação e Transparência</w:t>
      </w:r>
    </w:p>
    <w:p w:rsidR="00970064" w:rsidRDefault="00970064" w:rsidP="0035727D">
      <w:pPr>
        <w:pStyle w:val="NormalWeb"/>
        <w:spacing w:before="0" w:beforeAutospacing="0" w:after="0" w:afterAutospacing="0"/>
        <w:jc w:val="both"/>
        <w:textAlignment w:val="center"/>
        <w:rPr>
          <w:rFonts w:ascii="Arial" w:hAnsi="Arial" w:cs="Arial"/>
          <w:color w:val="333333"/>
          <w:sz w:val="22"/>
          <w:szCs w:val="22"/>
          <w:lang w:val="pt-BR"/>
        </w:rPr>
      </w:pPr>
    </w:p>
    <w:p w:rsidR="00D360B6" w:rsidRPr="0035727D" w:rsidRDefault="00D360B6" w:rsidP="0035727D">
      <w:pPr>
        <w:pStyle w:val="NormalWeb"/>
        <w:spacing w:before="0" w:beforeAutospacing="0" w:after="0" w:afterAutospacing="0"/>
        <w:jc w:val="both"/>
        <w:textAlignment w:val="center"/>
        <w:rPr>
          <w:rFonts w:ascii="Arial" w:hAnsi="Arial" w:cs="Arial"/>
          <w:color w:val="333333"/>
          <w:sz w:val="22"/>
          <w:szCs w:val="22"/>
          <w:lang w:val="pt-BR"/>
        </w:rPr>
      </w:pPr>
      <w:r w:rsidRPr="0035727D">
        <w:rPr>
          <w:rFonts w:ascii="Arial" w:hAnsi="Arial" w:cs="Arial"/>
          <w:color w:val="333333"/>
          <w:sz w:val="22"/>
          <w:szCs w:val="22"/>
          <w:lang w:val="pt-BR"/>
        </w:rPr>
        <w:t>A</w:t>
      </w:r>
      <w:r w:rsidRPr="0035727D">
        <w:rPr>
          <w:rStyle w:val="apple-converted-space"/>
          <w:rFonts w:ascii="Arial" w:eastAsiaTheme="majorEastAsia" w:hAnsi="Arial" w:cs="Arial"/>
          <w:color w:val="333333"/>
          <w:sz w:val="22"/>
          <w:szCs w:val="22"/>
          <w:lang w:val="pt-BR"/>
        </w:rPr>
        <w:t> </w:t>
      </w:r>
      <w:hyperlink r:id="rId12" w:tgtFrame="_blank" w:history="1">
        <w:r w:rsidRPr="0035727D">
          <w:rPr>
            <w:rStyle w:val="Hyperlink"/>
            <w:rFonts w:ascii="Arial" w:eastAsiaTheme="majorEastAsia" w:hAnsi="Arial" w:cs="Arial"/>
            <w:b/>
            <w:bCs/>
            <w:color w:val="800080"/>
            <w:sz w:val="22"/>
            <w:szCs w:val="22"/>
            <w:lang w:val="pt-BR"/>
          </w:rPr>
          <w:t>Lei de Acesso a Informação nº 12.527/2011</w:t>
        </w:r>
      </w:hyperlink>
      <w:r w:rsidRPr="0035727D">
        <w:rPr>
          <w:rStyle w:val="apple-converted-space"/>
          <w:rFonts w:ascii="Arial" w:eastAsiaTheme="majorEastAsia" w:hAnsi="Arial" w:cs="Arial"/>
          <w:color w:val="333333"/>
          <w:sz w:val="22"/>
          <w:szCs w:val="22"/>
          <w:lang w:val="pt-BR"/>
        </w:rPr>
        <w:t> </w:t>
      </w:r>
      <w:r w:rsidRPr="0035727D">
        <w:rPr>
          <w:rFonts w:ascii="Arial" w:hAnsi="Arial" w:cs="Arial"/>
          <w:color w:val="333333"/>
          <w:sz w:val="22"/>
          <w:szCs w:val="22"/>
          <w:lang w:val="pt-BR"/>
        </w:rPr>
        <w:t>estabelece que órgãos e entidades públicas devem divulgar, independentemente de solicitação, informações de interesse geral ou coletivo, exceto aquelas que tenham confidencialidade prevista no texto legal.</w:t>
      </w:r>
    </w:p>
    <w:p w:rsidR="00D360B6" w:rsidRPr="0035727D" w:rsidRDefault="00D360B6" w:rsidP="0035727D">
      <w:pPr>
        <w:pStyle w:val="NormalWeb"/>
        <w:spacing w:before="0" w:beforeAutospacing="0" w:after="0" w:afterAutospacing="0"/>
        <w:jc w:val="both"/>
        <w:textAlignment w:val="center"/>
        <w:rPr>
          <w:rFonts w:ascii="Arial" w:hAnsi="Arial" w:cs="Arial"/>
          <w:color w:val="333333"/>
          <w:sz w:val="22"/>
          <w:szCs w:val="22"/>
          <w:lang w:val="pt-BR"/>
        </w:rPr>
      </w:pPr>
      <w:r w:rsidRPr="0035727D">
        <w:rPr>
          <w:rFonts w:ascii="Arial" w:hAnsi="Arial" w:cs="Arial"/>
          <w:color w:val="333333"/>
          <w:sz w:val="22"/>
          <w:szCs w:val="22"/>
          <w:lang w:val="pt-BR"/>
        </w:rPr>
        <w:t xml:space="preserve">Em cumprimento à Lei, o BNDES disponibiliza, em seu portal, seções específicas com informações classificadas como de Transparência Ativa. Esse tipo de informação é apresentado proativamente e tem natureza diferente das informações que dependem de solicitação por parte da sociedade e que, portanto, são categorizadas como de Transparência Passiva. </w:t>
      </w:r>
    </w:p>
    <w:p w:rsidR="00970064" w:rsidRDefault="00970064" w:rsidP="0035727D">
      <w:pPr>
        <w:pStyle w:val="NormalWeb"/>
        <w:spacing w:before="0" w:beforeAutospacing="0" w:after="0" w:afterAutospacing="0"/>
        <w:jc w:val="both"/>
        <w:textAlignment w:val="center"/>
        <w:rPr>
          <w:rFonts w:ascii="Arial" w:hAnsi="Arial" w:cs="Arial"/>
          <w:color w:val="333333"/>
          <w:sz w:val="22"/>
          <w:szCs w:val="22"/>
          <w:lang w:val="pt-BR"/>
        </w:rPr>
      </w:pPr>
    </w:p>
    <w:p w:rsidR="00D360B6" w:rsidRDefault="00D360B6" w:rsidP="0035727D">
      <w:pPr>
        <w:pStyle w:val="NormalWeb"/>
        <w:spacing w:before="0" w:beforeAutospacing="0" w:after="0" w:afterAutospacing="0"/>
        <w:jc w:val="both"/>
        <w:textAlignment w:val="center"/>
        <w:rPr>
          <w:rFonts w:ascii="Arial" w:hAnsi="Arial" w:cs="Arial"/>
          <w:color w:val="333333"/>
          <w:sz w:val="22"/>
          <w:szCs w:val="22"/>
          <w:lang w:val="pt-BR"/>
        </w:rPr>
      </w:pPr>
      <w:r w:rsidRPr="0035727D">
        <w:rPr>
          <w:rFonts w:ascii="Arial" w:hAnsi="Arial" w:cs="Arial"/>
          <w:color w:val="333333"/>
          <w:sz w:val="22"/>
          <w:szCs w:val="22"/>
          <w:lang w:val="pt-BR"/>
        </w:rPr>
        <w:t>Abaiso estão listados os diferentes canais de atendimento para dar vasão as diferentes necessidades da sociedade civil:</w:t>
      </w:r>
    </w:p>
    <w:p w:rsidR="00970064" w:rsidRPr="0035727D" w:rsidRDefault="00970064" w:rsidP="0035727D">
      <w:pPr>
        <w:pStyle w:val="NormalWeb"/>
        <w:spacing w:before="0" w:beforeAutospacing="0" w:after="0" w:afterAutospacing="0"/>
        <w:jc w:val="both"/>
        <w:textAlignment w:val="center"/>
        <w:rPr>
          <w:rFonts w:ascii="Arial" w:hAnsi="Arial" w:cs="Arial"/>
          <w:color w:val="333333"/>
          <w:sz w:val="22"/>
          <w:szCs w:val="22"/>
          <w:lang w:val="pt-BR"/>
        </w:rPr>
      </w:pPr>
    </w:p>
    <w:p w:rsidR="00D360B6" w:rsidRPr="0035727D" w:rsidRDefault="00D360B6" w:rsidP="0035727D">
      <w:pPr>
        <w:numPr>
          <w:ilvl w:val="0"/>
          <w:numId w:val="13"/>
        </w:numPr>
        <w:spacing w:after="0" w:line="240" w:lineRule="auto"/>
        <w:jc w:val="both"/>
        <w:textAlignment w:val="center"/>
        <w:rPr>
          <w:rFonts w:ascii="Arial" w:hAnsi="Arial" w:cs="Arial"/>
          <w:color w:val="333333"/>
          <w:lang w:val="pt-BR"/>
        </w:rPr>
      </w:pPr>
      <w:r w:rsidRPr="0035727D">
        <w:rPr>
          <w:rFonts w:ascii="Arial" w:hAnsi="Arial" w:cs="Arial"/>
          <w:color w:val="333333"/>
          <w:lang w:val="pt-BR"/>
        </w:rPr>
        <w:lastRenderedPageBreak/>
        <w:t>Informações de interesse geral e coletivo sobre o BNDES, podem ser acessadas a pedido no</w:t>
      </w:r>
      <w:r w:rsidRPr="0035727D">
        <w:rPr>
          <w:rStyle w:val="apple-converted-space"/>
          <w:rFonts w:ascii="Arial" w:hAnsi="Arial" w:cs="Arial"/>
          <w:color w:val="333333"/>
          <w:lang w:val="pt-BR"/>
        </w:rPr>
        <w:t> </w:t>
      </w:r>
      <w:hyperlink r:id="rId13" w:history="1">
        <w:r w:rsidRPr="004649B0">
          <w:rPr>
            <w:rStyle w:val="Hyperlink"/>
            <w:rFonts w:ascii="Arial" w:eastAsia="Times New Roman" w:hAnsi="Arial" w:cs="Arial"/>
            <w:lang w:val="pt-BR"/>
          </w:rPr>
          <w:t>e-SIC</w:t>
        </w:r>
      </w:hyperlink>
      <w:r w:rsidRPr="0035727D">
        <w:rPr>
          <w:rFonts w:ascii="Arial" w:hAnsi="Arial" w:cs="Arial"/>
          <w:color w:val="333333"/>
          <w:lang w:val="pt-BR"/>
        </w:rPr>
        <w:t xml:space="preserve"> - Sistema Eletrônico do Serviço de Informação ao Cidadão;</w:t>
      </w:r>
    </w:p>
    <w:p w:rsidR="00D360B6" w:rsidRPr="0035727D" w:rsidRDefault="00D360B6" w:rsidP="0035727D">
      <w:pPr>
        <w:numPr>
          <w:ilvl w:val="0"/>
          <w:numId w:val="13"/>
        </w:numPr>
        <w:spacing w:after="0" w:line="240" w:lineRule="auto"/>
        <w:jc w:val="both"/>
        <w:textAlignment w:val="center"/>
        <w:rPr>
          <w:rFonts w:ascii="Arial" w:hAnsi="Arial" w:cs="Arial"/>
          <w:color w:val="333333"/>
          <w:lang w:val="pt-BR"/>
        </w:rPr>
      </w:pPr>
      <w:r w:rsidRPr="0035727D">
        <w:rPr>
          <w:rFonts w:ascii="Arial" w:hAnsi="Arial" w:cs="Arial"/>
          <w:color w:val="333333"/>
          <w:lang w:val="pt-BR"/>
        </w:rPr>
        <w:t xml:space="preserve">Informações sobre os produtos financeiros do BNDES ou sobre pedidos de financiamento em aberto (dúvidas operacionais), </w:t>
      </w:r>
      <w:r w:rsidR="0020474E" w:rsidRPr="0035727D">
        <w:rPr>
          <w:rFonts w:ascii="Arial" w:hAnsi="Arial" w:cs="Arial"/>
          <w:color w:val="333333"/>
          <w:lang w:val="pt-BR"/>
        </w:rPr>
        <w:t xml:space="preserve">mensagens pode ser </w:t>
      </w:r>
      <w:r w:rsidRPr="0035727D">
        <w:rPr>
          <w:rFonts w:ascii="Arial" w:hAnsi="Arial" w:cs="Arial"/>
          <w:color w:val="333333"/>
          <w:lang w:val="pt-BR"/>
        </w:rPr>
        <w:t>encaminh</w:t>
      </w:r>
      <w:r w:rsidR="0020474E" w:rsidRPr="0035727D">
        <w:rPr>
          <w:rFonts w:ascii="Arial" w:hAnsi="Arial" w:cs="Arial"/>
          <w:color w:val="333333"/>
          <w:lang w:val="pt-BR"/>
        </w:rPr>
        <w:t xml:space="preserve">adas ao Serviço </w:t>
      </w:r>
      <w:hyperlink r:id="rId14" w:history="1">
        <w:r w:rsidRPr="004649B0">
          <w:rPr>
            <w:rStyle w:val="Hyperlink"/>
            <w:rFonts w:ascii="Arial" w:eastAsia="Times New Roman" w:hAnsi="Arial" w:cs="Arial"/>
            <w:lang w:val="pt-BR"/>
          </w:rPr>
          <w:t>Fale Conosco</w:t>
        </w:r>
      </w:hyperlink>
      <w:r w:rsidRPr="004649B0">
        <w:rPr>
          <w:rStyle w:val="Hyperlink"/>
          <w:rFonts w:eastAsia="Times New Roman"/>
        </w:rPr>
        <w:t>;</w:t>
      </w:r>
      <w:r w:rsidRPr="0035727D">
        <w:rPr>
          <w:rFonts w:ascii="Arial" w:hAnsi="Arial" w:cs="Arial"/>
          <w:color w:val="333333"/>
          <w:lang w:val="pt-BR"/>
        </w:rPr>
        <w:t xml:space="preserve"> ou</w:t>
      </w:r>
      <w:bookmarkStart w:id="0" w:name="_GoBack"/>
      <w:bookmarkEnd w:id="0"/>
    </w:p>
    <w:p w:rsidR="00D360B6" w:rsidRPr="0035727D" w:rsidRDefault="0020474E" w:rsidP="0035727D">
      <w:pPr>
        <w:numPr>
          <w:ilvl w:val="0"/>
          <w:numId w:val="13"/>
        </w:numPr>
        <w:spacing w:after="0" w:line="240" w:lineRule="auto"/>
        <w:jc w:val="both"/>
        <w:textAlignment w:val="center"/>
        <w:rPr>
          <w:rFonts w:ascii="Arial" w:hAnsi="Arial" w:cs="Arial"/>
          <w:color w:val="333333"/>
          <w:lang w:val="pt-BR"/>
        </w:rPr>
      </w:pPr>
      <w:r w:rsidRPr="0035727D">
        <w:rPr>
          <w:rFonts w:ascii="Arial" w:hAnsi="Arial" w:cs="Arial"/>
          <w:color w:val="333333"/>
          <w:lang w:val="pt-BR"/>
        </w:rPr>
        <w:t>Sugestões</w:t>
      </w:r>
      <w:r w:rsidR="00D360B6" w:rsidRPr="0035727D">
        <w:rPr>
          <w:rFonts w:ascii="Arial" w:hAnsi="Arial" w:cs="Arial"/>
          <w:color w:val="333333"/>
          <w:lang w:val="pt-BR"/>
        </w:rPr>
        <w:t>, denúncia</w:t>
      </w:r>
      <w:r w:rsidRPr="0035727D">
        <w:rPr>
          <w:rFonts w:ascii="Arial" w:hAnsi="Arial" w:cs="Arial"/>
          <w:color w:val="333333"/>
          <w:lang w:val="pt-BR"/>
        </w:rPr>
        <w:t>s</w:t>
      </w:r>
      <w:r w:rsidR="00D360B6" w:rsidRPr="0035727D">
        <w:rPr>
          <w:rFonts w:ascii="Arial" w:hAnsi="Arial" w:cs="Arial"/>
          <w:color w:val="333333"/>
          <w:lang w:val="pt-BR"/>
        </w:rPr>
        <w:t xml:space="preserve"> ou reclamaç</w:t>
      </w:r>
      <w:r w:rsidRPr="0035727D">
        <w:rPr>
          <w:rFonts w:ascii="Arial" w:hAnsi="Arial" w:cs="Arial"/>
          <w:color w:val="333333"/>
          <w:lang w:val="pt-BR"/>
        </w:rPr>
        <w:t>ões</w:t>
      </w:r>
      <w:r w:rsidR="00D360B6" w:rsidRPr="0035727D">
        <w:rPr>
          <w:rFonts w:ascii="Arial" w:hAnsi="Arial" w:cs="Arial"/>
          <w:color w:val="333333"/>
          <w:lang w:val="pt-BR"/>
        </w:rPr>
        <w:t xml:space="preserve">, </w:t>
      </w:r>
      <w:r w:rsidRPr="0035727D">
        <w:rPr>
          <w:rFonts w:ascii="Arial" w:hAnsi="Arial" w:cs="Arial"/>
          <w:color w:val="333333"/>
          <w:lang w:val="pt-BR"/>
        </w:rPr>
        <w:t xml:space="preserve">mensagens pode ser encaminhadas à </w:t>
      </w:r>
      <w:hyperlink r:id="rId15" w:history="1">
        <w:r w:rsidR="00D360B6" w:rsidRPr="004649B0">
          <w:rPr>
            <w:rStyle w:val="Hyperlink"/>
            <w:rFonts w:ascii="Arial" w:eastAsia="Times New Roman" w:hAnsi="Arial" w:cs="Arial"/>
            <w:lang w:val="pt-BR"/>
          </w:rPr>
          <w:t>Ouvidoria</w:t>
        </w:r>
      </w:hyperlink>
      <w:r w:rsidR="00D360B6" w:rsidRPr="0035727D">
        <w:rPr>
          <w:rFonts w:ascii="Arial" w:hAnsi="Arial" w:cs="Arial"/>
          <w:color w:val="333333"/>
          <w:lang w:val="pt-BR"/>
        </w:rPr>
        <w:t>.</w:t>
      </w:r>
    </w:p>
    <w:p w:rsidR="00970064" w:rsidRDefault="00970064" w:rsidP="0035727D">
      <w:pPr>
        <w:pStyle w:val="NormalWeb"/>
        <w:spacing w:before="0" w:beforeAutospacing="0" w:after="0" w:afterAutospacing="0"/>
        <w:jc w:val="both"/>
        <w:textAlignment w:val="center"/>
        <w:rPr>
          <w:rFonts w:ascii="Arial" w:hAnsi="Arial" w:cs="Arial"/>
          <w:color w:val="333333"/>
          <w:sz w:val="22"/>
          <w:szCs w:val="22"/>
          <w:lang w:val="pt-BR"/>
        </w:rPr>
      </w:pPr>
    </w:p>
    <w:p w:rsidR="00D360B6" w:rsidRPr="0035727D" w:rsidRDefault="0020474E" w:rsidP="0035727D">
      <w:pPr>
        <w:pStyle w:val="NormalWeb"/>
        <w:spacing w:before="0" w:beforeAutospacing="0" w:after="0" w:afterAutospacing="0"/>
        <w:jc w:val="both"/>
        <w:textAlignment w:val="center"/>
        <w:rPr>
          <w:rFonts w:ascii="Arial" w:hAnsi="Arial" w:cs="Arial"/>
          <w:color w:val="333333"/>
          <w:sz w:val="22"/>
          <w:szCs w:val="22"/>
          <w:lang w:val="pt-BR"/>
        </w:rPr>
      </w:pPr>
      <w:r w:rsidRPr="0035727D">
        <w:rPr>
          <w:rFonts w:ascii="Arial" w:hAnsi="Arial" w:cs="Arial"/>
          <w:color w:val="333333"/>
          <w:sz w:val="22"/>
          <w:szCs w:val="22"/>
          <w:lang w:val="pt-BR"/>
        </w:rPr>
        <w:t xml:space="preserve">Adicionalmente na </w:t>
      </w:r>
      <w:r w:rsidR="00D360B6" w:rsidRPr="0035727D">
        <w:rPr>
          <w:rFonts w:ascii="Arial" w:hAnsi="Arial" w:cs="Arial"/>
          <w:color w:val="333333"/>
          <w:sz w:val="22"/>
          <w:szCs w:val="22"/>
          <w:lang w:val="pt-BR"/>
        </w:rPr>
        <w:t xml:space="preserve">área </w:t>
      </w:r>
      <w:r w:rsidRPr="0035727D">
        <w:rPr>
          <w:rFonts w:ascii="Arial" w:hAnsi="Arial" w:cs="Arial"/>
          <w:color w:val="333333"/>
          <w:sz w:val="22"/>
          <w:szCs w:val="22"/>
          <w:lang w:val="pt-BR"/>
        </w:rPr>
        <w:t xml:space="preserve">de </w:t>
      </w:r>
      <w:hyperlink r:id="rId16" w:history="1">
        <w:r w:rsidRPr="0035727D">
          <w:rPr>
            <w:rStyle w:val="Hyperlink"/>
            <w:rFonts w:ascii="Arial" w:hAnsi="Arial" w:cs="Arial"/>
            <w:sz w:val="22"/>
            <w:szCs w:val="22"/>
            <w:lang w:val="pt-BR"/>
          </w:rPr>
          <w:t>Acesso à Informação</w:t>
        </w:r>
      </w:hyperlink>
      <w:r w:rsidRPr="0035727D">
        <w:rPr>
          <w:rFonts w:ascii="Arial" w:hAnsi="Arial" w:cs="Arial"/>
          <w:color w:val="333333"/>
          <w:sz w:val="22"/>
          <w:szCs w:val="22"/>
          <w:lang w:val="pt-BR"/>
        </w:rPr>
        <w:t xml:space="preserve"> </w:t>
      </w:r>
      <w:r w:rsidR="00D360B6" w:rsidRPr="0035727D">
        <w:rPr>
          <w:rFonts w:ascii="Arial" w:hAnsi="Arial" w:cs="Arial"/>
          <w:color w:val="333333"/>
          <w:sz w:val="22"/>
          <w:szCs w:val="22"/>
          <w:lang w:val="pt-BR"/>
        </w:rPr>
        <w:t>do Portal do BNDES, pode</w:t>
      </w:r>
      <w:r w:rsidRPr="0035727D">
        <w:rPr>
          <w:rFonts w:ascii="Arial" w:hAnsi="Arial" w:cs="Arial"/>
          <w:color w:val="333333"/>
          <w:sz w:val="22"/>
          <w:szCs w:val="22"/>
          <w:lang w:val="pt-BR"/>
        </w:rPr>
        <w:t>-se</w:t>
      </w:r>
      <w:r w:rsidR="00D360B6" w:rsidRPr="0035727D">
        <w:rPr>
          <w:rFonts w:ascii="Arial" w:hAnsi="Arial" w:cs="Arial"/>
          <w:color w:val="333333"/>
          <w:sz w:val="22"/>
          <w:szCs w:val="22"/>
          <w:lang w:val="pt-BR"/>
        </w:rPr>
        <w:t xml:space="preserve"> obter informações sobre as atividades do B</w:t>
      </w:r>
      <w:r w:rsidRPr="0035727D">
        <w:rPr>
          <w:rFonts w:ascii="Arial" w:hAnsi="Arial" w:cs="Arial"/>
          <w:color w:val="333333"/>
          <w:sz w:val="22"/>
          <w:szCs w:val="22"/>
          <w:lang w:val="pt-BR"/>
        </w:rPr>
        <w:t>NDES</w:t>
      </w:r>
      <w:r w:rsidR="00D360B6" w:rsidRPr="0035727D">
        <w:rPr>
          <w:rFonts w:ascii="Arial" w:hAnsi="Arial" w:cs="Arial"/>
          <w:color w:val="333333"/>
          <w:sz w:val="22"/>
          <w:szCs w:val="22"/>
          <w:lang w:val="pt-BR"/>
        </w:rPr>
        <w:t xml:space="preserve"> e saber sobre os direitos </w:t>
      </w:r>
      <w:r w:rsidRPr="0035727D">
        <w:rPr>
          <w:rFonts w:ascii="Arial" w:hAnsi="Arial" w:cs="Arial"/>
          <w:color w:val="333333"/>
          <w:sz w:val="22"/>
          <w:szCs w:val="22"/>
          <w:lang w:val="pt-BR"/>
        </w:rPr>
        <w:t xml:space="preserve">do cidadão </w:t>
      </w:r>
      <w:r w:rsidR="00D360B6" w:rsidRPr="0035727D">
        <w:rPr>
          <w:rFonts w:ascii="Arial" w:hAnsi="Arial" w:cs="Arial"/>
          <w:color w:val="333333"/>
          <w:sz w:val="22"/>
          <w:szCs w:val="22"/>
          <w:lang w:val="pt-BR"/>
        </w:rPr>
        <w:t>regulamentados pela Lei de Acesso à Informação.</w:t>
      </w:r>
    </w:p>
    <w:p w:rsidR="0020474E" w:rsidRPr="0035727D" w:rsidRDefault="0020474E" w:rsidP="0035727D">
      <w:pPr>
        <w:pStyle w:val="NormalWeb"/>
        <w:spacing w:before="0" w:beforeAutospacing="0" w:after="0" w:afterAutospacing="0"/>
        <w:jc w:val="both"/>
        <w:textAlignment w:val="center"/>
        <w:rPr>
          <w:rFonts w:ascii="Arial" w:hAnsi="Arial" w:cs="Arial"/>
          <w:color w:val="333333"/>
          <w:sz w:val="22"/>
          <w:szCs w:val="22"/>
          <w:lang w:val="pt-BR"/>
        </w:rPr>
      </w:pPr>
      <w:r w:rsidRPr="0035727D">
        <w:rPr>
          <w:rFonts w:ascii="Arial" w:hAnsi="Arial" w:cs="Arial"/>
          <w:color w:val="333333"/>
          <w:sz w:val="22"/>
          <w:szCs w:val="22"/>
          <w:lang w:val="pt-BR"/>
        </w:rPr>
        <w:t xml:space="preserve">Adicionalemente, o BNDES também criou em sua página uma seção denominada </w:t>
      </w:r>
      <w:hyperlink r:id="rId17" w:history="1">
        <w:r w:rsidRPr="0035727D">
          <w:rPr>
            <w:rStyle w:val="Hyperlink"/>
            <w:rFonts w:ascii="Arial" w:hAnsi="Arial" w:cs="Arial"/>
            <w:sz w:val="22"/>
            <w:szCs w:val="22"/>
            <w:lang w:val="pt-BR"/>
          </w:rPr>
          <w:t>BNDES Transparente</w:t>
        </w:r>
      </w:hyperlink>
      <w:r w:rsidRPr="0035727D">
        <w:rPr>
          <w:rFonts w:ascii="Arial" w:hAnsi="Arial" w:cs="Arial"/>
          <w:color w:val="333333"/>
          <w:sz w:val="22"/>
          <w:szCs w:val="22"/>
          <w:lang w:val="pt-BR"/>
        </w:rPr>
        <w:t>.  Nessa seção, estão disponíveis informações e consulta a números sobre a atuação do BNDES.</w:t>
      </w:r>
    </w:p>
    <w:p w:rsidR="00970064" w:rsidRDefault="00970064" w:rsidP="0035727D">
      <w:pPr>
        <w:pStyle w:val="NormalWeb"/>
        <w:spacing w:before="0" w:beforeAutospacing="0" w:after="0" w:afterAutospacing="0"/>
        <w:jc w:val="both"/>
        <w:textAlignment w:val="center"/>
        <w:rPr>
          <w:rFonts w:ascii="Arial" w:hAnsi="Arial" w:cs="Arial"/>
          <w:b/>
          <w:color w:val="333333"/>
          <w:sz w:val="22"/>
          <w:szCs w:val="22"/>
          <w:lang w:val="pt-BR"/>
        </w:rPr>
      </w:pPr>
    </w:p>
    <w:p w:rsidR="0020474E" w:rsidRPr="0035727D" w:rsidRDefault="0020474E" w:rsidP="0035727D">
      <w:pPr>
        <w:pStyle w:val="NormalWeb"/>
        <w:spacing w:before="0" w:beforeAutospacing="0" w:after="0" w:afterAutospacing="0"/>
        <w:jc w:val="both"/>
        <w:textAlignment w:val="center"/>
        <w:rPr>
          <w:rFonts w:ascii="Arial" w:hAnsi="Arial" w:cs="Arial"/>
          <w:b/>
          <w:color w:val="333333"/>
          <w:sz w:val="22"/>
          <w:szCs w:val="22"/>
          <w:lang w:val="pt-BR"/>
        </w:rPr>
      </w:pPr>
      <w:r w:rsidRPr="0035727D">
        <w:rPr>
          <w:rFonts w:ascii="Arial" w:hAnsi="Arial" w:cs="Arial"/>
          <w:b/>
          <w:color w:val="333333"/>
          <w:sz w:val="22"/>
          <w:szCs w:val="22"/>
          <w:lang w:val="pt-BR"/>
        </w:rPr>
        <w:t>Estando disponíveis as seguintes seções:</w:t>
      </w:r>
    </w:p>
    <w:p w:rsidR="0020474E" w:rsidRPr="0035727D" w:rsidRDefault="004649B0" w:rsidP="0035727D">
      <w:pPr>
        <w:pStyle w:val="NormalWeb"/>
        <w:numPr>
          <w:ilvl w:val="0"/>
          <w:numId w:val="20"/>
        </w:numPr>
        <w:spacing w:before="0" w:beforeAutospacing="0" w:after="0" w:afterAutospacing="0"/>
        <w:jc w:val="both"/>
        <w:textAlignment w:val="center"/>
        <w:rPr>
          <w:rFonts w:ascii="Arial" w:hAnsi="Arial" w:cs="Arial"/>
          <w:sz w:val="22"/>
          <w:szCs w:val="22"/>
        </w:rPr>
      </w:pPr>
      <w:hyperlink r:id="rId18" w:history="1">
        <w:r w:rsidR="0020474E" w:rsidRPr="0035727D">
          <w:rPr>
            <w:rFonts w:ascii="Arial" w:hAnsi="Arial" w:cs="Arial"/>
            <w:sz w:val="22"/>
            <w:szCs w:val="22"/>
          </w:rPr>
          <w:t>Dados sobre financiamentos no Brasil, com taxas, prazos e garantias</w:t>
        </w:r>
      </w:hyperlink>
    </w:p>
    <w:p w:rsidR="0020474E" w:rsidRPr="0035727D" w:rsidRDefault="004649B0" w:rsidP="0035727D">
      <w:pPr>
        <w:pStyle w:val="NormalWeb"/>
        <w:numPr>
          <w:ilvl w:val="0"/>
          <w:numId w:val="20"/>
        </w:numPr>
        <w:spacing w:before="0" w:beforeAutospacing="0" w:after="0" w:afterAutospacing="0"/>
        <w:jc w:val="both"/>
        <w:textAlignment w:val="center"/>
        <w:rPr>
          <w:rFonts w:ascii="Arial" w:hAnsi="Arial" w:cs="Arial"/>
          <w:sz w:val="22"/>
          <w:szCs w:val="22"/>
        </w:rPr>
      </w:pPr>
      <w:hyperlink r:id="rId19" w:history="1">
        <w:r w:rsidR="0020474E" w:rsidRPr="0035727D">
          <w:rPr>
            <w:rFonts w:ascii="Arial" w:hAnsi="Arial" w:cs="Arial"/>
            <w:sz w:val="22"/>
            <w:szCs w:val="22"/>
          </w:rPr>
          <w:t>Detalhes sobre financiamentos à exportação e obras no exterior</w:t>
        </w:r>
      </w:hyperlink>
    </w:p>
    <w:p w:rsidR="0020474E" w:rsidRPr="0035727D" w:rsidRDefault="004649B0" w:rsidP="0035727D">
      <w:pPr>
        <w:pStyle w:val="NormalWeb"/>
        <w:numPr>
          <w:ilvl w:val="0"/>
          <w:numId w:val="20"/>
        </w:numPr>
        <w:spacing w:before="0" w:beforeAutospacing="0" w:after="0" w:afterAutospacing="0"/>
        <w:jc w:val="both"/>
        <w:textAlignment w:val="center"/>
        <w:rPr>
          <w:rFonts w:ascii="Arial" w:hAnsi="Arial" w:cs="Arial"/>
          <w:sz w:val="22"/>
          <w:szCs w:val="22"/>
        </w:rPr>
      </w:pPr>
      <w:hyperlink r:id="rId20" w:history="1">
        <w:r w:rsidR="0020474E" w:rsidRPr="0035727D">
          <w:rPr>
            <w:rFonts w:ascii="Arial" w:hAnsi="Arial" w:cs="Arial"/>
            <w:sz w:val="22"/>
            <w:szCs w:val="22"/>
          </w:rPr>
          <w:t>Estatísticas de desembolsos</w:t>
        </w:r>
      </w:hyperlink>
    </w:p>
    <w:p w:rsidR="0020474E" w:rsidRPr="0035727D" w:rsidRDefault="0020474E" w:rsidP="0035727D">
      <w:pPr>
        <w:pStyle w:val="NormalWeb"/>
        <w:numPr>
          <w:ilvl w:val="0"/>
          <w:numId w:val="20"/>
        </w:numPr>
        <w:spacing w:before="0" w:beforeAutospacing="0" w:after="0" w:afterAutospacing="0"/>
        <w:jc w:val="both"/>
        <w:textAlignment w:val="center"/>
        <w:rPr>
          <w:rFonts w:ascii="Arial" w:hAnsi="Arial" w:cs="Arial"/>
          <w:sz w:val="22"/>
          <w:szCs w:val="22"/>
          <w:lang w:val="pt-BR"/>
        </w:rPr>
      </w:pPr>
      <w:r w:rsidRPr="0035727D">
        <w:rPr>
          <w:rFonts w:ascii="Arial" w:hAnsi="Arial" w:cs="Arial"/>
          <w:sz w:val="22"/>
          <w:szCs w:val="22"/>
        </w:rPr>
        <w:t>Efetividade</w:t>
      </w:r>
    </w:p>
    <w:p w:rsidR="0020474E" w:rsidRPr="0035727D" w:rsidRDefault="0020474E" w:rsidP="0035727D">
      <w:pPr>
        <w:pStyle w:val="NormalWeb"/>
        <w:numPr>
          <w:ilvl w:val="0"/>
          <w:numId w:val="20"/>
        </w:numPr>
        <w:spacing w:before="0" w:beforeAutospacing="0" w:after="0" w:afterAutospacing="0"/>
        <w:jc w:val="both"/>
        <w:textAlignment w:val="center"/>
        <w:rPr>
          <w:rFonts w:ascii="Arial" w:hAnsi="Arial" w:cs="Arial"/>
          <w:sz w:val="22"/>
          <w:szCs w:val="22"/>
          <w:lang w:val="pt-BR"/>
        </w:rPr>
      </w:pPr>
      <w:r w:rsidRPr="0035727D">
        <w:rPr>
          <w:rFonts w:ascii="Arial" w:hAnsi="Arial" w:cs="Arial"/>
          <w:sz w:val="22"/>
          <w:szCs w:val="22"/>
        </w:rPr>
        <w:t>Contratos administrativos</w:t>
      </w:r>
    </w:p>
    <w:p w:rsidR="0020474E" w:rsidRPr="0035727D" w:rsidRDefault="0020474E" w:rsidP="0035727D">
      <w:pPr>
        <w:pStyle w:val="NormalWeb"/>
        <w:numPr>
          <w:ilvl w:val="0"/>
          <w:numId w:val="20"/>
        </w:numPr>
        <w:spacing w:before="0" w:beforeAutospacing="0" w:after="0" w:afterAutospacing="0"/>
        <w:jc w:val="both"/>
        <w:textAlignment w:val="center"/>
        <w:rPr>
          <w:rFonts w:ascii="Arial" w:hAnsi="Arial" w:cs="Arial"/>
          <w:sz w:val="22"/>
          <w:szCs w:val="22"/>
          <w:lang w:val="pt-BR"/>
        </w:rPr>
      </w:pPr>
      <w:r w:rsidRPr="0035727D">
        <w:rPr>
          <w:rFonts w:ascii="Arial" w:hAnsi="Arial" w:cs="Arial"/>
          <w:sz w:val="22"/>
          <w:szCs w:val="22"/>
          <w:lang w:val="pt-BR"/>
        </w:rPr>
        <w:t>Ética, fiscalização e controle</w:t>
      </w:r>
    </w:p>
    <w:p w:rsidR="0020474E" w:rsidRPr="0035727D" w:rsidRDefault="0020474E" w:rsidP="0035727D">
      <w:pPr>
        <w:pStyle w:val="NormalWeb"/>
        <w:numPr>
          <w:ilvl w:val="0"/>
          <w:numId w:val="20"/>
        </w:numPr>
        <w:spacing w:before="0" w:beforeAutospacing="0" w:after="0" w:afterAutospacing="0"/>
        <w:jc w:val="both"/>
        <w:textAlignment w:val="center"/>
        <w:rPr>
          <w:rFonts w:ascii="Arial" w:hAnsi="Arial" w:cs="Arial"/>
          <w:sz w:val="22"/>
          <w:szCs w:val="22"/>
          <w:lang w:val="pt-BR"/>
        </w:rPr>
      </w:pPr>
      <w:r w:rsidRPr="0035727D">
        <w:rPr>
          <w:rFonts w:ascii="Arial" w:hAnsi="Arial" w:cs="Arial"/>
          <w:sz w:val="22"/>
          <w:szCs w:val="22"/>
        </w:rPr>
        <w:t>Governança corporativa</w:t>
      </w:r>
    </w:p>
    <w:p w:rsidR="0020474E" w:rsidRPr="0035727D" w:rsidRDefault="00F80CDE" w:rsidP="0035727D">
      <w:pPr>
        <w:pStyle w:val="NormalWeb"/>
        <w:numPr>
          <w:ilvl w:val="0"/>
          <w:numId w:val="20"/>
        </w:numPr>
        <w:spacing w:before="0" w:beforeAutospacing="0" w:after="0" w:afterAutospacing="0"/>
        <w:jc w:val="both"/>
        <w:textAlignment w:val="center"/>
        <w:rPr>
          <w:rFonts w:ascii="Arial" w:hAnsi="Arial" w:cs="Arial"/>
          <w:sz w:val="22"/>
          <w:szCs w:val="22"/>
          <w:lang w:val="pt-BR"/>
        </w:rPr>
      </w:pPr>
      <w:r w:rsidRPr="0035727D">
        <w:rPr>
          <w:rFonts w:ascii="Arial" w:hAnsi="Arial" w:cs="Arial"/>
          <w:sz w:val="22"/>
          <w:szCs w:val="22"/>
        </w:rPr>
        <w:t>Outro</w:t>
      </w:r>
      <w:r w:rsidR="0020474E" w:rsidRPr="0035727D">
        <w:rPr>
          <w:rFonts w:ascii="Arial" w:hAnsi="Arial" w:cs="Arial"/>
          <w:sz w:val="22"/>
          <w:szCs w:val="22"/>
        </w:rPr>
        <w:t>s assuntos</w:t>
      </w:r>
    </w:p>
    <w:p w:rsidR="0020474E" w:rsidRPr="0035727D" w:rsidRDefault="0020474E" w:rsidP="0035727D">
      <w:pPr>
        <w:spacing w:after="0" w:line="240" w:lineRule="auto"/>
        <w:jc w:val="both"/>
        <w:rPr>
          <w:rFonts w:ascii="Arial" w:hAnsi="Arial" w:cs="Arial"/>
          <w:lang w:val="pt-BR"/>
        </w:rPr>
      </w:pPr>
    </w:p>
    <w:p w:rsidR="00F430F7" w:rsidRPr="0035727D" w:rsidRDefault="00F430F7" w:rsidP="00970064">
      <w:pPr>
        <w:pStyle w:val="Heading2"/>
        <w:numPr>
          <w:ilvl w:val="0"/>
          <w:numId w:val="3"/>
        </w:numPr>
        <w:spacing w:before="0" w:line="240" w:lineRule="auto"/>
        <w:ind w:left="360"/>
        <w:jc w:val="both"/>
        <w:rPr>
          <w:rFonts w:ascii="Arial" w:hAnsi="Arial" w:cs="Arial"/>
          <w:sz w:val="22"/>
          <w:szCs w:val="22"/>
          <w:lang w:val="pt-BR"/>
        </w:rPr>
      </w:pPr>
      <w:r w:rsidRPr="0035727D">
        <w:rPr>
          <w:rFonts w:ascii="Arial" w:hAnsi="Arial" w:cs="Arial"/>
          <w:sz w:val="22"/>
          <w:szCs w:val="22"/>
          <w:lang w:val="pt-BR"/>
        </w:rPr>
        <w:t>Desempenho Operacional Recente</w:t>
      </w:r>
      <w:r w:rsidRPr="0035727D">
        <w:rPr>
          <w:rStyle w:val="FootnoteReference"/>
          <w:rFonts w:ascii="Arial" w:hAnsi="Arial" w:cs="Arial"/>
          <w:sz w:val="22"/>
          <w:szCs w:val="22"/>
          <w:lang w:val="pt-BR"/>
        </w:rPr>
        <w:footnoteReference w:id="9"/>
      </w:r>
    </w:p>
    <w:p w:rsidR="00D360B6" w:rsidRPr="0035727D" w:rsidRDefault="00D360B6" w:rsidP="0035727D">
      <w:pPr>
        <w:spacing w:after="0" w:line="240" w:lineRule="auto"/>
        <w:jc w:val="both"/>
        <w:rPr>
          <w:rFonts w:ascii="Arial" w:hAnsi="Arial" w:cs="Arial"/>
          <w:lang w:val="pt-BR"/>
        </w:rPr>
      </w:pPr>
    </w:p>
    <w:p w:rsidR="00443872" w:rsidRPr="0035727D" w:rsidRDefault="00443872" w:rsidP="0035727D">
      <w:pPr>
        <w:spacing w:after="0" w:line="240" w:lineRule="auto"/>
        <w:jc w:val="both"/>
        <w:rPr>
          <w:rFonts w:ascii="Arial" w:hAnsi="Arial" w:cs="Arial"/>
          <w:lang w:val="pt-BR"/>
        </w:rPr>
      </w:pPr>
      <w:r w:rsidRPr="0035727D">
        <w:rPr>
          <w:rFonts w:ascii="Arial" w:hAnsi="Arial" w:cs="Arial"/>
          <w:lang w:val="pt-BR"/>
        </w:rPr>
        <w:t>Depois de mais de uma década de forte cre</w:t>
      </w:r>
      <w:r w:rsidR="00D20086" w:rsidRPr="0035727D">
        <w:rPr>
          <w:rFonts w:ascii="Arial" w:hAnsi="Arial" w:cs="Arial"/>
          <w:lang w:val="pt-BR"/>
        </w:rPr>
        <w:t>s</w:t>
      </w:r>
      <w:r w:rsidRPr="0035727D">
        <w:rPr>
          <w:rFonts w:ascii="Arial" w:hAnsi="Arial" w:cs="Arial"/>
          <w:lang w:val="pt-BR"/>
        </w:rPr>
        <w:t>cimento nos níveis de desembolso, que praticamente triplicaram entre 2006 e 2012. Os anos de 2014, 2015 e 2016 devem sinalizar para um período de 3 anos sucessivos com redução nos desembolsos do BNDES.</w:t>
      </w:r>
    </w:p>
    <w:p w:rsidR="00970064" w:rsidRDefault="00970064" w:rsidP="0035727D">
      <w:pPr>
        <w:spacing w:after="0" w:line="240" w:lineRule="auto"/>
        <w:jc w:val="both"/>
        <w:rPr>
          <w:rFonts w:ascii="Arial" w:hAnsi="Arial" w:cs="Arial"/>
          <w:lang w:val="pt-BR"/>
        </w:rPr>
      </w:pPr>
    </w:p>
    <w:p w:rsidR="00F430F7" w:rsidRPr="0035727D" w:rsidRDefault="00F430F7" w:rsidP="0035727D">
      <w:pPr>
        <w:spacing w:after="0" w:line="240" w:lineRule="auto"/>
        <w:jc w:val="both"/>
        <w:rPr>
          <w:rFonts w:ascii="Arial" w:hAnsi="Arial" w:cs="Arial"/>
          <w:lang w:val="pt-BR"/>
        </w:rPr>
      </w:pPr>
      <w:r w:rsidRPr="0035727D">
        <w:rPr>
          <w:rFonts w:ascii="Arial" w:hAnsi="Arial" w:cs="Arial"/>
          <w:lang w:val="pt-BR"/>
        </w:rPr>
        <w:t xml:space="preserve">Nos seis primeiros meses de 2016 os desembolsos do BNDES acumularam R$40,1 bilhões. A maior parte dos recursos foi para projetos do setor de Infraestrutura, que receberam R$ 12,9 bilhões, ou 32,3% do total desembolsado. Em seguida, vieram os setores da Indústria, com R$11,8 bilhões (participação de 29,5%), Comércio e Serviços (R$8,7 bilhões) e Agropecuária (R$6,6 bilhões). </w:t>
      </w:r>
    </w:p>
    <w:p w:rsidR="001D6E1E" w:rsidRDefault="001D6E1E" w:rsidP="0035727D">
      <w:pPr>
        <w:spacing w:after="0" w:line="240" w:lineRule="auto"/>
        <w:jc w:val="both"/>
        <w:rPr>
          <w:rFonts w:ascii="Arial" w:hAnsi="Arial" w:cs="Arial"/>
          <w:lang w:val="pt-BR"/>
        </w:rPr>
      </w:pPr>
    </w:p>
    <w:p w:rsidR="00F430F7" w:rsidRPr="0035727D" w:rsidRDefault="00F430F7" w:rsidP="0035727D">
      <w:pPr>
        <w:spacing w:after="0" w:line="240" w:lineRule="auto"/>
        <w:jc w:val="both"/>
        <w:rPr>
          <w:rFonts w:ascii="Arial" w:hAnsi="Arial" w:cs="Arial"/>
          <w:lang w:val="pt-BR"/>
        </w:rPr>
      </w:pPr>
      <w:r w:rsidRPr="0035727D">
        <w:rPr>
          <w:rFonts w:ascii="Arial" w:hAnsi="Arial" w:cs="Arial"/>
          <w:lang w:val="pt-BR"/>
        </w:rPr>
        <w:t>O valor desembolsado é 42% menor na comparação com igual período do ano passado, e devem alcançar neste ano níveis operacionais aproximados àqueles observados nos anos de 2007 e 2008, conforme apresentado no Gráfico 1.</w:t>
      </w:r>
    </w:p>
    <w:p w:rsidR="00970064" w:rsidRDefault="00970064" w:rsidP="0035727D">
      <w:pPr>
        <w:spacing w:after="0" w:line="240" w:lineRule="auto"/>
        <w:jc w:val="both"/>
        <w:rPr>
          <w:rFonts w:ascii="Arial" w:hAnsi="Arial" w:cs="Arial"/>
          <w:b/>
          <w:sz w:val="20"/>
          <w:szCs w:val="20"/>
          <w:u w:val="single"/>
          <w:lang w:val="pt-BR"/>
        </w:rPr>
      </w:pPr>
    </w:p>
    <w:p w:rsidR="009E533D" w:rsidRDefault="009E533D" w:rsidP="0035727D">
      <w:pPr>
        <w:spacing w:after="0" w:line="240" w:lineRule="auto"/>
        <w:jc w:val="both"/>
        <w:rPr>
          <w:rFonts w:ascii="Arial" w:hAnsi="Arial" w:cs="Arial"/>
          <w:b/>
          <w:sz w:val="20"/>
          <w:szCs w:val="20"/>
          <w:u w:val="single"/>
          <w:lang w:val="pt-BR"/>
        </w:rPr>
      </w:pPr>
    </w:p>
    <w:p w:rsidR="009E533D" w:rsidRDefault="009E533D" w:rsidP="0035727D">
      <w:pPr>
        <w:spacing w:after="0" w:line="240" w:lineRule="auto"/>
        <w:jc w:val="both"/>
        <w:rPr>
          <w:rFonts w:ascii="Arial" w:hAnsi="Arial" w:cs="Arial"/>
          <w:b/>
          <w:sz w:val="20"/>
          <w:szCs w:val="20"/>
          <w:u w:val="single"/>
          <w:lang w:val="pt-BR"/>
        </w:rPr>
      </w:pPr>
    </w:p>
    <w:p w:rsidR="009E533D" w:rsidRDefault="009E533D" w:rsidP="0035727D">
      <w:pPr>
        <w:spacing w:after="0" w:line="240" w:lineRule="auto"/>
        <w:jc w:val="both"/>
        <w:rPr>
          <w:rFonts w:ascii="Arial" w:hAnsi="Arial" w:cs="Arial"/>
          <w:b/>
          <w:sz w:val="20"/>
          <w:szCs w:val="20"/>
          <w:u w:val="single"/>
          <w:lang w:val="pt-BR"/>
        </w:rPr>
      </w:pPr>
    </w:p>
    <w:p w:rsidR="009E533D" w:rsidRDefault="009E533D" w:rsidP="0035727D">
      <w:pPr>
        <w:spacing w:after="0" w:line="240" w:lineRule="auto"/>
        <w:jc w:val="both"/>
        <w:rPr>
          <w:rFonts w:ascii="Arial" w:hAnsi="Arial" w:cs="Arial"/>
          <w:b/>
          <w:sz w:val="20"/>
          <w:szCs w:val="20"/>
          <w:u w:val="single"/>
          <w:lang w:val="pt-BR"/>
        </w:rPr>
      </w:pPr>
    </w:p>
    <w:p w:rsidR="009E533D" w:rsidRDefault="009E533D" w:rsidP="0035727D">
      <w:pPr>
        <w:spacing w:after="0" w:line="240" w:lineRule="auto"/>
        <w:jc w:val="both"/>
        <w:rPr>
          <w:rFonts w:ascii="Arial" w:hAnsi="Arial" w:cs="Arial"/>
          <w:b/>
          <w:sz w:val="20"/>
          <w:szCs w:val="20"/>
          <w:u w:val="single"/>
          <w:lang w:val="pt-BR"/>
        </w:rPr>
      </w:pPr>
    </w:p>
    <w:p w:rsidR="009E533D" w:rsidRDefault="009E533D" w:rsidP="0035727D">
      <w:pPr>
        <w:spacing w:after="0" w:line="240" w:lineRule="auto"/>
        <w:jc w:val="both"/>
        <w:rPr>
          <w:rFonts w:ascii="Arial" w:hAnsi="Arial" w:cs="Arial"/>
          <w:b/>
          <w:sz w:val="20"/>
          <w:szCs w:val="20"/>
          <w:u w:val="single"/>
          <w:lang w:val="pt-BR"/>
        </w:rPr>
      </w:pPr>
    </w:p>
    <w:p w:rsidR="00F430F7" w:rsidRPr="00970064" w:rsidRDefault="00F430F7" w:rsidP="00970064">
      <w:pPr>
        <w:spacing w:after="0" w:line="240" w:lineRule="auto"/>
        <w:jc w:val="center"/>
        <w:rPr>
          <w:rFonts w:ascii="Arial" w:hAnsi="Arial" w:cs="Arial"/>
          <w:b/>
          <w:sz w:val="20"/>
          <w:szCs w:val="20"/>
          <w:lang w:val="pt-BR"/>
        </w:rPr>
      </w:pPr>
      <w:r w:rsidRPr="00970064">
        <w:rPr>
          <w:rFonts w:ascii="Arial" w:hAnsi="Arial" w:cs="Arial"/>
          <w:b/>
          <w:sz w:val="20"/>
          <w:szCs w:val="20"/>
          <w:u w:val="single"/>
          <w:lang w:val="pt-BR"/>
        </w:rPr>
        <w:lastRenderedPageBreak/>
        <w:t>Gráfico 1</w:t>
      </w:r>
      <w:r w:rsidRPr="00970064">
        <w:rPr>
          <w:rFonts w:ascii="Arial" w:hAnsi="Arial" w:cs="Arial"/>
          <w:b/>
          <w:sz w:val="20"/>
          <w:szCs w:val="20"/>
          <w:lang w:val="pt-BR"/>
        </w:rPr>
        <w:t>. Evolução dos Desembolsos BNDES (2007-2016p)</w:t>
      </w:r>
    </w:p>
    <w:p w:rsidR="00F430F7" w:rsidRPr="0035727D" w:rsidRDefault="00F430F7" w:rsidP="00970064">
      <w:pPr>
        <w:spacing w:after="0" w:line="240" w:lineRule="auto"/>
        <w:jc w:val="center"/>
        <w:rPr>
          <w:rFonts w:ascii="Arial" w:hAnsi="Arial" w:cs="Arial"/>
          <w:b/>
          <w:lang w:val="pt-BR"/>
        </w:rPr>
      </w:pPr>
      <w:r w:rsidRPr="0035727D">
        <w:rPr>
          <w:rFonts w:ascii="Arial" w:hAnsi="Arial" w:cs="Arial"/>
          <w:noProof/>
        </w:rPr>
        <w:drawing>
          <wp:inline distT="0" distB="0" distL="0" distR="0" wp14:anchorId="525E8FBC" wp14:editId="10BCFDEF">
            <wp:extent cx="4302612" cy="2030870"/>
            <wp:effectExtent l="19050" t="19050" r="22225" b="2667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315496" cy="2036951"/>
                    </a:xfrm>
                    <a:prstGeom prst="rect">
                      <a:avLst/>
                    </a:prstGeom>
                    <a:ln>
                      <a:solidFill>
                        <a:schemeClr val="accent1"/>
                      </a:solidFill>
                    </a:ln>
                  </pic:spPr>
                </pic:pic>
              </a:graphicData>
            </a:graphic>
          </wp:inline>
        </w:drawing>
      </w:r>
    </w:p>
    <w:p w:rsidR="00A248D7" w:rsidRPr="00970064" w:rsidRDefault="00A248D7" w:rsidP="0035727D">
      <w:pPr>
        <w:spacing w:after="0" w:line="240" w:lineRule="auto"/>
        <w:ind w:firstLine="720"/>
        <w:jc w:val="both"/>
        <w:rPr>
          <w:rFonts w:ascii="Arial" w:hAnsi="Arial" w:cs="Arial"/>
          <w:b/>
          <w:sz w:val="16"/>
          <w:szCs w:val="16"/>
          <w:lang w:val="pt-BR"/>
        </w:rPr>
      </w:pPr>
      <w:r w:rsidRPr="00970064">
        <w:rPr>
          <w:rFonts w:ascii="Arial" w:hAnsi="Arial" w:cs="Arial"/>
          <w:b/>
          <w:sz w:val="16"/>
          <w:szCs w:val="16"/>
          <w:lang w:val="pt-BR"/>
        </w:rPr>
        <w:t xml:space="preserve">      </w:t>
      </w:r>
      <w:r w:rsidRPr="00970064">
        <w:rPr>
          <w:rFonts w:ascii="Arial" w:hAnsi="Arial" w:cs="Arial"/>
          <w:b/>
          <w:sz w:val="16"/>
          <w:szCs w:val="16"/>
          <w:u w:val="single"/>
          <w:lang w:val="pt-BR"/>
        </w:rPr>
        <w:t>FONTE</w:t>
      </w:r>
      <w:r w:rsidRPr="00970064">
        <w:rPr>
          <w:rFonts w:ascii="Arial" w:hAnsi="Arial" w:cs="Arial"/>
          <w:b/>
          <w:sz w:val="16"/>
          <w:szCs w:val="16"/>
          <w:lang w:val="pt-BR"/>
        </w:rPr>
        <w:t>: BNDES, Séries históricas.</w:t>
      </w:r>
    </w:p>
    <w:p w:rsidR="00970064" w:rsidRDefault="00970064" w:rsidP="0035727D">
      <w:pPr>
        <w:spacing w:after="0" w:line="240" w:lineRule="auto"/>
        <w:jc w:val="both"/>
        <w:rPr>
          <w:rFonts w:ascii="Arial" w:hAnsi="Arial" w:cs="Arial"/>
          <w:lang w:val="pt-BR"/>
        </w:rPr>
      </w:pPr>
    </w:p>
    <w:p w:rsidR="00F430F7" w:rsidRPr="0035727D" w:rsidRDefault="00F430F7" w:rsidP="0035727D">
      <w:pPr>
        <w:spacing w:after="0" w:line="240" w:lineRule="auto"/>
        <w:jc w:val="both"/>
        <w:rPr>
          <w:rFonts w:ascii="Arial" w:hAnsi="Arial" w:cs="Arial"/>
          <w:lang w:val="pt-BR"/>
        </w:rPr>
      </w:pPr>
      <w:r w:rsidRPr="0035727D">
        <w:rPr>
          <w:rFonts w:ascii="Arial" w:hAnsi="Arial" w:cs="Arial"/>
          <w:lang w:val="pt-BR"/>
        </w:rPr>
        <w:t>As consultas e as aprovações (etapas da análise de um financiamento no BNDES, antes dos desembolsos) passam por uma fase de acomodação, sugerindo possível recuperação no nível de atividade da economia</w:t>
      </w:r>
      <w:r w:rsidR="00443872" w:rsidRPr="0035727D">
        <w:rPr>
          <w:rFonts w:ascii="Arial" w:hAnsi="Arial" w:cs="Arial"/>
          <w:lang w:val="pt-BR"/>
        </w:rPr>
        <w:t xml:space="preserve"> nos próximos meses, e uma potencial retomada do crescimento dos desembolsos</w:t>
      </w:r>
      <w:r w:rsidRPr="0035727D">
        <w:rPr>
          <w:rFonts w:ascii="Arial" w:hAnsi="Arial" w:cs="Arial"/>
          <w:lang w:val="pt-BR"/>
        </w:rPr>
        <w:t xml:space="preserve">. </w:t>
      </w:r>
    </w:p>
    <w:p w:rsidR="00970064" w:rsidRDefault="00970064" w:rsidP="0035727D">
      <w:pPr>
        <w:spacing w:after="0" w:line="240" w:lineRule="auto"/>
        <w:jc w:val="both"/>
        <w:rPr>
          <w:rFonts w:ascii="Arial" w:hAnsi="Arial" w:cs="Arial"/>
          <w:lang w:val="pt-BR"/>
        </w:rPr>
      </w:pPr>
    </w:p>
    <w:p w:rsidR="00F430F7" w:rsidRPr="0035727D" w:rsidRDefault="00F430F7" w:rsidP="0035727D">
      <w:pPr>
        <w:spacing w:after="0" w:line="240" w:lineRule="auto"/>
        <w:jc w:val="both"/>
        <w:rPr>
          <w:rFonts w:ascii="Arial" w:hAnsi="Arial" w:cs="Arial"/>
          <w:lang w:val="pt-BR"/>
        </w:rPr>
      </w:pPr>
      <w:r w:rsidRPr="0035727D">
        <w:rPr>
          <w:rFonts w:ascii="Arial" w:hAnsi="Arial" w:cs="Arial"/>
          <w:lang w:val="pt-BR"/>
        </w:rPr>
        <w:t>De janeiro a junho de 2016, as consultas por novos financiamentos, no total de R$56,4 bilhões, tiveram recuo de um por cento na comparação com igual período de 2015, em termos nominais, indicando desaceleração no ritmo de queda. Já as aprovações, que vinham apresentando declínios sucessivos, reagiram e registraram aumento de um por cento no acumulado do primeiro semestre do ano, atingindo R$ 43,9 bilhões, também a preços correntes. As consultas e aprovações são estágios que apontam o comportamento futuro dos desembolsos do BNDES.</w:t>
      </w:r>
    </w:p>
    <w:p w:rsidR="00970064" w:rsidRDefault="00970064" w:rsidP="0035727D">
      <w:pPr>
        <w:spacing w:after="0" w:line="240" w:lineRule="auto"/>
        <w:jc w:val="both"/>
        <w:rPr>
          <w:rFonts w:ascii="Arial" w:hAnsi="Arial" w:cs="Arial"/>
          <w:lang w:val="pt-BR"/>
        </w:rPr>
      </w:pPr>
    </w:p>
    <w:p w:rsidR="00F430F7" w:rsidRPr="0035727D" w:rsidRDefault="00F430F7" w:rsidP="0035727D">
      <w:pPr>
        <w:spacing w:after="0" w:line="240" w:lineRule="auto"/>
        <w:jc w:val="both"/>
        <w:rPr>
          <w:rFonts w:ascii="Arial" w:hAnsi="Arial" w:cs="Arial"/>
          <w:lang w:val="pt-BR"/>
        </w:rPr>
      </w:pPr>
      <w:r w:rsidRPr="0035727D">
        <w:rPr>
          <w:rFonts w:ascii="Arial" w:hAnsi="Arial" w:cs="Arial"/>
          <w:lang w:val="pt-BR"/>
        </w:rPr>
        <w:t>A tendência desses indicadores se tornará mais nítida nos próximos meses</w:t>
      </w:r>
      <w:r w:rsidR="00443872" w:rsidRPr="0035727D">
        <w:rPr>
          <w:rFonts w:ascii="Arial" w:hAnsi="Arial" w:cs="Arial"/>
          <w:lang w:val="pt-BR"/>
        </w:rPr>
        <w:t xml:space="preserve"> de 2016</w:t>
      </w:r>
      <w:r w:rsidRPr="0035727D">
        <w:rPr>
          <w:rFonts w:ascii="Arial" w:hAnsi="Arial" w:cs="Arial"/>
          <w:lang w:val="pt-BR"/>
        </w:rPr>
        <w:t xml:space="preserve">, quando já estarão refletindo as novas políticas operacionais (POs) do BNDES, atualmente em fase de revisão. </w:t>
      </w:r>
      <w:r w:rsidR="00443872" w:rsidRPr="0035727D">
        <w:rPr>
          <w:rFonts w:ascii="Arial" w:hAnsi="Arial" w:cs="Arial"/>
          <w:lang w:val="pt-BR"/>
        </w:rPr>
        <w:t xml:space="preserve"> </w:t>
      </w:r>
      <w:r w:rsidRPr="0035727D">
        <w:rPr>
          <w:rFonts w:ascii="Arial" w:hAnsi="Arial" w:cs="Arial"/>
          <w:lang w:val="pt-BR"/>
        </w:rPr>
        <w:t>Conforme já sinalizado pela nova Diretoria do Banco — e a exemplo do que já foi anunciado para o setor de transmissão de energia elétrica —, as POs abrirão maior espaço para a complementação de financiamentos com mecanismos de mercado.</w:t>
      </w:r>
    </w:p>
    <w:p w:rsidR="00970064" w:rsidRDefault="00970064" w:rsidP="0035727D">
      <w:pPr>
        <w:spacing w:after="0" w:line="240" w:lineRule="auto"/>
        <w:jc w:val="both"/>
        <w:rPr>
          <w:rFonts w:ascii="Arial" w:hAnsi="Arial" w:cs="Arial"/>
          <w:lang w:val="pt-BR"/>
        </w:rPr>
      </w:pPr>
    </w:p>
    <w:p w:rsidR="00443872" w:rsidRDefault="00443872" w:rsidP="0035727D">
      <w:pPr>
        <w:spacing w:after="0" w:line="240" w:lineRule="auto"/>
        <w:jc w:val="both"/>
        <w:rPr>
          <w:rFonts w:ascii="Arial" w:hAnsi="Arial" w:cs="Arial"/>
          <w:lang w:val="pt-BR"/>
        </w:rPr>
      </w:pPr>
      <w:r w:rsidRPr="0035727D">
        <w:rPr>
          <w:rFonts w:ascii="Arial" w:hAnsi="Arial" w:cs="Arial"/>
          <w:lang w:val="pt-BR"/>
        </w:rPr>
        <w:t>A seguir são analisados o desempenho do BNDES para os segmentos mais relevantes:</w:t>
      </w:r>
    </w:p>
    <w:p w:rsidR="00970064" w:rsidRPr="0035727D" w:rsidRDefault="00970064" w:rsidP="0035727D">
      <w:pPr>
        <w:spacing w:after="0" w:line="240" w:lineRule="auto"/>
        <w:jc w:val="both"/>
        <w:rPr>
          <w:rFonts w:ascii="Arial" w:hAnsi="Arial" w:cs="Arial"/>
          <w:lang w:val="pt-BR"/>
        </w:rPr>
      </w:pPr>
    </w:p>
    <w:p w:rsidR="00F576FB" w:rsidRPr="0035727D" w:rsidRDefault="00F430F7" w:rsidP="00970064">
      <w:pPr>
        <w:pStyle w:val="ListParagraph"/>
        <w:numPr>
          <w:ilvl w:val="0"/>
          <w:numId w:val="21"/>
        </w:numPr>
        <w:tabs>
          <w:tab w:val="clear" w:pos="720"/>
        </w:tabs>
        <w:spacing w:after="0" w:line="240" w:lineRule="auto"/>
        <w:ind w:left="360"/>
        <w:jc w:val="both"/>
        <w:rPr>
          <w:rFonts w:ascii="Arial" w:hAnsi="Arial" w:cs="Arial"/>
          <w:lang w:val="pt-BR"/>
        </w:rPr>
      </w:pPr>
      <w:r w:rsidRPr="0035727D">
        <w:rPr>
          <w:rFonts w:ascii="Arial" w:hAnsi="Arial" w:cs="Arial"/>
          <w:u w:val="single"/>
          <w:lang w:val="pt-BR"/>
        </w:rPr>
        <w:t>Indústria</w:t>
      </w:r>
      <w:r w:rsidRPr="0035727D">
        <w:rPr>
          <w:rFonts w:ascii="Arial" w:hAnsi="Arial" w:cs="Arial"/>
          <w:lang w:val="pt-BR"/>
        </w:rPr>
        <w:t xml:space="preserve"> – A Indústria foi a maior responsável pela dinâmica do comportamento das consultas e das aprovações no primeiro semestre de</w:t>
      </w:r>
      <w:r w:rsidR="00F576FB" w:rsidRPr="0035727D">
        <w:rPr>
          <w:rFonts w:ascii="Arial" w:hAnsi="Arial" w:cs="Arial"/>
          <w:lang w:val="pt-BR"/>
        </w:rPr>
        <w:t xml:space="preserve"> 2016</w:t>
      </w:r>
      <w:r w:rsidRPr="0035727D">
        <w:rPr>
          <w:rFonts w:ascii="Arial" w:hAnsi="Arial" w:cs="Arial"/>
          <w:lang w:val="pt-BR"/>
        </w:rPr>
        <w:t>. No setor industrial, as consultas cresceram 35% no período, acumulando R$ 20 bilhões. O destaque foi material de transporte, com R$ 12,9 bilhões e alta de 92,4% na comparação semestral. Os segmentos de metalurgia e mecânica também tiveram resultados positivos.  Da mesma forma, as aprovações na Indústria tiveram expansão de 33%, alcançando R$ 16,8 bilhões no período. Também nas aprovações, a liderança coube a material de transporte, com R$ 8,9 bilhões em novos projetos, seguido por celulose e papel (R$ 2,5 bilhões).</w:t>
      </w:r>
    </w:p>
    <w:p w:rsidR="00A248D7" w:rsidRPr="0035727D" w:rsidRDefault="00A248D7" w:rsidP="00970064">
      <w:pPr>
        <w:pStyle w:val="ListParagraph"/>
        <w:spacing w:after="0" w:line="240" w:lineRule="auto"/>
        <w:ind w:left="360"/>
        <w:jc w:val="both"/>
        <w:rPr>
          <w:rFonts w:ascii="Arial" w:hAnsi="Arial" w:cs="Arial"/>
          <w:lang w:val="pt-BR"/>
        </w:rPr>
      </w:pPr>
    </w:p>
    <w:p w:rsidR="00F576FB" w:rsidRPr="0035727D" w:rsidRDefault="00F430F7" w:rsidP="00970064">
      <w:pPr>
        <w:pStyle w:val="ListParagraph"/>
        <w:numPr>
          <w:ilvl w:val="0"/>
          <w:numId w:val="21"/>
        </w:numPr>
        <w:tabs>
          <w:tab w:val="clear" w:pos="720"/>
        </w:tabs>
        <w:spacing w:after="0" w:line="240" w:lineRule="auto"/>
        <w:ind w:left="360"/>
        <w:jc w:val="both"/>
        <w:rPr>
          <w:rFonts w:ascii="Arial" w:hAnsi="Arial" w:cs="Arial"/>
          <w:lang w:val="pt-BR"/>
        </w:rPr>
      </w:pPr>
      <w:r w:rsidRPr="0035727D">
        <w:rPr>
          <w:rFonts w:ascii="Arial" w:hAnsi="Arial" w:cs="Arial"/>
          <w:u w:val="single"/>
          <w:lang w:val="pt-BR"/>
        </w:rPr>
        <w:t>Infraestrutura</w:t>
      </w:r>
      <w:r w:rsidRPr="0035727D">
        <w:rPr>
          <w:rFonts w:ascii="Arial" w:hAnsi="Arial" w:cs="Arial"/>
          <w:lang w:val="pt-BR"/>
        </w:rPr>
        <w:t xml:space="preserve"> – </w:t>
      </w:r>
      <w:r w:rsidR="00F576FB" w:rsidRPr="0035727D">
        <w:rPr>
          <w:rFonts w:ascii="Arial" w:hAnsi="Arial" w:cs="Arial"/>
          <w:lang w:val="pt-BR"/>
        </w:rPr>
        <w:t>Por sua vez</w:t>
      </w:r>
      <w:r w:rsidRPr="0035727D">
        <w:rPr>
          <w:rFonts w:ascii="Arial" w:hAnsi="Arial" w:cs="Arial"/>
          <w:lang w:val="pt-BR"/>
        </w:rPr>
        <w:t xml:space="preserve">, as consultas no setor de Infraestrutura ainda registraram queda, de 22%, acumulando R$19,3 bilhões no primeiro semestre do ano. As aprovações, porém, inverteram sinais: tiveram aumento de um por cento, </w:t>
      </w:r>
      <w:r w:rsidRPr="0035727D">
        <w:rPr>
          <w:rFonts w:ascii="Arial" w:hAnsi="Arial" w:cs="Arial"/>
          <w:lang w:val="pt-BR"/>
        </w:rPr>
        <w:lastRenderedPageBreak/>
        <w:t>com R$13 bilhões em janeiro/junho último.</w:t>
      </w:r>
      <w:r w:rsidR="00F576FB" w:rsidRPr="0035727D">
        <w:rPr>
          <w:rFonts w:ascii="Arial" w:hAnsi="Arial" w:cs="Arial"/>
          <w:lang w:val="pt-BR"/>
        </w:rPr>
        <w:t xml:space="preserve"> </w:t>
      </w:r>
      <w:r w:rsidRPr="0035727D">
        <w:rPr>
          <w:rFonts w:ascii="Arial" w:hAnsi="Arial" w:cs="Arial"/>
          <w:lang w:val="pt-BR"/>
        </w:rPr>
        <w:t xml:space="preserve">Os destaques neste caso foram as aprovações nos segmentos de construção e atividade auxiliar de transporte. Na construção, onde estão classificados alguns dos projetos de mobilidade urbana, as aprovações cresceram 512%, acumulando R$1 bilhão em janeiro/junho passado. Na atividade auxiliar de transporte, categoria que reúne projetos de concessão na área de logística, foram aprovados R$3,9 bilhões (alta de 98%). Também as aprovações de novos projetos de energia elétrica, </w:t>
      </w:r>
      <w:r w:rsidR="00F576FB" w:rsidRPr="0035727D">
        <w:rPr>
          <w:rFonts w:ascii="Arial" w:hAnsi="Arial" w:cs="Arial"/>
          <w:lang w:val="pt-BR"/>
        </w:rPr>
        <w:t xml:space="preserve">por um </w:t>
      </w:r>
      <w:r w:rsidRPr="0035727D">
        <w:rPr>
          <w:rFonts w:ascii="Arial" w:hAnsi="Arial" w:cs="Arial"/>
          <w:lang w:val="pt-BR"/>
        </w:rPr>
        <w:t>total de R$4,2 bilhões (crescimento de 21%), deram importante contribuição ao setor de Infraestrutura nos primeiros seis meses deste ano.</w:t>
      </w:r>
      <w:r w:rsidR="00F576FB" w:rsidRPr="0035727D">
        <w:rPr>
          <w:rFonts w:ascii="Arial" w:hAnsi="Arial" w:cs="Arial"/>
          <w:lang w:val="pt-BR"/>
        </w:rPr>
        <w:t xml:space="preserve"> </w:t>
      </w:r>
      <w:r w:rsidRPr="0035727D">
        <w:rPr>
          <w:rFonts w:ascii="Arial" w:hAnsi="Arial" w:cs="Arial"/>
          <w:lang w:val="pt-BR"/>
        </w:rPr>
        <w:t>A posição do BNDES de principal agente financiador dos investimentos no campo se refletiu ainda no desempenho das aprovações do setor da agropecuária. Estas atingiram R$7,5 bilhões em janeiro/junho passado, com crescimento de 3%.</w:t>
      </w:r>
    </w:p>
    <w:p w:rsidR="00A248D7" w:rsidRPr="0035727D" w:rsidRDefault="00A248D7" w:rsidP="00970064">
      <w:pPr>
        <w:pStyle w:val="ListParagraph"/>
        <w:spacing w:after="0" w:line="240" w:lineRule="auto"/>
        <w:ind w:left="360"/>
        <w:jc w:val="both"/>
        <w:rPr>
          <w:rFonts w:ascii="Arial" w:hAnsi="Arial" w:cs="Arial"/>
          <w:lang w:val="pt-BR"/>
        </w:rPr>
      </w:pPr>
    </w:p>
    <w:p w:rsidR="00F430F7" w:rsidRPr="0035727D" w:rsidRDefault="00F430F7" w:rsidP="00970064">
      <w:pPr>
        <w:pStyle w:val="ListParagraph"/>
        <w:numPr>
          <w:ilvl w:val="0"/>
          <w:numId w:val="21"/>
        </w:numPr>
        <w:tabs>
          <w:tab w:val="clear" w:pos="720"/>
        </w:tabs>
        <w:spacing w:after="0" w:line="240" w:lineRule="auto"/>
        <w:ind w:left="360"/>
        <w:jc w:val="both"/>
        <w:rPr>
          <w:rFonts w:ascii="Arial" w:hAnsi="Arial" w:cs="Arial"/>
          <w:lang w:val="pt-BR"/>
        </w:rPr>
      </w:pPr>
      <w:r w:rsidRPr="0035727D">
        <w:rPr>
          <w:rFonts w:ascii="Arial" w:hAnsi="Arial" w:cs="Arial"/>
          <w:u w:val="single"/>
          <w:lang w:val="pt-BR"/>
        </w:rPr>
        <w:t>MPMEs</w:t>
      </w:r>
      <w:r w:rsidRPr="0035727D">
        <w:rPr>
          <w:rFonts w:ascii="Arial" w:hAnsi="Arial" w:cs="Arial"/>
          <w:lang w:val="pt-BR"/>
        </w:rPr>
        <w:t xml:space="preserve"> – No primeiro semestre do ano, os desembolsos do BNDES às micro, pequenas e médias empresas acumularam R$13,8 bilhões. Isso significa que as empresas de menor porte responderam por 34,4% dos desembolsos totais do Banco no período. </w:t>
      </w:r>
      <w:r w:rsidR="00D20086" w:rsidRPr="0035727D">
        <w:rPr>
          <w:rFonts w:ascii="Arial" w:hAnsi="Arial" w:cs="Arial"/>
          <w:lang w:val="pt-BR"/>
        </w:rPr>
        <w:t xml:space="preserve"> </w:t>
      </w:r>
      <w:r w:rsidRPr="0035727D">
        <w:rPr>
          <w:rFonts w:ascii="Arial" w:hAnsi="Arial" w:cs="Arial"/>
          <w:lang w:val="pt-BR"/>
        </w:rPr>
        <w:t>No período, foram realizadas cerca de 312 mil operações com MPMEs (96% do total de operações efetuadas pelo Banco). O Cartão BNDES — instrumento de crédito destinado especificamente às empresas de menor porte —, com liberações de R$3,3 bilhões, envolvendo 243 mil operações, contribuiu para o resultado.</w:t>
      </w:r>
      <w:r w:rsidR="00D20086" w:rsidRPr="0035727D">
        <w:rPr>
          <w:rFonts w:ascii="Arial" w:hAnsi="Arial" w:cs="Arial"/>
          <w:lang w:val="pt-BR"/>
        </w:rPr>
        <w:t xml:space="preserve"> </w:t>
      </w:r>
    </w:p>
    <w:p w:rsidR="00A248D7" w:rsidRPr="0035727D" w:rsidRDefault="00A248D7" w:rsidP="0035727D">
      <w:pPr>
        <w:pStyle w:val="ListParagraph"/>
        <w:spacing w:after="0" w:line="240" w:lineRule="auto"/>
        <w:jc w:val="both"/>
        <w:rPr>
          <w:rFonts w:ascii="Arial" w:hAnsi="Arial" w:cs="Arial"/>
          <w:lang w:val="pt-BR"/>
        </w:rPr>
      </w:pPr>
    </w:p>
    <w:p w:rsidR="00123FAB" w:rsidRPr="0035727D" w:rsidRDefault="00123FAB" w:rsidP="00970064">
      <w:pPr>
        <w:pStyle w:val="Heading2"/>
        <w:numPr>
          <w:ilvl w:val="0"/>
          <w:numId w:val="3"/>
        </w:numPr>
        <w:spacing w:before="0" w:line="240" w:lineRule="auto"/>
        <w:ind w:left="360"/>
        <w:jc w:val="both"/>
        <w:rPr>
          <w:rFonts w:ascii="Arial" w:hAnsi="Arial" w:cs="Arial"/>
          <w:sz w:val="22"/>
          <w:szCs w:val="22"/>
          <w:lang w:val="pt-BR"/>
        </w:rPr>
      </w:pPr>
      <w:r w:rsidRPr="0035727D">
        <w:rPr>
          <w:rFonts w:ascii="Arial" w:hAnsi="Arial" w:cs="Arial"/>
          <w:sz w:val="22"/>
          <w:szCs w:val="22"/>
          <w:lang w:val="pt-BR"/>
        </w:rPr>
        <w:t>Desempenho Financeiro Recente</w:t>
      </w:r>
      <w:r w:rsidRPr="0035727D">
        <w:rPr>
          <w:rStyle w:val="FootnoteReference"/>
          <w:rFonts w:ascii="Arial" w:hAnsi="Arial" w:cs="Arial"/>
          <w:sz w:val="22"/>
          <w:szCs w:val="22"/>
          <w:lang w:val="pt-BR"/>
        </w:rPr>
        <w:footnoteReference w:id="10"/>
      </w:r>
    </w:p>
    <w:p w:rsidR="00123FAB" w:rsidRPr="0035727D" w:rsidRDefault="00123FAB" w:rsidP="0035727D">
      <w:pPr>
        <w:spacing w:after="0" w:line="240" w:lineRule="auto"/>
        <w:jc w:val="both"/>
        <w:rPr>
          <w:rFonts w:ascii="Arial" w:hAnsi="Arial" w:cs="Arial"/>
          <w:lang w:val="pt-BR"/>
        </w:rPr>
      </w:pPr>
    </w:p>
    <w:p w:rsidR="00123FAB" w:rsidRPr="0035727D" w:rsidRDefault="009375E3" w:rsidP="0035727D">
      <w:pPr>
        <w:spacing w:after="0" w:line="240" w:lineRule="auto"/>
        <w:jc w:val="both"/>
        <w:rPr>
          <w:rFonts w:ascii="Arial" w:hAnsi="Arial" w:cs="Arial"/>
          <w:lang w:val="pt-BR"/>
        </w:rPr>
      </w:pPr>
      <w:r w:rsidRPr="0035727D">
        <w:rPr>
          <w:rFonts w:ascii="Arial" w:hAnsi="Arial" w:cs="Arial"/>
          <w:lang w:val="pt-BR"/>
        </w:rPr>
        <w:t>A redução da demanda por crédito e a decorrente redução dos desembolsos, impactaram nosso no desempenho financeiro do BNDES</w:t>
      </w:r>
      <w:r w:rsidR="00123FAB" w:rsidRPr="0035727D">
        <w:rPr>
          <w:rFonts w:ascii="Arial" w:hAnsi="Arial" w:cs="Arial"/>
          <w:lang w:val="pt-BR"/>
        </w:rPr>
        <w:t>.</w:t>
      </w:r>
      <w:r w:rsidRPr="0035727D">
        <w:rPr>
          <w:rFonts w:ascii="Arial" w:hAnsi="Arial" w:cs="Arial"/>
          <w:lang w:val="pt-BR"/>
        </w:rPr>
        <w:t xml:space="preserve">  Do ponto de visto dos ativos, este desempenho </w:t>
      </w:r>
      <w:r w:rsidR="00A349C4" w:rsidRPr="0035727D">
        <w:rPr>
          <w:rFonts w:ascii="Arial" w:hAnsi="Arial" w:cs="Arial"/>
          <w:lang w:val="pt-BR"/>
        </w:rPr>
        <w:t xml:space="preserve">refletiu no encolhimento da carteira de crédito, conforme apresentado no Gráfico 2 a seguir. Porém, ficam em evidência dois importantes pontos, o patrimônio total do BNDES continua crescendo e mesmo reduzindo a participação da carteira de crédito no ativo total permanece alta, comparativamente </w:t>
      </w:r>
      <w:r w:rsidR="002405EA" w:rsidRPr="0035727D">
        <w:rPr>
          <w:rFonts w:ascii="Arial" w:hAnsi="Arial" w:cs="Arial"/>
          <w:lang w:val="pt-BR"/>
        </w:rPr>
        <w:t>com a mé</w:t>
      </w:r>
      <w:r w:rsidR="00A349C4" w:rsidRPr="0035727D">
        <w:rPr>
          <w:rFonts w:ascii="Arial" w:hAnsi="Arial" w:cs="Arial"/>
          <w:lang w:val="pt-BR"/>
        </w:rPr>
        <w:t>dia do sistema financeiro nacional (41,3% em dez 2014</w:t>
      </w:r>
      <w:r w:rsidR="00A349C4" w:rsidRPr="0035727D">
        <w:rPr>
          <w:rStyle w:val="FootnoteReference"/>
          <w:rFonts w:ascii="Arial" w:hAnsi="Arial" w:cs="Arial"/>
          <w:lang w:val="pt-BR"/>
        </w:rPr>
        <w:footnoteReference w:id="11"/>
      </w:r>
      <w:r w:rsidR="00A349C4" w:rsidRPr="0035727D">
        <w:rPr>
          <w:rFonts w:ascii="Arial" w:hAnsi="Arial" w:cs="Arial"/>
          <w:lang w:val="pt-BR"/>
        </w:rPr>
        <w:t>).</w:t>
      </w:r>
    </w:p>
    <w:p w:rsidR="0035727D" w:rsidRPr="00970064" w:rsidRDefault="0035727D" w:rsidP="0035727D">
      <w:pPr>
        <w:spacing w:after="0" w:line="240" w:lineRule="auto"/>
        <w:jc w:val="both"/>
        <w:rPr>
          <w:rFonts w:ascii="Arial" w:hAnsi="Arial" w:cs="Arial"/>
          <w:b/>
          <w:sz w:val="8"/>
          <w:szCs w:val="8"/>
          <w:u w:val="single"/>
          <w:lang w:val="pt-BR"/>
        </w:rPr>
      </w:pPr>
    </w:p>
    <w:p w:rsidR="009375E3" w:rsidRPr="0035727D" w:rsidRDefault="009375E3" w:rsidP="00970064">
      <w:pPr>
        <w:spacing w:after="0" w:line="240" w:lineRule="auto"/>
        <w:jc w:val="center"/>
        <w:rPr>
          <w:rFonts w:ascii="Arial" w:hAnsi="Arial" w:cs="Arial"/>
          <w:b/>
          <w:lang w:val="pt-BR"/>
        </w:rPr>
      </w:pPr>
      <w:r w:rsidRPr="0035727D">
        <w:rPr>
          <w:rFonts w:ascii="Arial" w:hAnsi="Arial" w:cs="Arial"/>
          <w:b/>
          <w:u w:val="single"/>
          <w:lang w:val="pt-BR"/>
        </w:rPr>
        <w:t>Gráfico 2</w:t>
      </w:r>
      <w:r w:rsidRPr="0035727D">
        <w:rPr>
          <w:rFonts w:ascii="Arial" w:hAnsi="Arial" w:cs="Arial"/>
          <w:b/>
          <w:lang w:val="pt-BR"/>
        </w:rPr>
        <w:t>. Evolução dos Ativos do BNDES (20</w:t>
      </w:r>
      <w:r w:rsidR="00780A88" w:rsidRPr="0035727D">
        <w:rPr>
          <w:rFonts w:ascii="Arial" w:hAnsi="Arial" w:cs="Arial"/>
          <w:b/>
          <w:lang w:val="pt-BR"/>
        </w:rPr>
        <w:t>11</w:t>
      </w:r>
      <w:r w:rsidRPr="0035727D">
        <w:rPr>
          <w:rFonts w:ascii="Arial" w:hAnsi="Arial" w:cs="Arial"/>
          <w:b/>
          <w:lang w:val="pt-BR"/>
        </w:rPr>
        <w:t>-2016)</w:t>
      </w:r>
    </w:p>
    <w:p w:rsidR="009375E3" w:rsidRPr="0035727D" w:rsidRDefault="009375E3" w:rsidP="00970064">
      <w:pPr>
        <w:spacing w:after="0" w:line="240" w:lineRule="auto"/>
        <w:jc w:val="center"/>
        <w:rPr>
          <w:rFonts w:ascii="Arial" w:hAnsi="Arial" w:cs="Arial"/>
          <w:lang w:val="pt-BR"/>
        </w:rPr>
      </w:pPr>
      <w:r w:rsidRPr="0035727D">
        <w:rPr>
          <w:rFonts w:ascii="Arial" w:hAnsi="Arial" w:cs="Arial"/>
          <w:noProof/>
        </w:rPr>
        <w:drawing>
          <wp:inline distT="0" distB="0" distL="0" distR="0" wp14:anchorId="0D26D1EC" wp14:editId="25500F39">
            <wp:extent cx="3200400" cy="1988625"/>
            <wp:effectExtent l="19050" t="19050" r="19050" b="1206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3200400" cy="1988625"/>
                    </a:xfrm>
                    <a:prstGeom prst="rect">
                      <a:avLst/>
                    </a:prstGeom>
                    <a:ln>
                      <a:solidFill>
                        <a:schemeClr val="accent1"/>
                      </a:solidFill>
                    </a:ln>
                  </pic:spPr>
                </pic:pic>
              </a:graphicData>
            </a:graphic>
          </wp:inline>
        </w:drawing>
      </w:r>
    </w:p>
    <w:p w:rsidR="00A248D7" w:rsidRPr="0035727D" w:rsidRDefault="00A248D7" w:rsidP="0035727D">
      <w:pPr>
        <w:spacing w:after="0" w:line="240" w:lineRule="auto"/>
        <w:ind w:left="2160"/>
        <w:jc w:val="both"/>
        <w:rPr>
          <w:rFonts w:ascii="Arial" w:hAnsi="Arial" w:cs="Arial"/>
          <w:sz w:val="16"/>
          <w:szCs w:val="16"/>
          <w:lang w:val="pt-BR"/>
        </w:rPr>
      </w:pPr>
      <w:r w:rsidRPr="0035727D">
        <w:rPr>
          <w:rFonts w:ascii="Arial" w:hAnsi="Arial" w:cs="Arial"/>
          <w:b/>
          <w:sz w:val="16"/>
          <w:szCs w:val="16"/>
          <w:u w:val="single"/>
          <w:lang w:val="pt-BR"/>
        </w:rPr>
        <w:t>FONTE</w:t>
      </w:r>
      <w:r w:rsidRPr="0035727D">
        <w:rPr>
          <w:rFonts w:ascii="Arial" w:hAnsi="Arial" w:cs="Arial"/>
          <w:b/>
          <w:sz w:val="16"/>
          <w:szCs w:val="16"/>
          <w:lang w:val="pt-BR"/>
        </w:rPr>
        <w:t>: BNDES, Séries históricas.</w:t>
      </w:r>
    </w:p>
    <w:p w:rsidR="0035727D" w:rsidRDefault="0035727D" w:rsidP="0035727D">
      <w:pPr>
        <w:spacing w:after="0" w:line="240" w:lineRule="auto"/>
        <w:jc w:val="both"/>
        <w:rPr>
          <w:rFonts w:ascii="Arial" w:hAnsi="Arial" w:cs="Arial"/>
          <w:lang w:val="pt-BR"/>
        </w:rPr>
      </w:pPr>
    </w:p>
    <w:p w:rsidR="002405EA" w:rsidRPr="0035727D" w:rsidRDefault="002405EA" w:rsidP="0035727D">
      <w:pPr>
        <w:spacing w:after="0" w:line="240" w:lineRule="auto"/>
        <w:jc w:val="both"/>
        <w:rPr>
          <w:rFonts w:ascii="Arial" w:hAnsi="Arial" w:cs="Arial"/>
          <w:lang w:val="pt-BR"/>
        </w:rPr>
      </w:pPr>
      <w:r w:rsidRPr="0035727D">
        <w:rPr>
          <w:rFonts w:ascii="Arial" w:hAnsi="Arial" w:cs="Arial"/>
          <w:lang w:val="pt-BR"/>
        </w:rPr>
        <w:lastRenderedPageBreak/>
        <w:t>No entanto a situação operacional</w:t>
      </w:r>
      <w:r w:rsidR="006E2FB7" w:rsidRPr="0035727D">
        <w:rPr>
          <w:rFonts w:ascii="Arial" w:hAnsi="Arial" w:cs="Arial"/>
          <w:lang w:val="pt-BR"/>
        </w:rPr>
        <w:t xml:space="preserve">, reflexo da </w:t>
      </w:r>
      <w:r w:rsidRPr="0035727D">
        <w:rPr>
          <w:rFonts w:ascii="Arial" w:hAnsi="Arial" w:cs="Arial"/>
          <w:lang w:val="pt-BR"/>
        </w:rPr>
        <w:t>redução da atividade econômica no país, impactou negativamente nos resultados do Banco</w:t>
      </w:r>
      <w:r w:rsidR="006E2FB7" w:rsidRPr="0035727D">
        <w:rPr>
          <w:rFonts w:ascii="Arial" w:hAnsi="Arial" w:cs="Arial"/>
          <w:lang w:val="pt-BR"/>
        </w:rPr>
        <w:t>. Conforme apresentado no Gráfico 3.</w:t>
      </w:r>
    </w:p>
    <w:p w:rsidR="00970064" w:rsidRDefault="00970064" w:rsidP="0035727D">
      <w:pPr>
        <w:spacing w:after="0" w:line="240" w:lineRule="auto"/>
        <w:jc w:val="both"/>
        <w:rPr>
          <w:rFonts w:ascii="Arial" w:hAnsi="Arial" w:cs="Arial"/>
          <w:b/>
          <w:sz w:val="20"/>
          <w:szCs w:val="20"/>
          <w:u w:val="single"/>
          <w:lang w:val="pt-BR"/>
        </w:rPr>
      </w:pPr>
    </w:p>
    <w:p w:rsidR="002405EA" w:rsidRPr="0035727D" w:rsidRDefault="002405EA" w:rsidP="00970064">
      <w:pPr>
        <w:spacing w:after="0" w:line="240" w:lineRule="auto"/>
        <w:jc w:val="center"/>
        <w:rPr>
          <w:rFonts w:ascii="Arial" w:hAnsi="Arial" w:cs="Arial"/>
          <w:b/>
          <w:sz w:val="20"/>
          <w:szCs w:val="20"/>
          <w:lang w:val="pt-BR"/>
        </w:rPr>
      </w:pPr>
      <w:r w:rsidRPr="0035727D">
        <w:rPr>
          <w:rFonts w:ascii="Arial" w:hAnsi="Arial" w:cs="Arial"/>
          <w:b/>
          <w:sz w:val="20"/>
          <w:szCs w:val="20"/>
          <w:u w:val="single"/>
          <w:lang w:val="pt-BR"/>
        </w:rPr>
        <w:t>Gráfico 3</w:t>
      </w:r>
      <w:r w:rsidRPr="0035727D">
        <w:rPr>
          <w:rFonts w:ascii="Arial" w:hAnsi="Arial" w:cs="Arial"/>
          <w:b/>
          <w:sz w:val="20"/>
          <w:szCs w:val="20"/>
          <w:lang w:val="pt-BR"/>
        </w:rPr>
        <w:t>. Evolução do Lucro (</w:t>
      </w:r>
      <w:r w:rsidR="006E2FB7" w:rsidRPr="0035727D">
        <w:rPr>
          <w:rFonts w:ascii="Arial" w:hAnsi="Arial" w:cs="Arial"/>
          <w:b/>
          <w:sz w:val="20"/>
          <w:szCs w:val="20"/>
          <w:lang w:val="pt-BR"/>
        </w:rPr>
        <w:t>Prejuízo</w:t>
      </w:r>
      <w:r w:rsidRPr="0035727D">
        <w:rPr>
          <w:rFonts w:ascii="Arial" w:hAnsi="Arial" w:cs="Arial"/>
          <w:b/>
          <w:sz w:val="20"/>
          <w:szCs w:val="20"/>
          <w:lang w:val="pt-BR"/>
        </w:rPr>
        <w:t>) do BNDES (20</w:t>
      </w:r>
      <w:r w:rsidR="00780A88" w:rsidRPr="0035727D">
        <w:rPr>
          <w:rFonts w:ascii="Arial" w:hAnsi="Arial" w:cs="Arial"/>
          <w:b/>
          <w:sz w:val="20"/>
          <w:szCs w:val="20"/>
          <w:lang w:val="pt-BR"/>
        </w:rPr>
        <w:t>11</w:t>
      </w:r>
      <w:r w:rsidRPr="0035727D">
        <w:rPr>
          <w:rFonts w:ascii="Arial" w:hAnsi="Arial" w:cs="Arial"/>
          <w:b/>
          <w:sz w:val="20"/>
          <w:szCs w:val="20"/>
          <w:lang w:val="pt-BR"/>
        </w:rPr>
        <w:t>-2016p)</w:t>
      </w:r>
    </w:p>
    <w:p w:rsidR="002405EA" w:rsidRPr="0035727D" w:rsidRDefault="006E2FB7" w:rsidP="00970064">
      <w:pPr>
        <w:spacing w:after="0" w:line="240" w:lineRule="auto"/>
        <w:jc w:val="center"/>
        <w:rPr>
          <w:rFonts w:ascii="Arial" w:hAnsi="Arial" w:cs="Arial"/>
          <w:lang w:val="pt-BR"/>
        </w:rPr>
      </w:pPr>
      <w:r w:rsidRPr="0035727D">
        <w:rPr>
          <w:rFonts w:ascii="Arial" w:hAnsi="Arial" w:cs="Arial"/>
          <w:noProof/>
        </w:rPr>
        <w:drawing>
          <wp:inline distT="0" distB="0" distL="0" distR="0" wp14:anchorId="0A8480B0" wp14:editId="18498B8C">
            <wp:extent cx="2520950" cy="1634309"/>
            <wp:effectExtent l="19050" t="19050" r="12700" b="2349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527410" cy="1638497"/>
                    </a:xfrm>
                    <a:prstGeom prst="rect">
                      <a:avLst/>
                    </a:prstGeom>
                    <a:ln>
                      <a:solidFill>
                        <a:schemeClr val="accent1"/>
                      </a:solidFill>
                    </a:ln>
                  </pic:spPr>
                </pic:pic>
              </a:graphicData>
            </a:graphic>
          </wp:inline>
        </w:drawing>
      </w:r>
    </w:p>
    <w:p w:rsidR="006E2FB7" w:rsidRPr="0035727D" w:rsidRDefault="00970064" w:rsidP="0035727D">
      <w:pPr>
        <w:spacing w:after="0" w:line="240" w:lineRule="auto"/>
        <w:ind w:left="1440"/>
        <w:jc w:val="both"/>
        <w:rPr>
          <w:rFonts w:ascii="Arial" w:hAnsi="Arial" w:cs="Arial"/>
          <w:lang w:val="pt-BR"/>
        </w:rPr>
      </w:pPr>
      <w:r w:rsidRPr="00970064">
        <w:rPr>
          <w:rFonts w:ascii="Arial" w:hAnsi="Arial" w:cs="Arial"/>
          <w:b/>
          <w:sz w:val="16"/>
          <w:szCs w:val="16"/>
          <w:lang w:val="pt-BR"/>
        </w:rPr>
        <w:t xml:space="preserve">                </w:t>
      </w:r>
      <w:r w:rsidR="00A248D7" w:rsidRPr="0035727D">
        <w:rPr>
          <w:rFonts w:ascii="Arial" w:hAnsi="Arial" w:cs="Arial"/>
          <w:b/>
          <w:sz w:val="16"/>
          <w:szCs w:val="16"/>
          <w:u w:val="single"/>
          <w:lang w:val="pt-BR"/>
        </w:rPr>
        <w:t>FONTE</w:t>
      </w:r>
      <w:r w:rsidR="00A248D7" w:rsidRPr="0035727D">
        <w:rPr>
          <w:rFonts w:ascii="Arial" w:hAnsi="Arial" w:cs="Arial"/>
          <w:b/>
          <w:sz w:val="16"/>
          <w:szCs w:val="16"/>
          <w:lang w:val="pt-BR"/>
        </w:rPr>
        <w:t>: BNDES, Séries históricas</w:t>
      </w:r>
      <w:r w:rsidR="00A248D7" w:rsidRPr="0035727D">
        <w:rPr>
          <w:rFonts w:ascii="Arial" w:hAnsi="Arial" w:cs="Arial"/>
          <w:b/>
          <w:lang w:val="pt-BR"/>
        </w:rPr>
        <w:t>.</w:t>
      </w:r>
    </w:p>
    <w:p w:rsidR="0035727D" w:rsidRDefault="0035727D" w:rsidP="0035727D">
      <w:pPr>
        <w:spacing w:after="0" w:line="240" w:lineRule="auto"/>
        <w:jc w:val="both"/>
        <w:rPr>
          <w:rFonts w:ascii="Arial" w:hAnsi="Arial" w:cs="Arial"/>
          <w:lang w:val="pt-BR"/>
        </w:rPr>
      </w:pPr>
    </w:p>
    <w:p w:rsidR="006E2FB7" w:rsidRDefault="006E2FB7" w:rsidP="0035727D">
      <w:pPr>
        <w:spacing w:after="0" w:line="240" w:lineRule="auto"/>
        <w:jc w:val="both"/>
        <w:rPr>
          <w:rFonts w:ascii="Arial" w:hAnsi="Arial" w:cs="Arial"/>
          <w:lang w:val="pt-BR"/>
        </w:rPr>
      </w:pPr>
      <w:r w:rsidRPr="0035727D">
        <w:rPr>
          <w:rFonts w:ascii="Arial" w:hAnsi="Arial" w:cs="Arial"/>
          <w:lang w:val="pt-BR"/>
        </w:rPr>
        <w:t>Entretanto é importante ressalvar que o prejuízo observado no primeiro semestre de 2016, se deveu basicamente ao aumento das provisões de perdas com investimentos de R$5.150 milhões e provisão para risco de crédito de R$4.438 milhões, registradas no primeiro de semestre de 2016. Entretanto a inadimplência da carteira permanece relativamente baixa , apesar do rápido crescimento nos últimos 6 meses, 0,06% em dezembro de 2015 para 1,38% em junho de 2016</w:t>
      </w:r>
      <w:r w:rsidRPr="0035727D">
        <w:rPr>
          <w:rStyle w:val="FootnoteReference"/>
          <w:rFonts w:ascii="Arial" w:hAnsi="Arial" w:cs="Arial"/>
          <w:lang w:val="pt-BR"/>
        </w:rPr>
        <w:footnoteReference w:id="12"/>
      </w:r>
      <w:r w:rsidRPr="0035727D">
        <w:rPr>
          <w:rFonts w:ascii="Arial" w:hAnsi="Arial" w:cs="Arial"/>
          <w:lang w:val="pt-BR"/>
        </w:rPr>
        <w:t>.</w:t>
      </w:r>
    </w:p>
    <w:p w:rsidR="001D6E1E" w:rsidRPr="0035727D" w:rsidRDefault="001D6E1E" w:rsidP="0035727D">
      <w:pPr>
        <w:spacing w:after="0" w:line="240" w:lineRule="auto"/>
        <w:jc w:val="both"/>
        <w:rPr>
          <w:rFonts w:ascii="Arial" w:hAnsi="Arial" w:cs="Arial"/>
          <w:lang w:val="pt-BR"/>
        </w:rPr>
      </w:pPr>
    </w:p>
    <w:p w:rsidR="006E2FB7" w:rsidRDefault="00A248D7" w:rsidP="0035727D">
      <w:pPr>
        <w:spacing w:after="0" w:line="240" w:lineRule="auto"/>
        <w:jc w:val="both"/>
        <w:rPr>
          <w:rFonts w:ascii="Arial" w:hAnsi="Arial" w:cs="Arial"/>
          <w:lang w:val="pt-BR"/>
        </w:rPr>
      </w:pPr>
      <w:r w:rsidRPr="0035727D">
        <w:rPr>
          <w:rFonts w:ascii="Arial" w:hAnsi="Arial" w:cs="Arial"/>
          <w:lang w:val="pt-BR"/>
        </w:rPr>
        <w:t xml:space="preserve">De uma forma geral, a solidez financeira não foi afetada, conforme pode ser verificado nos indicadores  de Basileia apresentados pelo BNDES no Gráfico 4. </w:t>
      </w:r>
    </w:p>
    <w:p w:rsidR="0035727D" w:rsidRPr="0035727D" w:rsidRDefault="0035727D" w:rsidP="0035727D">
      <w:pPr>
        <w:spacing w:after="0" w:line="240" w:lineRule="auto"/>
        <w:jc w:val="both"/>
        <w:rPr>
          <w:rFonts w:ascii="Arial" w:hAnsi="Arial" w:cs="Arial"/>
          <w:lang w:val="pt-BR"/>
        </w:rPr>
      </w:pPr>
    </w:p>
    <w:p w:rsidR="00970064" w:rsidRDefault="00A248D7" w:rsidP="00970064">
      <w:pPr>
        <w:spacing w:after="0" w:line="240" w:lineRule="auto"/>
        <w:jc w:val="center"/>
        <w:rPr>
          <w:rFonts w:ascii="Arial" w:hAnsi="Arial" w:cs="Arial"/>
          <w:b/>
          <w:sz w:val="20"/>
          <w:szCs w:val="20"/>
          <w:lang w:val="pt-BR"/>
        </w:rPr>
      </w:pPr>
      <w:r w:rsidRPr="0035727D">
        <w:rPr>
          <w:rFonts w:ascii="Arial" w:hAnsi="Arial" w:cs="Arial"/>
          <w:b/>
          <w:sz w:val="20"/>
          <w:szCs w:val="20"/>
          <w:u w:val="single"/>
          <w:lang w:val="pt-BR"/>
        </w:rPr>
        <w:t>Gráfico 4</w:t>
      </w:r>
      <w:r w:rsidRPr="0035727D">
        <w:rPr>
          <w:rFonts w:ascii="Arial" w:hAnsi="Arial" w:cs="Arial"/>
          <w:b/>
          <w:sz w:val="20"/>
          <w:szCs w:val="20"/>
          <w:lang w:val="pt-BR"/>
        </w:rPr>
        <w:t>. Evolução indicadores de Basiléia do BNDES</w:t>
      </w:r>
    </w:p>
    <w:p w:rsidR="00A248D7" w:rsidRPr="0035727D" w:rsidRDefault="00A248D7" w:rsidP="00970064">
      <w:pPr>
        <w:spacing w:after="0" w:line="240" w:lineRule="auto"/>
        <w:jc w:val="center"/>
        <w:rPr>
          <w:rFonts w:ascii="Arial" w:hAnsi="Arial" w:cs="Arial"/>
          <w:b/>
          <w:sz w:val="20"/>
          <w:szCs w:val="20"/>
          <w:lang w:val="pt-BR"/>
        </w:rPr>
      </w:pPr>
      <w:r w:rsidRPr="0035727D">
        <w:rPr>
          <w:rFonts w:ascii="Arial" w:hAnsi="Arial" w:cs="Arial"/>
          <w:b/>
          <w:sz w:val="20"/>
          <w:szCs w:val="20"/>
          <w:lang w:val="pt-BR"/>
        </w:rPr>
        <w:t>(20</w:t>
      </w:r>
      <w:r w:rsidR="00780A88" w:rsidRPr="0035727D">
        <w:rPr>
          <w:rFonts w:ascii="Arial" w:hAnsi="Arial" w:cs="Arial"/>
          <w:b/>
          <w:sz w:val="20"/>
          <w:szCs w:val="20"/>
          <w:lang w:val="pt-BR"/>
        </w:rPr>
        <w:t>11</w:t>
      </w:r>
      <w:r w:rsidRPr="0035727D">
        <w:rPr>
          <w:rFonts w:ascii="Arial" w:hAnsi="Arial" w:cs="Arial"/>
          <w:b/>
          <w:sz w:val="20"/>
          <w:szCs w:val="20"/>
          <w:lang w:val="pt-BR"/>
        </w:rPr>
        <w:t>-2016)</w:t>
      </w:r>
    </w:p>
    <w:p w:rsidR="00A248D7" w:rsidRPr="0035727D" w:rsidRDefault="00780A88" w:rsidP="00970064">
      <w:pPr>
        <w:spacing w:after="0" w:line="240" w:lineRule="auto"/>
        <w:jc w:val="center"/>
        <w:rPr>
          <w:rFonts w:ascii="Arial" w:hAnsi="Arial" w:cs="Arial"/>
          <w:lang w:val="pt-BR"/>
        </w:rPr>
      </w:pPr>
      <w:r w:rsidRPr="0035727D">
        <w:rPr>
          <w:rFonts w:ascii="Arial" w:hAnsi="Arial" w:cs="Arial"/>
          <w:noProof/>
        </w:rPr>
        <w:drawing>
          <wp:inline distT="0" distB="0" distL="0" distR="0" wp14:anchorId="72090E2C" wp14:editId="6071A951">
            <wp:extent cx="3584182" cy="2673350"/>
            <wp:effectExtent l="19050" t="19050" r="16510" b="1270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3584182" cy="2673350"/>
                    </a:xfrm>
                    <a:prstGeom prst="rect">
                      <a:avLst/>
                    </a:prstGeom>
                    <a:ln>
                      <a:solidFill>
                        <a:schemeClr val="accent1"/>
                      </a:solidFill>
                    </a:ln>
                  </pic:spPr>
                </pic:pic>
              </a:graphicData>
            </a:graphic>
          </wp:inline>
        </w:drawing>
      </w:r>
    </w:p>
    <w:p w:rsidR="00A248D7" w:rsidRPr="0035727D" w:rsidRDefault="00A248D7" w:rsidP="00970064">
      <w:pPr>
        <w:spacing w:after="0" w:line="240" w:lineRule="auto"/>
        <w:ind w:left="2160"/>
        <w:rPr>
          <w:rFonts w:ascii="Arial" w:hAnsi="Arial" w:cs="Arial"/>
          <w:sz w:val="16"/>
          <w:szCs w:val="16"/>
          <w:lang w:val="pt-BR"/>
        </w:rPr>
      </w:pPr>
      <w:r w:rsidRPr="0035727D">
        <w:rPr>
          <w:rFonts w:ascii="Arial" w:hAnsi="Arial" w:cs="Arial"/>
          <w:b/>
          <w:sz w:val="16"/>
          <w:szCs w:val="16"/>
          <w:u w:val="single"/>
          <w:lang w:val="pt-BR"/>
        </w:rPr>
        <w:t>FONTE</w:t>
      </w:r>
      <w:r w:rsidRPr="0035727D">
        <w:rPr>
          <w:rFonts w:ascii="Arial" w:hAnsi="Arial" w:cs="Arial"/>
          <w:b/>
          <w:sz w:val="16"/>
          <w:szCs w:val="16"/>
          <w:lang w:val="pt-BR"/>
        </w:rPr>
        <w:t>: BNDES, Séries históricas.</w:t>
      </w:r>
    </w:p>
    <w:p w:rsidR="00A248D7" w:rsidRPr="0035727D" w:rsidRDefault="00A248D7" w:rsidP="00970064">
      <w:pPr>
        <w:spacing w:after="0" w:line="240" w:lineRule="auto"/>
        <w:jc w:val="center"/>
        <w:rPr>
          <w:rFonts w:ascii="Arial" w:hAnsi="Arial" w:cs="Arial"/>
          <w:sz w:val="16"/>
          <w:szCs w:val="16"/>
          <w:lang w:val="pt-BR"/>
        </w:rPr>
      </w:pPr>
    </w:p>
    <w:sectPr w:rsidR="00A248D7" w:rsidRPr="0035727D" w:rsidSect="0097006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74E" w:rsidRDefault="0020474E" w:rsidP="00CD113B">
      <w:pPr>
        <w:spacing w:after="0" w:line="240" w:lineRule="auto"/>
      </w:pPr>
      <w:r>
        <w:separator/>
      </w:r>
    </w:p>
  </w:endnote>
  <w:endnote w:type="continuationSeparator" w:id="0">
    <w:p w:rsidR="0020474E" w:rsidRDefault="0020474E" w:rsidP="00CD1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74E" w:rsidRDefault="0020474E" w:rsidP="00CD113B">
      <w:pPr>
        <w:spacing w:after="0" w:line="240" w:lineRule="auto"/>
      </w:pPr>
      <w:r>
        <w:separator/>
      </w:r>
    </w:p>
  </w:footnote>
  <w:footnote w:type="continuationSeparator" w:id="0">
    <w:p w:rsidR="0020474E" w:rsidRDefault="0020474E" w:rsidP="00CD113B">
      <w:pPr>
        <w:spacing w:after="0" w:line="240" w:lineRule="auto"/>
      </w:pPr>
      <w:r>
        <w:continuationSeparator/>
      </w:r>
    </w:p>
  </w:footnote>
  <w:footnote w:id="1">
    <w:p w:rsidR="0020474E" w:rsidRPr="001D6E1E" w:rsidRDefault="0020474E" w:rsidP="009E533D">
      <w:pPr>
        <w:pStyle w:val="FootnoteText"/>
        <w:tabs>
          <w:tab w:val="left" w:pos="180"/>
        </w:tabs>
        <w:ind w:left="180" w:hanging="180"/>
        <w:jc w:val="both"/>
        <w:rPr>
          <w:rFonts w:ascii="Arial" w:hAnsi="Arial" w:cs="Arial"/>
          <w:sz w:val="18"/>
          <w:szCs w:val="18"/>
          <w:lang w:val="pt-BR"/>
        </w:rPr>
      </w:pPr>
      <w:r w:rsidRPr="001D6E1E">
        <w:rPr>
          <w:rStyle w:val="FootnoteReference"/>
          <w:rFonts w:ascii="Arial" w:hAnsi="Arial" w:cs="Arial"/>
          <w:sz w:val="18"/>
          <w:szCs w:val="18"/>
        </w:rPr>
        <w:footnoteRef/>
      </w:r>
      <w:r w:rsidRPr="001D6E1E">
        <w:rPr>
          <w:rFonts w:ascii="Arial" w:hAnsi="Arial" w:cs="Arial"/>
          <w:sz w:val="18"/>
          <w:szCs w:val="18"/>
          <w:lang w:val="pt-BR"/>
        </w:rPr>
        <w:t xml:space="preserve"> </w:t>
      </w:r>
      <w:r w:rsidR="001D6E1E" w:rsidRPr="001D6E1E">
        <w:rPr>
          <w:rFonts w:ascii="Arial" w:hAnsi="Arial" w:cs="Arial"/>
          <w:sz w:val="18"/>
          <w:szCs w:val="18"/>
          <w:lang w:val="pt-BR"/>
        </w:rPr>
        <w:tab/>
      </w:r>
      <w:r w:rsidRPr="001D6E1E">
        <w:rPr>
          <w:rFonts w:ascii="Arial" w:hAnsi="Arial" w:cs="Arial"/>
          <w:sz w:val="18"/>
          <w:szCs w:val="18"/>
          <w:lang w:val="pt-BR"/>
        </w:rPr>
        <w:t>Utilizou-se como base as publicações LIMA, M.A. O Desenvolvimento Inacabado do Brasil. BNDES: Rio de Janeiro, 2009; BNDES. BNDES: um banco de história e do futur</w:t>
      </w:r>
      <w:r w:rsidR="001D6E1E">
        <w:rPr>
          <w:rFonts w:ascii="Arial" w:hAnsi="Arial" w:cs="Arial"/>
          <w:sz w:val="18"/>
          <w:szCs w:val="18"/>
          <w:lang w:val="pt-BR"/>
        </w:rPr>
        <w:t>o. BNDES: Rio de Janeiro, 2012</w:t>
      </w:r>
      <w:r w:rsidRPr="001D6E1E">
        <w:rPr>
          <w:rFonts w:ascii="Arial" w:hAnsi="Arial" w:cs="Arial"/>
          <w:sz w:val="18"/>
          <w:szCs w:val="18"/>
          <w:lang w:val="pt-BR"/>
        </w:rPr>
        <w:t>, e no site</w:t>
      </w:r>
      <w:r w:rsidR="00970064" w:rsidRPr="001D6E1E">
        <w:rPr>
          <w:rFonts w:ascii="Arial" w:hAnsi="Arial" w:cs="Arial"/>
          <w:sz w:val="18"/>
          <w:szCs w:val="18"/>
          <w:lang w:val="pt-BR"/>
        </w:rPr>
        <w:t>:</w:t>
      </w:r>
      <w:r w:rsidRPr="001D6E1E">
        <w:rPr>
          <w:rFonts w:ascii="Arial" w:hAnsi="Arial" w:cs="Arial"/>
          <w:sz w:val="18"/>
          <w:szCs w:val="18"/>
          <w:lang w:val="pt-BR"/>
        </w:rPr>
        <w:t xml:space="preserve"> </w:t>
      </w:r>
      <w:hyperlink r:id="rId1" w:history="1">
        <w:r w:rsidRPr="001D6E1E">
          <w:rPr>
            <w:rStyle w:val="Hyperlink"/>
            <w:rFonts w:ascii="Arial" w:hAnsi="Arial" w:cs="Arial"/>
            <w:sz w:val="18"/>
            <w:szCs w:val="18"/>
            <w:lang w:val="pt-BR"/>
          </w:rPr>
          <w:t>http://www.bndes.gov.br/SiteBNDES/bndes/bndes_pt/Institucional/O_BNDES/A_Empresa/Historia/</w:t>
        </w:r>
      </w:hyperlink>
      <w:r w:rsidRPr="001D6E1E">
        <w:rPr>
          <w:rFonts w:ascii="Arial" w:hAnsi="Arial" w:cs="Arial"/>
          <w:sz w:val="18"/>
          <w:szCs w:val="18"/>
          <w:lang w:val="pt-BR"/>
        </w:rPr>
        <w:t>.</w:t>
      </w:r>
    </w:p>
  </w:footnote>
  <w:footnote w:id="2">
    <w:p w:rsidR="0020474E" w:rsidRPr="001D6E1E" w:rsidRDefault="0020474E" w:rsidP="009E533D">
      <w:pPr>
        <w:pStyle w:val="FootnoteText"/>
        <w:tabs>
          <w:tab w:val="left" w:pos="180"/>
        </w:tabs>
        <w:ind w:left="180" w:hanging="180"/>
        <w:jc w:val="both"/>
        <w:rPr>
          <w:rFonts w:ascii="Arial" w:hAnsi="Arial" w:cs="Arial"/>
          <w:sz w:val="18"/>
          <w:szCs w:val="18"/>
          <w:lang w:val="pt-BR"/>
        </w:rPr>
      </w:pPr>
      <w:r w:rsidRPr="001D6E1E">
        <w:rPr>
          <w:rStyle w:val="FootnoteReference"/>
          <w:rFonts w:ascii="Arial" w:hAnsi="Arial" w:cs="Arial"/>
          <w:sz w:val="18"/>
          <w:szCs w:val="18"/>
        </w:rPr>
        <w:footnoteRef/>
      </w:r>
      <w:r w:rsidRPr="001D6E1E">
        <w:rPr>
          <w:rFonts w:ascii="Arial" w:hAnsi="Arial" w:cs="Arial"/>
          <w:sz w:val="18"/>
          <w:szCs w:val="18"/>
          <w:lang w:val="pt-BR"/>
        </w:rPr>
        <w:t xml:space="preserve"> </w:t>
      </w:r>
      <w:r w:rsidR="001D6E1E" w:rsidRPr="001D6E1E">
        <w:rPr>
          <w:rFonts w:ascii="Arial" w:hAnsi="Arial" w:cs="Arial"/>
          <w:sz w:val="18"/>
          <w:szCs w:val="18"/>
          <w:lang w:val="pt-BR"/>
        </w:rPr>
        <w:tab/>
      </w:r>
      <w:r w:rsidRPr="001D6E1E">
        <w:rPr>
          <w:rFonts w:ascii="Arial" w:hAnsi="Arial" w:cs="Arial"/>
          <w:sz w:val="18"/>
          <w:szCs w:val="18"/>
          <w:lang w:val="pt-BR"/>
        </w:rPr>
        <w:t>Funar(Fundo Agroindustrial de Reconversão), Funtec (Fundo de Desenvolvimento Tecnológico e Científico), o Fundepro (Fundo de Desenvolvimento da Produtividade) e o Fungiro (Fundo Especial para Financiamento de Capital de Giro).</w:t>
      </w:r>
    </w:p>
  </w:footnote>
  <w:footnote w:id="3">
    <w:p w:rsidR="0020474E" w:rsidRPr="001D6E1E" w:rsidRDefault="0020474E" w:rsidP="009E533D">
      <w:pPr>
        <w:pStyle w:val="FootnoteText"/>
        <w:tabs>
          <w:tab w:val="left" w:pos="180"/>
        </w:tabs>
        <w:ind w:left="180" w:hanging="180"/>
        <w:jc w:val="both"/>
        <w:rPr>
          <w:rFonts w:ascii="Arial" w:hAnsi="Arial" w:cs="Arial"/>
          <w:sz w:val="18"/>
          <w:szCs w:val="18"/>
          <w:lang w:val="pt-BR"/>
        </w:rPr>
      </w:pPr>
      <w:r w:rsidRPr="001D6E1E">
        <w:rPr>
          <w:rStyle w:val="FootnoteReference"/>
          <w:rFonts w:ascii="Arial" w:hAnsi="Arial" w:cs="Arial"/>
          <w:sz w:val="18"/>
          <w:szCs w:val="18"/>
        </w:rPr>
        <w:footnoteRef/>
      </w:r>
      <w:r w:rsidRPr="001D6E1E">
        <w:rPr>
          <w:rFonts w:ascii="Arial" w:hAnsi="Arial" w:cs="Arial"/>
          <w:sz w:val="18"/>
          <w:szCs w:val="18"/>
          <w:lang w:val="pt-BR"/>
        </w:rPr>
        <w:t xml:space="preserve"> </w:t>
      </w:r>
      <w:r w:rsidR="001D6E1E" w:rsidRPr="001D6E1E">
        <w:rPr>
          <w:rFonts w:ascii="Arial" w:hAnsi="Arial" w:cs="Arial"/>
          <w:sz w:val="18"/>
          <w:szCs w:val="18"/>
          <w:lang w:val="pt-BR"/>
        </w:rPr>
        <w:tab/>
      </w:r>
      <w:r w:rsidRPr="001D6E1E">
        <w:rPr>
          <w:rFonts w:ascii="Arial" w:hAnsi="Arial" w:cs="Arial"/>
          <w:sz w:val="18"/>
          <w:szCs w:val="18"/>
          <w:lang w:val="pt-BR"/>
        </w:rPr>
        <w:t xml:space="preserve">Junto com o Finame o BNDE abriu outra linha de financiamento à pequena e média empresa (Fipeme) com o apoio do Banco Interamericano de Desenvolvimento –BID , que posteriormente também recebeu recursos do Banco Kreditanstalt für Wiederraufbau − KfW, banco de desenvolvimento do governo alemão. </w:t>
      </w:r>
    </w:p>
  </w:footnote>
  <w:footnote w:id="4">
    <w:p w:rsidR="0020474E" w:rsidRPr="001D6E1E" w:rsidRDefault="0020474E" w:rsidP="00970064">
      <w:pPr>
        <w:pStyle w:val="FootnoteText"/>
        <w:tabs>
          <w:tab w:val="left" w:pos="180"/>
        </w:tabs>
        <w:ind w:left="180" w:hanging="180"/>
        <w:jc w:val="both"/>
        <w:rPr>
          <w:rFonts w:ascii="Arial" w:hAnsi="Arial" w:cs="Arial"/>
          <w:sz w:val="18"/>
          <w:szCs w:val="18"/>
          <w:lang w:val="pt-BR"/>
        </w:rPr>
      </w:pPr>
      <w:r w:rsidRPr="001D6E1E">
        <w:rPr>
          <w:rStyle w:val="FootnoteReference"/>
          <w:rFonts w:ascii="Arial" w:hAnsi="Arial" w:cs="Arial"/>
          <w:sz w:val="18"/>
          <w:szCs w:val="18"/>
        </w:rPr>
        <w:footnoteRef/>
      </w:r>
      <w:r w:rsidRPr="001D6E1E">
        <w:rPr>
          <w:rFonts w:ascii="Arial" w:hAnsi="Arial" w:cs="Arial"/>
          <w:sz w:val="18"/>
          <w:szCs w:val="18"/>
          <w:lang w:val="pt-BR"/>
        </w:rPr>
        <w:t xml:space="preserve"> </w:t>
      </w:r>
      <w:r w:rsidR="001D6E1E">
        <w:rPr>
          <w:rFonts w:ascii="Arial" w:hAnsi="Arial" w:cs="Arial"/>
          <w:sz w:val="18"/>
          <w:szCs w:val="18"/>
          <w:lang w:val="pt-BR"/>
        </w:rPr>
        <w:tab/>
      </w:r>
      <w:r w:rsidRPr="001D6E1E">
        <w:rPr>
          <w:rFonts w:ascii="Arial" w:hAnsi="Arial" w:cs="Arial"/>
          <w:sz w:val="18"/>
          <w:szCs w:val="18"/>
          <w:lang w:val="pt-BR"/>
        </w:rPr>
        <w:t>Termo que se tornou sinônimo do processo de desenvolvimento no período em função do livro lançado pelos economistas Antonio Barros de Castro e Francisco Eduardo Pires de Souza “A Economia Brasileira em Marcha Forçada” (Rio de Janeiro, Editora Paz e Terra, 1985).</w:t>
      </w:r>
    </w:p>
  </w:footnote>
  <w:footnote w:id="5">
    <w:p w:rsidR="0020474E" w:rsidRPr="001D6E1E" w:rsidRDefault="0020474E" w:rsidP="009E533D">
      <w:pPr>
        <w:pStyle w:val="FootnoteText"/>
        <w:tabs>
          <w:tab w:val="left" w:pos="180"/>
        </w:tabs>
        <w:ind w:left="180" w:hanging="180"/>
        <w:jc w:val="both"/>
        <w:rPr>
          <w:rFonts w:ascii="Arial" w:hAnsi="Arial" w:cs="Arial"/>
          <w:sz w:val="18"/>
          <w:szCs w:val="18"/>
          <w:lang w:val="pt-BR"/>
        </w:rPr>
      </w:pPr>
      <w:r w:rsidRPr="001D6E1E">
        <w:rPr>
          <w:rStyle w:val="FootnoteReference"/>
          <w:rFonts w:ascii="Arial" w:hAnsi="Arial" w:cs="Arial"/>
          <w:sz w:val="18"/>
          <w:szCs w:val="18"/>
        </w:rPr>
        <w:footnoteRef/>
      </w:r>
      <w:r w:rsidR="001D6E1E">
        <w:rPr>
          <w:rFonts w:ascii="Arial" w:hAnsi="Arial" w:cs="Arial"/>
          <w:sz w:val="18"/>
          <w:szCs w:val="18"/>
          <w:lang w:val="pt-BR"/>
        </w:rPr>
        <w:tab/>
      </w:r>
      <w:r w:rsidRPr="001D6E1E">
        <w:rPr>
          <w:rFonts w:ascii="Arial" w:hAnsi="Arial" w:cs="Arial"/>
          <w:sz w:val="18"/>
          <w:szCs w:val="18"/>
          <w:lang w:val="pt-BR"/>
        </w:rPr>
        <w:t>CASTRO, L.B. &amp; SOUZA, F.E. Cenários mundo-Brasil 2030: insumos para o planejamento estratégico do BNDES. Revista do BNDES, Rio de Janeiro, n. 44, p. [399]-457, dez. 2015.</w:t>
      </w:r>
    </w:p>
  </w:footnote>
  <w:footnote w:id="6">
    <w:p w:rsidR="0020474E" w:rsidRPr="001D6E1E" w:rsidRDefault="0020474E" w:rsidP="009E533D">
      <w:pPr>
        <w:pStyle w:val="FootnoteText"/>
        <w:tabs>
          <w:tab w:val="left" w:pos="180"/>
        </w:tabs>
        <w:ind w:left="180" w:hanging="180"/>
        <w:jc w:val="both"/>
        <w:rPr>
          <w:rFonts w:ascii="Arial" w:hAnsi="Arial" w:cs="Arial"/>
          <w:sz w:val="18"/>
          <w:szCs w:val="18"/>
          <w:lang w:val="pt-BR"/>
        </w:rPr>
      </w:pPr>
      <w:r w:rsidRPr="001D6E1E">
        <w:rPr>
          <w:rStyle w:val="FootnoteReference"/>
          <w:rFonts w:ascii="Arial" w:hAnsi="Arial" w:cs="Arial"/>
          <w:sz w:val="18"/>
          <w:szCs w:val="18"/>
        </w:rPr>
        <w:footnoteRef/>
      </w:r>
      <w:r w:rsidR="001D6E1E">
        <w:rPr>
          <w:rFonts w:ascii="Arial" w:hAnsi="Arial" w:cs="Arial"/>
          <w:sz w:val="18"/>
          <w:szCs w:val="18"/>
          <w:lang w:val="pt-BR"/>
        </w:rPr>
        <w:tab/>
      </w:r>
      <w:r w:rsidRPr="001D6E1E">
        <w:rPr>
          <w:rFonts w:ascii="Arial" w:hAnsi="Arial" w:cs="Arial"/>
          <w:sz w:val="18"/>
          <w:szCs w:val="18"/>
          <w:lang w:val="pt-BR"/>
        </w:rPr>
        <w:t>O Sistema BNDES na verdade é constituído por três instituições, o BNDES, O BNDESPAR e a FINAME, para efeitos da analise organizacional enfocaremos no somente no BNDES.</w:t>
      </w:r>
    </w:p>
  </w:footnote>
  <w:footnote w:id="7">
    <w:p w:rsidR="0020474E" w:rsidRPr="001D6E1E" w:rsidRDefault="0020474E" w:rsidP="009E533D">
      <w:pPr>
        <w:pStyle w:val="FootnoteText"/>
        <w:tabs>
          <w:tab w:val="left" w:pos="180"/>
        </w:tabs>
        <w:ind w:left="180" w:hanging="180"/>
        <w:jc w:val="both"/>
        <w:rPr>
          <w:rFonts w:ascii="Arial" w:hAnsi="Arial" w:cs="Arial"/>
          <w:sz w:val="18"/>
          <w:szCs w:val="18"/>
          <w:lang w:val="pt-BR"/>
        </w:rPr>
      </w:pPr>
      <w:r w:rsidRPr="001D6E1E">
        <w:rPr>
          <w:rStyle w:val="FootnoteReference"/>
          <w:rFonts w:ascii="Arial" w:hAnsi="Arial" w:cs="Arial"/>
          <w:sz w:val="18"/>
          <w:szCs w:val="18"/>
        </w:rPr>
        <w:footnoteRef/>
      </w:r>
      <w:r w:rsidRPr="001D6E1E">
        <w:rPr>
          <w:rFonts w:ascii="Arial" w:hAnsi="Arial" w:cs="Arial"/>
          <w:sz w:val="18"/>
          <w:szCs w:val="18"/>
          <w:lang w:val="pt-BR"/>
        </w:rPr>
        <w:t xml:space="preserve"> </w:t>
      </w:r>
      <w:r w:rsidR="001D6E1E">
        <w:rPr>
          <w:rFonts w:ascii="Arial" w:hAnsi="Arial" w:cs="Arial"/>
          <w:sz w:val="18"/>
          <w:szCs w:val="18"/>
          <w:lang w:val="pt-BR"/>
        </w:rPr>
        <w:tab/>
      </w:r>
      <w:r w:rsidRPr="001D6E1E">
        <w:rPr>
          <w:rFonts w:ascii="Arial" w:hAnsi="Arial" w:cs="Arial"/>
          <w:sz w:val="18"/>
          <w:szCs w:val="18"/>
          <w:lang w:val="pt-BR"/>
        </w:rPr>
        <w:t>Desde maio de 2016, Medida Provisória n.726 de 12 de maio de 2016.</w:t>
      </w:r>
    </w:p>
  </w:footnote>
  <w:footnote w:id="8">
    <w:p w:rsidR="0020474E" w:rsidRPr="001D6E1E" w:rsidRDefault="0020474E" w:rsidP="009E533D">
      <w:pPr>
        <w:pStyle w:val="FootnoteText"/>
        <w:tabs>
          <w:tab w:val="left" w:pos="180"/>
        </w:tabs>
        <w:ind w:left="180" w:hanging="180"/>
        <w:rPr>
          <w:rFonts w:ascii="Arial" w:hAnsi="Arial" w:cs="Arial"/>
          <w:sz w:val="18"/>
          <w:szCs w:val="18"/>
          <w:lang w:val="pt-BR"/>
        </w:rPr>
      </w:pPr>
      <w:r w:rsidRPr="001D6E1E">
        <w:rPr>
          <w:rStyle w:val="FootnoteReference"/>
          <w:rFonts w:ascii="Arial" w:hAnsi="Arial" w:cs="Arial"/>
          <w:sz w:val="18"/>
          <w:szCs w:val="18"/>
        </w:rPr>
        <w:footnoteRef/>
      </w:r>
      <w:r w:rsidRPr="001D6E1E">
        <w:rPr>
          <w:rFonts w:ascii="Arial" w:hAnsi="Arial" w:cs="Arial"/>
          <w:sz w:val="18"/>
          <w:szCs w:val="18"/>
          <w:lang w:val="pt-BR"/>
        </w:rPr>
        <w:t xml:space="preserve"> </w:t>
      </w:r>
      <w:r w:rsidR="001D6E1E">
        <w:rPr>
          <w:rFonts w:ascii="Arial" w:hAnsi="Arial" w:cs="Arial"/>
          <w:sz w:val="18"/>
          <w:szCs w:val="18"/>
          <w:lang w:val="pt-BR"/>
        </w:rPr>
        <w:tab/>
      </w:r>
      <w:r w:rsidRPr="001D6E1E">
        <w:rPr>
          <w:rFonts w:ascii="Arial" w:hAnsi="Arial" w:cs="Arial"/>
          <w:sz w:val="18"/>
          <w:szCs w:val="18"/>
          <w:lang w:val="pt-BR"/>
        </w:rPr>
        <w:t>Conforme Capítulos VI e VI-A do Estatuto do BNDES.</w:t>
      </w:r>
    </w:p>
  </w:footnote>
  <w:footnote w:id="9">
    <w:p w:rsidR="00F430F7" w:rsidRPr="001D6E1E" w:rsidRDefault="00F430F7" w:rsidP="009E533D">
      <w:pPr>
        <w:pStyle w:val="FootnoteText"/>
        <w:tabs>
          <w:tab w:val="left" w:pos="180"/>
        </w:tabs>
        <w:ind w:left="180" w:hanging="180"/>
        <w:rPr>
          <w:rFonts w:ascii="Arial" w:hAnsi="Arial" w:cs="Arial"/>
          <w:sz w:val="18"/>
          <w:szCs w:val="18"/>
          <w:lang w:val="pt-BR"/>
        </w:rPr>
      </w:pPr>
      <w:r w:rsidRPr="001D6E1E">
        <w:rPr>
          <w:rStyle w:val="FootnoteReference"/>
          <w:rFonts w:ascii="Arial" w:hAnsi="Arial" w:cs="Arial"/>
          <w:sz w:val="18"/>
          <w:szCs w:val="18"/>
        </w:rPr>
        <w:footnoteRef/>
      </w:r>
      <w:r w:rsidRPr="001D6E1E">
        <w:rPr>
          <w:rFonts w:ascii="Arial" w:hAnsi="Arial" w:cs="Arial"/>
          <w:sz w:val="18"/>
          <w:szCs w:val="18"/>
          <w:lang w:val="pt-BR"/>
        </w:rPr>
        <w:t xml:space="preserve"> </w:t>
      </w:r>
      <w:r w:rsidR="001D6E1E">
        <w:rPr>
          <w:rFonts w:ascii="Arial" w:hAnsi="Arial" w:cs="Arial"/>
          <w:sz w:val="18"/>
          <w:szCs w:val="18"/>
          <w:lang w:val="pt-BR"/>
        </w:rPr>
        <w:tab/>
      </w:r>
      <w:r w:rsidRPr="001D6E1E">
        <w:rPr>
          <w:rFonts w:ascii="Arial" w:hAnsi="Arial" w:cs="Arial"/>
          <w:sz w:val="18"/>
          <w:szCs w:val="18"/>
          <w:lang w:val="pt-BR"/>
        </w:rPr>
        <w:t xml:space="preserve">Adaptado a partir das informações obtidas em </w:t>
      </w:r>
      <w:hyperlink r:id="rId2" w:history="1">
        <w:r w:rsidRPr="001D6E1E">
          <w:rPr>
            <w:rStyle w:val="Hyperlink"/>
            <w:rFonts w:ascii="Arial" w:hAnsi="Arial" w:cs="Arial"/>
            <w:sz w:val="18"/>
            <w:szCs w:val="18"/>
            <w:lang w:val="pt-BR"/>
          </w:rPr>
          <w:t>http://www.bndes.gov.br/SiteBNDES/bndes/bndes_pt/Institucional/BNDES_Transparente/Estatisticas_Operacionais/Desempenho/index.html</w:t>
        </w:r>
      </w:hyperlink>
    </w:p>
  </w:footnote>
  <w:footnote w:id="10">
    <w:p w:rsidR="00123FAB" w:rsidRPr="001D6E1E" w:rsidRDefault="00123FAB" w:rsidP="001D6E1E">
      <w:pPr>
        <w:pStyle w:val="FootnoteText"/>
        <w:tabs>
          <w:tab w:val="left" w:pos="180"/>
        </w:tabs>
        <w:ind w:left="180" w:hanging="180"/>
        <w:rPr>
          <w:rFonts w:ascii="Arial" w:hAnsi="Arial" w:cs="Arial"/>
          <w:sz w:val="18"/>
          <w:szCs w:val="18"/>
          <w:lang w:val="pt-BR"/>
        </w:rPr>
      </w:pPr>
      <w:r w:rsidRPr="001D6E1E">
        <w:rPr>
          <w:rStyle w:val="FootnoteReference"/>
          <w:rFonts w:ascii="Arial" w:hAnsi="Arial" w:cs="Arial"/>
          <w:sz w:val="18"/>
          <w:szCs w:val="18"/>
        </w:rPr>
        <w:footnoteRef/>
      </w:r>
      <w:r w:rsidR="001D6E1E">
        <w:rPr>
          <w:rFonts w:ascii="Arial" w:hAnsi="Arial" w:cs="Arial"/>
          <w:sz w:val="18"/>
          <w:szCs w:val="18"/>
          <w:lang w:val="pt-BR"/>
        </w:rPr>
        <w:tab/>
      </w:r>
      <w:r w:rsidRPr="001D6E1E">
        <w:rPr>
          <w:rFonts w:ascii="Arial" w:hAnsi="Arial" w:cs="Arial"/>
          <w:sz w:val="18"/>
          <w:szCs w:val="18"/>
          <w:lang w:val="pt-BR"/>
        </w:rPr>
        <w:t xml:space="preserve">Adaptado a partir das informações obtidas em </w:t>
      </w:r>
      <w:hyperlink r:id="rId3" w:history="1">
        <w:r w:rsidRPr="001D6E1E">
          <w:rPr>
            <w:rStyle w:val="Hyperlink"/>
            <w:rFonts w:ascii="Arial" w:hAnsi="Arial" w:cs="Arial"/>
            <w:sz w:val="18"/>
            <w:szCs w:val="18"/>
            <w:lang w:val="pt-BR"/>
          </w:rPr>
          <w:t>http://www.bndes.gov.br/SiteBNDES/bndes/bndes_pt/Institucional/Relacao_Com_Investidores/Informacoes_Financeiras/series_historicas.html</w:t>
        </w:r>
      </w:hyperlink>
      <w:r w:rsidRPr="001D6E1E">
        <w:rPr>
          <w:rFonts w:ascii="Arial" w:hAnsi="Arial" w:cs="Arial"/>
          <w:sz w:val="18"/>
          <w:szCs w:val="18"/>
          <w:lang w:val="pt-BR"/>
        </w:rPr>
        <w:t xml:space="preserve"> </w:t>
      </w:r>
    </w:p>
  </w:footnote>
  <w:footnote w:id="11">
    <w:p w:rsidR="00A349C4" w:rsidRPr="001D6E1E" w:rsidRDefault="00A349C4" w:rsidP="001D6E1E">
      <w:pPr>
        <w:pStyle w:val="FootnoteText"/>
        <w:tabs>
          <w:tab w:val="left" w:pos="180"/>
        </w:tabs>
        <w:ind w:left="180" w:hanging="180"/>
        <w:rPr>
          <w:rFonts w:ascii="Arial" w:hAnsi="Arial" w:cs="Arial"/>
          <w:sz w:val="18"/>
          <w:szCs w:val="18"/>
        </w:rPr>
      </w:pPr>
      <w:r w:rsidRPr="001D6E1E">
        <w:rPr>
          <w:rStyle w:val="FootnoteReference"/>
          <w:rFonts w:ascii="Arial" w:hAnsi="Arial" w:cs="Arial"/>
          <w:sz w:val="18"/>
          <w:szCs w:val="18"/>
        </w:rPr>
        <w:footnoteRef/>
      </w:r>
      <w:r w:rsidR="001D6E1E">
        <w:rPr>
          <w:rFonts w:ascii="Arial" w:hAnsi="Arial" w:cs="Arial"/>
          <w:sz w:val="18"/>
          <w:szCs w:val="18"/>
        </w:rPr>
        <w:tab/>
      </w:r>
      <w:r w:rsidRPr="001D6E1E">
        <w:rPr>
          <w:rFonts w:ascii="Arial" w:hAnsi="Arial" w:cs="Arial"/>
          <w:sz w:val="18"/>
          <w:szCs w:val="18"/>
        </w:rPr>
        <w:t xml:space="preserve">Ver </w:t>
      </w:r>
      <w:hyperlink r:id="rId4" w:history="1">
        <w:r w:rsidRPr="001D6E1E">
          <w:rPr>
            <w:rStyle w:val="Hyperlink"/>
            <w:rFonts w:ascii="Arial" w:hAnsi="Arial" w:cs="Arial"/>
            <w:sz w:val="18"/>
            <w:szCs w:val="18"/>
          </w:rPr>
          <w:t>http://www4.bcb.gov.br/fis/TOP50/port/Top50P.asp</w:t>
        </w:r>
      </w:hyperlink>
      <w:r w:rsidRPr="001D6E1E">
        <w:rPr>
          <w:rFonts w:ascii="Arial" w:hAnsi="Arial" w:cs="Arial"/>
          <w:sz w:val="18"/>
          <w:szCs w:val="18"/>
        </w:rPr>
        <w:t>.</w:t>
      </w:r>
    </w:p>
  </w:footnote>
  <w:footnote w:id="12">
    <w:p w:rsidR="006E2FB7" w:rsidRPr="001D6E1E" w:rsidRDefault="006E2FB7" w:rsidP="001D6E1E">
      <w:pPr>
        <w:pStyle w:val="FootnoteText"/>
        <w:tabs>
          <w:tab w:val="left" w:pos="180"/>
        </w:tabs>
        <w:ind w:left="180" w:hanging="180"/>
        <w:rPr>
          <w:rFonts w:ascii="Arial" w:hAnsi="Arial" w:cs="Arial"/>
          <w:sz w:val="18"/>
          <w:szCs w:val="18"/>
        </w:rPr>
      </w:pPr>
      <w:r w:rsidRPr="001D6E1E">
        <w:rPr>
          <w:rStyle w:val="FootnoteReference"/>
          <w:rFonts w:ascii="Arial" w:hAnsi="Arial" w:cs="Arial"/>
          <w:sz w:val="18"/>
          <w:szCs w:val="18"/>
        </w:rPr>
        <w:footnoteRef/>
      </w:r>
      <w:r w:rsidR="001D6E1E">
        <w:rPr>
          <w:rFonts w:ascii="Arial" w:hAnsi="Arial" w:cs="Arial"/>
          <w:sz w:val="18"/>
          <w:szCs w:val="18"/>
        </w:rPr>
        <w:tab/>
      </w:r>
      <w:r w:rsidRPr="001D6E1E">
        <w:rPr>
          <w:rFonts w:ascii="Arial" w:hAnsi="Arial" w:cs="Arial"/>
          <w:sz w:val="18"/>
          <w:szCs w:val="18"/>
        </w:rPr>
        <w:t xml:space="preserve">Conforme </w:t>
      </w:r>
      <w:hyperlink r:id="rId5" w:history="1">
        <w:r w:rsidR="001D6E1E">
          <w:rPr>
            <w:rStyle w:val="Hyperlink"/>
            <w:rFonts w:ascii="Arial" w:hAnsi="Arial" w:cs="Arial"/>
            <w:sz w:val="18"/>
            <w:szCs w:val="18"/>
          </w:rPr>
          <w:t>http://www.bndes.gov.br/SiteBNDES/export/sites/default/bndes_pt/Galerias/Arquivos/</w:t>
        </w:r>
      </w:hyperlink>
      <w:r w:rsidRPr="001D6E1E">
        <w:rPr>
          <w:rFonts w:ascii="Arial" w:hAnsi="Arial" w:cs="Arial"/>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53898"/>
    <w:multiLevelType w:val="hybridMultilevel"/>
    <w:tmpl w:val="BC48B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95003A"/>
    <w:multiLevelType w:val="multilevel"/>
    <w:tmpl w:val="A34667DC"/>
    <w:lvl w:ilvl="0">
      <w:start w:val="1"/>
      <w:numFmt w:val="bullet"/>
      <w:lvlText w:val=""/>
      <w:lvlJc w:val="left"/>
      <w:pPr>
        <w:tabs>
          <w:tab w:val="num" w:pos="1050"/>
        </w:tabs>
        <w:ind w:left="1050" w:hanging="360"/>
      </w:pPr>
      <w:rPr>
        <w:rFonts w:ascii="Symbol" w:hAnsi="Symbol" w:hint="default"/>
        <w:sz w:val="20"/>
      </w:rPr>
    </w:lvl>
    <w:lvl w:ilvl="1" w:tentative="1">
      <w:start w:val="1"/>
      <w:numFmt w:val="bullet"/>
      <w:lvlText w:val=""/>
      <w:lvlJc w:val="left"/>
      <w:pPr>
        <w:tabs>
          <w:tab w:val="num" w:pos="1770"/>
        </w:tabs>
        <w:ind w:left="1770" w:hanging="360"/>
      </w:pPr>
      <w:rPr>
        <w:rFonts w:ascii="Symbol" w:hAnsi="Symbol" w:hint="default"/>
        <w:sz w:val="20"/>
      </w:rPr>
    </w:lvl>
    <w:lvl w:ilvl="2" w:tentative="1">
      <w:start w:val="1"/>
      <w:numFmt w:val="bullet"/>
      <w:lvlText w:val=""/>
      <w:lvlJc w:val="left"/>
      <w:pPr>
        <w:tabs>
          <w:tab w:val="num" w:pos="2490"/>
        </w:tabs>
        <w:ind w:left="2490" w:hanging="360"/>
      </w:pPr>
      <w:rPr>
        <w:rFonts w:ascii="Symbol" w:hAnsi="Symbol" w:hint="default"/>
        <w:sz w:val="20"/>
      </w:rPr>
    </w:lvl>
    <w:lvl w:ilvl="3" w:tentative="1">
      <w:start w:val="1"/>
      <w:numFmt w:val="bullet"/>
      <w:lvlText w:val=""/>
      <w:lvlJc w:val="left"/>
      <w:pPr>
        <w:tabs>
          <w:tab w:val="num" w:pos="3210"/>
        </w:tabs>
        <w:ind w:left="3210" w:hanging="360"/>
      </w:pPr>
      <w:rPr>
        <w:rFonts w:ascii="Symbol" w:hAnsi="Symbol" w:hint="default"/>
        <w:sz w:val="20"/>
      </w:rPr>
    </w:lvl>
    <w:lvl w:ilvl="4" w:tentative="1">
      <w:start w:val="1"/>
      <w:numFmt w:val="bullet"/>
      <w:lvlText w:val=""/>
      <w:lvlJc w:val="left"/>
      <w:pPr>
        <w:tabs>
          <w:tab w:val="num" w:pos="3930"/>
        </w:tabs>
        <w:ind w:left="3930" w:hanging="360"/>
      </w:pPr>
      <w:rPr>
        <w:rFonts w:ascii="Symbol" w:hAnsi="Symbol" w:hint="default"/>
        <w:sz w:val="20"/>
      </w:rPr>
    </w:lvl>
    <w:lvl w:ilvl="5" w:tentative="1">
      <w:start w:val="1"/>
      <w:numFmt w:val="bullet"/>
      <w:lvlText w:val=""/>
      <w:lvlJc w:val="left"/>
      <w:pPr>
        <w:tabs>
          <w:tab w:val="num" w:pos="4650"/>
        </w:tabs>
        <w:ind w:left="4650" w:hanging="360"/>
      </w:pPr>
      <w:rPr>
        <w:rFonts w:ascii="Symbol" w:hAnsi="Symbol" w:hint="default"/>
        <w:sz w:val="20"/>
      </w:rPr>
    </w:lvl>
    <w:lvl w:ilvl="6" w:tentative="1">
      <w:start w:val="1"/>
      <w:numFmt w:val="bullet"/>
      <w:lvlText w:val=""/>
      <w:lvlJc w:val="left"/>
      <w:pPr>
        <w:tabs>
          <w:tab w:val="num" w:pos="5370"/>
        </w:tabs>
        <w:ind w:left="5370" w:hanging="360"/>
      </w:pPr>
      <w:rPr>
        <w:rFonts w:ascii="Symbol" w:hAnsi="Symbol" w:hint="default"/>
        <w:sz w:val="20"/>
      </w:rPr>
    </w:lvl>
    <w:lvl w:ilvl="7" w:tentative="1">
      <w:start w:val="1"/>
      <w:numFmt w:val="bullet"/>
      <w:lvlText w:val=""/>
      <w:lvlJc w:val="left"/>
      <w:pPr>
        <w:tabs>
          <w:tab w:val="num" w:pos="6090"/>
        </w:tabs>
        <w:ind w:left="6090" w:hanging="360"/>
      </w:pPr>
      <w:rPr>
        <w:rFonts w:ascii="Symbol" w:hAnsi="Symbol" w:hint="default"/>
        <w:sz w:val="20"/>
      </w:rPr>
    </w:lvl>
    <w:lvl w:ilvl="8" w:tentative="1">
      <w:start w:val="1"/>
      <w:numFmt w:val="bullet"/>
      <w:lvlText w:val=""/>
      <w:lvlJc w:val="left"/>
      <w:pPr>
        <w:tabs>
          <w:tab w:val="num" w:pos="6810"/>
        </w:tabs>
        <w:ind w:left="6810" w:hanging="360"/>
      </w:pPr>
      <w:rPr>
        <w:rFonts w:ascii="Symbol" w:hAnsi="Symbol" w:hint="default"/>
        <w:sz w:val="20"/>
      </w:rPr>
    </w:lvl>
  </w:abstractNum>
  <w:abstractNum w:abstractNumId="2">
    <w:nsid w:val="11144D20"/>
    <w:multiLevelType w:val="multilevel"/>
    <w:tmpl w:val="F780B2D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14E709C3"/>
    <w:multiLevelType w:val="multilevel"/>
    <w:tmpl w:val="7CFEA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78F6C5D"/>
    <w:multiLevelType w:val="multilevel"/>
    <w:tmpl w:val="E65AA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D8D650F"/>
    <w:multiLevelType w:val="hybridMultilevel"/>
    <w:tmpl w:val="44667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C45D75"/>
    <w:multiLevelType w:val="hybridMultilevel"/>
    <w:tmpl w:val="A050B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962757"/>
    <w:multiLevelType w:val="hybridMultilevel"/>
    <w:tmpl w:val="F78EA51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6F5F54"/>
    <w:multiLevelType w:val="multilevel"/>
    <w:tmpl w:val="BD480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F154052"/>
    <w:multiLevelType w:val="hybridMultilevel"/>
    <w:tmpl w:val="44667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2F1673"/>
    <w:multiLevelType w:val="hybridMultilevel"/>
    <w:tmpl w:val="95B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AA6BAD"/>
    <w:multiLevelType w:val="multilevel"/>
    <w:tmpl w:val="323A2E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502E2D41"/>
    <w:multiLevelType w:val="hybridMultilevel"/>
    <w:tmpl w:val="ADC63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B9689C"/>
    <w:multiLevelType w:val="multilevel"/>
    <w:tmpl w:val="03565AC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5C113914"/>
    <w:multiLevelType w:val="multilevel"/>
    <w:tmpl w:val="F780B2D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5D5128E4"/>
    <w:multiLevelType w:val="multilevel"/>
    <w:tmpl w:val="B8BA3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4112941"/>
    <w:multiLevelType w:val="multilevel"/>
    <w:tmpl w:val="03565AC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nsid w:val="6599658D"/>
    <w:multiLevelType w:val="multilevel"/>
    <w:tmpl w:val="3A24D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AB436C4"/>
    <w:multiLevelType w:val="hybridMultilevel"/>
    <w:tmpl w:val="ADC63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8232A9"/>
    <w:multiLevelType w:val="hybridMultilevel"/>
    <w:tmpl w:val="9A96D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1210C3"/>
    <w:multiLevelType w:val="hybridMultilevel"/>
    <w:tmpl w:val="ADC63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5"/>
  </w:num>
  <w:num w:numId="4">
    <w:abstractNumId w:val="9"/>
  </w:num>
  <w:num w:numId="5">
    <w:abstractNumId w:val="12"/>
  </w:num>
  <w:num w:numId="6">
    <w:abstractNumId w:val="0"/>
  </w:num>
  <w:num w:numId="7">
    <w:abstractNumId w:val="7"/>
  </w:num>
  <w:num w:numId="8">
    <w:abstractNumId w:val="18"/>
  </w:num>
  <w:num w:numId="9">
    <w:abstractNumId w:val="20"/>
  </w:num>
  <w:num w:numId="10">
    <w:abstractNumId w:val="19"/>
  </w:num>
  <w:num w:numId="11">
    <w:abstractNumId w:val="11"/>
  </w:num>
  <w:num w:numId="12">
    <w:abstractNumId w:val="17"/>
  </w:num>
  <w:num w:numId="13">
    <w:abstractNumId w:val="16"/>
  </w:num>
  <w:num w:numId="14">
    <w:abstractNumId w:val="1"/>
  </w:num>
  <w:num w:numId="15">
    <w:abstractNumId w:val="15"/>
  </w:num>
  <w:num w:numId="16">
    <w:abstractNumId w:val="8"/>
  </w:num>
  <w:num w:numId="17">
    <w:abstractNumId w:val="4"/>
  </w:num>
  <w:num w:numId="18">
    <w:abstractNumId w:val="3"/>
  </w:num>
  <w:num w:numId="19">
    <w:abstractNumId w:val="13"/>
  </w:num>
  <w:num w:numId="20">
    <w:abstractNumId w:val="2"/>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137"/>
    <w:rsid w:val="00055B09"/>
    <w:rsid w:val="000679D1"/>
    <w:rsid w:val="000A77D1"/>
    <w:rsid w:val="000B30AB"/>
    <w:rsid w:val="000B73DE"/>
    <w:rsid w:val="000C3342"/>
    <w:rsid w:val="000C4A3B"/>
    <w:rsid w:val="001173AC"/>
    <w:rsid w:val="00123FAB"/>
    <w:rsid w:val="00182DB9"/>
    <w:rsid w:val="001D41C8"/>
    <w:rsid w:val="001D6E1E"/>
    <w:rsid w:val="001E43AF"/>
    <w:rsid w:val="001F5D5D"/>
    <w:rsid w:val="0020474E"/>
    <w:rsid w:val="00233524"/>
    <w:rsid w:val="002405EA"/>
    <w:rsid w:val="003065B5"/>
    <w:rsid w:val="0035727D"/>
    <w:rsid w:val="003731E9"/>
    <w:rsid w:val="003B5113"/>
    <w:rsid w:val="003F17FF"/>
    <w:rsid w:val="00417366"/>
    <w:rsid w:val="00443872"/>
    <w:rsid w:val="004649B0"/>
    <w:rsid w:val="004A669A"/>
    <w:rsid w:val="004C27B5"/>
    <w:rsid w:val="004D4D91"/>
    <w:rsid w:val="00503BA9"/>
    <w:rsid w:val="0053770D"/>
    <w:rsid w:val="005C0A9D"/>
    <w:rsid w:val="005F0E2A"/>
    <w:rsid w:val="006E2FB7"/>
    <w:rsid w:val="00710767"/>
    <w:rsid w:val="0076185A"/>
    <w:rsid w:val="00776673"/>
    <w:rsid w:val="00780A88"/>
    <w:rsid w:val="0078589E"/>
    <w:rsid w:val="007E4B6B"/>
    <w:rsid w:val="008100ED"/>
    <w:rsid w:val="0085695C"/>
    <w:rsid w:val="009271DE"/>
    <w:rsid w:val="009303BA"/>
    <w:rsid w:val="009375E3"/>
    <w:rsid w:val="00955E54"/>
    <w:rsid w:val="00970064"/>
    <w:rsid w:val="009C331A"/>
    <w:rsid w:val="009D3137"/>
    <w:rsid w:val="009E533D"/>
    <w:rsid w:val="00A071DE"/>
    <w:rsid w:val="00A134DE"/>
    <w:rsid w:val="00A248D7"/>
    <w:rsid w:val="00A349C4"/>
    <w:rsid w:val="00A66CD1"/>
    <w:rsid w:val="00AB2247"/>
    <w:rsid w:val="00AF4793"/>
    <w:rsid w:val="00AF69E6"/>
    <w:rsid w:val="00B04C7E"/>
    <w:rsid w:val="00BB22BA"/>
    <w:rsid w:val="00C0188D"/>
    <w:rsid w:val="00C33093"/>
    <w:rsid w:val="00CD113B"/>
    <w:rsid w:val="00CD4B5D"/>
    <w:rsid w:val="00D20086"/>
    <w:rsid w:val="00D360B6"/>
    <w:rsid w:val="00D836CE"/>
    <w:rsid w:val="00E90B90"/>
    <w:rsid w:val="00F0153C"/>
    <w:rsid w:val="00F12758"/>
    <w:rsid w:val="00F3130A"/>
    <w:rsid w:val="00F430F7"/>
    <w:rsid w:val="00F576FB"/>
    <w:rsid w:val="00F80CDE"/>
    <w:rsid w:val="00FC2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335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3352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047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0474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524"/>
    <w:pPr>
      <w:ind w:left="720"/>
      <w:contextualSpacing/>
    </w:pPr>
  </w:style>
  <w:style w:type="character" w:customStyle="1" w:styleId="Heading1Char">
    <w:name w:val="Heading 1 Char"/>
    <w:basedOn w:val="DefaultParagraphFont"/>
    <w:link w:val="Heading1"/>
    <w:uiPriority w:val="9"/>
    <w:rsid w:val="0023352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33524"/>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unhideWhenUsed/>
    <w:rsid w:val="00CD113B"/>
    <w:pPr>
      <w:spacing w:after="0" w:line="240" w:lineRule="auto"/>
    </w:pPr>
    <w:rPr>
      <w:sz w:val="20"/>
      <w:szCs w:val="20"/>
    </w:rPr>
  </w:style>
  <w:style w:type="character" w:customStyle="1" w:styleId="FootnoteTextChar">
    <w:name w:val="Footnote Text Char"/>
    <w:basedOn w:val="DefaultParagraphFont"/>
    <w:link w:val="FootnoteText"/>
    <w:uiPriority w:val="99"/>
    <w:rsid w:val="00CD113B"/>
    <w:rPr>
      <w:sz w:val="20"/>
      <w:szCs w:val="20"/>
    </w:rPr>
  </w:style>
  <w:style w:type="character" w:styleId="FootnoteReference">
    <w:name w:val="footnote reference"/>
    <w:basedOn w:val="DefaultParagraphFont"/>
    <w:uiPriority w:val="99"/>
    <w:semiHidden/>
    <w:unhideWhenUsed/>
    <w:rsid w:val="00CD113B"/>
    <w:rPr>
      <w:vertAlign w:val="superscript"/>
    </w:rPr>
  </w:style>
  <w:style w:type="character" w:styleId="Hyperlink">
    <w:name w:val="Hyperlink"/>
    <w:basedOn w:val="DefaultParagraphFont"/>
    <w:uiPriority w:val="99"/>
    <w:unhideWhenUsed/>
    <w:rsid w:val="00CD113B"/>
    <w:rPr>
      <w:color w:val="0000FF" w:themeColor="hyperlink"/>
      <w:u w:val="single"/>
    </w:rPr>
  </w:style>
  <w:style w:type="paragraph" w:styleId="BalloonText">
    <w:name w:val="Balloon Text"/>
    <w:basedOn w:val="Normal"/>
    <w:link w:val="BalloonTextChar"/>
    <w:uiPriority w:val="99"/>
    <w:semiHidden/>
    <w:unhideWhenUsed/>
    <w:rsid w:val="009271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1DE"/>
    <w:rPr>
      <w:rFonts w:ascii="Tahoma" w:hAnsi="Tahoma" w:cs="Tahoma"/>
      <w:sz w:val="16"/>
      <w:szCs w:val="16"/>
    </w:rPr>
  </w:style>
  <w:style w:type="paragraph" w:styleId="NormalWeb">
    <w:name w:val="Normal (Web)"/>
    <w:basedOn w:val="Normal"/>
    <w:uiPriority w:val="99"/>
    <w:unhideWhenUsed/>
    <w:rsid w:val="00D360B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360B6"/>
  </w:style>
  <w:style w:type="character" w:styleId="FollowedHyperlink">
    <w:name w:val="FollowedHyperlink"/>
    <w:basedOn w:val="DefaultParagraphFont"/>
    <w:uiPriority w:val="99"/>
    <w:semiHidden/>
    <w:unhideWhenUsed/>
    <w:rsid w:val="00D360B6"/>
    <w:rPr>
      <w:color w:val="800080" w:themeColor="followedHyperlink"/>
      <w:u w:val="single"/>
    </w:rPr>
  </w:style>
  <w:style w:type="character" w:customStyle="1" w:styleId="Heading3Char">
    <w:name w:val="Heading 3 Char"/>
    <w:basedOn w:val="DefaultParagraphFont"/>
    <w:link w:val="Heading3"/>
    <w:uiPriority w:val="9"/>
    <w:semiHidden/>
    <w:rsid w:val="0020474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0474E"/>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6E2F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FB7"/>
  </w:style>
  <w:style w:type="paragraph" w:styleId="Footer">
    <w:name w:val="footer"/>
    <w:basedOn w:val="Normal"/>
    <w:link w:val="FooterChar"/>
    <w:uiPriority w:val="99"/>
    <w:unhideWhenUsed/>
    <w:rsid w:val="006E2F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F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335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3352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047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0474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524"/>
    <w:pPr>
      <w:ind w:left="720"/>
      <w:contextualSpacing/>
    </w:pPr>
  </w:style>
  <w:style w:type="character" w:customStyle="1" w:styleId="Heading1Char">
    <w:name w:val="Heading 1 Char"/>
    <w:basedOn w:val="DefaultParagraphFont"/>
    <w:link w:val="Heading1"/>
    <w:uiPriority w:val="9"/>
    <w:rsid w:val="0023352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33524"/>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unhideWhenUsed/>
    <w:rsid w:val="00CD113B"/>
    <w:pPr>
      <w:spacing w:after="0" w:line="240" w:lineRule="auto"/>
    </w:pPr>
    <w:rPr>
      <w:sz w:val="20"/>
      <w:szCs w:val="20"/>
    </w:rPr>
  </w:style>
  <w:style w:type="character" w:customStyle="1" w:styleId="FootnoteTextChar">
    <w:name w:val="Footnote Text Char"/>
    <w:basedOn w:val="DefaultParagraphFont"/>
    <w:link w:val="FootnoteText"/>
    <w:uiPriority w:val="99"/>
    <w:rsid w:val="00CD113B"/>
    <w:rPr>
      <w:sz w:val="20"/>
      <w:szCs w:val="20"/>
    </w:rPr>
  </w:style>
  <w:style w:type="character" w:styleId="FootnoteReference">
    <w:name w:val="footnote reference"/>
    <w:basedOn w:val="DefaultParagraphFont"/>
    <w:uiPriority w:val="99"/>
    <w:semiHidden/>
    <w:unhideWhenUsed/>
    <w:rsid w:val="00CD113B"/>
    <w:rPr>
      <w:vertAlign w:val="superscript"/>
    </w:rPr>
  </w:style>
  <w:style w:type="character" w:styleId="Hyperlink">
    <w:name w:val="Hyperlink"/>
    <w:basedOn w:val="DefaultParagraphFont"/>
    <w:uiPriority w:val="99"/>
    <w:unhideWhenUsed/>
    <w:rsid w:val="00CD113B"/>
    <w:rPr>
      <w:color w:val="0000FF" w:themeColor="hyperlink"/>
      <w:u w:val="single"/>
    </w:rPr>
  </w:style>
  <w:style w:type="paragraph" w:styleId="BalloonText">
    <w:name w:val="Balloon Text"/>
    <w:basedOn w:val="Normal"/>
    <w:link w:val="BalloonTextChar"/>
    <w:uiPriority w:val="99"/>
    <w:semiHidden/>
    <w:unhideWhenUsed/>
    <w:rsid w:val="009271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1DE"/>
    <w:rPr>
      <w:rFonts w:ascii="Tahoma" w:hAnsi="Tahoma" w:cs="Tahoma"/>
      <w:sz w:val="16"/>
      <w:szCs w:val="16"/>
    </w:rPr>
  </w:style>
  <w:style w:type="paragraph" w:styleId="NormalWeb">
    <w:name w:val="Normal (Web)"/>
    <w:basedOn w:val="Normal"/>
    <w:uiPriority w:val="99"/>
    <w:unhideWhenUsed/>
    <w:rsid w:val="00D360B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360B6"/>
  </w:style>
  <w:style w:type="character" w:styleId="FollowedHyperlink">
    <w:name w:val="FollowedHyperlink"/>
    <w:basedOn w:val="DefaultParagraphFont"/>
    <w:uiPriority w:val="99"/>
    <w:semiHidden/>
    <w:unhideWhenUsed/>
    <w:rsid w:val="00D360B6"/>
    <w:rPr>
      <w:color w:val="800080" w:themeColor="followedHyperlink"/>
      <w:u w:val="single"/>
    </w:rPr>
  </w:style>
  <w:style w:type="character" w:customStyle="1" w:styleId="Heading3Char">
    <w:name w:val="Heading 3 Char"/>
    <w:basedOn w:val="DefaultParagraphFont"/>
    <w:link w:val="Heading3"/>
    <w:uiPriority w:val="9"/>
    <w:semiHidden/>
    <w:rsid w:val="0020474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0474E"/>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6E2F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FB7"/>
  </w:style>
  <w:style w:type="paragraph" w:styleId="Footer">
    <w:name w:val="footer"/>
    <w:basedOn w:val="Normal"/>
    <w:link w:val="FooterChar"/>
    <w:uiPriority w:val="99"/>
    <w:unhideWhenUsed/>
    <w:rsid w:val="006E2F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89454">
      <w:bodyDiv w:val="1"/>
      <w:marLeft w:val="0"/>
      <w:marRight w:val="0"/>
      <w:marTop w:val="0"/>
      <w:marBottom w:val="0"/>
      <w:divBdr>
        <w:top w:val="none" w:sz="0" w:space="0" w:color="auto"/>
        <w:left w:val="none" w:sz="0" w:space="0" w:color="auto"/>
        <w:bottom w:val="none" w:sz="0" w:space="0" w:color="auto"/>
        <w:right w:val="none" w:sz="0" w:space="0" w:color="auto"/>
      </w:divBdr>
      <w:divsChild>
        <w:div w:id="1599175966">
          <w:marLeft w:val="0"/>
          <w:marRight w:val="0"/>
          <w:marTop w:val="0"/>
          <w:marBottom w:val="0"/>
          <w:divBdr>
            <w:top w:val="none" w:sz="0" w:space="0" w:color="auto"/>
            <w:left w:val="none" w:sz="0" w:space="0" w:color="auto"/>
            <w:bottom w:val="none" w:sz="0" w:space="0" w:color="auto"/>
            <w:right w:val="none" w:sz="0" w:space="0" w:color="auto"/>
          </w:divBdr>
        </w:div>
        <w:div w:id="184637578">
          <w:marLeft w:val="0"/>
          <w:marRight w:val="0"/>
          <w:marTop w:val="0"/>
          <w:marBottom w:val="0"/>
          <w:divBdr>
            <w:top w:val="none" w:sz="0" w:space="0" w:color="auto"/>
            <w:left w:val="none" w:sz="0" w:space="0" w:color="auto"/>
            <w:bottom w:val="none" w:sz="0" w:space="0" w:color="auto"/>
            <w:right w:val="none" w:sz="0" w:space="0" w:color="auto"/>
          </w:divBdr>
        </w:div>
        <w:div w:id="1431662823">
          <w:marLeft w:val="0"/>
          <w:marRight w:val="0"/>
          <w:marTop w:val="0"/>
          <w:marBottom w:val="0"/>
          <w:divBdr>
            <w:top w:val="none" w:sz="0" w:space="0" w:color="auto"/>
            <w:left w:val="none" w:sz="0" w:space="0" w:color="auto"/>
            <w:bottom w:val="none" w:sz="0" w:space="0" w:color="auto"/>
            <w:right w:val="none" w:sz="0" w:space="0" w:color="auto"/>
          </w:divBdr>
        </w:div>
        <w:div w:id="2105833516">
          <w:marLeft w:val="0"/>
          <w:marRight w:val="0"/>
          <w:marTop w:val="0"/>
          <w:marBottom w:val="0"/>
          <w:divBdr>
            <w:top w:val="none" w:sz="0" w:space="0" w:color="auto"/>
            <w:left w:val="none" w:sz="0" w:space="0" w:color="auto"/>
            <w:bottom w:val="none" w:sz="0" w:space="0" w:color="auto"/>
            <w:right w:val="none" w:sz="0" w:space="0" w:color="auto"/>
          </w:divBdr>
        </w:div>
        <w:div w:id="1751347495">
          <w:marLeft w:val="0"/>
          <w:marRight w:val="0"/>
          <w:marTop w:val="0"/>
          <w:marBottom w:val="0"/>
          <w:divBdr>
            <w:top w:val="none" w:sz="0" w:space="0" w:color="auto"/>
            <w:left w:val="none" w:sz="0" w:space="0" w:color="auto"/>
            <w:bottom w:val="none" w:sz="0" w:space="0" w:color="auto"/>
            <w:right w:val="none" w:sz="0" w:space="0" w:color="auto"/>
          </w:divBdr>
        </w:div>
        <w:div w:id="298846318">
          <w:marLeft w:val="0"/>
          <w:marRight w:val="0"/>
          <w:marTop w:val="0"/>
          <w:marBottom w:val="0"/>
          <w:divBdr>
            <w:top w:val="none" w:sz="0" w:space="0" w:color="auto"/>
            <w:left w:val="none" w:sz="0" w:space="0" w:color="auto"/>
            <w:bottom w:val="none" w:sz="0" w:space="0" w:color="auto"/>
            <w:right w:val="none" w:sz="0" w:space="0" w:color="auto"/>
          </w:divBdr>
        </w:div>
        <w:div w:id="1756590351">
          <w:marLeft w:val="0"/>
          <w:marRight w:val="0"/>
          <w:marTop w:val="0"/>
          <w:marBottom w:val="0"/>
          <w:divBdr>
            <w:top w:val="none" w:sz="0" w:space="0" w:color="auto"/>
            <w:left w:val="none" w:sz="0" w:space="0" w:color="auto"/>
            <w:bottom w:val="none" w:sz="0" w:space="0" w:color="auto"/>
            <w:right w:val="none" w:sz="0" w:space="0" w:color="auto"/>
          </w:divBdr>
        </w:div>
        <w:div w:id="1877690657">
          <w:marLeft w:val="0"/>
          <w:marRight w:val="0"/>
          <w:marTop w:val="0"/>
          <w:marBottom w:val="0"/>
          <w:divBdr>
            <w:top w:val="none" w:sz="0" w:space="0" w:color="auto"/>
            <w:left w:val="none" w:sz="0" w:space="0" w:color="auto"/>
            <w:bottom w:val="none" w:sz="0" w:space="0" w:color="auto"/>
            <w:right w:val="none" w:sz="0" w:space="0" w:color="auto"/>
          </w:divBdr>
        </w:div>
        <w:div w:id="52656342">
          <w:marLeft w:val="0"/>
          <w:marRight w:val="0"/>
          <w:marTop w:val="0"/>
          <w:marBottom w:val="0"/>
          <w:divBdr>
            <w:top w:val="none" w:sz="0" w:space="0" w:color="auto"/>
            <w:left w:val="none" w:sz="0" w:space="0" w:color="auto"/>
            <w:bottom w:val="none" w:sz="0" w:space="0" w:color="auto"/>
            <w:right w:val="none" w:sz="0" w:space="0" w:color="auto"/>
          </w:divBdr>
        </w:div>
        <w:div w:id="1586526396">
          <w:marLeft w:val="0"/>
          <w:marRight w:val="0"/>
          <w:marTop w:val="0"/>
          <w:marBottom w:val="0"/>
          <w:divBdr>
            <w:top w:val="none" w:sz="0" w:space="0" w:color="auto"/>
            <w:left w:val="none" w:sz="0" w:space="0" w:color="auto"/>
            <w:bottom w:val="none" w:sz="0" w:space="0" w:color="auto"/>
            <w:right w:val="none" w:sz="0" w:space="0" w:color="auto"/>
          </w:divBdr>
        </w:div>
        <w:div w:id="1741364176">
          <w:marLeft w:val="0"/>
          <w:marRight w:val="0"/>
          <w:marTop w:val="0"/>
          <w:marBottom w:val="0"/>
          <w:divBdr>
            <w:top w:val="none" w:sz="0" w:space="0" w:color="auto"/>
            <w:left w:val="none" w:sz="0" w:space="0" w:color="auto"/>
            <w:bottom w:val="none" w:sz="0" w:space="0" w:color="auto"/>
            <w:right w:val="none" w:sz="0" w:space="0" w:color="auto"/>
          </w:divBdr>
        </w:div>
      </w:divsChild>
    </w:div>
    <w:div w:id="324094280">
      <w:bodyDiv w:val="1"/>
      <w:marLeft w:val="0"/>
      <w:marRight w:val="0"/>
      <w:marTop w:val="0"/>
      <w:marBottom w:val="0"/>
      <w:divBdr>
        <w:top w:val="none" w:sz="0" w:space="0" w:color="auto"/>
        <w:left w:val="none" w:sz="0" w:space="0" w:color="auto"/>
        <w:bottom w:val="none" w:sz="0" w:space="0" w:color="auto"/>
        <w:right w:val="none" w:sz="0" w:space="0" w:color="auto"/>
      </w:divBdr>
    </w:div>
    <w:div w:id="454370076">
      <w:bodyDiv w:val="1"/>
      <w:marLeft w:val="0"/>
      <w:marRight w:val="0"/>
      <w:marTop w:val="0"/>
      <w:marBottom w:val="0"/>
      <w:divBdr>
        <w:top w:val="none" w:sz="0" w:space="0" w:color="auto"/>
        <w:left w:val="none" w:sz="0" w:space="0" w:color="auto"/>
        <w:bottom w:val="none" w:sz="0" w:space="0" w:color="auto"/>
        <w:right w:val="none" w:sz="0" w:space="0" w:color="auto"/>
      </w:divBdr>
    </w:div>
    <w:div w:id="642078620">
      <w:bodyDiv w:val="1"/>
      <w:marLeft w:val="0"/>
      <w:marRight w:val="0"/>
      <w:marTop w:val="0"/>
      <w:marBottom w:val="0"/>
      <w:divBdr>
        <w:top w:val="none" w:sz="0" w:space="0" w:color="auto"/>
        <w:left w:val="none" w:sz="0" w:space="0" w:color="auto"/>
        <w:bottom w:val="none" w:sz="0" w:space="0" w:color="auto"/>
        <w:right w:val="none" w:sz="0" w:space="0" w:color="auto"/>
      </w:divBdr>
    </w:div>
    <w:div w:id="669647221">
      <w:bodyDiv w:val="1"/>
      <w:marLeft w:val="0"/>
      <w:marRight w:val="0"/>
      <w:marTop w:val="0"/>
      <w:marBottom w:val="0"/>
      <w:divBdr>
        <w:top w:val="none" w:sz="0" w:space="0" w:color="auto"/>
        <w:left w:val="none" w:sz="0" w:space="0" w:color="auto"/>
        <w:bottom w:val="none" w:sz="0" w:space="0" w:color="auto"/>
        <w:right w:val="none" w:sz="0" w:space="0" w:color="auto"/>
      </w:divBdr>
      <w:divsChild>
        <w:div w:id="333458185">
          <w:marLeft w:val="0"/>
          <w:marRight w:val="0"/>
          <w:marTop w:val="0"/>
          <w:marBottom w:val="0"/>
          <w:divBdr>
            <w:top w:val="none" w:sz="0" w:space="0" w:color="auto"/>
            <w:left w:val="none" w:sz="0" w:space="0" w:color="auto"/>
            <w:bottom w:val="none" w:sz="0" w:space="0" w:color="auto"/>
            <w:right w:val="none" w:sz="0" w:space="0" w:color="auto"/>
          </w:divBdr>
        </w:div>
        <w:div w:id="2063554291">
          <w:marLeft w:val="0"/>
          <w:marRight w:val="0"/>
          <w:marTop w:val="0"/>
          <w:marBottom w:val="0"/>
          <w:divBdr>
            <w:top w:val="none" w:sz="0" w:space="0" w:color="auto"/>
            <w:left w:val="none" w:sz="0" w:space="0" w:color="auto"/>
            <w:bottom w:val="none" w:sz="0" w:space="0" w:color="auto"/>
            <w:right w:val="none" w:sz="0" w:space="0" w:color="auto"/>
          </w:divBdr>
        </w:div>
        <w:div w:id="1462185160">
          <w:marLeft w:val="0"/>
          <w:marRight w:val="0"/>
          <w:marTop w:val="0"/>
          <w:marBottom w:val="0"/>
          <w:divBdr>
            <w:top w:val="none" w:sz="0" w:space="0" w:color="auto"/>
            <w:left w:val="none" w:sz="0" w:space="0" w:color="auto"/>
            <w:bottom w:val="none" w:sz="0" w:space="0" w:color="auto"/>
            <w:right w:val="none" w:sz="0" w:space="0" w:color="auto"/>
          </w:divBdr>
        </w:div>
        <w:div w:id="303193866">
          <w:marLeft w:val="0"/>
          <w:marRight w:val="0"/>
          <w:marTop w:val="0"/>
          <w:marBottom w:val="0"/>
          <w:divBdr>
            <w:top w:val="none" w:sz="0" w:space="0" w:color="auto"/>
            <w:left w:val="none" w:sz="0" w:space="0" w:color="auto"/>
            <w:bottom w:val="none" w:sz="0" w:space="0" w:color="auto"/>
            <w:right w:val="none" w:sz="0" w:space="0" w:color="auto"/>
          </w:divBdr>
        </w:div>
        <w:div w:id="530533326">
          <w:marLeft w:val="0"/>
          <w:marRight w:val="0"/>
          <w:marTop w:val="0"/>
          <w:marBottom w:val="0"/>
          <w:divBdr>
            <w:top w:val="none" w:sz="0" w:space="0" w:color="auto"/>
            <w:left w:val="none" w:sz="0" w:space="0" w:color="auto"/>
            <w:bottom w:val="none" w:sz="0" w:space="0" w:color="auto"/>
            <w:right w:val="none" w:sz="0" w:space="0" w:color="auto"/>
          </w:divBdr>
        </w:div>
        <w:div w:id="1018582316">
          <w:marLeft w:val="0"/>
          <w:marRight w:val="0"/>
          <w:marTop w:val="0"/>
          <w:marBottom w:val="0"/>
          <w:divBdr>
            <w:top w:val="none" w:sz="0" w:space="0" w:color="auto"/>
            <w:left w:val="none" w:sz="0" w:space="0" w:color="auto"/>
            <w:bottom w:val="none" w:sz="0" w:space="0" w:color="auto"/>
            <w:right w:val="none" w:sz="0" w:space="0" w:color="auto"/>
          </w:divBdr>
        </w:div>
        <w:div w:id="698820408">
          <w:marLeft w:val="0"/>
          <w:marRight w:val="0"/>
          <w:marTop w:val="0"/>
          <w:marBottom w:val="0"/>
          <w:divBdr>
            <w:top w:val="none" w:sz="0" w:space="0" w:color="auto"/>
            <w:left w:val="none" w:sz="0" w:space="0" w:color="auto"/>
            <w:bottom w:val="none" w:sz="0" w:space="0" w:color="auto"/>
            <w:right w:val="none" w:sz="0" w:space="0" w:color="auto"/>
          </w:divBdr>
        </w:div>
        <w:div w:id="545604184">
          <w:marLeft w:val="0"/>
          <w:marRight w:val="0"/>
          <w:marTop w:val="0"/>
          <w:marBottom w:val="0"/>
          <w:divBdr>
            <w:top w:val="none" w:sz="0" w:space="0" w:color="auto"/>
            <w:left w:val="none" w:sz="0" w:space="0" w:color="auto"/>
            <w:bottom w:val="none" w:sz="0" w:space="0" w:color="auto"/>
            <w:right w:val="none" w:sz="0" w:space="0" w:color="auto"/>
          </w:divBdr>
        </w:div>
        <w:div w:id="1032682175">
          <w:marLeft w:val="0"/>
          <w:marRight w:val="0"/>
          <w:marTop w:val="0"/>
          <w:marBottom w:val="0"/>
          <w:divBdr>
            <w:top w:val="none" w:sz="0" w:space="0" w:color="auto"/>
            <w:left w:val="none" w:sz="0" w:space="0" w:color="auto"/>
            <w:bottom w:val="none" w:sz="0" w:space="0" w:color="auto"/>
            <w:right w:val="none" w:sz="0" w:space="0" w:color="auto"/>
          </w:divBdr>
        </w:div>
        <w:div w:id="530336600">
          <w:marLeft w:val="0"/>
          <w:marRight w:val="0"/>
          <w:marTop w:val="0"/>
          <w:marBottom w:val="0"/>
          <w:divBdr>
            <w:top w:val="none" w:sz="0" w:space="0" w:color="auto"/>
            <w:left w:val="none" w:sz="0" w:space="0" w:color="auto"/>
            <w:bottom w:val="none" w:sz="0" w:space="0" w:color="auto"/>
            <w:right w:val="none" w:sz="0" w:space="0" w:color="auto"/>
          </w:divBdr>
        </w:div>
        <w:div w:id="399980972">
          <w:marLeft w:val="0"/>
          <w:marRight w:val="0"/>
          <w:marTop w:val="0"/>
          <w:marBottom w:val="0"/>
          <w:divBdr>
            <w:top w:val="none" w:sz="0" w:space="0" w:color="auto"/>
            <w:left w:val="none" w:sz="0" w:space="0" w:color="auto"/>
            <w:bottom w:val="none" w:sz="0" w:space="0" w:color="auto"/>
            <w:right w:val="none" w:sz="0" w:space="0" w:color="auto"/>
          </w:divBdr>
        </w:div>
        <w:div w:id="473527100">
          <w:marLeft w:val="0"/>
          <w:marRight w:val="0"/>
          <w:marTop w:val="0"/>
          <w:marBottom w:val="0"/>
          <w:divBdr>
            <w:top w:val="none" w:sz="0" w:space="0" w:color="auto"/>
            <w:left w:val="none" w:sz="0" w:space="0" w:color="auto"/>
            <w:bottom w:val="none" w:sz="0" w:space="0" w:color="auto"/>
            <w:right w:val="none" w:sz="0" w:space="0" w:color="auto"/>
          </w:divBdr>
        </w:div>
        <w:div w:id="1886333502">
          <w:marLeft w:val="0"/>
          <w:marRight w:val="0"/>
          <w:marTop w:val="0"/>
          <w:marBottom w:val="0"/>
          <w:divBdr>
            <w:top w:val="none" w:sz="0" w:space="0" w:color="auto"/>
            <w:left w:val="none" w:sz="0" w:space="0" w:color="auto"/>
            <w:bottom w:val="none" w:sz="0" w:space="0" w:color="auto"/>
            <w:right w:val="none" w:sz="0" w:space="0" w:color="auto"/>
          </w:divBdr>
        </w:div>
        <w:div w:id="292829571">
          <w:marLeft w:val="0"/>
          <w:marRight w:val="0"/>
          <w:marTop w:val="0"/>
          <w:marBottom w:val="0"/>
          <w:divBdr>
            <w:top w:val="none" w:sz="0" w:space="0" w:color="auto"/>
            <w:left w:val="none" w:sz="0" w:space="0" w:color="auto"/>
            <w:bottom w:val="none" w:sz="0" w:space="0" w:color="auto"/>
            <w:right w:val="none" w:sz="0" w:space="0" w:color="auto"/>
          </w:divBdr>
        </w:div>
        <w:div w:id="1896893836">
          <w:marLeft w:val="0"/>
          <w:marRight w:val="0"/>
          <w:marTop w:val="0"/>
          <w:marBottom w:val="0"/>
          <w:divBdr>
            <w:top w:val="none" w:sz="0" w:space="0" w:color="auto"/>
            <w:left w:val="none" w:sz="0" w:space="0" w:color="auto"/>
            <w:bottom w:val="none" w:sz="0" w:space="0" w:color="auto"/>
            <w:right w:val="none" w:sz="0" w:space="0" w:color="auto"/>
          </w:divBdr>
        </w:div>
        <w:div w:id="53893011">
          <w:marLeft w:val="0"/>
          <w:marRight w:val="0"/>
          <w:marTop w:val="0"/>
          <w:marBottom w:val="0"/>
          <w:divBdr>
            <w:top w:val="none" w:sz="0" w:space="0" w:color="auto"/>
            <w:left w:val="none" w:sz="0" w:space="0" w:color="auto"/>
            <w:bottom w:val="none" w:sz="0" w:space="0" w:color="auto"/>
            <w:right w:val="none" w:sz="0" w:space="0" w:color="auto"/>
          </w:divBdr>
        </w:div>
        <w:div w:id="1412697413">
          <w:marLeft w:val="0"/>
          <w:marRight w:val="0"/>
          <w:marTop w:val="0"/>
          <w:marBottom w:val="0"/>
          <w:divBdr>
            <w:top w:val="none" w:sz="0" w:space="0" w:color="auto"/>
            <w:left w:val="none" w:sz="0" w:space="0" w:color="auto"/>
            <w:bottom w:val="none" w:sz="0" w:space="0" w:color="auto"/>
            <w:right w:val="none" w:sz="0" w:space="0" w:color="auto"/>
          </w:divBdr>
        </w:div>
      </w:divsChild>
    </w:div>
    <w:div w:id="737245248">
      <w:bodyDiv w:val="1"/>
      <w:marLeft w:val="0"/>
      <w:marRight w:val="0"/>
      <w:marTop w:val="0"/>
      <w:marBottom w:val="0"/>
      <w:divBdr>
        <w:top w:val="none" w:sz="0" w:space="0" w:color="auto"/>
        <w:left w:val="none" w:sz="0" w:space="0" w:color="auto"/>
        <w:bottom w:val="none" w:sz="0" w:space="0" w:color="auto"/>
        <w:right w:val="none" w:sz="0" w:space="0" w:color="auto"/>
      </w:divBdr>
    </w:div>
    <w:div w:id="743912550">
      <w:bodyDiv w:val="1"/>
      <w:marLeft w:val="0"/>
      <w:marRight w:val="0"/>
      <w:marTop w:val="0"/>
      <w:marBottom w:val="0"/>
      <w:divBdr>
        <w:top w:val="none" w:sz="0" w:space="0" w:color="auto"/>
        <w:left w:val="none" w:sz="0" w:space="0" w:color="auto"/>
        <w:bottom w:val="none" w:sz="0" w:space="0" w:color="auto"/>
        <w:right w:val="none" w:sz="0" w:space="0" w:color="auto"/>
      </w:divBdr>
      <w:divsChild>
        <w:div w:id="1445418674">
          <w:marLeft w:val="0"/>
          <w:marRight w:val="0"/>
          <w:marTop w:val="0"/>
          <w:marBottom w:val="0"/>
          <w:divBdr>
            <w:top w:val="none" w:sz="0" w:space="0" w:color="auto"/>
            <w:left w:val="none" w:sz="0" w:space="0" w:color="auto"/>
            <w:bottom w:val="none" w:sz="0" w:space="0" w:color="auto"/>
            <w:right w:val="none" w:sz="0" w:space="0" w:color="auto"/>
          </w:divBdr>
        </w:div>
        <w:div w:id="363748238">
          <w:marLeft w:val="0"/>
          <w:marRight w:val="0"/>
          <w:marTop w:val="0"/>
          <w:marBottom w:val="0"/>
          <w:divBdr>
            <w:top w:val="none" w:sz="0" w:space="0" w:color="auto"/>
            <w:left w:val="none" w:sz="0" w:space="0" w:color="auto"/>
            <w:bottom w:val="none" w:sz="0" w:space="0" w:color="auto"/>
            <w:right w:val="none" w:sz="0" w:space="0" w:color="auto"/>
          </w:divBdr>
        </w:div>
        <w:div w:id="188220255">
          <w:marLeft w:val="0"/>
          <w:marRight w:val="0"/>
          <w:marTop w:val="0"/>
          <w:marBottom w:val="0"/>
          <w:divBdr>
            <w:top w:val="none" w:sz="0" w:space="0" w:color="auto"/>
            <w:left w:val="none" w:sz="0" w:space="0" w:color="auto"/>
            <w:bottom w:val="none" w:sz="0" w:space="0" w:color="auto"/>
            <w:right w:val="none" w:sz="0" w:space="0" w:color="auto"/>
          </w:divBdr>
        </w:div>
        <w:div w:id="1433816915">
          <w:marLeft w:val="0"/>
          <w:marRight w:val="0"/>
          <w:marTop w:val="0"/>
          <w:marBottom w:val="0"/>
          <w:divBdr>
            <w:top w:val="none" w:sz="0" w:space="0" w:color="auto"/>
            <w:left w:val="none" w:sz="0" w:space="0" w:color="auto"/>
            <w:bottom w:val="none" w:sz="0" w:space="0" w:color="auto"/>
            <w:right w:val="none" w:sz="0" w:space="0" w:color="auto"/>
          </w:divBdr>
        </w:div>
        <w:div w:id="1346520243">
          <w:marLeft w:val="0"/>
          <w:marRight w:val="0"/>
          <w:marTop w:val="0"/>
          <w:marBottom w:val="0"/>
          <w:divBdr>
            <w:top w:val="none" w:sz="0" w:space="0" w:color="auto"/>
            <w:left w:val="none" w:sz="0" w:space="0" w:color="auto"/>
            <w:bottom w:val="none" w:sz="0" w:space="0" w:color="auto"/>
            <w:right w:val="none" w:sz="0" w:space="0" w:color="auto"/>
          </w:divBdr>
        </w:div>
        <w:div w:id="345060207">
          <w:marLeft w:val="0"/>
          <w:marRight w:val="0"/>
          <w:marTop w:val="0"/>
          <w:marBottom w:val="0"/>
          <w:divBdr>
            <w:top w:val="none" w:sz="0" w:space="0" w:color="auto"/>
            <w:left w:val="none" w:sz="0" w:space="0" w:color="auto"/>
            <w:bottom w:val="none" w:sz="0" w:space="0" w:color="auto"/>
            <w:right w:val="none" w:sz="0" w:space="0" w:color="auto"/>
          </w:divBdr>
        </w:div>
        <w:div w:id="776489342">
          <w:marLeft w:val="0"/>
          <w:marRight w:val="0"/>
          <w:marTop w:val="0"/>
          <w:marBottom w:val="0"/>
          <w:divBdr>
            <w:top w:val="none" w:sz="0" w:space="0" w:color="auto"/>
            <w:left w:val="none" w:sz="0" w:space="0" w:color="auto"/>
            <w:bottom w:val="none" w:sz="0" w:space="0" w:color="auto"/>
            <w:right w:val="none" w:sz="0" w:space="0" w:color="auto"/>
          </w:divBdr>
        </w:div>
        <w:div w:id="197864202">
          <w:marLeft w:val="0"/>
          <w:marRight w:val="0"/>
          <w:marTop w:val="0"/>
          <w:marBottom w:val="0"/>
          <w:divBdr>
            <w:top w:val="none" w:sz="0" w:space="0" w:color="auto"/>
            <w:left w:val="none" w:sz="0" w:space="0" w:color="auto"/>
            <w:bottom w:val="none" w:sz="0" w:space="0" w:color="auto"/>
            <w:right w:val="none" w:sz="0" w:space="0" w:color="auto"/>
          </w:divBdr>
        </w:div>
        <w:div w:id="612056196">
          <w:marLeft w:val="0"/>
          <w:marRight w:val="0"/>
          <w:marTop w:val="0"/>
          <w:marBottom w:val="0"/>
          <w:divBdr>
            <w:top w:val="none" w:sz="0" w:space="0" w:color="auto"/>
            <w:left w:val="none" w:sz="0" w:space="0" w:color="auto"/>
            <w:bottom w:val="none" w:sz="0" w:space="0" w:color="auto"/>
            <w:right w:val="none" w:sz="0" w:space="0" w:color="auto"/>
          </w:divBdr>
        </w:div>
      </w:divsChild>
    </w:div>
    <w:div w:id="779225960">
      <w:bodyDiv w:val="1"/>
      <w:marLeft w:val="0"/>
      <w:marRight w:val="0"/>
      <w:marTop w:val="0"/>
      <w:marBottom w:val="0"/>
      <w:divBdr>
        <w:top w:val="none" w:sz="0" w:space="0" w:color="auto"/>
        <w:left w:val="none" w:sz="0" w:space="0" w:color="auto"/>
        <w:bottom w:val="none" w:sz="0" w:space="0" w:color="auto"/>
        <w:right w:val="none" w:sz="0" w:space="0" w:color="auto"/>
      </w:divBdr>
      <w:divsChild>
        <w:div w:id="1863662604">
          <w:marLeft w:val="0"/>
          <w:marRight w:val="0"/>
          <w:marTop w:val="750"/>
          <w:marBottom w:val="0"/>
          <w:divBdr>
            <w:top w:val="none" w:sz="0" w:space="0" w:color="auto"/>
            <w:left w:val="none" w:sz="0" w:space="0" w:color="auto"/>
            <w:bottom w:val="none" w:sz="0" w:space="0" w:color="auto"/>
            <w:right w:val="none" w:sz="0" w:space="0" w:color="auto"/>
          </w:divBdr>
          <w:divsChild>
            <w:div w:id="26682503">
              <w:marLeft w:val="0"/>
              <w:marRight w:val="0"/>
              <w:marTop w:val="0"/>
              <w:marBottom w:val="0"/>
              <w:divBdr>
                <w:top w:val="none" w:sz="0" w:space="0" w:color="auto"/>
                <w:left w:val="none" w:sz="0" w:space="0" w:color="auto"/>
                <w:bottom w:val="none" w:sz="0" w:space="0" w:color="auto"/>
                <w:right w:val="none" w:sz="0" w:space="0" w:color="auto"/>
              </w:divBdr>
              <w:divsChild>
                <w:div w:id="34224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28010">
      <w:bodyDiv w:val="1"/>
      <w:marLeft w:val="0"/>
      <w:marRight w:val="0"/>
      <w:marTop w:val="0"/>
      <w:marBottom w:val="0"/>
      <w:divBdr>
        <w:top w:val="none" w:sz="0" w:space="0" w:color="auto"/>
        <w:left w:val="none" w:sz="0" w:space="0" w:color="auto"/>
        <w:bottom w:val="none" w:sz="0" w:space="0" w:color="auto"/>
        <w:right w:val="none" w:sz="0" w:space="0" w:color="auto"/>
      </w:divBdr>
    </w:div>
    <w:div w:id="1069766701">
      <w:bodyDiv w:val="1"/>
      <w:marLeft w:val="0"/>
      <w:marRight w:val="0"/>
      <w:marTop w:val="0"/>
      <w:marBottom w:val="0"/>
      <w:divBdr>
        <w:top w:val="none" w:sz="0" w:space="0" w:color="auto"/>
        <w:left w:val="none" w:sz="0" w:space="0" w:color="auto"/>
        <w:bottom w:val="none" w:sz="0" w:space="0" w:color="auto"/>
        <w:right w:val="none" w:sz="0" w:space="0" w:color="auto"/>
      </w:divBdr>
    </w:div>
    <w:div w:id="1457872578">
      <w:bodyDiv w:val="1"/>
      <w:marLeft w:val="0"/>
      <w:marRight w:val="0"/>
      <w:marTop w:val="0"/>
      <w:marBottom w:val="0"/>
      <w:divBdr>
        <w:top w:val="none" w:sz="0" w:space="0" w:color="auto"/>
        <w:left w:val="none" w:sz="0" w:space="0" w:color="auto"/>
        <w:bottom w:val="none" w:sz="0" w:space="0" w:color="auto"/>
        <w:right w:val="none" w:sz="0" w:space="0" w:color="auto"/>
      </w:divBdr>
    </w:div>
    <w:div w:id="1562978940">
      <w:bodyDiv w:val="1"/>
      <w:marLeft w:val="0"/>
      <w:marRight w:val="0"/>
      <w:marTop w:val="0"/>
      <w:marBottom w:val="0"/>
      <w:divBdr>
        <w:top w:val="none" w:sz="0" w:space="0" w:color="auto"/>
        <w:left w:val="none" w:sz="0" w:space="0" w:color="auto"/>
        <w:bottom w:val="none" w:sz="0" w:space="0" w:color="auto"/>
        <w:right w:val="none" w:sz="0" w:space="0" w:color="auto"/>
      </w:divBdr>
      <w:divsChild>
        <w:div w:id="1248613658">
          <w:marLeft w:val="0"/>
          <w:marRight w:val="0"/>
          <w:marTop w:val="0"/>
          <w:marBottom w:val="0"/>
          <w:divBdr>
            <w:top w:val="none" w:sz="0" w:space="0" w:color="auto"/>
            <w:left w:val="none" w:sz="0" w:space="0" w:color="auto"/>
            <w:bottom w:val="none" w:sz="0" w:space="0" w:color="auto"/>
            <w:right w:val="none" w:sz="0" w:space="0" w:color="auto"/>
          </w:divBdr>
        </w:div>
        <w:div w:id="1910387392">
          <w:marLeft w:val="0"/>
          <w:marRight w:val="0"/>
          <w:marTop w:val="0"/>
          <w:marBottom w:val="0"/>
          <w:divBdr>
            <w:top w:val="none" w:sz="0" w:space="0" w:color="auto"/>
            <w:left w:val="none" w:sz="0" w:space="0" w:color="auto"/>
            <w:bottom w:val="none" w:sz="0" w:space="0" w:color="auto"/>
            <w:right w:val="none" w:sz="0" w:space="0" w:color="auto"/>
          </w:divBdr>
        </w:div>
        <w:div w:id="62066675">
          <w:marLeft w:val="0"/>
          <w:marRight w:val="0"/>
          <w:marTop w:val="0"/>
          <w:marBottom w:val="0"/>
          <w:divBdr>
            <w:top w:val="none" w:sz="0" w:space="0" w:color="auto"/>
            <w:left w:val="none" w:sz="0" w:space="0" w:color="auto"/>
            <w:bottom w:val="none" w:sz="0" w:space="0" w:color="auto"/>
            <w:right w:val="none" w:sz="0" w:space="0" w:color="auto"/>
          </w:divBdr>
        </w:div>
        <w:div w:id="1847087169">
          <w:marLeft w:val="0"/>
          <w:marRight w:val="0"/>
          <w:marTop w:val="0"/>
          <w:marBottom w:val="0"/>
          <w:divBdr>
            <w:top w:val="none" w:sz="0" w:space="0" w:color="auto"/>
            <w:left w:val="none" w:sz="0" w:space="0" w:color="auto"/>
            <w:bottom w:val="none" w:sz="0" w:space="0" w:color="auto"/>
            <w:right w:val="none" w:sz="0" w:space="0" w:color="auto"/>
          </w:divBdr>
        </w:div>
        <w:div w:id="2070687367">
          <w:marLeft w:val="0"/>
          <w:marRight w:val="0"/>
          <w:marTop w:val="0"/>
          <w:marBottom w:val="0"/>
          <w:divBdr>
            <w:top w:val="none" w:sz="0" w:space="0" w:color="auto"/>
            <w:left w:val="none" w:sz="0" w:space="0" w:color="auto"/>
            <w:bottom w:val="none" w:sz="0" w:space="0" w:color="auto"/>
            <w:right w:val="none" w:sz="0" w:space="0" w:color="auto"/>
          </w:divBdr>
        </w:div>
        <w:div w:id="356007319">
          <w:marLeft w:val="0"/>
          <w:marRight w:val="0"/>
          <w:marTop w:val="0"/>
          <w:marBottom w:val="0"/>
          <w:divBdr>
            <w:top w:val="none" w:sz="0" w:space="0" w:color="auto"/>
            <w:left w:val="none" w:sz="0" w:space="0" w:color="auto"/>
            <w:bottom w:val="none" w:sz="0" w:space="0" w:color="auto"/>
            <w:right w:val="none" w:sz="0" w:space="0" w:color="auto"/>
          </w:divBdr>
        </w:div>
        <w:div w:id="1933737903">
          <w:marLeft w:val="0"/>
          <w:marRight w:val="0"/>
          <w:marTop w:val="0"/>
          <w:marBottom w:val="0"/>
          <w:divBdr>
            <w:top w:val="none" w:sz="0" w:space="0" w:color="auto"/>
            <w:left w:val="none" w:sz="0" w:space="0" w:color="auto"/>
            <w:bottom w:val="none" w:sz="0" w:space="0" w:color="auto"/>
            <w:right w:val="none" w:sz="0" w:space="0" w:color="auto"/>
          </w:divBdr>
        </w:div>
        <w:div w:id="156846476">
          <w:marLeft w:val="0"/>
          <w:marRight w:val="0"/>
          <w:marTop w:val="0"/>
          <w:marBottom w:val="0"/>
          <w:divBdr>
            <w:top w:val="none" w:sz="0" w:space="0" w:color="auto"/>
            <w:left w:val="none" w:sz="0" w:space="0" w:color="auto"/>
            <w:bottom w:val="none" w:sz="0" w:space="0" w:color="auto"/>
            <w:right w:val="none" w:sz="0" w:space="0" w:color="auto"/>
          </w:divBdr>
        </w:div>
        <w:div w:id="715398551">
          <w:marLeft w:val="0"/>
          <w:marRight w:val="0"/>
          <w:marTop w:val="0"/>
          <w:marBottom w:val="0"/>
          <w:divBdr>
            <w:top w:val="none" w:sz="0" w:space="0" w:color="auto"/>
            <w:left w:val="none" w:sz="0" w:space="0" w:color="auto"/>
            <w:bottom w:val="none" w:sz="0" w:space="0" w:color="auto"/>
            <w:right w:val="none" w:sz="0" w:space="0" w:color="auto"/>
          </w:divBdr>
        </w:div>
        <w:div w:id="919172724">
          <w:marLeft w:val="0"/>
          <w:marRight w:val="0"/>
          <w:marTop w:val="0"/>
          <w:marBottom w:val="0"/>
          <w:divBdr>
            <w:top w:val="none" w:sz="0" w:space="0" w:color="auto"/>
            <w:left w:val="none" w:sz="0" w:space="0" w:color="auto"/>
            <w:bottom w:val="none" w:sz="0" w:space="0" w:color="auto"/>
            <w:right w:val="none" w:sz="0" w:space="0" w:color="auto"/>
          </w:divBdr>
        </w:div>
        <w:div w:id="1590384963">
          <w:marLeft w:val="0"/>
          <w:marRight w:val="0"/>
          <w:marTop w:val="0"/>
          <w:marBottom w:val="0"/>
          <w:divBdr>
            <w:top w:val="none" w:sz="0" w:space="0" w:color="auto"/>
            <w:left w:val="none" w:sz="0" w:space="0" w:color="auto"/>
            <w:bottom w:val="none" w:sz="0" w:space="0" w:color="auto"/>
            <w:right w:val="none" w:sz="0" w:space="0" w:color="auto"/>
          </w:divBdr>
        </w:div>
        <w:div w:id="143813769">
          <w:marLeft w:val="0"/>
          <w:marRight w:val="0"/>
          <w:marTop w:val="0"/>
          <w:marBottom w:val="0"/>
          <w:divBdr>
            <w:top w:val="none" w:sz="0" w:space="0" w:color="auto"/>
            <w:left w:val="none" w:sz="0" w:space="0" w:color="auto"/>
            <w:bottom w:val="none" w:sz="0" w:space="0" w:color="auto"/>
            <w:right w:val="none" w:sz="0" w:space="0" w:color="auto"/>
          </w:divBdr>
        </w:div>
        <w:div w:id="2070110774">
          <w:marLeft w:val="0"/>
          <w:marRight w:val="0"/>
          <w:marTop w:val="0"/>
          <w:marBottom w:val="0"/>
          <w:divBdr>
            <w:top w:val="none" w:sz="0" w:space="0" w:color="auto"/>
            <w:left w:val="none" w:sz="0" w:space="0" w:color="auto"/>
            <w:bottom w:val="none" w:sz="0" w:space="0" w:color="auto"/>
            <w:right w:val="none" w:sz="0" w:space="0" w:color="auto"/>
          </w:divBdr>
        </w:div>
        <w:div w:id="1322201526">
          <w:marLeft w:val="0"/>
          <w:marRight w:val="0"/>
          <w:marTop w:val="0"/>
          <w:marBottom w:val="0"/>
          <w:divBdr>
            <w:top w:val="none" w:sz="0" w:space="0" w:color="auto"/>
            <w:left w:val="none" w:sz="0" w:space="0" w:color="auto"/>
            <w:bottom w:val="none" w:sz="0" w:space="0" w:color="auto"/>
            <w:right w:val="none" w:sz="0" w:space="0" w:color="auto"/>
          </w:divBdr>
        </w:div>
        <w:div w:id="994797019">
          <w:marLeft w:val="0"/>
          <w:marRight w:val="0"/>
          <w:marTop w:val="0"/>
          <w:marBottom w:val="0"/>
          <w:divBdr>
            <w:top w:val="none" w:sz="0" w:space="0" w:color="auto"/>
            <w:left w:val="none" w:sz="0" w:space="0" w:color="auto"/>
            <w:bottom w:val="none" w:sz="0" w:space="0" w:color="auto"/>
            <w:right w:val="none" w:sz="0" w:space="0" w:color="auto"/>
          </w:divBdr>
        </w:div>
        <w:div w:id="428357192">
          <w:marLeft w:val="0"/>
          <w:marRight w:val="0"/>
          <w:marTop w:val="0"/>
          <w:marBottom w:val="0"/>
          <w:divBdr>
            <w:top w:val="none" w:sz="0" w:space="0" w:color="auto"/>
            <w:left w:val="none" w:sz="0" w:space="0" w:color="auto"/>
            <w:bottom w:val="none" w:sz="0" w:space="0" w:color="auto"/>
            <w:right w:val="none" w:sz="0" w:space="0" w:color="auto"/>
          </w:divBdr>
        </w:div>
        <w:div w:id="1972904518">
          <w:marLeft w:val="0"/>
          <w:marRight w:val="0"/>
          <w:marTop w:val="0"/>
          <w:marBottom w:val="0"/>
          <w:divBdr>
            <w:top w:val="none" w:sz="0" w:space="0" w:color="auto"/>
            <w:left w:val="none" w:sz="0" w:space="0" w:color="auto"/>
            <w:bottom w:val="none" w:sz="0" w:space="0" w:color="auto"/>
            <w:right w:val="none" w:sz="0" w:space="0" w:color="auto"/>
          </w:divBdr>
        </w:div>
        <w:div w:id="1516458678">
          <w:marLeft w:val="0"/>
          <w:marRight w:val="0"/>
          <w:marTop w:val="0"/>
          <w:marBottom w:val="0"/>
          <w:divBdr>
            <w:top w:val="none" w:sz="0" w:space="0" w:color="auto"/>
            <w:left w:val="none" w:sz="0" w:space="0" w:color="auto"/>
            <w:bottom w:val="none" w:sz="0" w:space="0" w:color="auto"/>
            <w:right w:val="none" w:sz="0" w:space="0" w:color="auto"/>
          </w:divBdr>
        </w:div>
        <w:div w:id="502936806">
          <w:marLeft w:val="0"/>
          <w:marRight w:val="0"/>
          <w:marTop w:val="0"/>
          <w:marBottom w:val="0"/>
          <w:divBdr>
            <w:top w:val="none" w:sz="0" w:space="0" w:color="auto"/>
            <w:left w:val="none" w:sz="0" w:space="0" w:color="auto"/>
            <w:bottom w:val="none" w:sz="0" w:space="0" w:color="auto"/>
            <w:right w:val="none" w:sz="0" w:space="0" w:color="auto"/>
          </w:divBdr>
        </w:div>
        <w:div w:id="2072194367">
          <w:marLeft w:val="0"/>
          <w:marRight w:val="0"/>
          <w:marTop w:val="0"/>
          <w:marBottom w:val="0"/>
          <w:divBdr>
            <w:top w:val="none" w:sz="0" w:space="0" w:color="auto"/>
            <w:left w:val="none" w:sz="0" w:space="0" w:color="auto"/>
            <w:bottom w:val="none" w:sz="0" w:space="0" w:color="auto"/>
            <w:right w:val="none" w:sz="0" w:space="0" w:color="auto"/>
          </w:divBdr>
        </w:div>
        <w:div w:id="1410932117">
          <w:marLeft w:val="0"/>
          <w:marRight w:val="0"/>
          <w:marTop w:val="0"/>
          <w:marBottom w:val="0"/>
          <w:divBdr>
            <w:top w:val="none" w:sz="0" w:space="0" w:color="auto"/>
            <w:left w:val="none" w:sz="0" w:space="0" w:color="auto"/>
            <w:bottom w:val="none" w:sz="0" w:space="0" w:color="auto"/>
            <w:right w:val="none" w:sz="0" w:space="0" w:color="auto"/>
          </w:divBdr>
        </w:div>
        <w:div w:id="2031682328">
          <w:marLeft w:val="0"/>
          <w:marRight w:val="0"/>
          <w:marTop w:val="0"/>
          <w:marBottom w:val="0"/>
          <w:divBdr>
            <w:top w:val="none" w:sz="0" w:space="0" w:color="auto"/>
            <w:left w:val="none" w:sz="0" w:space="0" w:color="auto"/>
            <w:bottom w:val="none" w:sz="0" w:space="0" w:color="auto"/>
            <w:right w:val="none" w:sz="0" w:space="0" w:color="auto"/>
          </w:divBdr>
        </w:div>
        <w:div w:id="1200438943">
          <w:marLeft w:val="0"/>
          <w:marRight w:val="0"/>
          <w:marTop w:val="0"/>
          <w:marBottom w:val="0"/>
          <w:divBdr>
            <w:top w:val="none" w:sz="0" w:space="0" w:color="auto"/>
            <w:left w:val="none" w:sz="0" w:space="0" w:color="auto"/>
            <w:bottom w:val="none" w:sz="0" w:space="0" w:color="auto"/>
            <w:right w:val="none" w:sz="0" w:space="0" w:color="auto"/>
          </w:divBdr>
        </w:div>
        <w:div w:id="32997360">
          <w:marLeft w:val="0"/>
          <w:marRight w:val="0"/>
          <w:marTop w:val="0"/>
          <w:marBottom w:val="0"/>
          <w:divBdr>
            <w:top w:val="none" w:sz="0" w:space="0" w:color="auto"/>
            <w:left w:val="none" w:sz="0" w:space="0" w:color="auto"/>
            <w:bottom w:val="none" w:sz="0" w:space="0" w:color="auto"/>
            <w:right w:val="none" w:sz="0" w:space="0" w:color="auto"/>
          </w:divBdr>
        </w:div>
        <w:div w:id="1134252801">
          <w:marLeft w:val="0"/>
          <w:marRight w:val="0"/>
          <w:marTop w:val="0"/>
          <w:marBottom w:val="0"/>
          <w:divBdr>
            <w:top w:val="none" w:sz="0" w:space="0" w:color="auto"/>
            <w:left w:val="none" w:sz="0" w:space="0" w:color="auto"/>
            <w:bottom w:val="none" w:sz="0" w:space="0" w:color="auto"/>
            <w:right w:val="none" w:sz="0" w:space="0" w:color="auto"/>
          </w:divBdr>
        </w:div>
        <w:div w:id="1673220995">
          <w:marLeft w:val="0"/>
          <w:marRight w:val="0"/>
          <w:marTop w:val="0"/>
          <w:marBottom w:val="0"/>
          <w:divBdr>
            <w:top w:val="none" w:sz="0" w:space="0" w:color="auto"/>
            <w:left w:val="none" w:sz="0" w:space="0" w:color="auto"/>
            <w:bottom w:val="none" w:sz="0" w:space="0" w:color="auto"/>
            <w:right w:val="none" w:sz="0" w:space="0" w:color="auto"/>
          </w:divBdr>
        </w:div>
        <w:div w:id="1689746681">
          <w:marLeft w:val="0"/>
          <w:marRight w:val="0"/>
          <w:marTop w:val="0"/>
          <w:marBottom w:val="0"/>
          <w:divBdr>
            <w:top w:val="none" w:sz="0" w:space="0" w:color="auto"/>
            <w:left w:val="none" w:sz="0" w:space="0" w:color="auto"/>
            <w:bottom w:val="none" w:sz="0" w:space="0" w:color="auto"/>
            <w:right w:val="none" w:sz="0" w:space="0" w:color="auto"/>
          </w:divBdr>
        </w:div>
        <w:div w:id="394622140">
          <w:marLeft w:val="0"/>
          <w:marRight w:val="0"/>
          <w:marTop w:val="0"/>
          <w:marBottom w:val="0"/>
          <w:divBdr>
            <w:top w:val="none" w:sz="0" w:space="0" w:color="auto"/>
            <w:left w:val="none" w:sz="0" w:space="0" w:color="auto"/>
            <w:bottom w:val="none" w:sz="0" w:space="0" w:color="auto"/>
            <w:right w:val="none" w:sz="0" w:space="0" w:color="auto"/>
          </w:divBdr>
        </w:div>
        <w:div w:id="2103330204">
          <w:marLeft w:val="0"/>
          <w:marRight w:val="0"/>
          <w:marTop w:val="0"/>
          <w:marBottom w:val="0"/>
          <w:divBdr>
            <w:top w:val="none" w:sz="0" w:space="0" w:color="auto"/>
            <w:left w:val="none" w:sz="0" w:space="0" w:color="auto"/>
            <w:bottom w:val="none" w:sz="0" w:space="0" w:color="auto"/>
            <w:right w:val="none" w:sz="0" w:space="0" w:color="auto"/>
          </w:divBdr>
        </w:div>
        <w:div w:id="547033463">
          <w:marLeft w:val="0"/>
          <w:marRight w:val="0"/>
          <w:marTop w:val="0"/>
          <w:marBottom w:val="0"/>
          <w:divBdr>
            <w:top w:val="none" w:sz="0" w:space="0" w:color="auto"/>
            <w:left w:val="none" w:sz="0" w:space="0" w:color="auto"/>
            <w:bottom w:val="none" w:sz="0" w:space="0" w:color="auto"/>
            <w:right w:val="none" w:sz="0" w:space="0" w:color="auto"/>
          </w:divBdr>
        </w:div>
        <w:div w:id="190194687">
          <w:marLeft w:val="0"/>
          <w:marRight w:val="0"/>
          <w:marTop w:val="0"/>
          <w:marBottom w:val="0"/>
          <w:divBdr>
            <w:top w:val="none" w:sz="0" w:space="0" w:color="auto"/>
            <w:left w:val="none" w:sz="0" w:space="0" w:color="auto"/>
            <w:bottom w:val="none" w:sz="0" w:space="0" w:color="auto"/>
            <w:right w:val="none" w:sz="0" w:space="0" w:color="auto"/>
          </w:divBdr>
        </w:div>
        <w:div w:id="1871067820">
          <w:marLeft w:val="0"/>
          <w:marRight w:val="0"/>
          <w:marTop w:val="0"/>
          <w:marBottom w:val="0"/>
          <w:divBdr>
            <w:top w:val="none" w:sz="0" w:space="0" w:color="auto"/>
            <w:left w:val="none" w:sz="0" w:space="0" w:color="auto"/>
            <w:bottom w:val="none" w:sz="0" w:space="0" w:color="auto"/>
            <w:right w:val="none" w:sz="0" w:space="0" w:color="auto"/>
          </w:divBdr>
        </w:div>
        <w:div w:id="1911188517">
          <w:marLeft w:val="0"/>
          <w:marRight w:val="0"/>
          <w:marTop w:val="0"/>
          <w:marBottom w:val="0"/>
          <w:divBdr>
            <w:top w:val="none" w:sz="0" w:space="0" w:color="auto"/>
            <w:left w:val="none" w:sz="0" w:space="0" w:color="auto"/>
            <w:bottom w:val="none" w:sz="0" w:space="0" w:color="auto"/>
            <w:right w:val="none" w:sz="0" w:space="0" w:color="auto"/>
          </w:divBdr>
        </w:div>
        <w:div w:id="1879203154">
          <w:marLeft w:val="0"/>
          <w:marRight w:val="0"/>
          <w:marTop w:val="0"/>
          <w:marBottom w:val="0"/>
          <w:divBdr>
            <w:top w:val="none" w:sz="0" w:space="0" w:color="auto"/>
            <w:left w:val="none" w:sz="0" w:space="0" w:color="auto"/>
            <w:bottom w:val="none" w:sz="0" w:space="0" w:color="auto"/>
            <w:right w:val="none" w:sz="0" w:space="0" w:color="auto"/>
          </w:divBdr>
        </w:div>
        <w:div w:id="795175327">
          <w:marLeft w:val="0"/>
          <w:marRight w:val="0"/>
          <w:marTop w:val="0"/>
          <w:marBottom w:val="0"/>
          <w:divBdr>
            <w:top w:val="none" w:sz="0" w:space="0" w:color="auto"/>
            <w:left w:val="none" w:sz="0" w:space="0" w:color="auto"/>
            <w:bottom w:val="none" w:sz="0" w:space="0" w:color="auto"/>
            <w:right w:val="none" w:sz="0" w:space="0" w:color="auto"/>
          </w:divBdr>
        </w:div>
        <w:div w:id="362904298">
          <w:marLeft w:val="0"/>
          <w:marRight w:val="0"/>
          <w:marTop w:val="0"/>
          <w:marBottom w:val="0"/>
          <w:divBdr>
            <w:top w:val="none" w:sz="0" w:space="0" w:color="auto"/>
            <w:left w:val="none" w:sz="0" w:space="0" w:color="auto"/>
            <w:bottom w:val="none" w:sz="0" w:space="0" w:color="auto"/>
            <w:right w:val="none" w:sz="0" w:space="0" w:color="auto"/>
          </w:divBdr>
        </w:div>
        <w:div w:id="552038205">
          <w:marLeft w:val="0"/>
          <w:marRight w:val="0"/>
          <w:marTop w:val="0"/>
          <w:marBottom w:val="0"/>
          <w:divBdr>
            <w:top w:val="none" w:sz="0" w:space="0" w:color="auto"/>
            <w:left w:val="none" w:sz="0" w:space="0" w:color="auto"/>
            <w:bottom w:val="none" w:sz="0" w:space="0" w:color="auto"/>
            <w:right w:val="none" w:sz="0" w:space="0" w:color="auto"/>
          </w:divBdr>
        </w:div>
        <w:div w:id="777217432">
          <w:marLeft w:val="0"/>
          <w:marRight w:val="0"/>
          <w:marTop w:val="0"/>
          <w:marBottom w:val="0"/>
          <w:divBdr>
            <w:top w:val="none" w:sz="0" w:space="0" w:color="auto"/>
            <w:left w:val="none" w:sz="0" w:space="0" w:color="auto"/>
            <w:bottom w:val="none" w:sz="0" w:space="0" w:color="auto"/>
            <w:right w:val="none" w:sz="0" w:space="0" w:color="auto"/>
          </w:divBdr>
        </w:div>
        <w:div w:id="395587378">
          <w:marLeft w:val="0"/>
          <w:marRight w:val="0"/>
          <w:marTop w:val="0"/>
          <w:marBottom w:val="0"/>
          <w:divBdr>
            <w:top w:val="none" w:sz="0" w:space="0" w:color="auto"/>
            <w:left w:val="none" w:sz="0" w:space="0" w:color="auto"/>
            <w:bottom w:val="none" w:sz="0" w:space="0" w:color="auto"/>
            <w:right w:val="none" w:sz="0" w:space="0" w:color="auto"/>
          </w:divBdr>
        </w:div>
        <w:div w:id="872494648">
          <w:marLeft w:val="0"/>
          <w:marRight w:val="0"/>
          <w:marTop w:val="0"/>
          <w:marBottom w:val="0"/>
          <w:divBdr>
            <w:top w:val="none" w:sz="0" w:space="0" w:color="auto"/>
            <w:left w:val="none" w:sz="0" w:space="0" w:color="auto"/>
            <w:bottom w:val="none" w:sz="0" w:space="0" w:color="auto"/>
            <w:right w:val="none" w:sz="0" w:space="0" w:color="auto"/>
          </w:divBdr>
        </w:div>
        <w:div w:id="394815130">
          <w:marLeft w:val="0"/>
          <w:marRight w:val="0"/>
          <w:marTop w:val="0"/>
          <w:marBottom w:val="0"/>
          <w:divBdr>
            <w:top w:val="none" w:sz="0" w:space="0" w:color="auto"/>
            <w:left w:val="none" w:sz="0" w:space="0" w:color="auto"/>
            <w:bottom w:val="none" w:sz="0" w:space="0" w:color="auto"/>
            <w:right w:val="none" w:sz="0" w:space="0" w:color="auto"/>
          </w:divBdr>
        </w:div>
        <w:div w:id="1039672136">
          <w:marLeft w:val="0"/>
          <w:marRight w:val="0"/>
          <w:marTop w:val="0"/>
          <w:marBottom w:val="0"/>
          <w:divBdr>
            <w:top w:val="none" w:sz="0" w:space="0" w:color="auto"/>
            <w:left w:val="none" w:sz="0" w:space="0" w:color="auto"/>
            <w:bottom w:val="none" w:sz="0" w:space="0" w:color="auto"/>
            <w:right w:val="none" w:sz="0" w:space="0" w:color="auto"/>
          </w:divBdr>
        </w:div>
        <w:div w:id="199324586">
          <w:marLeft w:val="0"/>
          <w:marRight w:val="0"/>
          <w:marTop w:val="0"/>
          <w:marBottom w:val="0"/>
          <w:divBdr>
            <w:top w:val="none" w:sz="0" w:space="0" w:color="auto"/>
            <w:left w:val="none" w:sz="0" w:space="0" w:color="auto"/>
            <w:bottom w:val="none" w:sz="0" w:space="0" w:color="auto"/>
            <w:right w:val="none" w:sz="0" w:space="0" w:color="auto"/>
          </w:divBdr>
        </w:div>
        <w:div w:id="1941914321">
          <w:marLeft w:val="0"/>
          <w:marRight w:val="0"/>
          <w:marTop w:val="0"/>
          <w:marBottom w:val="0"/>
          <w:divBdr>
            <w:top w:val="none" w:sz="0" w:space="0" w:color="auto"/>
            <w:left w:val="none" w:sz="0" w:space="0" w:color="auto"/>
            <w:bottom w:val="none" w:sz="0" w:space="0" w:color="auto"/>
            <w:right w:val="none" w:sz="0" w:space="0" w:color="auto"/>
          </w:divBdr>
        </w:div>
        <w:div w:id="1983120624">
          <w:marLeft w:val="0"/>
          <w:marRight w:val="0"/>
          <w:marTop w:val="0"/>
          <w:marBottom w:val="0"/>
          <w:divBdr>
            <w:top w:val="none" w:sz="0" w:space="0" w:color="auto"/>
            <w:left w:val="none" w:sz="0" w:space="0" w:color="auto"/>
            <w:bottom w:val="none" w:sz="0" w:space="0" w:color="auto"/>
            <w:right w:val="none" w:sz="0" w:space="0" w:color="auto"/>
          </w:divBdr>
        </w:div>
        <w:div w:id="110366524">
          <w:marLeft w:val="0"/>
          <w:marRight w:val="0"/>
          <w:marTop w:val="0"/>
          <w:marBottom w:val="0"/>
          <w:divBdr>
            <w:top w:val="none" w:sz="0" w:space="0" w:color="auto"/>
            <w:left w:val="none" w:sz="0" w:space="0" w:color="auto"/>
            <w:bottom w:val="none" w:sz="0" w:space="0" w:color="auto"/>
            <w:right w:val="none" w:sz="0" w:space="0" w:color="auto"/>
          </w:divBdr>
        </w:div>
        <w:div w:id="1929652208">
          <w:marLeft w:val="0"/>
          <w:marRight w:val="0"/>
          <w:marTop w:val="0"/>
          <w:marBottom w:val="0"/>
          <w:divBdr>
            <w:top w:val="none" w:sz="0" w:space="0" w:color="auto"/>
            <w:left w:val="none" w:sz="0" w:space="0" w:color="auto"/>
            <w:bottom w:val="none" w:sz="0" w:space="0" w:color="auto"/>
            <w:right w:val="none" w:sz="0" w:space="0" w:color="auto"/>
          </w:divBdr>
        </w:div>
        <w:div w:id="715930513">
          <w:marLeft w:val="0"/>
          <w:marRight w:val="0"/>
          <w:marTop w:val="0"/>
          <w:marBottom w:val="0"/>
          <w:divBdr>
            <w:top w:val="none" w:sz="0" w:space="0" w:color="auto"/>
            <w:left w:val="none" w:sz="0" w:space="0" w:color="auto"/>
            <w:bottom w:val="none" w:sz="0" w:space="0" w:color="auto"/>
            <w:right w:val="none" w:sz="0" w:space="0" w:color="auto"/>
          </w:divBdr>
        </w:div>
        <w:div w:id="951862259">
          <w:marLeft w:val="0"/>
          <w:marRight w:val="0"/>
          <w:marTop w:val="0"/>
          <w:marBottom w:val="0"/>
          <w:divBdr>
            <w:top w:val="none" w:sz="0" w:space="0" w:color="auto"/>
            <w:left w:val="none" w:sz="0" w:space="0" w:color="auto"/>
            <w:bottom w:val="none" w:sz="0" w:space="0" w:color="auto"/>
            <w:right w:val="none" w:sz="0" w:space="0" w:color="auto"/>
          </w:divBdr>
        </w:div>
      </w:divsChild>
    </w:div>
    <w:div w:id="206748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cessoainformacao.gov.br/sistema/" TargetMode="External"/><Relationship Id="rId18" Type="http://schemas.openxmlformats.org/officeDocument/2006/relationships/hyperlink" Target="http://www.bndes.gov.br/SiteBNDES/bndes/bndes_pt/Institucional/BNDES_Transparente/Consulta_as_operacoes_do_BNDES/index.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www.acessoainformacao.gov.br/assuntos/conheca-seu-direito/a-lei-de-acesso-a-informacao" TargetMode="External"/><Relationship Id="rId17" Type="http://schemas.openxmlformats.org/officeDocument/2006/relationships/hyperlink" Target="http://www.bndes.gov.br/SiteBNDES/bndes/bndes_pt/Institucional/BNDES_Transparent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ndes.gov.br/SiteBNDES/bndes/bndes_pt/Institucional/acesso_a_informacao/" TargetMode="External"/><Relationship Id="rId20" Type="http://schemas.openxmlformats.org/officeDocument/2006/relationships/hyperlink" Target="http://www.bndes.gov.br/SiteBNDES/bndes/bndes_pt/Institucional/BNDES_Transparente/Estatisticas_Operacionais/index.html" TargetMode="Externa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ndes.gov.br/SiteBNDES/bndes/bndes_pt/Institucional/O_BNDES/Governanca_Controle/Fiscalizacao_Controle/auditoria_interna.html" TargetMode="External"/><Relationship Id="rId24"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hyperlink" Target="http://www.bndes.gov.br/SiteBNDES/bndes/bndes_pt/Navegacao_Suplementar/Ouvidoria/index.html" TargetMode="External"/><Relationship Id="rId23" Type="http://schemas.openxmlformats.org/officeDocument/2006/relationships/image" Target="media/image4.png"/><Relationship Id="rId28" Type="http://schemas.openxmlformats.org/officeDocument/2006/relationships/customXml" Target="../customXml/item3.xml"/><Relationship Id="rId10" Type="http://schemas.openxmlformats.org/officeDocument/2006/relationships/hyperlink" Target="http://www.bndes.gov.br/SiteBNDES/bndes/bndes_pt/Institucional/O_BNDES/A_Empresa/Empresas_Sistema_BNDES/Legislacao/estatuto_bndes.html" TargetMode="External"/><Relationship Id="rId19" Type="http://schemas.openxmlformats.org/officeDocument/2006/relationships/hyperlink" Target="http://www.bndes.gov.br/SiteBNDES/bndes/bndes_pt/Institucional/BNDES_Transparente/consulta_as_operacoes_exportacao/index.html" TargetMode="External"/><Relationship Id="rId31"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ndes.gov.br/SiteBNDES/bndes/bndes_pt/Navegacao_Suplementar/Fale_Conosco/index.html" TargetMode="External"/><Relationship Id="rId22" Type="http://schemas.openxmlformats.org/officeDocument/2006/relationships/image" Target="media/image3.png"/><Relationship Id="rId27" Type="http://schemas.openxmlformats.org/officeDocument/2006/relationships/customXml" Target="../customXml/item2.xml"/><Relationship Id="rId30"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3" Type="http://schemas.openxmlformats.org/officeDocument/2006/relationships/hyperlink" Target="http://www.bndes.gov.br/SiteBNDES/bndes/bndes_pt/Institucional/Relacao_Com_Investidores/Informacoes_Financeiras/series_historicas.html" TargetMode="External"/><Relationship Id="rId2" Type="http://schemas.openxmlformats.org/officeDocument/2006/relationships/hyperlink" Target="http://www.bndes.gov.br/SiteBNDES/bndes/bndes_pt/Institucional/BNDES_Transparente/Estatisticas_Operacionais/Desempenho/index.html" TargetMode="External"/><Relationship Id="rId1" Type="http://schemas.openxmlformats.org/officeDocument/2006/relationships/hyperlink" Target="http://www.bndes.gov.br/SiteBNDES/bndes/bndes_pt/Institucional/O_BNDES/A_Empresa/Historia/" TargetMode="External"/><Relationship Id="rId5" Type="http://schemas.openxmlformats.org/officeDocument/2006/relationships/hyperlink" Target="http://www.bndes.gov.br/SiteBNDES/export/sites/default/bndes_pt/Galerias/Arquivos/empresa/download/Inf_Contabil_Externo_0616.pdf" TargetMode="External"/><Relationship Id="rId4" Type="http://schemas.openxmlformats.org/officeDocument/2006/relationships/hyperlink" Target="http://www4.bcb.gov.br/fis/TOP50/port/Top50P.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40649171</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Netto de A. C. Schneider, Maria E.</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BR-L1442,BR-O0001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Whole&lt;/APPROVAL_DESC&gt;&lt;PD_OBJ_TYPE&gt;0&lt;/PD_OBJ_TYPE&gt;&lt;DTAPPROVAL&gt;Dec 12 2016 12:00AM&lt;/DTAPPROVAL&gt;&lt;MAKERECORD&gt;N&lt;/MAKERECORD&gt;&lt;/Data&gt;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CM-BAN</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1807F4FDEE883488AE29D74CC16911E" ma:contentTypeVersion="0" ma:contentTypeDescription="A content type to manage public (operations) IDB documents" ma:contentTypeScope="" ma:versionID="52fa0ce5cdd8a8c344a957f8b73ff40c">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5ED9DA-F03B-4BF4-8D79-B5103327A739}"/>
</file>

<file path=customXml/itemProps2.xml><?xml version="1.0" encoding="utf-8"?>
<ds:datastoreItem xmlns:ds="http://schemas.openxmlformats.org/officeDocument/2006/customXml" ds:itemID="{087E0DCC-7FBC-400D-9BE4-D51AF45A0B46}"/>
</file>

<file path=customXml/itemProps3.xml><?xml version="1.0" encoding="utf-8"?>
<ds:datastoreItem xmlns:ds="http://schemas.openxmlformats.org/officeDocument/2006/customXml" ds:itemID="{C27957BC-23BC-4AF4-B9A1-691DA4165932}"/>
</file>

<file path=customXml/itemProps4.xml><?xml version="1.0" encoding="utf-8"?>
<ds:datastoreItem xmlns:ds="http://schemas.openxmlformats.org/officeDocument/2006/customXml" ds:itemID="{7AB1E497-ECB6-4DAC-A53A-654A84DD3FB0}"/>
</file>

<file path=customXml/itemProps5.xml><?xml version="1.0" encoding="utf-8"?>
<ds:datastoreItem xmlns:ds="http://schemas.openxmlformats.org/officeDocument/2006/customXml" ds:itemID="{4F986833-49D8-4391-B040-9AE3A571717C}"/>
</file>

<file path=customXml/itemProps6.xml><?xml version="1.0" encoding="utf-8"?>
<ds:datastoreItem xmlns:ds="http://schemas.openxmlformats.org/officeDocument/2006/customXml" ds:itemID="{18F5CA2C-FB05-491A-9739-530D87028E34}"/>
</file>

<file path=docProps/app.xml><?xml version="1.0" encoding="utf-8"?>
<Properties xmlns="http://schemas.openxmlformats.org/officeDocument/2006/extended-properties" xmlns:vt="http://schemas.openxmlformats.org/officeDocument/2006/docPropsVTypes">
  <Template>Normal.dotm</Template>
  <TotalTime>14</TotalTime>
  <Pages>12</Pages>
  <Words>4747</Words>
  <Characters>27061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31745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ELink Opcional - BNDES Apresentacao Institucional - BR-L1442</dc:title>
  <dc:subject/>
  <dc:creator>IADB</dc:creator>
  <cp:keywords/>
  <dc:description/>
  <cp:lastModifiedBy>Test</cp:lastModifiedBy>
  <cp:revision>4</cp:revision>
  <dcterms:created xsi:type="dcterms:W3CDTF">2016-09-06T19:21:00Z</dcterms:created>
  <dcterms:modified xsi:type="dcterms:W3CDTF">2016-10-04T03:17:00Z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0x01010046CF21643EE8D14686A648AA6DAD08920091807F4FDEE883488AE29D74CC16911E</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