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F86" w:rsidRPr="00844F86" w:rsidRDefault="00844F86">
      <w:pPr>
        <w:pStyle w:val="FootnoteText"/>
        <w:rPr>
          <w:rFonts w:ascii="Calibri" w:hAnsi="Calibri"/>
          <w:lang w:val="es-ES"/>
        </w:rPr>
      </w:pPr>
    </w:p>
    <w:p w:rsidR="00844F86" w:rsidRPr="00152867" w:rsidRDefault="0021561E" w:rsidP="0021561E">
      <w:pPr>
        <w:pStyle w:val="Title"/>
        <w:tabs>
          <w:tab w:val="center" w:pos="4680"/>
          <w:tab w:val="right" w:pos="9360"/>
        </w:tabs>
        <w:spacing w:after="240"/>
        <w:jc w:val="left"/>
        <w:rPr>
          <w:rFonts w:ascii="Times New Roman Bold" w:hAnsi="Times New Roman Bold"/>
          <w:smallCaps/>
          <w:sz w:val="24"/>
        </w:rPr>
      </w:pPr>
      <w:r>
        <w:rPr>
          <w:rFonts w:ascii="Times New Roman Bold" w:hAnsi="Times New Roman Bold"/>
          <w:smallCaps/>
          <w:sz w:val="24"/>
        </w:rPr>
        <w:tab/>
      </w:r>
      <w:r w:rsidR="005E7FAC" w:rsidRPr="00152867">
        <w:rPr>
          <w:rFonts w:ascii="Times New Roman" w:hAnsi="Times New Roman"/>
          <w:bCs w:val="0"/>
          <w:smallCaps/>
          <w:sz w:val="24"/>
          <w:szCs w:val="24"/>
          <w:lang w:val="es-ES"/>
        </w:rPr>
        <w:t>Plan de Adquisiciones</w:t>
      </w:r>
      <w:r w:rsidR="005E7FAC" w:rsidRPr="00152867">
        <w:rPr>
          <w:rFonts w:ascii="Times New Roman Bold" w:hAnsi="Times New Roman Bold"/>
          <w:smallCaps/>
          <w:sz w:val="24"/>
        </w:rPr>
        <w:t xml:space="preserve"> </w:t>
      </w:r>
      <w:bookmarkStart w:id="0" w:name="_GoBack"/>
      <w:bookmarkEnd w:id="0"/>
      <w:r w:rsidRPr="00152867">
        <w:rPr>
          <w:rFonts w:ascii="Times New Roman Bold" w:hAnsi="Times New Roman Bold"/>
          <w:smallCaps/>
          <w:sz w:val="24"/>
        </w:rPr>
        <w:tab/>
      </w:r>
    </w:p>
    <w:p w:rsidR="00844F86" w:rsidRPr="005E7FAC" w:rsidRDefault="00844F86" w:rsidP="005E7FAC">
      <w:pPr>
        <w:jc w:val="center"/>
        <w:rPr>
          <w:rFonts w:ascii="Times New Roman" w:hAnsi="Times New Roman"/>
          <w:b/>
          <w:sz w:val="24"/>
          <w:szCs w:val="24"/>
          <w:lang w:val="es-ES"/>
        </w:rPr>
      </w:pPr>
      <w:r w:rsidRPr="005E7FAC">
        <w:rPr>
          <w:rFonts w:ascii="Times New Roman" w:hAnsi="Times New Roman"/>
          <w:b/>
          <w:sz w:val="24"/>
          <w:szCs w:val="24"/>
          <w:lang w:val="es-ES"/>
        </w:rPr>
        <w:t>Información General</w:t>
      </w:r>
    </w:p>
    <w:p w:rsidR="00844F86" w:rsidRPr="006E0088" w:rsidRDefault="00844F86">
      <w:pPr>
        <w:jc w:val="both"/>
        <w:rPr>
          <w:rFonts w:ascii="Times New Roman" w:hAnsi="Times New Roman"/>
          <w:b/>
          <w:sz w:val="24"/>
          <w:szCs w:val="24"/>
          <w:lang w:val="es-ES"/>
        </w:rPr>
      </w:pPr>
    </w:p>
    <w:p w:rsidR="00844F86" w:rsidRPr="006E0088" w:rsidRDefault="00844F86" w:rsidP="00345B6D">
      <w:pPr>
        <w:pStyle w:val="Subtitle"/>
        <w:numPr>
          <w:ilvl w:val="0"/>
          <w:numId w:val="0"/>
        </w:numPr>
        <w:spacing w:after="120"/>
        <w:ind w:left="450" w:hanging="540"/>
        <w:rPr>
          <w:rFonts w:ascii="Times New Roman" w:hAnsi="Times New Roman"/>
          <w:sz w:val="24"/>
          <w:szCs w:val="24"/>
          <w:lang w:val="es-ES"/>
        </w:rPr>
      </w:pPr>
      <w:r w:rsidRPr="006E0088">
        <w:rPr>
          <w:rFonts w:ascii="Times New Roman" w:hAnsi="Times New Roman"/>
          <w:sz w:val="24"/>
          <w:szCs w:val="24"/>
          <w:lang w:val="es-ES"/>
        </w:rPr>
        <w:t>A</w:t>
      </w:r>
      <w:r w:rsidR="006E0088">
        <w:rPr>
          <w:rFonts w:ascii="Times New Roman" w:hAnsi="Times New Roman"/>
          <w:sz w:val="24"/>
          <w:szCs w:val="24"/>
          <w:lang w:val="es-ES"/>
        </w:rPr>
        <w:t>.</w:t>
      </w:r>
      <w:r w:rsidRPr="006E0088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395E83">
        <w:rPr>
          <w:rFonts w:ascii="Times New Roman" w:hAnsi="Times New Roman"/>
          <w:sz w:val="24"/>
          <w:szCs w:val="24"/>
          <w:lang w:val="es-ES"/>
        </w:rPr>
        <w:tab/>
      </w:r>
      <w:r w:rsidRPr="006E0088">
        <w:rPr>
          <w:rFonts w:ascii="Times New Roman" w:hAnsi="Times New Roman"/>
          <w:sz w:val="24"/>
          <w:szCs w:val="24"/>
          <w:lang w:val="es-ES"/>
        </w:rPr>
        <w:t>Introducción</w:t>
      </w:r>
    </w:p>
    <w:p w:rsidR="00844F86" w:rsidRPr="006E0088" w:rsidRDefault="00345B6D" w:rsidP="00345B6D">
      <w:pPr>
        <w:tabs>
          <w:tab w:val="left" w:pos="360"/>
        </w:tabs>
        <w:ind w:left="450" w:hanging="54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</w:r>
      <w:r w:rsidR="00844F86" w:rsidRPr="006E0088">
        <w:rPr>
          <w:rFonts w:ascii="Times New Roman" w:hAnsi="Times New Roman"/>
          <w:sz w:val="24"/>
          <w:szCs w:val="24"/>
          <w:lang w:val="es-ES"/>
        </w:rPr>
        <w:t>Las contrataciones para el proyecto propuesto se llev</w:t>
      </w:r>
      <w:r w:rsidR="005B07AE">
        <w:rPr>
          <w:rFonts w:ascii="Times New Roman" w:hAnsi="Times New Roman"/>
          <w:sz w:val="24"/>
          <w:szCs w:val="24"/>
          <w:lang w:val="es-ES"/>
        </w:rPr>
        <w:t xml:space="preserve">arán a cabo de acuerdo con las </w:t>
      </w:r>
      <w:r w:rsidR="00844F86" w:rsidRPr="006E0088">
        <w:rPr>
          <w:rFonts w:ascii="Times New Roman" w:hAnsi="Times New Roman"/>
          <w:sz w:val="24"/>
          <w:szCs w:val="24"/>
          <w:lang w:val="es-ES"/>
        </w:rPr>
        <w:t>Políticas para la Adquisición de Obras y Bienes Financiados por el Ban</w:t>
      </w:r>
      <w:r w:rsidR="005B07AE">
        <w:rPr>
          <w:rFonts w:ascii="Times New Roman" w:hAnsi="Times New Roman"/>
          <w:sz w:val="24"/>
          <w:szCs w:val="24"/>
          <w:lang w:val="es-ES"/>
        </w:rPr>
        <w:t>co Interamericano de Desarrollo</w:t>
      </w:r>
      <w:r w:rsidR="00844F86" w:rsidRPr="006E0088">
        <w:rPr>
          <w:rFonts w:ascii="Times New Roman" w:hAnsi="Times New Roman"/>
          <w:sz w:val="24"/>
          <w:szCs w:val="24"/>
          <w:lang w:val="es-ES"/>
        </w:rPr>
        <w:t xml:space="preserve"> (GN-2349-</w:t>
      </w:r>
      <w:r w:rsidR="001A02A5" w:rsidRPr="006E0088">
        <w:rPr>
          <w:rFonts w:ascii="Times New Roman" w:hAnsi="Times New Roman"/>
          <w:sz w:val="24"/>
          <w:szCs w:val="24"/>
          <w:lang w:val="es-ES"/>
        </w:rPr>
        <w:t>9</w:t>
      </w:r>
      <w:r w:rsidR="00844F86" w:rsidRPr="006E0088">
        <w:rPr>
          <w:rFonts w:ascii="Times New Roman" w:hAnsi="Times New Roman"/>
          <w:sz w:val="24"/>
          <w:szCs w:val="24"/>
          <w:lang w:val="es-ES"/>
        </w:rPr>
        <w:t>) y con las Políticas para la Selección y Contratación de Consultores Financiados por el Banco Interamericano de Desarrollo (GN</w:t>
      </w:r>
      <w:r w:rsidR="001A02A5" w:rsidRPr="006E0088">
        <w:rPr>
          <w:rFonts w:ascii="Times New Roman" w:hAnsi="Times New Roman"/>
          <w:sz w:val="24"/>
          <w:szCs w:val="24"/>
          <w:lang w:val="es-ES"/>
        </w:rPr>
        <w:t>-2350-9</w:t>
      </w:r>
      <w:r w:rsidR="00844F86" w:rsidRPr="006E0088">
        <w:rPr>
          <w:rFonts w:ascii="Times New Roman" w:hAnsi="Times New Roman"/>
          <w:sz w:val="24"/>
          <w:szCs w:val="24"/>
          <w:lang w:val="es-ES"/>
        </w:rPr>
        <w:t>)</w:t>
      </w:r>
      <w:r w:rsidR="001A02A5" w:rsidRPr="006E0088">
        <w:rPr>
          <w:rFonts w:ascii="Times New Roman" w:hAnsi="Times New Roman"/>
          <w:sz w:val="24"/>
          <w:szCs w:val="24"/>
          <w:lang w:val="es-ES"/>
        </w:rPr>
        <w:t>.</w:t>
      </w:r>
    </w:p>
    <w:p w:rsidR="00844F86" w:rsidRPr="006E0088" w:rsidRDefault="00844F86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844F86" w:rsidRPr="006E0088" w:rsidRDefault="006E0088" w:rsidP="00345B6D">
      <w:pPr>
        <w:tabs>
          <w:tab w:val="left" w:pos="450"/>
        </w:tabs>
        <w:spacing w:after="120"/>
        <w:ind w:hanging="9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  <w:lang w:val="es-ES"/>
        </w:rPr>
        <w:t xml:space="preserve">B. </w:t>
      </w:r>
      <w:r w:rsidR="00395E83">
        <w:rPr>
          <w:rFonts w:ascii="Times New Roman" w:hAnsi="Times New Roman"/>
          <w:b/>
          <w:sz w:val="24"/>
          <w:szCs w:val="24"/>
          <w:lang w:val="es-ES"/>
        </w:rPr>
        <w:tab/>
      </w:r>
      <w:r w:rsidR="00844F86" w:rsidRPr="006E0088">
        <w:rPr>
          <w:rFonts w:ascii="Times New Roman" w:hAnsi="Times New Roman"/>
          <w:b/>
          <w:sz w:val="24"/>
          <w:szCs w:val="24"/>
          <w:lang w:val="es-ES"/>
        </w:rPr>
        <w:t>El Plan de Adquisiciones</w:t>
      </w:r>
    </w:p>
    <w:p w:rsidR="00844F86" w:rsidRPr="006E0088" w:rsidRDefault="00345B6D" w:rsidP="00345B6D">
      <w:pPr>
        <w:tabs>
          <w:tab w:val="left" w:pos="450"/>
        </w:tabs>
        <w:ind w:left="450" w:hanging="9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ab/>
      </w:r>
      <w:r w:rsidR="00844F86" w:rsidRPr="006E0088">
        <w:rPr>
          <w:rFonts w:ascii="Times New Roman" w:hAnsi="Times New Roman"/>
          <w:sz w:val="24"/>
          <w:szCs w:val="24"/>
          <w:lang w:val="es-ES"/>
        </w:rPr>
        <w:t xml:space="preserve">El Plan de Adquisiciones cubre </w:t>
      </w:r>
      <w:r w:rsidR="00171FA8" w:rsidRPr="006E0088">
        <w:rPr>
          <w:rFonts w:ascii="Times New Roman" w:hAnsi="Times New Roman"/>
          <w:sz w:val="24"/>
          <w:szCs w:val="24"/>
          <w:lang w:val="es-ES"/>
        </w:rPr>
        <w:t xml:space="preserve">los </w:t>
      </w:r>
      <w:r w:rsidR="00BF6F19" w:rsidRPr="006E0088">
        <w:rPr>
          <w:rFonts w:ascii="Times New Roman" w:hAnsi="Times New Roman"/>
          <w:sz w:val="24"/>
          <w:szCs w:val="24"/>
          <w:lang w:val="es-ES"/>
        </w:rPr>
        <w:t xml:space="preserve">24 </w:t>
      </w:r>
      <w:r w:rsidR="00844F86" w:rsidRPr="006E0088">
        <w:rPr>
          <w:rFonts w:ascii="Times New Roman" w:hAnsi="Times New Roman"/>
          <w:sz w:val="24"/>
          <w:szCs w:val="24"/>
          <w:lang w:val="es-ES"/>
        </w:rPr>
        <w:t xml:space="preserve">meses de ejecución del Proyecto </w:t>
      </w:r>
      <w:r w:rsidR="00171FA8" w:rsidRPr="006E0088">
        <w:rPr>
          <w:rFonts w:ascii="Times New Roman" w:hAnsi="Times New Roman"/>
          <w:sz w:val="24"/>
          <w:szCs w:val="24"/>
          <w:lang w:val="es-ES"/>
        </w:rPr>
        <w:t xml:space="preserve">que </w:t>
      </w:r>
      <w:r w:rsidR="00844F86" w:rsidRPr="006E0088">
        <w:rPr>
          <w:rFonts w:ascii="Times New Roman" w:hAnsi="Times New Roman"/>
          <w:sz w:val="24"/>
          <w:szCs w:val="24"/>
          <w:lang w:val="es-ES"/>
        </w:rPr>
        <w:t>ha sido acordado entre el Banco y</w:t>
      </w:r>
      <w:r w:rsidR="00171FA8" w:rsidRPr="006E0088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170193" w:rsidRPr="006E0088">
        <w:rPr>
          <w:rFonts w:ascii="Times New Roman" w:hAnsi="Times New Roman"/>
          <w:sz w:val="24"/>
          <w:szCs w:val="24"/>
          <w:lang w:val="es-ES"/>
        </w:rPr>
        <w:t xml:space="preserve">el Vice-Ministerio de Vivienda y Urbanismo de Perú </w:t>
      </w:r>
      <w:r w:rsidR="00171FA8" w:rsidRPr="006E0088">
        <w:rPr>
          <w:rFonts w:ascii="Times New Roman" w:hAnsi="Times New Roman"/>
          <w:sz w:val="24"/>
          <w:szCs w:val="24"/>
          <w:lang w:val="es-ES"/>
        </w:rPr>
        <w:t>(</w:t>
      </w:r>
      <w:r w:rsidR="00170193" w:rsidRPr="006E0088">
        <w:rPr>
          <w:rFonts w:ascii="Times New Roman" w:hAnsi="Times New Roman"/>
          <w:sz w:val="24"/>
          <w:szCs w:val="24"/>
          <w:lang w:val="es-ES"/>
        </w:rPr>
        <w:t>V</w:t>
      </w:r>
      <w:r w:rsidR="00507D2F" w:rsidRPr="006E0088">
        <w:rPr>
          <w:rFonts w:ascii="Times New Roman" w:hAnsi="Times New Roman"/>
          <w:sz w:val="24"/>
          <w:szCs w:val="24"/>
          <w:lang w:val="es-ES"/>
        </w:rPr>
        <w:t>M</w:t>
      </w:r>
      <w:r w:rsidR="00170193" w:rsidRPr="006E0088">
        <w:rPr>
          <w:rFonts w:ascii="Times New Roman" w:hAnsi="Times New Roman"/>
          <w:sz w:val="24"/>
          <w:szCs w:val="24"/>
          <w:lang w:val="es-ES"/>
        </w:rPr>
        <w:t>VU</w:t>
      </w:r>
      <w:r w:rsidR="00171FA8" w:rsidRPr="006E0088">
        <w:rPr>
          <w:rFonts w:ascii="Times New Roman" w:hAnsi="Times New Roman"/>
          <w:sz w:val="24"/>
          <w:szCs w:val="24"/>
          <w:lang w:val="es-ES"/>
        </w:rPr>
        <w:t>)</w:t>
      </w:r>
      <w:r w:rsidR="00844F86" w:rsidRPr="006E0088">
        <w:rPr>
          <w:rFonts w:ascii="Times New Roman" w:hAnsi="Times New Roman"/>
          <w:sz w:val="24"/>
          <w:szCs w:val="24"/>
          <w:lang w:val="es-ES"/>
        </w:rPr>
        <w:t xml:space="preserve">. </w:t>
      </w:r>
      <w:r w:rsidR="003A6611" w:rsidRPr="006E0088">
        <w:rPr>
          <w:rFonts w:ascii="Times New Roman" w:hAnsi="Times New Roman"/>
          <w:sz w:val="24"/>
          <w:szCs w:val="24"/>
          <w:lang w:val="es-ES"/>
        </w:rPr>
        <w:t>El Plan de Adquisiciones contiene el detalle de todas las adquisiciones de la operación y la modalidad de revisión de cada uno de los contratos considerando para ello la complejidad técnica y la capacidad de la Agencia Ejecutora.</w:t>
      </w:r>
      <w:r w:rsidR="00844F86" w:rsidRPr="006E0088">
        <w:rPr>
          <w:rFonts w:ascii="Times New Roman" w:hAnsi="Times New Roman"/>
          <w:sz w:val="24"/>
          <w:szCs w:val="24"/>
          <w:lang w:val="es-ES"/>
        </w:rPr>
        <w:t xml:space="preserve"> El Plan de Adquisiciones se actualizará anualmente o cuando sea necesario ó requerido por el Banco. </w:t>
      </w:r>
    </w:p>
    <w:p w:rsidR="00844F86" w:rsidRPr="006E0088" w:rsidRDefault="00844F86">
      <w:pPr>
        <w:jc w:val="both"/>
        <w:rPr>
          <w:rFonts w:ascii="Times New Roman" w:hAnsi="Times New Roman"/>
          <w:b/>
          <w:sz w:val="24"/>
          <w:szCs w:val="24"/>
          <w:lang w:val="es-ES"/>
        </w:rPr>
      </w:pPr>
    </w:p>
    <w:p w:rsidR="00844F86" w:rsidRPr="006E0088" w:rsidRDefault="00844F86" w:rsidP="00694377">
      <w:pPr>
        <w:tabs>
          <w:tab w:val="left" w:pos="450"/>
        </w:tabs>
        <w:spacing w:after="120"/>
        <w:ind w:hanging="86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6E0088">
        <w:rPr>
          <w:rFonts w:ascii="Times New Roman" w:hAnsi="Times New Roman"/>
          <w:b/>
          <w:sz w:val="24"/>
          <w:szCs w:val="24"/>
          <w:lang w:val="es-ES"/>
        </w:rPr>
        <w:t>C</w:t>
      </w:r>
      <w:r w:rsidR="006E0088">
        <w:rPr>
          <w:rFonts w:ascii="Times New Roman" w:hAnsi="Times New Roman"/>
          <w:b/>
          <w:sz w:val="24"/>
          <w:szCs w:val="24"/>
          <w:lang w:val="es-ES"/>
        </w:rPr>
        <w:t>.</w:t>
      </w:r>
      <w:r w:rsidRPr="006E0088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5E7FAC">
        <w:rPr>
          <w:rFonts w:ascii="Times New Roman" w:hAnsi="Times New Roman"/>
          <w:b/>
          <w:sz w:val="24"/>
          <w:szCs w:val="24"/>
          <w:lang w:val="es-ES"/>
        </w:rPr>
        <w:tab/>
      </w:r>
      <w:r w:rsidRPr="006E0088">
        <w:rPr>
          <w:rFonts w:ascii="Times New Roman" w:hAnsi="Times New Roman"/>
          <w:b/>
          <w:sz w:val="24"/>
          <w:szCs w:val="24"/>
          <w:lang w:val="es-ES"/>
        </w:rPr>
        <w:t>Adquisiciones para el Proyecto</w:t>
      </w:r>
    </w:p>
    <w:p w:rsidR="00844F86" w:rsidRPr="006E0088" w:rsidRDefault="00844F86" w:rsidP="00345B6D">
      <w:pPr>
        <w:tabs>
          <w:tab w:val="left" w:pos="450"/>
        </w:tabs>
        <w:spacing w:after="120"/>
        <w:ind w:left="450"/>
        <w:jc w:val="both"/>
        <w:rPr>
          <w:rFonts w:ascii="Times New Roman" w:hAnsi="Times New Roman"/>
          <w:sz w:val="24"/>
          <w:szCs w:val="24"/>
          <w:lang w:val="es-ES"/>
        </w:rPr>
      </w:pPr>
      <w:r w:rsidRPr="006E0088">
        <w:rPr>
          <w:rFonts w:ascii="Times New Roman" w:hAnsi="Times New Roman"/>
          <w:sz w:val="24"/>
          <w:szCs w:val="24"/>
          <w:lang w:val="es-ES"/>
        </w:rPr>
        <w:t>A continuación se describen en forma general las adquisiciones a realizarse para el proyecto propuesto.</w:t>
      </w:r>
    </w:p>
    <w:p w:rsidR="00844F86" w:rsidRPr="006E0088" w:rsidRDefault="00694377" w:rsidP="00395E83">
      <w:pPr>
        <w:pStyle w:val="Default"/>
        <w:numPr>
          <w:ilvl w:val="0"/>
          <w:numId w:val="7"/>
        </w:numPr>
        <w:spacing w:after="120"/>
        <w:ind w:left="990" w:hanging="450"/>
        <w:jc w:val="both"/>
        <w:rPr>
          <w:lang w:val="es-ES"/>
        </w:rPr>
      </w:pPr>
      <w:r>
        <w:rPr>
          <w:b/>
          <w:lang w:val="es-ES"/>
        </w:rPr>
        <w:t>Adquisición de b</w:t>
      </w:r>
      <w:r w:rsidR="00844F86" w:rsidRPr="006E0088">
        <w:rPr>
          <w:b/>
          <w:lang w:val="es-ES"/>
        </w:rPr>
        <w:t>ienes</w:t>
      </w:r>
      <w:r>
        <w:rPr>
          <w:b/>
          <w:lang w:val="es-ES"/>
        </w:rPr>
        <w:t xml:space="preserve"> y servicios diferentes a c</w:t>
      </w:r>
      <w:r w:rsidR="00435533" w:rsidRPr="006E0088">
        <w:rPr>
          <w:b/>
          <w:lang w:val="es-ES"/>
        </w:rPr>
        <w:t>onsultoría</w:t>
      </w:r>
      <w:r>
        <w:rPr>
          <w:b/>
          <w:lang w:val="es-ES"/>
        </w:rPr>
        <w:t>.</w:t>
      </w:r>
      <w:r w:rsidR="003A6611" w:rsidRPr="006E0088">
        <w:rPr>
          <w:lang w:val="es-ES"/>
        </w:rPr>
        <w:t xml:space="preserve"> </w:t>
      </w:r>
      <w:r>
        <w:rPr>
          <w:lang w:val="es-ES"/>
        </w:rPr>
        <w:t>Los b</w:t>
      </w:r>
      <w:r w:rsidR="00844F86" w:rsidRPr="006E0088">
        <w:rPr>
          <w:lang w:val="es-ES"/>
        </w:rPr>
        <w:t xml:space="preserve">ienes </w:t>
      </w:r>
      <w:r>
        <w:rPr>
          <w:lang w:val="es-ES"/>
        </w:rPr>
        <w:t>y servicios diferentes a c</w:t>
      </w:r>
      <w:r w:rsidR="00435533" w:rsidRPr="006E0088">
        <w:rPr>
          <w:lang w:val="es-ES"/>
        </w:rPr>
        <w:t xml:space="preserve">onsultoría </w:t>
      </w:r>
      <w:r w:rsidR="00844F86" w:rsidRPr="006E0088">
        <w:rPr>
          <w:lang w:val="es-ES"/>
        </w:rPr>
        <w:t>a ser adquiridos para este proyecto, incluyen:</w:t>
      </w:r>
      <w:r w:rsidR="003A6611" w:rsidRPr="006E0088">
        <w:rPr>
          <w:lang w:val="es-ES"/>
        </w:rPr>
        <w:t xml:space="preserve"> adquisición de materiales </w:t>
      </w:r>
      <w:r w:rsidR="006F7149" w:rsidRPr="006E0088">
        <w:rPr>
          <w:lang w:val="es-ES"/>
        </w:rPr>
        <w:t>de escritorio</w:t>
      </w:r>
      <w:r w:rsidR="00435533" w:rsidRPr="006E0088">
        <w:rPr>
          <w:lang w:val="es-ES"/>
        </w:rPr>
        <w:t xml:space="preserve">, </w:t>
      </w:r>
      <w:r w:rsidR="006F7149" w:rsidRPr="006E0088">
        <w:rPr>
          <w:lang w:val="es-ES"/>
        </w:rPr>
        <w:t>los gastos de viaje de funcionarios del VMVU para visitar ciudades en las que hay experiencias exitosas de producción de nuevo suelo urbano y recuperación de suelo urbano subutilizado y/o deteriorado</w:t>
      </w:r>
      <w:r w:rsidR="00435533" w:rsidRPr="006E0088">
        <w:rPr>
          <w:lang w:val="es-ES"/>
        </w:rPr>
        <w:t xml:space="preserve">, </w:t>
      </w:r>
      <w:r w:rsidR="00321B23" w:rsidRPr="006E0088">
        <w:rPr>
          <w:lang w:val="es-ES"/>
        </w:rPr>
        <w:t xml:space="preserve">eventos de capacitación, </w:t>
      </w:r>
      <w:r w:rsidR="00435533" w:rsidRPr="006E0088">
        <w:rPr>
          <w:lang w:val="es-ES"/>
        </w:rPr>
        <w:t>entre otros</w:t>
      </w:r>
      <w:r w:rsidR="003A6611" w:rsidRPr="006E0088">
        <w:rPr>
          <w:lang w:val="es-ES"/>
        </w:rPr>
        <w:t>.</w:t>
      </w:r>
    </w:p>
    <w:p w:rsidR="00844F86" w:rsidRPr="005E7FAC" w:rsidRDefault="00844F86" w:rsidP="005604D0">
      <w:pPr>
        <w:pStyle w:val="ListParagraph"/>
        <w:numPr>
          <w:ilvl w:val="0"/>
          <w:numId w:val="7"/>
        </w:numPr>
        <w:spacing w:after="240"/>
        <w:ind w:left="993" w:hanging="446"/>
        <w:contextualSpacing w:val="0"/>
        <w:jc w:val="both"/>
        <w:rPr>
          <w:rFonts w:ascii="Times New Roman" w:hAnsi="Times New Roman"/>
          <w:sz w:val="24"/>
          <w:szCs w:val="24"/>
          <w:lang w:val="es-ES"/>
        </w:rPr>
      </w:pPr>
      <w:r w:rsidRPr="005E7FAC">
        <w:rPr>
          <w:rFonts w:ascii="Times New Roman" w:hAnsi="Times New Roman"/>
          <w:b/>
          <w:sz w:val="24"/>
          <w:szCs w:val="24"/>
          <w:lang w:val="es-ES"/>
        </w:rPr>
        <w:t xml:space="preserve">Adquisición de </w:t>
      </w:r>
      <w:r w:rsidR="00694377">
        <w:rPr>
          <w:rFonts w:ascii="Times New Roman" w:hAnsi="Times New Roman"/>
          <w:b/>
          <w:sz w:val="24"/>
          <w:szCs w:val="24"/>
          <w:lang w:val="es-ES"/>
        </w:rPr>
        <w:t>servicios de c</w:t>
      </w:r>
      <w:r w:rsidRPr="005E7FAC">
        <w:rPr>
          <w:rFonts w:ascii="Times New Roman" w:hAnsi="Times New Roman"/>
          <w:b/>
          <w:sz w:val="24"/>
          <w:szCs w:val="24"/>
          <w:lang w:val="es-ES"/>
        </w:rPr>
        <w:t>onsultoría</w:t>
      </w:r>
      <w:r w:rsidR="00694377">
        <w:rPr>
          <w:rFonts w:ascii="Times New Roman" w:hAnsi="Times New Roman"/>
          <w:b/>
          <w:sz w:val="24"/>
          <w:szCs w:val="24"/>
          <w:lang w:val="es-ES"/>
        </w:rPr>
        <w:t>.</w:t>
      </w:r>
      <w:r w:rsidRPr="005E7FAC">
        <w:rPr>
          <w:rFonts w:ascii="Times New Roman" w:hAnsi="Times New Roman"/>
          <w:sz w:val="24"/>
          <w:szCs w:val="24"/>
          <w:lang w:val="es-ES"/>
        </w:rPr>
        <w:t xml:space="preserve"> Los servicios de consultoría bajo el proyecto incluyen: </w:t>
      </w:r>
      <w:r w:rsidR="003A6611" w:rsidRPr="005E7FAC">
        <w:rPr>
          <w:rFonts w:ascii="Times New Roman" w:hAnsi="Times New Roman"/>
          <w:sz w:val="24"/>
          <w:szCs w:val="24"/>
          <w:lang w:val="es-ES"/>
        </w:rPr>
        <w:t xml:space="preserve">contratación de personal para administrar el proyecto, </w:t>
      </w:r>
      <w:r w:rsidR="0026575B" w:rsidRPr="005E7FAC">
        <w:rPr>
          <w:rFonts w:ascii="Times New Roman" w:hAnsi="Times New Roman"/>
          <w:sz w:val="24"/>
          <w:szCs w:val="24"/>
          <w:lang w:val="es-ES"/>
        </w:rPr>
        <w:t>contratación de consultores individuales para: la alineación de instrumentos de planificación estratégica y programación presupuestaria con el PPR</w:t>
      </w:r>
      <w:r w:rsidR="00435533" w:rsidRPr="005E7FAC">
        <w:rPr>
          <w:rFonts w:ascii="Times New Roman" w:hAnsi="Times New Roman"/>
          <w:sz w:val="24"/>
          <w:szCs w:val="24"/>
          <w:lang w:val="es-ES"/>
        </w:rPr>
        <w:t xml:space="preserve">, </w:t>
      </w:r>
      <w:r w:rsidR="0026575B" w:rsidRPr="005E7FAC">
        <w:rPr>
          <w:rFonts w:ascii="Times New Roman" w:hAnsi="Times New Roman"/>
          <w:sz w:val="24"/>
          <w:szCs w:val="24"/>
          <w:lang w:val="es-ES"/>
        </w:rPr>
        <w:t>determinación del costo</w:t>
      </w:r>
      <w:r w:rsidR="00395E83">
        <w:rPr>
          <w:rFonts w:ascii="Times New Roman" w:hAnsi="Times New Roman"/>
          <w:sz w:val="24"/>
          <w:szCs w:val="24"/>
          <w:lang w:val="es-ES"/>
        </w:rPr>
        <w:noBreakHyphen/>
      </w:r>
      <w:r w:rsidR="0026575B" w:rsidRPr="005E7FAC">
        <w:rPr>
          <w:rFonts w:ascii="Times New Roman" w:hAnsi="Times New Roman"/>
          <w:sz w:val="24"/>
          <w:szCs w:val="24"/>
          <w:lang w:val="es-ES"/>
        </w:rPr>
        <w:t>eficiencia e impacto de inversiones de mejoramiento de barrios, el diseño técnico del Sistema de Seguimiento y Evaluación del Sector de Vivienda, Auditoría Externa</w:t>
      </w:r>
      <w:r w:rsidR="00435533" w:rsidRPr="005E7FAC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3A6611" w:rsidRPr="005E7FAC">
        <w:rPr>
          <w:rFonts w:ascii="Times New Roman" w:hAnsi="Times New Roman"/>
          <w:sz w:val="24"/>
          <w:szCs w:val="24"/>
          <w:lang w:val="es-ES"/>
        </w:rPr>
        <w:t xml:space="preserve">entre otros. </w:t>
      </w:r>
    </w:p>
    <w:p w:rsidR="007C30B0" w:rsidRPr="006E0088" w:rsidRDefault="007C30B0" w:rsidP="00345B6D">
      <w:pPr>
        <w:tabs>
          <w:tab w:val="left" w:pos="450"/>
        </w:tabs>
        <w:spacing w:after="120"/>
        <w:ind w:hanging="90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6E0088">
        <w:rPr>
          <w:rFonts w:ascii="Times New Roman" w:hAnsi="Times New Roman"/>
          <w:b/>
          <w:sz w:val="24"/>
          <w:szCs w:val="24"/>
          <w:lang w:val="es-ES"/>
        </w:rPr>
        <w:t>D</w:t>
      </w:r>
      <w:r w:rsidR="005E7FAC">
        <w:rPr>
          <w:rFonts w:ascii="Times New Roman" w:hAnsi="Times New Roman"/>
          <w:b/>
          <w:sz w:val="24"/>
          <w:szCs w:val="24"/>
          <w:lang w:val="es-ES"/>
        </w:rPr>
        <w:t>.</w:t>
      </w:r>
      <w:r w:rsidRPr="006E0088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5E7FAC">
        <w:rPr>
          <w:rFonts w:ascii="Times New Roman" w:hAnsi="Times New Roman"/>
          <w:b/>
          <w:sz w:val="24"/>
          <w:szCs w:val="24"/>
          <w:lang w:val="es-ES"/>
        </w:rPr>
        <w:tab/>
      </w:r>
      <w:r w:rsidRPr="006E0088">
        <w:rPr>
          <w:rFonts w:ascii="Times New Roman" w:hAnsi="Times New Roman"/>
          <w:b/>
          <w:sz w:val="24"/>
          <w:szCs w:val="24"/>
          <w:lang w:val="es-ES"/>
        </w:rPr>
        <w:t>Frecuencia de Supervisión de las Adquisiciones</w:t>
      </w:r>
    </w:p>
    <w:p w:rsidR="00FC499C" w:rsidRPr="006E0088" w:rsidRDefault="00345B6D" w:rsidP="00345B6D">
      <w:pPr>
        <w:tabs>
          <w:tab w:val="left" w:pos="450"/>
        </w:tabs>
        <w:autoSpaceDE w:val="0"/>
        <w:ind w:left="450" w:hanging="90"/>
        <w:jc w:val="both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z w:val="24"/>
          <w:szCs w:val="24"/>
          <w:lang w:val="es-ES"/>
        </w:rPr>
        <w:tab/>
      </w:r>
      <w:r w:rsidR="00FC499C" w:rsidRPr="006E0088">
        <w:rPr>
          <w:rFonts w:ascii="Times New Roman" w:hAnsi="Times New Roman"/>
          <w:sz w:val="24"/>
          <w:szCs w:val="24"/>
          <w:lang w:val="es-ES"/>
        </w:rPr>
        <w:t xml:space="preserve">Considerando el nivel de riesgo </w:t>
      </w:r>
      <w:r w:rsidR="00723970" w:rsidRPr="006E0088">
        <w:rPr>
          <w:rFonts w:ascii="Times New Roman" w:hAnsi="Times New Roman"/>
          <w:sz w:val="24"/>
          <w:szCs w:val="24"/>
          <w:lang w:val="es-ES"/>
        </w:rPr>
        <w:t xml:space="preserve">bajo </w:t>
      </w:r>
      <w:r w:rsidR="00FC499C" w:rsidRPr="006E0088">
        <w:rPr>
          <w:rFonts w:ascii="Times New Roman" w:hAnsi="Times New Roman"/>
          <w:sz w:val="24"/>
          <w:szCs w:val="24"/>
          <w:lang w:val="es-ES"/>
        </w:rPr>
        <w:t xml:space="preserve">del proyecto en materia fiduciaria, se considerará una visita de inspección </w:t>
      </w:r>
      <w:r w:rsidR="00823050" w:rsidRPr="006E0088">
        <w:rPr>
          <w:rFonts w:ascii="Times New Roman" w:hAnsi="Times New Roman"/>
          <w:sz w:val="24"/>
          <w:szCs w:val="24"/>
          <w:lang w:val="es-ES"/>
        </w:rPr>
        <w:t>al finalizar el proyecto</w:t>
      </w:r>
      <w:r w:rsidR="00FC499C" w:rsidRPr="006E0088">
        <w:rPr>
          <w:rFonts w:ascii="Times New Roman" w:hAnsi="Times New Roman"/>
          <w:sz w:val="24"/>
          <w:szCs w:val="24"/>
          <w:lang w:val="es-ES"/>
        </w:rPr>
        <w:t xml:space="preserve">. Asimismo, para el establecimiento del régimen de supervisión se tuvo en cuenta la capacidad y conocimiento </w:t>
      </w:r>
      <w:r w:rsidR="0043513F" w:rsidRPr="006E0088">
        <w:rPr>
          <w:rFonts w:ascii="Times New Roman" w:hAnsi="Times New Roman"/>
          <w:sz w:val="24"/>
          <w:szCs w:val="24"/>
          <w:lang w:val="es-ES"/>
        </w:rPr>
        <w:t xml:space="preserve">de la Agencia Ejecutora </w:t>
      </w:r>
      <w:r w:rsidR="00FC499C" w:rsidRPr="006E0088">
        <w:rPr>
          <w:rFonts w:ascii="Times New Roman" w:hAnsi="Times New Roman"/>
          <w:sz w:val="24"/>
          <w:szCs w:val="24"/>
          <w:lang w:val="es-ES"/>
        </w:rPr>
        <w:t>sobre los procedimientos de adquisiciones del Banco. Los exámenes posteriores del Banco abarcarán como mínimo uno de cada diez contratos firmados</w:t>
      </w:r>
      <w:r w:rsidR="003B5AEB" w:rsidRPr="006E0088"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:rsidR="007C30B0" w:rsidRPr="006E0088" w:rsidRDefault="00F83BF8" w:rsidP="00066BA8">
      <w:pPr>
        <w:jc w:val="both"/>
        <w:rPr>
          <w:rFonts w:ascii="Times New Roman" w:hAnsi="Times New Roman"/>
          <w:sz w:val="24"/>
          <w:szCs w:val="24"/>
          <w:lang w:val="es-ES"/>
        </w:rPr>
      </w:pPr>
      <w:r w:rsidRPr="006E0088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7C30B0" w:rsidRPr="00844F86" w:rsidRDefault="007C30B0">
      <w:pPr>
        <w:rPr>
          <w:rFonts w:ascii="Calibri" w:hAnsi="Calibri"/>
          <w:sz w:val="24"/>
          <w:szCs w:val="24"/>
          <w:lang w:val="es-ES"/>
        </w:rPr>
        <w:sectPr w:rsidR="007C30B0" w:rsidRPr="00844F86" w:rsidSect="00694377">
          <w:headerReference w:type="default" r:id="rId9"/>
          <w:footerReference w:type="even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Y="-599"/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1260"/>
        <w:gridCol w:w="990"/>
        <w:gridCol w:w="990"/>
        <w:gridCol w:w="900"/>
        <w:gridCol w:w="1080"/>
        <w:gridCol w:w="1350"/>
        <w:gridCol w:w="1604"/>
        <w:gridCol w:w="1096"/>
        <w:gridCol w:w="1278"/>
      </w:tblGrid>
      <w:tr w:rsidR="0021561E" w:rsidRPr="00474D6E" w:rsidTr="00152867">
        <w:trPr>
          <w:cantSplit/>
          <w:trHeight w:val="350"/>
          <w:tblHeader/>
        </w:trPr>
        <w:tc>
          <w:tcPr>
            <w:tcW w:w="2628" w:type="dxa"/>
            <w:vMerge w:val="restart"/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lastRenderedPageBreak/>
              <w:t>Categoría y descripción del contrato de adquisiciones</w:t>
            </w:r>
          </w:p>
        </w:tc>
        <w:tc>
          <w:tcPr>
            <w:tcW w:w="1260" w:type="dxa"/>
            <w:vMerge w:val="restart"/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ind w:left="-105" w:right="-126"/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>Costo estimado de la Adquisición (US$ miles)</w:t>
            </w:r>
          </w:p>
          <w:p w:rsidR="0021561E" w:rsidRPr="006E0088" w:rsidRDefault="0021561E" w:rsidP="00152867">
            <w:pPr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lang w:val="es-ES_tradnl"/>
              </w:rPr>
              <w:t> </w:t>
            </w:r>
          </w:p>
        </w:tc>
        <w:tc>
          <w:tcPr>
            <w:tcW w:w="990" w:type="dxa"/>
            <w:vMerge w:val="restart"/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 xml:space="preserve">Método de Adquisición </w:t>
            </w:r>
            <w:r w:rsidRPr="006E0088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es-ES_tradnl"/>
              </w:rPr>
              <w:t>2</w:t>
            </w:r>
          </w:p>
          <w:p w:rsidR="0021561E" w:rsidRPr="006E0088" w:rsidRDefault="0021561E" w:rsidP="00152867">
            <w:pPr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lang w:val="es-ES_tradnl"/>
              </w:rPr>
              <w:t> </w:t>
            </w:r>
          </w:p>
        </w:tc>
        <w:tc>
          <w:tcPr>
            <w:tcW w:w="990" w:type="dxa"/>
            <w:vMerge w:val="restart"/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>Revisión (ex-ante o ex-post)</w:t>
            </w:r>
          </w:p>
          <w:p w:rsidR="0021561E" w:rsidRPr="006E0088" w:rsidRDefault="0021561E" w:rsidP="00152867">
            <w:pPr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lang w:val="es-ES_tradnl"/>
              </w:rPr>
              <w:t> 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>Fuente de Financiamiento y porcentaje</w:t>
            </w:r>
          </w:p>
        </w:tc>
        <w:tc>
          <w:tcPr>
            <w:tcW w:w="1350" w:type="dxa"/>
            <w:vMerge w:val="restart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 xml:space="preserve">Precalificación </w:t>
            </w:r>
            <w:r w:rsidRPr="006E0088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es-ES_tradnl"/>
              </w:rPr>
              <w:t>3</w:t>
            </w: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 xml:space="preserve">   (Si/No)</w:t>
            </w:r>
          </w:p>
          <w:p w:rsidR="0021561E" w:rsidRPr="006E0088" w:rsidRDefault="0021561E" w:rsidP="00152867">
            <w:pPr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>Fechas estimadas</w:t>
            </w:r>
          </w:p>
        </w:tc>
        <w:tc>
          <w:tcPr>
            <w:tcW w:w="1278" w:type="dxa"/>
            <w:vMerge w:val="restart"/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>Duración del contrato (en meses)</w:t>
            </w:r>
          </w:p>
        </w:tc>
      </w:tr>
      <w:tr w:rsidR="0021561E" w:rsidRPr="00627F16" w:rsidTr="00474D6E">
        <w:trPr>
          <w:trHeight w:val="620"/>
        </w:trPr>
        <w:tc>
          <w:tcPr>
            <w:tcW w:w="262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1561E" w:rsidRPr="006E0088" w:rsidRDefault="0021561E" w:rsidP="00152867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1561E" w:rsidRPr="006E0088" w:rsidRDefault="0021561E" w:rsidP="00152867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1561E" w:rsidRPr="006E0088" w:rsidRDefault="0021561E" w:rsidP="00152867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1561E" w:rsidRPr="006E0088" w:rsidRDefault="0021561E" w:rsidP="00152867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>BID %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>Local / Otro %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>Publicación de Anuncio Específico de Adquisición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1561E" w:rsidRPr="006E0088" w:rsidRDefault="0021561E" w:rsidP="0015286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</w:pPr>
            <w:r w:rsidRPr="006E0088">
              <w:rPr>
                <w:rFonts w:ascii="Times New Roman" w:hAnsi="Times New Roman"/>
                <w:b/>
                <w:sz w:val="16"/>
                <w:szCs w:val="16"/>
                <w:lang w:val="es-ES_tradnl"/>
              </w:rPr>
              <w:t>Terminación del Contrato</w:t>
            </w: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1561E" w:rsidRPr="006E0088" w:rsidRDefault="0021561E" w:rsidP="00152867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</w:tr>
      <w:tr w:rsidR="0021561E" w:rsidRPr="00627F16" w:rsidTr="00474D6E">
        <w:trPr>
          <w:trHeight w:val="218"/>
        </w:trPr>
        <w:tc>
          <w:tcPr>
            <w:tcW w:w="13176" w:type="dxa"/>
            <w:gridSpan w:val="10"/>
            <w:shd w:val="clear" w:color="auto" w:fill="F3F3F3"/>
            <w:noWrap/>
            <w:vAlign w:val="bottom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  <w:t>BIENES</w:t>
            </w:r>
          </w:p>
        </w:tc>
      </w:tr>
      <w:tr w:rsidR="0021561E" w:rsidRPr="003B0333" w:rsidTr="00152867">
        <w:trPr>
          <w:trHeight w:val="255"/>
        </w:trPr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1561E" w:rsidRPr="00395E83" w:rsidRDefault="0021561E" w:rsidP="00152867">
            <w:pPr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Materiales de Escritorio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3B0333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6</w:t>
            </w:r>
            <w:r w:rsidR="003B0333">
              <w:rPr>
                <w:rFonts w:ascii="Times New Roman" w:hAnsi="Times New Roman"/>
                <w:sz w:val="18"/>
                <w:szCs w:val="18"/>
                <w:lang w:val="es-ES_tradnl"/>
              </w:rPr>
              <w:t>.</w:t>
            </w: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6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CP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</w:tr>
      <w:tr w:rsidR="0021561E" w:rsidRPr="003B0333" w:rsidTr="00152867">
        <w:trPr>
          <w:trHeight w:val="263"/>
        </w:trPr>
        <w:tc>
          <w:tcPr>
            <w:tcW w:w="13176" w:type="dxa"/>
            <w:gridSpan w:val="10"/>
            <w:shd w:val="clear" w:color="auto" w:fill="F3F3F3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  <w:t>SERVICIOS DIFERENTES A CONSULTORIA</w:t>
            </w:r>
          </w:p>
        </w:tc>
      </w:tr>
      <w:tr w:rsidR="0021561E" w:rsidRPr="00627F16" w:rsidTr="00152867">
        <w:trPr>
          <w:trHeight w:val="781"/>
        </w:trPr>
        <w:tc>
          <w:tcPr>
            <w:tcW w:w="2628" w:type="dxa"/>
            <w:shd w:val="clear" w:color="auto" w:fill="auto"/>
            <w:noWrap/>
            <w:vAlign w:val="bottom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Organización de eventos de organización</w:t>
            </w:r>
          </w:p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CP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24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II Trimestre 2013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IV Trimestre 2013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8 meses</w:t>
            </w:r>
          </w:p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</w:t>
            </w:r>
          </w:p>
        </w:tc>
      </w:tr>
      <w:tr w:rsidR="0021561E" w:rsidRPr="00627F16" w:rsidTr="00152867">
        <w:trPr>
          <w:trHeight w:val="781"/>
        </w:trPr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1561E" w:rsidRPr="00395E83" w:rsidRDefault="0021561E" w:rsidP="00152867">
            <w:pPr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Viajes de estudio para conocer experiencias internacionales exitosas en materia de generación y recuperación de suelo urbano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10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CP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ind w:left="-18" w:right="-124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I Trimestre 2013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I Trimestre 2013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15 días</w:t>
            </w:r>
          </w:p>
        </w:tc>
      </w:tr>
      <w:tr w:rsidR="0021561E" w:rsidRPr="00627F16" w:rsidTr="00152867">
        <w:trPr>
          <w:trHeight w:val="255"/>
        </w:trPr>
        <w:tc>
          <w:tcPr>
            <w:tcW w:w="13176" w:type="dxa"/>
            <w:gridSpan w:val="10"/>
            <w:shd w:val="clear" w:color="auto" w:fill="F3F3F3"/>
            <w:noWrap/>
            <w:vAlign w:val="bottom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  <w:t>SERVICIOS DE CONSULTORIA</w:t>
            </w:r>
          </w:p>
        </w:tc>
      </w:tr>
      <w:tr w:rsidR="00474D6E" w:rsidRPr="00627F16" w:rsidTr="00D44D60">
        <w:trPr>
          <w:trHeight w:val="255"/>
        </w:trPr>
        <w:tc>
          <w:tcPr>
            <w:tcW w:w="13176" w:type="dxa"/>
            <w:gridSpan w:val="10"/>
            <w:shd w:val="clear" w:color="auto" w:fill="auto"/>
            <w:vAlign w:val="center"/>
            <w:hideMark/>
          </w:tcPr>
          <w:p w:rsidR="00474D6E" w:rsidRPr="00474D6E" w:rsidRDefault="00474D6E" w:rsidP="00152867">
            <w:pPr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  <w:t>Consultoría 1</w:t>
            </w:r>
          </w:p>
        </w:tc>
      </w:tr>
      <w:tr w:rsidR="0021561E" w:rsidRPr="00433347" w:rsidTr="00152867">
        <w:trPr>
          <w:trHeight w:val="675"/>
        </w:trPr>
        <w:tc>
          <w:tcPr>
            <w:tcW w:w="2628" w:type="dxa"/>
            <w:shd w:val="clear" w:color="auto" w:fill="auto"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Alineación de instrumentos de planificación estratégica y programación presupuestaria con el PPR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CCIN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24" w:hanging="1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III Trimestre 2012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IV Trimestre 2012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4 meses</w:t>
            </w:r>
          </w:p>
        </w:tc>
      </w:tr>
      <w:tr w:rsidR="00474D6E" w:rsidRPr="00433347" w:rsidTr="00332F73">
        <w:trPr>
          <w:trHeight w:val="255"/>
        </w:trPr>
        <w:tc>
          <w:tcPr>
            <w:tcW w:w="13176" w:type="dxa"/>
            <w:gridSpan w:val="10"/>
            <w:shd w:val="clear" w:color="auto" w:fill="auto"/>
            <w:vAlign w:val="center"/>
            <w:hideMark/>
          </w:tcPr>
          <w:p w:rsidR="00474D6E" w:rsidRPr="00474D6E" w:rsidRDefault="00474D6E" w:rsidP="00152867">
            <w:pPr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  <w:t>Consultoría 2</w:t>
            </w:r>
          </w:p>
        </w:tc>
      </w:tr>
      <w:tr w:rsidR="0021561E" w:rsidRPr="00627F16" w:rsidTr="00152867">
        <w:trPr>
          <w:trHeight w:val="675"/>
        </w:trPr>
        <w:tc>
          <w:tcPr>
            <w:tcW w:w="2628" w:type="dxa"/>
            <w:shd w:val="clear" w:color="auto" w:fill="auto"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Focalización y costo-beneficio de inversiones en subsidios habitacionales</w:t>
            </w: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CCIN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24" w:hanging="1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 IV Trimestre 2012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II Trimestre 2013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5 meses</w:t>
            </w:r>
          </w:p>
        </w:tc>
      </w:tr>
      <w:tr w:rsidR="00474D6E" w:rsidRPr="00627F16" w:rsidTr="006F01C4">
        <w:trPr>
          <w:trHeight w:val="255"/>
        </w:trPr>
        <w:tc>
          <w:tcPr>
            <w:tcW w:w="13176" w:type="dxa"/>
            <w:gridSpan w:val="10"/>
            <w:shd w:val="clear" w:color="auto" w:fill="auto"/>
            <w:vAlign w:val="center"/>
            <w:hideMark/>
          </w:tcPr>
          <w:p w:rsidR="00474D6E" w:rsidRPr="00474D6E" w:rsidRDefault="00474D6E" w:rsidP="00474D6E">
            <w:pPr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  <w:t>Consultoría 3</w:t>
            </w:r>
          </w:p>
        </w:tc>
      </w:tr>
      <w:tr w:rsidR="0021561E" w:rsidRPr="00627F16" w:rsidTr="00152867">
        <w:trPr>
          <w:trHeight w:val="450"/>
        </w:trPr>
        <w:tc>
          <w:tcPr>
            <w:tcW w:w="2628" w:type="dxa"/>
            <w:shd w:val="clear" w:color="auto" w:fill="auto"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Costo-eficiencia e impacto de inversiones de mejoramiento de barrios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CCIN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24" w:hanging="1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IV Trimestre 2012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II Trimestre 2013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5 meses</w:t>
            </w:r>
          </w:p>
        </w:tc>
      </w:tr>
      <w:tr w:rsidR="00474D6E" w:rsidRPr="00627F16" w:rsidTr="00FE6469">
        <w:trPr>
          <w:trHeight w:val="255"/>
        </w:trPr>
        <w:tc>
          <w:tcPr>
            <w:tcW w:w="13176" w:type="dxa"/>
            <w:gridSpan w:val="10"/>
            <w:shd w:val="clear" w:color="auto" w:fill="auto"/>
            <w:vAlign w:val="center"/>
            <w:hideMark/>
          </w:tcPr>
          <w:p w:rsidR="00474D6E" w:rsidRPr="00474D6E" w:rsidRDefault="00474D6E" w:rsidP="00474D6E">
            <w:pPr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  <w:t>Consultoría 4</w:t>
            </w:r>
          </w:p>
        </w:tc>
      </w:tr>
      <w:tr w:rsidR="0021561E" w:rsidRPr="00627F16" w:rsidTr="00152867">
        <w:trPr>
          <w:trHeight w:val="450"/>
        </w:trPr>
        <w:tc>
          <w:tcPr>
            <w:tcW w:w="2628" w:type="dxa"/>
            <w:shd w:val="clear" w:color="auto" w:fill="auto"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Programación, formulación, costeo, monitoreo y evaluación del PAHR (2 consultores)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CCIN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left="-108" w:right="-124" w:hanging="1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  IV Trimestre 2012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II Trimestre 2013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5 meses</w:t>
            </w:r>
          </w:p>
        </w:tc>
      </w:tr>
      <w:tr w:rsidR="00474D6E" w:rsidRPr="00627F16" w:rsidTr="00D66AEE">
        <w:trPr>
          <w:trHeight w:val="255"/>
        </w:trPr>
        <w:tc>
          <w:tcPr>
            <w:tcW w:w="13176" w:type="dxa"/>
            <w:gridSpan w:val="10"/>
            <w:shd w:val="clear" w:color="auto" w:fill="auto"/>
            <w:vAlign w:val="center"/>
            <w:hideMark/>
          </w:tcPr>
          <w:p w:rsidR="00474D6E" w:rsidRPr="00474D6E" w:rsidRDefault="00474D6E" w:rsidP="00474D6E">
            <w:pPr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  <w:t>Consultoría 5</w:t>
            </w:r>
          </w:p>
        </w:tc>
      </w:tr>
      <w:tr w:rsidR="0021561E" w:rsidRPr="00627F16" w:rsidTr="00152867">
        <w:trPr>
          <w:trHeight w:val="450"/>
        </w:trPr>
        <w:tc>
          <w:tcPr>
            <w:tcW w:w="2628" w:type="dxa"/>
            <w:shd w:val="clear" w:color="auto" w:fill="auto"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Formulación, costeo y monitoreo y evaluación del PGSU (2 consultores)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CCIN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left="-108" w:right="-124" w:firstLine="90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IV Trimestre 2012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 II Trimestre 2013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5 meses</w:t>
            </w:r>
          </w:p>
        </w:tc>
      </w:tr>
      <w:tr w:rsidR="00474D6E" w:rsidRPr="00627F16" w:rsidTr="009E45FD">
        <w:trPr>
          <w:trHeight w:val="255"/>
        </w:trPr>
        <w:tc>
          <w:tcPr>
            <w:tcW w:w="13176" w:type="dxa"/>
            <w:gridSpan w:val="10"/>
            <w:shd w:val="clear" w:color="auto" w:fill="auto"/>
            <w:vAlign w:val="center"/>
            <w:hideMark/>
          </w:tcPr>
          <w:p w:rsidR="00474D6E" w:rsidRPr="00474D6E" w:rsidRDefault="00474D6E" w:rsidP="00474D6E">
            <w:pPr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  <w:t>Consultoría 6</w:t>
            </w:r>
          </w:p>
        </w:tc>
      </w:tr>
      <w:tr w:rsidR="0021561E" w:rsidRPr="00627F16" w:rsidTr="00152867">
        <w:trPr>
          <w:trHeight w:val="287"/>
        </w:trPr>
        <w:tc>
          <w:tcPr>
            <w:tcW w:w="2628" w:type="dxa"/>
            <w:shd w:val="clear" w:color="auto" w:fill="auto"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 xml:space="preserve">Diseño técnico del Sistema de </w:t>
            </w: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lastRenderedPageBreak/>
              <w:t>Seguimiento y Evaluación del Sector de Vivienda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lastRenderedPageBreak/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CCIN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24" w:hanging="1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IV Trimestre 2012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 I Trimestre </w:t>
            </w: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lastRenderedPageBreak/>
              <w:t>2013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lastRenderedPageBreak/>
              <w:t> 3 meses</w:t>
            </w:r>
          </w:p>
        </w:tc>
      </w:tr>
      <w:tr w:rsidR="00474D6E" w:rsidRPr="00627F16" w:rsidTr="00F0169A">
        <w:trPr>
          <w:trHeight w:val="255"/>
        </w:trPr>
        <w:tc>
          <w:tcPr>
            <w:tcW w:w="13176" w:type="dxa"/>
            <w:gridSpan w:val="10"/>
            <w:shd w:val="clear" w:color="auto" w:fill="auto"/>
            <w:vAlign w:val="center"/>
            <w:hideMark/>
          </w:tcPr>
          <w:p w:rsidR="00474D6E" w:rsidRPr="00474D6E" w:rsidRDefault="00474D6E" w:rsidP="00474D6E">
            <w:pPr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  <w:lastRenderedPageBreak/>
              <w:t>Consultoría 7</w:t>
            </w:r>
          </w:p>
        </w:tc>
      </w:tr>
      <w:tr w:rsidR="0021561E" w:rsidRPr="00627F16" w:rsidTr="00152867">
        <w:trPr>
          <w:trHeight w:val="450"/>
        </w:trPr>
        <w:tc>
          <w:tcPr>
            <w:tcW w:w="2628" w:type="dxa"/>
            <w:shd w:val="clear" w:color="auto" w:fill="auto"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Diseño informático del SISE-VIVIENDA (5 consultores)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CCIN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 Trimestre 2013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IV Trimestre 2013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9 meses</w:t>
            </w:r>
          </w:p>
        </w:tc>
      </w:tr>
      <w:tr w:rsidR="00474D6E" w:rsidRPr="00627F16" w:rsidTr="00832792">
        <w:trPr>
          <w:trHeight w:val="255"/>
        </w:trPr>
        <w:tc>
          <w:tcPr>
            <w:tcW w:w="13176" w:type="dxa"/>
            <w:gridSpan w:val="10"/>
            <w:shd w:val="clear" w:color="auto" w:fill="auto"/>
            <w:vAlign w:val="center"/>
            <w:hideMark/>
          </w:tcPr>
          <w:p w:rsidR="00474D6E" w:rsidRPr="00474D6E" w:rsidRDefault="00474D6E" w:rsidP="00474D6E">
            <w:pPr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sz w:val="18"/>
                <w:szCs w:val="18"/>
                <w:lang w:val="es-ES_tradnl"/>
              </w:rPr>
              <w:t>Consultoría 8</w:t>
            </w:r>
          </w:p>
        </w:tc>
      </w:tr>
      <w:tr w:rsidR="0021561E" w:rsidRPr="00627F16" w:rsidTr="00152867">
        <w:trPr>
          <w:trHeight w:val="255"/>
        </w:trPr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Auditoría externa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CCIN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IV Trimestre 2013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IV Trimestre 2013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1 mes</w:t>
            </w:r>
          </w:p>
        </w:tc>
      </w:tr>
      <w:tr w:rsidR="0021561E" w:rsidRPr="00627F16" w:rsidTr="00152867">
        <w:trPr>
          <w:trHeight w:val="332"/>
        </w:trPr>
        <w:tc>
          <w:tcPr>
            <w:tcW w:w="13176" w:type="dxa"/>
            <w:gridSpan w:val="10"/>
            <w:shd w:val="clear" w:color="auto" w:fill="F3F3F3"/>
            <w:noWrap/>
            <w:vAlign w:val="center"/>
            <w:hideMark/>
          </w:tcPr>
          <w:p w:rsidR="0021561E" w:rsidRPr="00694377" w:rsidRDefault="0021561E" w:rsidP="00152867">
            <w:pPr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  <w:t>UNIDAD EJECUTORA</w:t>
            </w: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</w:t>
            </w:r>
          </w:p>
        </w:tc>
      </w:tr>
      <w:tr w:rsidR="0021561E" w:rsidRPr="00627F16" w:rsidTr="00152867">
        <w:trPr>
          <w:trHeight w:val="255"/>
        </w:trPr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C719E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C719E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Pago</w:t>
            </w:r>
            <w:r w:rsidRPr="0021561E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 xml:space="preserve"> a consultores de apoyo al</w:t>
            </w:r>
            <w:r>
              <w:rPr>
                <w:rFonts w:ascii="Times New Roman" w:hAnsi="Times New Roman"/>
                <w:color w:val="1F497D"/>
                <w:sz w:val="18"/>
                <w:szCs w:val="18"/>
                <w:lang w:val="es-ES_tradnl"/>
              </w:rPr>
              <w:t xml:space="preserve"> </w:t>
            </w:r>
            <w:r w:rsidRPr="003C719E">
              <w:rPr>
                <w:rFonts w:ascii="Times New Roman" w:hAnsi="Times New Roman"/>
                <w:bCs/>
                <w:sz w:val="18"/>
                <w:szCs w:val="18"/>
                <w:lang w:val="es-ES_tradnl"/>
              </w:rPr>
              <w:t>Coordinador de la CT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3B0333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53</w:t>
            </w:r>
            <w:r w:rsidR="003B0333">
              <w:rPr>
                <w:rFonts w:ascii="Times New Roman" w:hAnsi="Times New Roman"/>
                <w:sz w:val="18"/>
                <w:szCs w:val="18"/>
                <w:lang w:val="es-ES_tradnl"/>
              </w:rPr>
              <w:t>.</w:t>
            </w: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CCIN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Ex-post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No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III Trimestre 2012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IV Trimestre 2013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sz w:val="18"/>
                <w:szCs w:val="18"/>
                <w:lang w:val="es-ES_tradnl"/>
              </w:rPr>
              <w:t> 14 meses</w:t>
            </w:r>
          </w:p>
        </w:tc>
      </w:tr>
      <w:tr w:rsidR="0021561E" w:rsidRPr="00482AAF" w:rsidTr="00152867">
        <w:trPr>
          <w:trHeight w:val="332"/>
        </w:trPr>
        <w:tc>
          <w:tcPr>
            <w:tcW w:w="2628" w:type="dxa"/>
            <w:shd w:val="clear" w:color="auto" w:fill="F3F3F3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  <w:t>TOTAL</w:t>
            </w:r>
          </w:p>
        </w:tc>
        <w:tc>
          <w:tcPr>
            <w:tcW w:w="1260" w:type="dxa"/>
            <w:shd w:val="clear" w:color="auto" w:fill="F3F3F3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  <w:t>560</w:t>
            </w:r>
            <w:r w:rsidRPr="00395E83"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  <w:t xml:space="preserve">      </w:t>
            </w:r>
          </w:p>
        </w:tc>
        <w:tc>
          <w:tcPr>
            <w:tcW w:w="990" w:type="dxa"/>
            <w:shd w:val="clear" w:color="auto" w:fill="F3F3F3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shd w:val="clear" w:color="auto" w:fill="F3F3F3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00" w:type="dxa"/>
            <w:shd w:val="clear" w:color="auto" w:fill="F3F3F3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080" w:type="dxa"/>
            <w:shd w:val="clear" w:color="auto" w:fill="F3F3F3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shd w:val="clear" w:color="auto" w:fill="F3F3F3"/>
            <w:noWrap/>
            <w:vAlign w:val="center"/>
            <w:hideMark/>
          </w:tcPr>
          <w:p w:rsidR="0021561E" w:rsidRPr="00395E83" w:rsidRDefault="0021561E" w:rsidP="0015286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04" w:type="dxa"/>
            <w:shd w:val="clear" w:color="auto" w:fill="F3F3F3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096" w:type="dxa"/>
            <w:shd w:val="clear" w:color="auto" w:fill="F3F3F3"/>
            <w:noWrap/>
            <w:vAlign w:val="center"/>
            <w:hideMark/>
          </w:tcPr>
          <w:p w:rsidR="0021561E" w:rsidRPr="00395E83" w:rsidRDefault="0021561E" w:rsidP="00152867">
            <w:pPr>
              <w:ind w:right="-108"/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8" w:type="dxa"/>
            <w:shd w:val="clear" w:color="auto" w:fill="F3F3F3"/>
            <w:noWrap/>
            <w:vAlign w:val="center"/>
            <w:hideMark/>
          </w:tcPr>
          <w:p w:rsidR="0021561E" w:rsidRPr="00395E83" w:rsidRDefault="0021561E" w:rsidP="00152867">
            <w:pPr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</w:pPr>
            <w:r w:rsidRPr="00395E83"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  <w:t> </w:t>
            </w:r>
          </w:p>
        </w:tc>
      </w:tr>
    </w:tbl>
    <w:p w:rsidR="001A02A5" w:rsidRDefault="001A02A5" w:rsidP="00656A48">
      <w:pPr>
        <w:spacing w:before="48" w:after="48"/>
        <w:ind w:left="426"/>
        <w:jc w:val="both"/>
        <w:rPr>
          <w:lang w:val="es-ES_tradnl"/>
        </w:rPr>
      </w:pPr>
    </w:p>
    <w:sectPr w:rsidR="001A02A5" w:rsidSect="00152867">
      <w:headerReference w:type="default" r:id="rId11"/>
      <w:pgSz w:w="15840" w:h="12240" w:orient="landscape" w:code="1"/>
      <w:pgMar w:top="2205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23E" w:rsidRDefault="00AB623E">
      <w:r>
        <w:separator/>
      </w:r>
    </w:p>
  </w:endnote>
  <w:endnote w:type="continuationSeparator" w:id="0">
    <w:p w:rsidR="00AB623E" w:rsidRDefault="00AB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86" w:rsidRDefault="00383D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4F8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4F86" w:rsidRDefault="00844F8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23E" w:rsidRDefault="00AB623E">
      <w:r>
        <w:separator/>
      </w:r>
    </w:p>
  </w:footnote>
  <w:footnote w:type="continuationSeparator" w:id="0">
    <w:p w:rsidR="00AB623E" w:rsidRDefault="00AB6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E22" w:rsidRPr="00F46E22" w:rsidRDefault="00F46E22" w:rsidP="00F46E22">
    <w:pPr>
      <w:pStyle w:val="Header"/>
      <w:jc w:val="right"/>
      <w:rPr>
        <w:b/>
        <w:lang w:val="pt-BR"/>
      </w:rPr>
    </w:pPr>
    <w:r w:rsidRPr="00F46E22">
      <w:rPr>
        <w:b/>
        <w:lang w:val="pt-BR"/>
      </w:rPr>
      <w:t>ANEXO II</w:t>
    </w:r>
    <w:r w:rsidR="00AA660C">
      <w:rPr>
        <w:b/>
        <w:lang w:val="pt-BR"/>
      </w:rPr>
      <w:t>I</w:t>
    </w:r>
    <w:r w:rsidRPr="00F46E22">
      <w:rPr>
        <w:b/>
        <w:lang w:val="pt-BR"/>
      </w:rPr>
      <w:t>—PE-T1261</w:t>
    </w:r>
  </w:p>
  <w:p w:rsidR="00F46E22" w:rsidRPr="00F46E22" w:rsidRDefault="003B0333">
    <w:pPr>
      <w:pStyle w:val="Header"/>
      <w:jc w:val="right"/>
      <w:rPr>
        <w:lang w:val="pt-BR"/>
      </w:rPr>
    </w:pPr>
    <w:sdt>
      <w:sdtPr>
        <w:id w:val="64825094"/>
        <w:docPartObj>
          <w:docPartGallery w:val="Page Numbers (Top of Page)"/>
          <w:docPartUnique/>
        </w:docPartObj>
      </w:sdtPr>
      <w:sdtEndPr/>
      <w:sdtContent>
        <w:r w:rsidR="00F46E22" w:rsidRPr="00435E4B">
          <w:rPr>
            <w:sz w:val="20"/>
            <w:szCs w:val="20"/>
            <w:lang w:val="pt-BR"/>
          </w:rPr>
          <w:t xml:space="preserve">Página </w:t>
        </w:r>
        <w:r w:rsidR="00383DCF" w:rsidRPr="00F46E22">
          <w:rPr>
            <w:sz w:val="20"/>
            <w:szCs w:val="20"/>
          </w:rPr>
          <w:fldChar w:fldCharType="begin"/>
        </w:r>
        <w:r w:rsidR="00F46E22" w:rsidRPr="00435E4B">
          <w:rPr>
            <w:sz w:val="20"/>
            <w:szCs w:val="20"/>
            <w:lang w:val="pt-BR"/>
          </w:rPr>
          <w:instrText xml:space="preserve"> PAGE   \* MERGEFORMAT </w:instrText>
        </w:r>
        <w:r w:rsidR="00383DCF" w:rsidRPr="00F46E22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  <w:lang w:val="pt-BR"/>
          </w:rPr>
          <w:t>1</w:t>
        </w:r>
        <w:r w:rsidR="00383DCF" w:rsidRPr="00F46E22">
          <w:rPr>
            <w:sz w:val="20"/>
            <w:szCs w:val="20"/>
          </w:rPr>
          <w:fldChar w:fldCharType="end"/>
        </w:r>
        <w:r w:rsidR="00F46E22" w:rsidRPr="00435E4B">
          <w:rPr>
            <w:sz w:val="20"/>
            <w:szCs w:val="20"/>
            <w:lang w:val="pt-BR"/>
          </w:rPr>
          <w:t xml:space="preserve"> de 3</w:t>
        </w:r>
      </w:sdtContent>
    </w:sdt>
  </w:p>
  <w:p w:rsidR="00844F86" w:rsidRPr="00F46E22" w:rsidRDefault="00844F86" w:rsidP="00F46E22">
    <w:pPr>
      <w:pStyle w:val="Header"/>
      <w:rPr>
        <w:rStyle w:val="PageNumber"/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61E" w:rsidRPr="00474D6E" w:rsidRDefault="0021561E" w:rsidP="0021561E">
    <w:pPr>
      <w:pStyle w:val="Header"/>
      <w:jc w:val="right"/>
      <w:rPr>
        <w:b/>
        <w:lang w:val="pt-BR"/>
      </w:rPr>
    </w:pPr>
    <w:r w:rsidRPr="00474D6E">
      <w:rPr>
        <w:b/>
        <w:lang w:val="pt-BR"/>
      </w:rPr>
      <w:t>ANEXO III—PE-T1261</w:t>
    </w:r>
  </w:p>
  <w:p w:rsidR="0021561E" w:rsidRPr="00474D6E" w:rsidRDefault="0021561E" w:rsidP="00152867">
    <w:pPr>
      <w:pStyle w:val="Header"/>
      <w:spacing w:after="240"/>
      <w:jc w:val="right"/>
      <w:rPr>
        <w:noProof/>
        <w:sz w:val="20"/>
        <w:szCs w:val="20"/>
        <w:lang w:val="pt-BR"/>
      </w:rPr>
    </w:pPr>
    <w:r w:rsidRPr="00474D6E">
      <w:rPr>
        <w:sz w:val="20"/>
        <w:szCs w:val="20"/>
        <w:lang w:val="pt-BR"/>
      </w:rPr>
      <w:t xml:space="preserve">Página </w:t>
    </w:r>
    <w:sdt>
      <w:sdtPr>
        <w:rPr>
          <w:sz w:val="20"/>
          <w:szCs w:val="20"/>
        </w:rPr>
        <w:id w:val="-20573828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1561E">
          <w:rPr>
            <w:sz w:val="20"/>
            <w:szCs w:val="20"/>
          </w:rPr>
          <w:fldChar w:fldCharType="begin"/>
        </w:r>
        <w:r w:rsidRPr="00474D6E">
          <w:rPr>
            <w:sz w:val="20"/>
            <w:szCs w:val="20"/>
            <w:lang w:val="pt-BR"/>
          </w:rPr>
          <w:instrText xml:space="preserve"> PAGE   \* MERGEFORMAT </w:instrText>
        </w:r>
        <w:r w:rsidRPr="0021561E">
          <w:rPr>
            <w:sz w:val="20"/>
            <w:szCs w:val="20"/>
          </w:rPr>
          <w:fldChar w:fldCharType="separate"/>
        </w:r>
        <w:r w:rsidR="003B0333">
          <w:rPr>
            <w:noProof/>
            <w:sz w:val="20"/>
            <w:szCs w:val="20"/>
            <w:lang w:val="pt-BR"/>
          </w:rPr>
          <w:t>2</w:t>
        </w:r>
        <w:r w:rsidRPr="0021561E">
          <w:rPr>
            <w:noProof/>
            <w:sz w:val="20"/>
            <w:szCs w:val="20"/>
          </w:rPr>
          <w:fldChar w:fldCharType="end"/>
        </w:r>
        <w:r w:rsidRPr="00474D6E">
          <w:rPr>
            <w:noProof/>
            <w:sz w:val="20"/>
            <w:szCs w:val="20"/>
            <w:lang w:val="pt-BR"/>
          </w:rPr>
          <w:t xml:space="preserve"> de 3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75EA"/>
    <w:multiLevelType w:val="hybridMultilevel"/>
    <w:tmpl w:val="E04696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9C44B8"/>
    <w:multiLevelType w:val="singleLevel"/>
    <w:tmpl w:val="8A789C4E"/>
    <w:lvl w:ilvl="0">
      <w:start w:val="1"/>
      <w:numFmt w:val="upperLetter"/>
      <w:pStyle w:val="Subtitl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1DD70BF"/>
    <w:multiLevelType w:val="multilevel"/>
    <w:tmpl w:val="D16479FA"/>
    <w:lvl w:ilvl="0">
      <w:start w:val="1"/>
      <w:numFmt w:val="upperRoman"/>
      <w:pStyle w:val="Outline1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>
    <w:nsid w:val="78E7110C"/>
    <w:multiLevelType w:val="singleLevel"/>
    <w:tmpl w:val="F83E02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</w:abstractNum>
  <w:abstractNum w:abstractNumId="6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F86"/>
    <w:rsid w:val="00032B73"/>
    <w:rsid w:val="00066BA8"/>
    <w:rsid w:val="000B6644"/>
    <w:rsid w:val="000C1A73"/>
    <w:rsid w:val="000C1FC4"/>
    <w:rsid w:val="00126342"/>
    <w:rsid w:val="00133B0E"/>
    <w:rsid w:val="00152867"/>
    <w:rsid w:val="00170193"/>
    <w:rsid w:val="00171FA8"/>
    <w:rsid w:val="001A02A5"/>
    <w:rsid w:val="001E43EA"/>
    <w:rsid w:val="001E7AC4"/>
    <w:rsid w:val="001F6693"/>
    <w:rsid w:val="0021561E"/>
    <w:rsid w:val="0022081F"/>
    <w:rsid w:val="00231BDB"/>
    <w:rsid w:val="0026084A"/>
    <w:rsid w:val="0026575B"/>
    <w:rsid w:val="002D4908"/>
    <w:rsid w:val="002F1F90"/>
    <w:rsid w:val="00316C63"/>
    <w:rsid w:val="00317D09"/>
    <w:rsid w:val="00321B23"/>
    <w:rsid w:val="00345B6D"/>
    <w:rsid w:val="00353F96"/>
    <w:rsid w:val="00383695"/>
    <w:rsid w:val="00383DCF"/>
    <w:rsid w:val="00395E83"/>
    <w:rsid w:val="003A6611"/>
    <w:rsid w:val="003B0333"/>
    <w:rsid w:val="003B5AEB"/>
    <w:rsid w:val="003C719E"/>
    <w:rsid w:val="003D6BBB"/>
    <w:rsid w:val="003F0833"/>
    <w:rsid w:val="00406EAB"/>
    <w:rsid w:val="00432A50"/>
    <w:rsid w:val="00433347"/>
    <w:rsid w:val="0043513F"/>
    <w:rsid w:val="00435533"/>
    <w:rsid w:val="00435E4B"/>
    <w:rsid w:val="00474D6E"/>
    <w:rsid w:val="00482AAF"/>
    <w:rsid w:val="004C0958"/>
    <w:rsid w:val="004D1543"/>
    <w:rsid w:val="004D5CA0"/>
    <w:rsid w:val="00507D2F"/>
    <w:rsid w:val="005604D0"/>
    <w:rsid w:val="0059345A"/>
    <w:rsid w:val="005B07AE"/>
    <w:rsid w:val="005E7FAC"/>
    <w:rsid w:val="005F38A4"/>
    <w:rsid w:val="00627F16"/>
    <w:rsid w:val="00656A48"/>
    <w:rsid w:val="00694377"/>
    <w:rsid w:val="006A2276"/>
    <w:rsid w:val="006D250A"/>
    <w:rsid w:val="006E0088"/>
    <w:rsid w:val="006F7149"/>
    <w:rsid w:val="00712AA9"/>
    <w:rsid w:val="00723970"/>
    <w:rsid w:val="00724308"/>
    <w:rsid w:val="00741614"/>
    <w:rsid w:val="00766B02"/>
    <w:rsid w:val="007810D8"/>
    <w:rsid w:val="007879CF"/>
    <w:rsid w:val="007A62CF"/>
    <w:rsid w:val="007B0D6A"/>
    <w:rsid w:val="007C30B0"/>
    <w:rsid w:val="007E34F0"/>
    <w:rsid w:val="00803BA4"/>
    <w:rsid w:val="00823050"/>
    <w:rsid w:val="00834174"/>
    <w:rsid w:val="00835A26"/>
    <w:rsid w:val="00844F86"/>
    <w:rsid w:val="00863004"/>
    <w:rsid w:val="00884F4B"/>
    <w:rsid w:val="008A354F"/>
    <w:rsid w:val="008A59CF"/>
    <w:rsid w:val="008C4984"/>
    <w:rsid w:val="00952E00"/>
    <w:rsid w:val="00967C7B"/>
    <w:rsid w:val="00977090"/>
    <w:rsid w:val="00A159F1"/>
    <w:rsid w:val="00A15B8C"/>
    <w:rsid w:val="00A26B8A"/>
    <w:rsid w:val="00A3415F"/>
    <w:rsid w:val="00A60DD5"/>
    <w:rsid w:val="00AA660C"/>
    <w:rsid w:val="00AB0B13"/>
    <w:rsid w:val="00AB623E"/>
    <w:rsid w:val="00BE6DF3"/>
    <w:rsid w:val="00BF6F19"/>
    <w:rsid w:val="00C32E6F"/>
    <w:rsid w:val="00C42B36"/>
    <w:rsid w:val="00C5165D"/>
    <w:rsid w:val="00CD2CA0"/>
    <w:rsid w:val="00DF145F"/>
    <w:rsid w:val="00DF29B1"/>
    <w:rsid w:val="00E30B91"/>
    <w:rsid w:val="00E66B6A"/>
    <w:rsid w:val="00E6747F"/>
    <w:rsid w:val="00E85F71"/>
    <w:rsid w:val="00E91DAB"/>
    <w:rsid w:val="00E97F44"/>
    <w:rsid w:val="00EC497B"/>
    <w:rsid w:val="00EC6B2E"/>
    <w:rsid w:val="00F06811"/>
    <w:rsid w:val="00F130CC"/>
    <w:rsid w:val="00F27930"/>
    <w:rsid w:val="00F46E22"/>
    <w:rsid w:val="00F548D9"/>
    <w:rsid w:val="00F657AA"/>
    <w:rsid w:val="00F83BF8"/>
    <w:rsid w:val="00F90501"/>
    <w:rsid w:val="00FC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  <w:sz w:val="24"/>
      <w:szCs w:val="24"/>
      <w:lang w:val="es-ES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rFonts w:ascii="Times New Roman" w:hAnsi="Times New Roman"/>
      <w:b/>
      <w:sz w:val="27"/>
    </w:rPr>
  </w:style>
  <w:style w:type="paragraph" w:styleId="Heading3">
    <w:name w:val="heading 3"/>
    <w:basedOn w:val="Normal"/>
    <w:next w:val="Normal"/>
    <w:qFormat/>
    <w:pPr>
      <w:keepNext/>
      <w:widowControl w:val="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cs="Arial"/>
      <w:b/>
      <w:bCs/>
      <w:sz w:val="18"/>
      <w:szCs w:val="24"/>
    </w:rPr>
  </w:style>
  <w:style w:type="paragraph" w:styleId="Heading5">
    <w:name w:val="heading 5"/>
    <w:basedOn w:val="Normal"/>
    <w:next w:val="Normal"/>
    <w:qFormat/>
    <w:pPr>
      <w:keepNext/>
      <w:widowControl w:val="0"/>
      <w:ind w:left="720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qFormat/>
    <w:pPr>
      <w:keepNext/>
      <w:widowControl w:val="0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b/>
      <w:lang w:val="es-C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  <w:sz w:val="22"/>
      <w:lang w:val="es-CO"/>
    </w:rPr>
  </w:style>
  <w:style w:type="paragraph" w:styleId="Heading9">
    <w:name w:val="heading 9"/>
    <w:basedOn w:val="Normal"/>
    <w:next w:val="Normal"/>
    <w:qFormat/>
    <w:pPr>
      <w:keepNext/>
      <w:ind w:left="2160"/>
      <w:outlineLvl w:val="8"/>
    </w:pPr>
    <w:rPr>
      <w:rFonts w:ascii="Times New Roman" w:hAnsi="Times New Roman"/>
      <w:b/>
      <w:bCs/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lang w:val="es-CO"/>
    </w:rPr>
  </w:style>
  <w:style w:type="paragraph" w:customStyle="1" w:styleId="Outline1">
    <w:name w:val="Outline1"/>
    <w:basedOn w:val="Outline"/>
    <w:next w:val="Outline2"/>
    <w:pPr>
      <w:keepNext/>
      <w:numPr>
        <w:numId w:val="1"/>
      </w:numPr>
      <w:tabs>
        <w:tab w:val="clear" w:pos="432"/>
        <w:tab w:val="num" w:pos="360"/>
      </w:tabs>
      <w:ind w:left="360" w:hanging="360"/>
    </w:pPr>
  </w:style>
  <w:style w:type="paragraph" w:customStyle="1" w:styleId="Outline">
    <w:name w:val="Outline"/>
    <w:basedOn w:val="Normal"/>
    <w:pPr>
      <w:spacing w:before="240"/>
    </w:pPr>
    <w:rPr>
      <w:rFonts w:ascii="Times New Roman" w:hAnsi="Times New Roman"/>
      <w:kern w:val="28"/>
      <w:sz w:val="24"/>
    </w:rPr>
  </w:style>
  <w:style w:type="paragraph" w:customStyle="1" w:styleId="Outline2">
    <w:name w:val="Outline2"/>
    <w:basedOn w:val="Normal"/>
    <w:pPr>
      <w:numPr>
        <w:ilvl w:val="1"/>
        <w:numId w:val="1"/>
      </w:numPr>
      <w:tabs>
        <w:tab w:val="clear" w:pos="1152"/>
        <w:tab w:val="num" w:pos="864"/>
      </w:tabs>
      <w:spacing w:before="240"/>
      <w:ind w:left="864" w:hanging="504"/>
    </w:pPr>
    <w:rPr>
      <w:rFonts w:ascii="Times New Roman" w:hAnsi="Times New Roman"/>
      <w:kern w:val="28"/>
      <w:sz w:val="24"/>
    </w:rPr>
  </w:style>
  <w:style w:type="paragraph" w:customStyle="1" w:styleId="Outline3">
    <w:name w:val="Outline3"/>
    <w:basedOn w:val="Normal"/>
    <w:pPr>
      <w:numPr>
        <w:ilvl w:val="2"/>
        <w:numId w:val="1"/>
      </w:numPr>
      <w:tabs>
        <w:tab w:val="clear" w:pos="1728"/>
        <w:tab w:val="num" w:pos="1368"/>
      </w:tabs>
      <w:spacing w:before="240"/>
      <w:ind w:left="1368" w:hanging="504"/>
    </w:pPr>
    <w:rPr>
      <w:rFonts w:ascii="Times New Roman" w:hAnsi="Times New Roman"/>
      <w:kern w:val="28"/>
      <w:sz w:val="24"/>
    </w:rPr>
  </w:style>
  <w:style w:type="paragraph" w:customStyle="1" w:styleId="Outline4">
    <w:name w:val="Outline4"/>
    <w:basedOn w:val="Normal"/>
    <w:pPr>
      <w:numPr>
        <w:ilvl w:val="3"/>
        <w:numId w:val="1"/>
      </w:numPr>
      <w:tabs>
        <w:tab w:val="clear" w:pos="2304"/>
        <w:tab w:val="num" w:pos="1872"/>
      </w:tabs>
      <w:spacing w:before="240"/>
      <w:ind w:left="1872" w:hanging="504"/>
    </w:pPr>
    <w:rPr>
      <w:rFonts w:ascii="Times New Roman" w:hAnsi="Times New Roman"/>
      <w:kern w:val="28"/>
      <w:sz w:val="24"/>
    </w:rPr>
  </w:style>
  <w:style w:type="paragraph" w:customStyle="1" w:styleId="outlinebullet">
    <w:name w:val="outlinebullet"/>
    <w:basedOn w:val="Normal"/>
    <w:pPr>
      <w:numPr>
        <w:numId w:val="2"/>
      </w:numPr>
      <w:tabs>
        <w:tab w:val="clear" w:pos="360"/>
        <w:tab w:val="left" w:pos="1440"/>
      </w:tabs>
      <w:spacing w:before="120"/>
      <w:ind w:left="1440" w:hanging="450"/>
    </w:pPr>
    <w:rPr>
      <w:rFonts w:ascii="Times New Roman" w:hAnsi="Times New Roman"/>
      <w:sz w:val="24"/>
    </w:rPr>
  </w:style>
  <w:style w:type="paragraph" w:customStyle="1" w:styleId="ModelNrmlDouble">
    <w:name w:val="ModelNrmlDouble"/>
    <w:basedOn w:val="Normal"/>
    <w:pPr>
      <w:spacing w:after="360" w:line="480" w:lineRule="auto"/>
      <w:ind w:firstLine="720"/>
      <w:jc w:val="both"/>
    </w:pPr>
    <w:rPr>
      <w:rFonts w:ascii="Times New Roman" w:hAnsi="Times New Roman"/>
      <w:sz w:val="22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BodyTextIndent">
    <w:name w:val="Body Text Indent"/>
    <w:basedOn w:val="Normal"/>
    <w:pPr>
      <w:ind w:left="720"/>
    </w:pPr>
    <w:rPr>
      <w:rFonts w:ascii="Times New Roman" w:hAnsi="Times New Roman"/>
      <w:sz w:val="24"/>
      <w:szCs w:val="24"/>
      <w:lang w:val="es-ES"/>
    </w:rPr>
  </w:style>
  <w:style w:type="paragraph" w:styleId="EndnoteText">
    <w:name w:val="endnote text"/>
    <w:basedOn w:val="Normal"/>
    <w:semiHidden/>
    <w:rPr>
      <w:rFonts w:ascii="Times New Roman" w:hAnsi="Times New Roman"/>
      <w:spacing w:val="-2"/>
      <w:sz w:val="24"/>
    </w:rPr>
  </w:style>
  <w:style w:type="paragraph" w:styleId="FootnoteText">
    <w:name w:val="footnote text"/>
    <w:basedOn w:val="Normal"/>
    <w:semiHidden/>
    <w:rPr>
      <w:rFonts w:ascii="Times New Roman" w:hAnsi="Times New Roman"/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qFormat/>
    <w:pPr>
      <w:numPr>
        <w:numId w:val="3"/>
      </w:numPr>
    </w:pPr>
    <w:rPr>
      <w:b/>
      <w:lang w:val="es-CO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2">
    <w:name w:val="Body Text Indent 2"/>
    <w:basedOn w:val="Normal"/>
    <w:pPr>
      <w:ind w:left="2160"/>
    </w:pPr>
    <w:rPr>
      <w:rFonts w:ascii="Times New Roman" w:hAnsi="Times New Roman"/>
      <w:b/>
      <w:sz w:val="24"/>
      <w:szCs w:val="24"/>
      <w:lang w:val="es-ES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i/>
      <w:sz w:val="18"/>
      <w:szCs w:val="24"/>
      <w:lang w:val="es-ES"/>
    </w:rPr>
  </w:style>
  <w:style w:type="paragraph" w:styleId="BodyText2">
    <w:name w:val="Body Text 2"/>
    <w:basedOn w:val="Normal"/>
    <w:rPr>
      <w:rFonts w:ascii="Times New Roman" w:hAnsi="Times New Roman"/>
      <w:b/>
      <w:lang w:val="es-ES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odyTextIndent3">
    <w:name w:val="Body Text Indent 3"/>
    <w:basedOn w:val="Normal"/>
    <w:pPr>
      <w:ind w:left="720" w:hanging="360"/>
      <w:jc w:val="both"/>
    </w:pPr>
    <w:rPr>
      <w:rFonts w:ascii="Times New Roman" w:hAnsi="Times New Roman"/>
      <w:sz w:val="24"/>
      <w:szCs w:val="24"/>
      <w:lang w:val="es-ES"/>
    </w:rPr>
  </w:style>
  <w:style w:type="paragraph" w:styleId="BodyText3">
    <w:name w:val="Body Text 3"/>
    <w:basedOn w:val="Normal"/>
    <w:pPr>
      <w:jc w:val="both"/>
    </w:pPr>
    <w:rPr>
      <w:rFonts w:ascii="Times New Roman" w:hAnsi="Times New Roman"/>
      <w:sz w:val="24"/>
      <w:szCs w:val="24"/>
      <w:lang w:val="es-ES"/>
    </w:rPr>
  </w:style>
  <w:style w:type="paragraph" w:customStyle="1" w:styleId="Default">
    <w:name w:val="Default"/>
    <w:rsid w:val="001A02A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6E2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E7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  <w:sz w:val="24"/>
      <w:szCs w:val="24"/>
      <w:lang w:val="es-ES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rFonts w:ascii="Times New Roman" w:hAnsi="Times New Roman"/>
      <w:b/>
      <w:sz w:val="27"/>
    </w:rPr>
  </w:style>
  <w:style w:type="paragraph" w:styleId="Heading3">
    <w:name w:val="heading 3"/>
    <w:basedOn w:val="Normal"/>
    <w:next w:val="Normal"/>
    <w:qFormat/>
    <w:pPr>
      <w:keepNext/>
      <w:widowControl w:val="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cs="Arial"/>
      <w:b/>
      <w:bCs/>
      <w:sz w:val="18"/>
      <w:szCs w:val="24"/>
    </w:rPr>
  </w:style>
  <w:style w:type="paragraph" w:styleId="Heading5">
    <w:name w:val="heading 5"/>
    <w:basedOn w:val="Normal"/>
    <w:next w:val="Normal"/>
    <w:qFormat/>
    <w:pPr>
      <w:keepNext/>
      <w:widowControl w:val="0"/>
      <w:ind w:left="720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qFormat/>
    <w:pPr>
      <w:keepNext/>
      <w:widowControl w:val="0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b/>
      <w:lang w:val="es-C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  <w:sz w:val="22"/>
      <w:lang w:val="es-CO"/>
    </w:rPr>
  </w:style>
  <w:style w:type="paragraph" w:styleId="Heading9">
    <w:name w:val="heading 9"/>
    <w:basedOn w:val="Normal"/>
    <w:next w:val="Normal"/>
    <w:qFormat/>
    <w:pPr>
      <w:keepNext/>
      <w:ind w:left="2160"/>
      <w:outlineLvl w:val="8"/>
    </w:pPr>
    <w:rPr>
      <w:rFonts w:ascii="Times New Roman" w:hAnsi="Times New Roman"/>
      <w:b/>
      <w:bCs/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lang w:val="es-CO"/>
    </w:rPr>
  </w:style>
  <w:style w:type="paragraph" w:customStyle="1" w:styleId="Outline1">
    <w:name w:val="Outline1"/>
    <w:basedOn w:val="Outline"/>
    <w:next w:val="Outline2"/>
    <w:pPr>
      <w:keepNext/>
      <w:numPr>
        <w:numId w:val="1"/>
      </w:numPr>
      <w:tabs>
        <w:tab w:val="clear" w:pos="432"/>
        <w:tab w:val="num" w:pos="360"/>
      </w:tabs>
      <w:ind w:left="360" w:hanging="360"/>
    </w:pPr>
  </w:style>
  <w:style w:type="paragraph" w:customStyle="1" w:styleId="Outline">
    <w:name w:val="Outline"/>
    <w:basedOn w:val="Normal"/>
    <w:pPr>
      <w:spacing w:before="240"/>
    </w:pPr>
    <w:rPr>
      <w:rFonts w:ascii="Times New Roman" w:hAnsi="Times New Roman"/>
      <w:kern w:val="28"/>
      <w:sz w:val="24"/>
    </w:rPr>
  </w:style>
  <w:style w:type="paragraph" w:customStyle="1" w:styleId="Outline2">
    <w:name w:val="Outline2"/>
    <w:basedOn w:val="Normal"/>
    <w:pPr>
      <w:numPr>
        <w:ilvl w:val="1"/>
        <w:numId w:val="1"/>
      </w:numPr>
      <w:tabs>
        <w:tab w:val="clear" w:pos="1152"/>
        <w:tab w:val="num" w:pos="864"/>
      </w:tabs>
      <w:spacing w:before="240"/>
      <w:ind w:left="864" w:hanging="504"/>
    </w:pPr>
    <w:rPr>
      <w:rFonts w:ascii="Times New Roman" w:hAnsi="Times New Roman"/>
      <w:kern w:val="28"/>
      <w:sz w:val="24"/>
    </w:rPr>
  </w:style>
  <w:style w:type="paragraph" w:customStyle="1" w:styleId="Outline3">
    <w:name w:val="Outline3"/>
    <w:basedOn w:val="Normal"/>
    <w:pPr>
      <w:numPr>
        <w:ilvl w:val="2"/>
        <w:numId w:val="1"/>
      </w:numPr>
      <w:tabs>
        <w:tab w:val="clear" w:pos="1728"/>
        <w:tab w:val="num" w:pos="1368"/>
      </w:tabs>
      <w:spacing w:before="240"/>
      <w:ind w:left="1368" w:hanging="504"/>
    </w:pPr>
    <w:rPr>
      <w:rFonts w:ascii="Times New Roman" w:hAnsi="Times New Roman"/>
      <w:kern w:val="28"/>
      <w:sz w:val="24"/>
    </w:rPr>
  </w:style>
  <w:style w:type="paragraph" w:customStyle="1" w:styleId="Outline4">
    <w:name w:val="Outline4"/>
    <w:basedOn w:val="Normal"/>
    <w:pPr>
      <w:numPr>
        <w:ilvl w:val="3"/>
        <w:numId w:val="1"/>
      </w:numPr>
      <w:tabs>
        <w:tab w:val="clear" w:pos="2304"/>
        <w:tab w:val="num" w:pos="1872"/>
      </w:tabs>
      <w:spacing w:before="240"/>
      <w:ind w:left="1872" w:hanging="504"/>
    </w:pPr>
    <w:rPr>
      <w:rFonts w:ascii="Times New Roman" w:hAnsi="Times New Roman"/>
      <w:kern w:val="28"/>
      <w:sz w:val="24"/>
    </w:rPr>
  </w:style>
  <w:style w:type="paragraph" w:customStyle="1" w:styleId="outlinebullet">
    <w:name w:val="outlinebullet"/>
    <w:basedOn w:val="Normal"/>
    <w:pPr>
      <w:numPr>
        <w:numId w:val="2"/>
      </w:numPr>
      <w:tabs>
        <w:tab w:val="clear" w:pos="360"/>
        <w:tab w:val="left" w:pos="1440"/>
      </w:tabs>
      <w:spacing w:before="120"/>
      <w:ind w:left="1440" w:hanging="450"/>
    </w:pPr>
    <w:rPr>
      <w:rFonts w:ascii="Times New Roman" w:hAnsi="Times New Roman"/>
      <w:sz w:val="24"/>
    </w:rPr>
  </w:style>
  <w:style w:type="paragraph" w:customStyle="1" w:styleId="ModelNrmlDouble">
    <w:name w:val="ModelNrmlDouble"/>
    <w:basedOn w:val="Normal"/>
    <w:pPr>
      <w:spacing w:after="360" w:line="480" w:lineRule="auto"/>
      <w:ind w:firstLine="720"/>
      <w:jc w:val="both"/>
    </w:pPr>
    <w:rPr>
      <w:rFonts w:ascii="Times New Roman" w:hAnsi="Times New Roman"/>
      <w:sz w:val="22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BodyTextIndent">
    <w:name w:val="Body Text Indent"/>
    <w:basedOn w:val="Normal"/>
    <w:pPr>
      <w:ind w:left="720"/>
    </w:pPr>
    <w:rPr>
      <w:rFonts w:ascii="Times New Roman" w:hAnsi="Times New Roman"/>
      <w:sz w:val="24"/>
      <w:szCs w:val="24"/>
      <w:lang w:val="es-ES"/>
    </w:rPr>
  </w:style>
  <w:style w:type="paragraph" w:styleId="EndnoteText">
    <w:name w:val="endnote text"/>
    <w:basedOn w:val="Normal"/>
    <w:semiHidden/>
    <w:rPr>
      <w:rFonts w:ascii="Times New Roman" w:hAnsi="Times New Roman"/>
      <w:spacing w:val="-2"/>
      <w:sz w:val="24"/>
    </w:rPr>
  </w:style>
  <w:style w:type="paragraph" w:styleId="FootnoteText">
    <w:name w:val="footnote text"/>
    <w:basedOn w:val="Normal"/>
    <w:semiHidden/>
    <w:rPr>
      <w:rFonts w:ascii="Times New Roman" w:hAnsi="Times New Roman"/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qFormat/>
    <w:pPr>
      <w:numPr>
        <w:numId w:val="3"/>
      </w:numPr>
    </w:pPr>
    <w:rPr>
      <w:b/>
      <w:lang w:val="es-CO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2">
    <w:name w:val="Body Text Indent 2"/>
    <w:basedOn w:val="Normal"/>
    <w:pPr>
      <w:ind w:left="2160"/>
    </w:pPr>
    <w:rPr>
      <w:rFonts w:ascii="Times New Roman" w:hAnsi="Times New Roman"/>
      <w:b/>
      <w:sz w:val="24"/>
      <w:szCs w:val="24"/>
      <w:lang w:val="es-ES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i/>
      <w:sz w:val="18"/>
      <w:szCs w:val="24"/>
      <w:lang w:val="es-ES"/>
    </w:rPr>
  </w:style>
  <w:style w:type="paragraph" w:styleId="BodyText2">
    <w:name w:val="Body Text 2"/>
    <w:basedOn w:val="Normal"/>
    <w:rPr>
      <w:rFonts w:ascii="Times New Roman" w:hAnsi="Times New Roman"/>
      <w:b/>
      <w:lang w:val="es-ES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odyTextIndent3">
    <w:name w:val="Body Text Indent 3"/>
    <w:basedOn w:val="Normal"/>
    <w:pPr>
      <w:ind w:left="720" w:hanging="360"/>
      <w:jc w:val="both"/>
    </w:pPr>
    <w:rPr>
      <w:rFonts w:ascii="Times New Roman" w:hAnsi="Times New Roman"/>
      <w:sz w:val="24"/>
      <w:szCs w:val="24"/>
      <w:lang w:val="es-ES"/>
    </w:rPr>
  </w:style>
  <w:style w:type="paragraph" w:styleId="BodyText3">
    <w:name w:val="Body Text 3"/>
    <w:basedOn w:val="Normal"/>
    <w:pPr>
      <w:jc w:val="both"/>
    </w:pPr>
    <w:rPr>
      <w:rFonts w:ascii="Times New Roman" w:hAnsi="Times New Roman"/>
      <w:sz w:val="24"/>
      <w:szCs w:val="24"/>
      <w:lang w:val="es-ES"/>
    </w:rPr>
  </w:style>
  <w:style w:type="paragraph" w:customStyle="1" w:styleId="Default">
    <w:name w:val="Default"/>
    <w:rsid w:val="001A02A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6E2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E7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19" Type="http://schemas.openxmlformats.org/officeDocument/2006/relationships/customXml" Target="../customXml/item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CF8896E1841C842949D0F901AA0D771" ma:contentTypeVersion="6" ma:contentTypeDescription="A content type to manage public (operations) IDB documents" ma:contentTypeScope="" ma:versionID="0102ec3d50b4e7ef566a89942b7337f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a2b00a3559290db0aee23e76ac17fb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04e1e40-5c2d-4772-8def-99c6b9ea1318}" ma:internalName="TaxCatchAll" ma:showField="CatchAllData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04e1e40-5c2d-4772-8def-99c6b9ea1318}" ma:internalName="TaxCatchAllLabel" ma:readOnly="true" ma:showField="CatchAllDataLabel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TaxKeywordTaxHTField" ma:index="55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Abstract xmlns="cdc7663a-08f0-4737-9e8c-148ce897a09c" xsi:nil="true"/>
    <Record_x0020_Number xmlns="cdc7663a-08f0-4737-9e8c-148ce897a09c" xsi:nil="true"/>
    <Disclosure_x0020_Activity xmlns="cdc7663a-08f0-4737-9e8c-148ce897a09c">Approved TC document</Disclosure_x0020_Activity>
    <Region xmlns="cdc7663a-08f0-4737-9e8c-148ce897a09c" xsi:nil="true"/>
    <Division_x0020_or_x0020_Unit xmlns="cdc7663a-08f0-4737-9e8c-148ce897a09c">IFD/FMM</Division_x0020_or_x0020_Unit>
    <Other_x0020_Author xmlns="cdc7663a-08f0-4737-9e8c-148ce897a09c" xsi:nil="true"/>
    <Key_x0020_Document xmlns="cdc7663a-08f0-4737-9e8c-148ce897a09c">false</Key_x0020_Document>
    <IDBDocs_x0020_Number xmlns="cdc7663a-08f0-4737-9e8c-148ce897a09c">36996124</IDBDocs_x0020_Number>
    <Publication_x0020_Type xmlns="cdc7663a-08f0-4737-9e8c-148ce897a09c" xsi:nil="true"/>
    <Document_x0020_Author xmlns="cdc7663a-08f0-4737-9e8c-148ce897a09c">Lopez, Beatriz</Document_x0020_Author>
    <Operation_x0020_Type xmlns="cdc7663a-08f0-4737-9e8c-148ce897a09c" xsi:nil="true"/>
    <TaxCatchAll xmlns="cdc7663a-08f0-4737-9e8c-148ce897a09c">
      <Value>13</Value>
      <Value>81</Value>
    </TaxCatchAll>
    <Issue_x0020_Date xmlns="cdc7663a-08f0-4737-9e8c-148ce897a09c" xsi:nil="true"/>
    <Fiscal_x0020_Year_x0020_IDB xmlns="cdc7663a-08f0-4737-9e8c-148ce897a09c">2012</Fiscal_x0020_Year_x0020_IDB>
    <TaxKeywordTaxHTField xmlns="cdc7663a-08f0-4737-9e8c-148ce897a09c">
      <Terms xmlns="http://schemas.microsoft.com/office/infopath/2007/PartnerControls"/>
    </TaxKeywordTaxHTField>
    <Project_x0020_Number xmlns="cdc7663a-08f0-4737-9e8c-148ce897a09c">N/A</Project_x0020_Number>
    <Package_x0020_Code xmlns="cdc7663a-08f0-4737-9e8c-148ce897a09c" xsi:nil="true"/>
    <Migration_x0020_Info xmlns="cdc7663a-08f0-4737-9e8c-148ce897a09c">&lt;Data&gt;&lt;APPLICATION&gt;MS WORD&lt;/APPLICATION&gt;&lt;STAGE_CODE&gt;TC-DOCUMENT&lt;/STAGE_CODE&gt;&lt;USER_STAGE&gt;Approved TC document&lt;/USER_STAGE&gt;&lt;PD_OBJ_TYPE&gt;0&lt;/PD_OBJ_TYPE&gt;&lt;MAKERECORD&gt;N&lt;/MAKERECORD&gt;&lt;/Data&gt;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Webtopic xmlns="cdc7663a-08f0-4737-9e8c-148ce897a09c">Urban Development</Webtopic>
    <Publishing_x0020_House xmlns="cdc7663a-08f0-4737-9e8c-148ce897a09c" xsi:nil="true"/>
    <Identifier xmlns="cdc7663a-08f0-4737-9e8c-148ce897a09c"> TECFILE</Identifier>
    <Disclosed xmlns="cdc7663a-08f0-4737-9e8c-148ce897a09c">false</Disclosed>
    <KP_x0020_Topics xmlns="cdc7663a-08f0-4737-9e8c-148ce897a09c" xsi:nil="true"/>
    <Document_x0020_Language_x0020_IDB xmlns="cdc7663a-08f0-4737-9e8c-148ce897a09c">Spanish</Document_x0020_Language_x0020_IDB>
    <Phase xmlns="cdc7663a-08f0-4737-9e8c-148ce897a09c" xsi:nil="true"/>
    <Editor1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Peru</TermName>
          <TermId xmlns="http://schemas.microsoft.com/office/infopath/2007/PartnerControls">c988f60b-81f1-4c24-8da7-d5473741c5b0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9B8C9D1D-E77C-4420-928A-1E89346F33A9}"/>
</file>

<file path=customXml/itemProps2.xml><?xml version="1.0" encoding="utf-8"?>
<ds:datastoreItem xmlns:ds="http://schemas.openxmlformats.org/officeDocument/2006/customXml" ds:itemID="{17A551AF-551B-4F9D-AA75-C23A2001E742}"/>
</file>

<file path=customXml/itemProps3.xml><?xml version="1.0" encoding="utf-8"?>
<ds:datastoreItem xmlns:ds="http://schemas.openxmlformats.org/officeDocument/2006/customXml" ds:itemID="{76ECD13D-8369-4E17-994C-C09CDB64F94C}"/>
</file>

<file path=customXml/itemProps4.xml><?xml version="1.0" encoding="utf-8"?>
<ds:datastoreItem xmlns:ds="http://schemas.openxmlformats.org/officeDocument/2006/customXml" ds:itemID="{A8281026-A6B9-4F48-B737-A9A5A4219BB1}"/>
</file>

<file path=customXml/itemProps5.xml><?xml version="1.0" encoding="utf-8"?>
<ds:datastoreItem xmlns:ds="http://schemas.openxmlformats.org/officeDocument/2006/customXml" ds:itemID="{36B73241-24B4-4515-B312-4145A7AAC66B}"/>
</file>

<file path=customXml/itemProps6.xml><?xml version="1.0" encoding="utf-8"?>
<ds:datastoreItem xmlns:ds="http://schemas.openxmlformats.org/officeDocument/2006/customXml" ds:itemID="{121448D3-925A-4E4F-93F1-0248A531EC90}"/>
</file>

<file path=customXml/itemProps7.xml><?xml version="1.0" encoding="utf-8"?>
<ds:datastoreItem xmlns:ds="http://schemas.openxmlformats.org/officeDocument/2006/customXml" ds:itemID="{218BED11-BAB6-447E-A554-F82A99EC51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696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de Adquisiciones nuevas politicas</vt:lpstr>
    </vt:vector>
  </TitlesOfParts>
  <Company>Inter-American Development Bank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</dc:title>
  <dc:creator>MARIASA</dc:creator>
  <cp:keywords/>
  <dc:description>Corregido del documento incluido en el documento  Plan de Adquisiciones: Modelos (PR-103, Apendice 3)</dc:description>
  <cp:lastModifiedBy>IADB</cp:lastModifiedBy>
  <cp:revision>6</cp:revision>
  <cp:lastPrinted>2012-07-20T19:13:00Z</cp:lastPrinted>
  <dcterms:created xsi:type="dcterms:W3CDTF">2012-08-08T14:38:00Z</dcterms:created>
  <dcterms:modified xsi:type="dcterms:W3CDTF">2012-08-31T15:08:00Z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0x0101001A458A224826124E8B45B1D613300CFC00BCF8896E1841C842949D0F901AA0D771</vt:lpwstr>
  </property>
  <property fmtid="{D5CDD505-2E9C-101B-9397-08002B2CF9AE}" pid="5" name="Series Operations IDB">
    <vt:lpwstr/>
  </property>
  <property fmtid="{D5CDD505-2E9C-101B-9397-08002B2CF9AE}" pid="6" name="Sub-Sector">
    <vt:lpwstr/>
  </property>
  <property fmtid="{D5CDD505-2E9C-101B-9397-08002B2CF9AE}" pid="7" name="Country">
    <vt:lpwstr>13;#Peru|c988f60b-81f1-4c24-8da7-d5473741c5b0</vt:lpwstr>
  </property>
  <property fmtid="{D5CDD505-2E9C-101B-9397-08002B2CF9AE}" pid="8" name="Fund IDB">
    <vt:lpwstr/>
  </property>
  <property fmtid="{D5CDD505-2E9C-101B-9397-08002B2CF9AE}" pid="9" name="Series_x0020_Operations_x0020_IDB">
    <vt:lpwstr/>
  </property>
  <property fmtid="{D5CDD505-2E9C-101B-9397-08002B2CF9AE}" pid="10" name="To:">
    <vt:lpwstr/>
  </property>
  <property fmtid="{D5CDD505-2E9C-101B-9397-08002B2CF9AE}" pid="11" name="From:">
    <vt:lpwstr/>
  </property>
  <property fmtid="{D5CDD505-2E9C-101B-9397-08002B2CF9AE}" pid="12" name="Sector IDB">
    <vt:lpwstr/>
  </property>
  <property fmtid="{D5CDD505-2E9C-101B-9397-08002B2CF9AE}" pid="13" name="Function Operations IDB">
    <vt:lpwstr>81;#IDBDocs|cca77002-e150-4b2d-ab1f-1d7a7cdcae16</vt:lpwstr>
  </property>
</Properties>
</file>