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627" w:rsidRPr="00D93627" w:rsidRDefault="00D93627" w:rsidP="00D93627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rFonts w:ascii="Arial" w:hAnsi="Arial"/>
          <w:snapToGrid w:val="0"/>
          <w:szCs w:val="24"/>
          <w:lang w:val="es-ES_tradnl"/>
        </w:rPr>
      </w:pPr>
      <w:r w:rsidRPr="00D93627">
        <w:rPr>
          <w:rFonts w:ascii="Arial" w:hAnsi="Arial"/>
          <w:snapToGrid w:val="0"/>
          <w:szCs w:val="24"/>
          <w:lang w:val="es-ES_tradnl"/>
        </w:rPr>
        <w:t>Argentina</w:t>
      </w:r>
    </w:p>
    <w:p w:rsidR="00D93627" w:rsidRPr="00D93627" w:rsidRDefault="00D93627" w:rsidP="00D93627">
      <w:pPr>
        <w:tabs>
          <w:tab w:val="left" w:pos="1440"/>
          <w:tab w:val="left" w:pos="3060"/>
        </w:tabs>
        <w:jc w:val="center"/>
        <w:rPr>
          <w:rFonts w:ascii="Arial" w:hAnsi="Arial" w:cs="Arial"/>
          <w:b/>
          <w:smallCaps/>
          <w:sz w:val="24"/>
          <w:szCs w:val="24"/>
          <w:lang w:val="es-ES"/>
        </w:rPr>
      </w:pPr>
      <w:r w:rsidRPr="00D93627">
        <w:rPr>
          <w:rFonts w:ascii="Arial" w:hAnsi="Arial" w:cs="Arial"/>
          <w:b/>
          <w:smallCaps/>
          <w:sz w:val="24"/>
          <w:szCs w:val="24"/>
          <w:lang w:val="es-ES"/>
        </w:rPr>
        <w:t>Programa de Ampliación de Capacidad y Seguridad Vial en Corredores Viales para la Integración (Ruta Nacional (RN) 19)</w:t>
      </w:r>
    </w:p>
    <w:p w:rsidR="00D93627" w:rsidRPr="00D93627" w:rsidRDefault="00D93627" w:rsidP="00D93627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rFonts w:ascii="Arial" w:hAnsi="Arial"/>
          <w:snapToGrid w:val="0"/>
          <w:szCs w:val="24"/>
          <w:lang w:val="es-ES"/>
        </w:rPr>
      </w:pPr>
    </w:p>
    <w:p w:rsidR="00D93627" w:rsidRPr="00D93627" w:rsidRDefault="00D93627" w:rsidP="00D93627">
      <w:pPr>
        <w:pStyle w:val="Newpage"/>
        <w:tabs>
          <w:tab w:val="clear" w:pos="3060"/>
          <w:tab w:val="left" w:pos="2995"/>
          <w:tab w:val="left" w:pos="4680"/>
          <w:tab w:val="left" w:pos="5155"/>
          <w:tab w:val="left" w:pos="9000"/>
          <w:tab w:val="left" w:pos="9599"/>
        </w:tabs>
        <w:ind w:right="-180"/>
        <w:rPr>
          <w:rFonts w:ascii="Arial" w:hAnsi="Arial"/>
          <w:snapToGrid w:val="0"/>
          <w:szCs w:val="24"/>
          <w:lang w:val="pt-BR"/>
        </w:rPr>
      </w:pPr>
      <w:r w:rsidRPr="00D93627">
        <w:rPr>
          <w:rFonts w:ascii="Arial" w:hAnsi="Arial"/>
          <w:snapToGrid w:val="0"/>
          <w:szCs w:val="24"/>
          <w:lang w:val="pt-BR"/>
        </w:rPr>
        <w:t>(AR-L1199)</w:t>
      </w:r>
    </w:p>
    <w:p w:rsidR="0002525D" w:rsidRPr="00D93627" w:rsidRDefault="0002525D">
      <w:pPr>
        <w:jc w:val="center"/>
        <w:rPr>
          <w:rFonts w:ascii="Arial" w:hAnsi="Arial" w:cs="Arial"/>
          <w:b/>
          <w:smallCaps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tbl>
      <w:tblPr>
        <w:tblStyle w:val="LightGrid-Accent5"/>
        <w:tblW w:w="9105" w:type="dxa"/>
        <w:tblLayout w:type="fixed"/>
        <w:tblLook w:val="04A0" w:firstRow="1" w:lastRow="0" w:firstColumn="1" w:lastColumn="0" w:noHBand="0" w:noVBand="1"/>
      </w:tblPr>
      <w:tblGrid>
        <w:gridCol w:w="5324"/>
        <w:gridCol w:w="1260"/>
        <w:gridCol w:w="1260"/>
        <w:gridCol w:w="1261"/>
      </w:tblGrid>
      <w:tr w:rsidR="00D93627" w:rsidRPr="00D93627" w:rsidTr="00D93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5" w:type="dxa"/>
            <w:gridSpan w:val="4"/>
            <w:noWrap/>
            <w:vAlign w:val="center"/>
            <w:hideMark/>
          </w:tcPr>
          <w:p w:rsidR="00D93627" w:rsidRPr="00D93627" w:rsidRDefault="00D93627" w:rsidP="00D93627">
            <w:pPr>
              <w:jc w:val="center"/>
              <w:rPr>
                <w:rFonts w:ascii="Arial" w:hAnsi="Arial" w:cs="Arial"/>
                <w:bCs w:val="0"/>
                <w:sz w:val="22"/>
                <w:lang w:val="es-ES_tradnl"/>
              </w:rPr>
            </w:pPr>
            <w:r w:rsidRPr="00D93627">
              <w:rPr>
                <w:rFonts w:ascii="Arial" w:hAnsi="Arial" w:cs="Arial"/>
                <w:sz w:val="22"/>
              </w:rPr>
              <w:t xml:space="preserve">Programa Operativo Anual (POA) </w:t>
            </w:r>
            <w:r w:rsidRPr="00D93627">
              <w:rPr>
                <w:rFonts w:ascii="Arial" w:hAnsi="Arial" w:cs="Arial"/>
                <w:sz w:val="22"/>
                <w:lang w:val="es-ES_tradnl"/>
              </w:rPr>
              <w:t>(cantidades en millones de US$)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</w:p>
        </w:tc>
        <w:tc>
          <w:tcPr>
            <w:tcW w:w="1260" w:type="dxa"/>
            <w:vAlign w:val="center"/>
          </w:tcPr>
          <w:p w:rsidR="00D93627" w:rsidRPr="00D93627" w:rsidRDefault="00D93627" w:rsidP="00D936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Monto Total (US$)</w:t>
            </w:r>
          </w:p>
        </w:tc>
        <w:tc>
          <w:tcPr>
            <w:tcW w:w="1260" w:type="dxa"/>
            <w:vAlign w:val="center"/>
          </w:tcPr>
          <w:p w:rsidR="00D93627" w:rsidRPr="00D93627" w:rsidRDefault="00D93627" w:rsidP="00D936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Fuente BID</w:t>
            </w:r>
          </w:p>
        </w:tc>
        <w:tc>
          <w:tcPr>
            <w:tcW w:w="1261" w:type="dxa"/>
            <w:vAlign w:val="center"/>
          </w:tcPr>
          <w:p w:rsidR="00D93627" w:rsidRPr="00D93627" w:rsidRDefault="00D93627" w:rsidP="00D936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Fuente Local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  Obra Civil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494.1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294.1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200.0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1.1. Obra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473.4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293.4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180.0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1.2. Expropiaciones</w:t>
            </w:r>
          </w:p>
        </w:tc>
        <w:tc>
          <w:tcPr>
            <w:tcW w:w="1260" w:type="dxa"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20.0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20.0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1.3. Auditoría Técnica Independiente de Calidad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0.6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0.6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1.4. Auditoría de Seguridad Vial de Operación de  sobre la ruta existente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0.1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0.1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2.  Seguridad Vial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3.5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3.5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2.1. Consultoría para el Diseño del Programa de Rutas Seguras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2.5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2.5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2.2. Guía de Ejecución de Diseños Viales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 xml:space="preserve">3. </w:t>
            </w:r>
            <w:r w:rsidRPr="00D93627">
              <w:rPr>
                <w:rFonts w:ascii="Arial" w:hAnsi="Arial" w:cs="Arial"/>
                <w:b w:val="0"/>
                <w:bCs w:val="0"/>
                <w:snapToGrid/>
                <w:color w:val="000000"/>
                <w:lang w:val="es-ES"/>
              </w:rPr>
              <w:t>Logística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1.4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1.4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3.1 Estudio de Logística del corredor de la R19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0.4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0.4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hideMark/>
          </w:tcPr>
          <w:p w:rsidR="00D93627" w:rsidRPr="00D93627" w:rsidRDefault="00D93627" w:rsidP="00D93627">
            <w:pPr>
              <w:widowControl/>
              <w:ind w:firstLineChars="200" w:firstLine="402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3.2 Otros Estudios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 xml:space="preserve"> Auditoría y </w:t>
            </w:r>
            <w:r w:rsidRPr="00D93627">
              <w:rPr>
                <w:rFonts w:ascii="Arial" w:hAnsi="Arial" w:cs="Arial"/>
                <w:b w:val="0"/>
                <w:bCs w:val="0"/>
                <w:snapToGrid/>
                <w:color w:val="000000"/>
                <w:lang w:val="es-ES_tradnl"/>
              </w:rPr>
              <w:t>Evaluación</w:t>
            </w: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 xml:space="preserve"> del Programa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1.0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1.0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Total del Programa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500.0</w:t>
            </w:r>
          </w:p>
        </w:tc>
        <w:tc>
          <w:tcPr>
            <w:tcW w:w="1260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300.0</w:t>
            </w:r>
          </w:p>
        </w:tc>
        <w:tc>
          <w:tcPr>
            <w:tcW w:w="1261" w:type="dxa"/>
            <w:noWrap/>
            <w:hideMark/>
          </w:tcPr>
          <w:p w:rsidR="00D93627" w:rsidRPr="00D93627" w:rsidRDefault="00D93627" w:rsidP="008768F6">
            <w:pPr>
              <w:widowControl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200.0</w:t>
            </w:r>
          </w:p>
        </w:tc>
      </w:tr>
    </w:tbl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F5A1E" w:rsidRPr="00D93627" w:rsidRDefault="000F5A1E" w:rsidP="007D63C4">
      <w:pPr>
        <w:jc w:val="center"/>
        <w:rPr>
          <w:rFonts w:ascii="Arial" w:hAnsi="Arial" w:cs="Arial"/>
          <w:b/>
          <w:smallCaps/>
          <w:lang w:val="es-ES_tradnl"/>
        </w:rPr>
      </w:pPr>
    </w:p>
    <w:p w:rsidR="00077BFB" w:rsidRPr="00D93627" w:rsidRDefault="00077BFB" w:rsidP="007D63C4">
      <w:pPr>
        <w:jc w:val="center"/>
        <w:rPr>
          <w:rFonts w:ascii="Arial" w:hAnsi="Arial" w:cs="Arial"/>
          <w:b/>
          <w:lang w:val="es-ES_tradnl"/>
        </w:rPr>
      </w:pPr>
    </w:p>
    <w:p w:rsidR="008768F6" w:rsidRPr="00D93627" w:rsidRDefault="008768F6" w:rsidP="007D63C4">
      <w:pPr>
        <w:jc w:val="center"/>
        <w:rPr>
          <w:rFonts w:ascii="Arial" w:hAnsi="Arial" w:cs="Arial"/>
          <w:b/>
          <w:lang w:val="es-ES_tradnl"/>
        </w:rPr>
      </w:pPr>
    </w:p>
    <w:tbl>
      <w:tblPr>
        <w:tblStyle w:val="LightGrid-Accent1"/>
        <w:tblW w:w="9105" w:type="dxa"/>
        <w:tblLayout w:type="fixed"/>
        <w:tblLook w:val="04A0" w:firstRow="1" w:lastRow="0" w:firstColumn="1" w:lastColumn="0" w:noHBand="0" w:noVBand="1"/>
      </w:tblPr>
      <w:tblGrid>
        <w:gridCol w:w="3824"/>
        <w:gridCol w:w="1056"/>
        <w:gridCol w:w="1056"/>
        <w:gridCol w:w="1056"/>
        <w:gridCol w:w="1056"/>
        <w:gridCol w:w="1057"/>
      </w:tblGrid>
      <w:tr w:rsidR="00D93627" w:rsidRPr="00A567A3" w:rsidTr="00D9362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0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D93627" w:rsidRDefault="00D93627" w:rsidP="00D93627">
            <w:pPr>
              <w:jc w:val="center"/>
              <w:rPr>
                <w:rFonts w:ascii="Arial" w:hAnsi="Arial" w:cs="Arial"/>
                <w:smallCaps/>
                <w:sz w:val="22"/>
                <w:lang w:val="es-ES_tradnl"/>
              </w:rPr>
            </w:pPr>
            <w:r w:rsidRPr="00D93627">
              <w:rPr>
                <w:rFonts w:ascii="Arial" w:hAnsi="Arial" w:cs="Arial"/>
                <w:smallCaps/>
                <w:sz w:val="22"/>
                <w:lang w:val="es-ES_tradnl"/>
              </w:rPr>
              <w:t>Costos del Programa por año y Categoría de Inversión</w:t>
            </w:r>
          </w:p>
          <w:p w:rsidR="00A567A3" w:rsidRPr="00D93627" w:rsidRDefault="00A567A3" w:rsidP="00D93627">
            <w:pPr>
              <w:jc w:val="center"/>
              <w:rPr>
                <w:rFonts w:ascii="Arial" w:hAnsi="Arial" w:cs="Arial"/>
                <w:b w:val="0"/>
                <w:bCs w:val="0"/>
                <w:smallCaps/>
                <w:lang w:val="es-ES_tradnl"/>
              </w:rPr>
            </w:pPr>
            <w:r>
              <w:rPr>
                <w:rFonts w:ascii="Arial" w:hAnsi="Arial" w:cs="Arial"/>
                <w:smallCaps/>
                <w:sz w:val="22"/>
                <w:lang w:val="es-ES_tradnl"/>
              </w:rPr>
              <w:t>(en millones de dolares)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tcBorders>
              <w:top w:val="single" w:sz="4" w:space="0" w:color="auto"/>
            </w:tcBorders>
            <w:noWrap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s-ES_tradnl"/>
              </w:rPr>
            </w:pPr>
          </w:p>
        </w:tc>
        <w:tc>
          <w:tcPr>
            <w:tcW w:w="1056" w:type="dxa"/>
            <w:tcBorders>
              <w:top w:val="single" w:sz="4" w:space="0" w:color="auto"/>
            </w:tcBorders>
            <w:noWrap/>
          </w:tcPr>
          <w:p w:rsidR="00D93627" w:rsidRPr="00D93627" w:rsidRDefault="00D93627" w:rsidP="00EA22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2017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noWrap/>
          </w:tcPr>
          <w:p w:rsidR="00D93627" w:rsidRPr="00D93627" w:rsidRDefault="00D93627" w:rsidP="00EA22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2018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noWrap/>
          </w:tcPr>
          <w:p w:rsidR="00D93627" w:rsidRPr="00D93627" w:rsidRDefault="00D93627" w:rsidP="00EA22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2019</w:t>
            </w:r>
          </w:p>
        </w:tc>
        <w:tc>
          <w:tcPr>
            <w:tcW w:w="1056" w:type="dxa"/>
            <w:tcBorders>
              <w:top w:val="single" w:sz="4" w:space="0" w:color="auto"/>
            </w:tcBorders>
            <w:noWrap/>
          </w:tcPr>
          <w:p w:rsidR="00D93627" w:rsidRPr="00D93627" w:rsidRDefault="00D93627" w:rsidP="00EA22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20120</w:t>
            </w:r>
          </w:p>
        </w:tc>
        <w:tc>
          <w:tcPr>
            <w:tcW w:w="1057" w:type="dxa"/>
            <w:tcBorders>
              <w:top w:val="single" w:sz="4" w:space="0" w:color="auto"/>
            </w:tcBorders>
            <w:noWrap/>
          </w:tcPr>
          <w:p w:rsidR="00D93627" w:rsidRPr="00D93627" w:rsidRDefault="00D93627" w:rsidP="00EA2227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Total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  Obra Civil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162.26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166.03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165.81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494.10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1.1. Obra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142.02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165.69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165.69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473.40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1.2. Expropiaciones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20.00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1.3. Auditoría Técnica Independiente de Calidad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0.24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0.24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0.12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0.60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1.4. Auditoría de Seguridad Vial de Operación de  sobre la ruta existente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0.10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0.10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2.  Seguridad Vial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3.50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3.50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2.1. Consultoría para el Diseño del Programa de Rutas Seguras (2)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2.50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2.50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2.2. Guía de Ejecución de Diseños Viales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3. Logística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0.32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0.08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0.50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0.50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1.40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>3.1 Estudio de Logística del corredor de la R19 (3)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0.32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0.08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0.40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3.2Otros Estudios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0.50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0.50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1.00</w:t>
            </w:r>
          </w:p>
        </w:tc>
      </w:tr>
      <w:tr w:rsidR="00D93627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s-ES_tradnl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s-ES_tradnl"/>
              </w:rPr>
              <w:t xml:space="preserve"> Auditoría y evaluación del Programa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0.25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0.25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0.25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0.25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1.00</w:t>
            </w:r>
          </w:p>
        </w:tc>
      </w:tr>
      <w:tr w:rsidR="00D93627" w:rsidRPr="00D93627" w:rsidTr="00D9362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  <w:hideMark/>
          </w:tcPr>
          <w:p w:rsidR="00D93627" w:rsidRPr="00D93627" w:rsidRDefault="00D93627" w:rsidP="008768F6">
            <w:pPr>
              <w:widowControl/>
              <w:rPr>
                <w:rFonts w:ascii="Arial" w:hAnsi="Arial" w:cs="Arial"/>
                <w:b w:val="0"/>
                <w:bCs w:val="0"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snapToGrid/>
                <w:color w:val="000000"/>
                <w:lang w:val="en-US"/>
              </w:rPr>
              <w:t>Total del Programa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166.3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166.4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166.6</w:t>
            </w:r>
          </w:p>
        </w:tc>
        <w:tc>
          <w:tcPr>
            <w:tcW w:w="1056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0.8</w:t>
            </w:r>
          </w:p>
        </w:tc>
        <w:tc>
          <w:tcPr>
            <w:tcW w:w="1057" w:type="dxa"/>
            <w:noWrap/>
            <w:hideMark/>
          </w:tcPr>
          <w:p w:rsidR="00D93627" w:rsidRPr="00D93627" w:rsidRDefault="00D93627" w:rsidP="008768F6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  <w:r w:rsidRPr="00D93627"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  <w:t>500.0</w:t>
            </w:r>
          </w:p>
        </w:tc>
      </w:tr>
      <w:tr w:rsidR="00964BE3" w:rsidRPr="00D93627" w:rsidTr="00D9362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</w:tcPr>
          <w:p w:rsidR="00964BE3" w:rsidRPr="00D93627" w:rsidRDefault="00964BE3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</w:p>
        </w:tc>
        <w:tc>
          <w:tcPr>
            <w:tcW w:w="1056" w:type="dxa"/>
            <w:noWrap/>
          </w:tcPr>
          <w:p w:rsidR="00964BE3" w:rsidRPr="00D93627" w:rsidRDefault="00964BE3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1056" w:type="dxa"/>
            <w:noWrap/>
          </w:tcPr>
          <w:p w:rsidR="00964BE3" w:rsidRPr="00D93627" w:rsidRDefault="00964BE3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1056" w:type="dxa"/>
            <w:noWrap/>
          </w:tcPr>
          <w:p w:rsidR="00964BE3" w:rsidRPr="00D93627" w:rsidRDefault="00964BE3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1056" w:type="dxa"/>
            <w:noWrap/>
          </w:tcPr>
          <w:p w:rsidR="00964BE3" w:rsidRPr="00D93627" w:rsidRDefault="00964BE3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  <w:tc>
          <w:tcPr>
            <w:tcW w:w="1057" w:type="dxa"/>
            <w:noWrap/>
          </w:tcPr>
          <w:p w:rsidR="00964BE3" w:rsidRPr="00D93627" w:rsidRDefault="00964BE3" w:rsidP="008768F6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napToGrid/>
                <w:color w:val="000000"/>
                <w:lang w:val="en-US"/>
              </w:rPr>
            </w:pPr>
          </w:p>
        </w:tc>
      </w:tr>
      <w:tr w:rsidR="00CE300C" w:rsidRPr="00D93627" w:rsidTr="00EE2A9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</w:tcPr>
          <w:p w:rsidR="00CE300C" w:rsidRPr="00D93627" w:rsidRDefault="00CE300C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>
              <w:rPr>
                <w:rFonts w:ascii="Arial" w:hAnsi="Arial" w:cs="Arial"/>
                <w:snapToGrid/>
                <w:color w:val="000000"/>
                <w:lang w:val="en-US"/>
              </w:rPr>
              <w:t>BID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90.0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60.0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149.3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0.8</w:t>
            </w:r>
          </w:p>
        </w:tc>
        <w:tc>
          <w:tcPr>
            <w:tcW w:w="1057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300.0</w:t>
            </w:r>
          </w:p>
        </w:tc>
      </w:tr>
      <w:tr w:rsidR="00CE300C" w:rsidRPr="00D93627" w:rsidTr="004647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</w:tcPr>
          <w:p w:rsidR="00CE300C" w:rsidRDefault="00CE300C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>
              <w:rPr>
                <w:rFonts w:ascii="Arial" w:hAnsi="Arial" w:cs="Arial"/>
                <w:snapToGrid/>
                <w:color w:val="000000"/>
                <w:lang w:val="en-US"/>
              </w:rPr>
              <w:t>Contrapartida Local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76.33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106.36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17.31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0.00</w:t>
            </w:r>
          </w:p>
        </w:tc>
        <w:tc>
          <w:tcPr>
            <w:tcW w:w="1057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snapToGrid/>
                <w:color w:val="000000"/>
                <w:lang w:val="en-US"/>
              </w:rPr>
              <w:t>200.0</w:t>
            </w:r>
          </w:p>
        </w:tc>
      </w:tr>
      <w:tr w:rsidR="00CE300C" w:rsidRPr="00D93627" w:rsidTr="004647B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4" w:type="dxa"/>
            <w:noWrap/>
          </w:tcPr>
          <w:p w:rsidR="00CE300C" w:rsidRDefault="00CE300C" w:rsidP="008768F6">
            <w:pPr>
              <w:widowControl/>
              <w:rPr>
                <w:rFonts w:ascii="Arial" w:hAnsi="Arial" w:cs="Arial"/>
                <w:snapToGrid/>
                <w:color w:val="000000"/>
                <w:lang w:val="en-US"/>
              </w:rPr>
            </w:pPr>
            <w:r>
              <w:rPr>
                <w:rFonts w:ascii="Arial" w:hAnsi="Arial" w:cs="Arial"/>
                <w:snapToGrid/>
                <w:color w:val="000000"/>
                <w:lang w:val="en-US"/>
              </w:rPr>
              <w:t>Total del Programa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b/>
                <w:snapToGrid/>
                <w:color w:val="000000"/>
                <w:lang w:val="en-US"/>
              </w:rPr>
              <w:t>166.3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b/>
                <w:snapToGrid/>
                <w:color w:val="000000"/>
                <w:lang w:val="en-US"/>
              </w:rPr>
              <w:t>166.4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b/>
                <w:snapToGrid/>
                <w:color w:val="000000"/>
                <w:lang w:val="en-US"/>
              </w:rPr>
              <w:t>166.6</w:t>
            </w:r>
          </w:p>
        </w:tc>
        <w:tc>
          <w:tcPr>
            <w:tcW w:w="1056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b/>
                <w:snapToGrid/>
                <w:color w:val="000000"/>
                <w:lang w:val="en-US"/>
              </w:rPr>
              <w:t>0.8</w:t>
            </w:r>
          </w:p>
        </w:tc>
        <w:tc>
          <w:tcPr>
            <w:tcW w:w="1057" w:type="dxa"/>
            <w:noWrap/>
            <w:vAlign w:val="bottom"/>
          </w:tcPr>
          <w:p w:rsidR="00CE300C" w:rsidRPr="00CE300C" w:rsidRDefault="00CE300C" w:rsidP="00CE300C">
            <w:pPr>
              <w:widowControl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b/>
                <w:snapToGrid/>
                <w:color w:val="000000"/>
                <w:lang w:val="en-US"/>
              </w:rPr>
            </w:pPr>
            <w:r w:rsidRPr="00CE300C">
              <w:rPr>
                <w:rFonts w:ascii="Arial" w:hAnsi="Arial" w:cs="Arial"/>
                <w:b/>
                <w:snapToGrid/>
                <w:color w:val="000000"/>
                <w:lang w:val="en-US"/>
              </w:rPr>
              <w:t>500.0</w:t>
            </w:r>
          </w:p>
        </w:tc>
      </w:tr>
    </w:tbl>
    <w:p w:rsidR="008768F6" w:rsidRDefault="008768F6" w:rsidP="007D63C4">
      <w:pPr>
        <w:jc w:val="center"/>
        <w:rPr>
          <w:rFonts w:ascii="Arial" w:hAnsi="Arial" w:cs="Arial"/>
          <w:b/>
          <w:lang w:val="es-ES_tradnl"/>
        </w:rPr>
      </w:pPr>
    </w:p>
    <w:p w:rsidR="00CE300C" w:rsidRPr="00CE300C" w:rsidRDefault="00CE300C" w:rsidP="00CE300C">
      <w:pPr>
        <w:jc w:val="both"/>
        <w:rPr>
          <w:rFonts w:ascii="Arial" w:hAnsi="Arial" w:cs="Arial"/>
          <w:lang w:val="es-ES_tradnl"/>
        </w:rPr>
      </w:pPr>
      <w:r w:rsidRPr="00CE300C">
        <w:rPr>
          <w:rFonts w:ascii="Arial" w:hAnsi="Arial" w:cs="Arial"/>
          <w:lang w:val="es-ES_tradnl"/>
        </w:rPr>
        <w:t>Nota</w:t>
      </w:r>
      <w:r>
        <w:rPr>
          <w:rFonts w:ascii="Arial" w:hAnsi="Arial" w:cs="Arial"/>
          <w:lang w:val="es-ES_tradnl"/>
        </w:rPr>
        <w:t xml:space="preserve"> 1</w:t>
      </w:r>
      <w:r w:rsidRPr="00CE300C">
        <w:rPr>
          <w:rFonts w:ascii="Arial" w:hAnsi="Arial" w:cs="Arial"/>
          <w:lang w:val="es-ES_tradnl"/>
        </w:rPr>
        <w:t xml:space="preserve">: El programa está propuesto para ser aprobado en noviembre de 2016. El primer desembolso se estima se realizará en 2016. </w:t>
      </w:r>
    </w:p>
    <w:p w:rsidR="00CE300C" w:rsidRPr="00CE300C" w:rsidRDefault="00CE300C" w:rsidP="00CE300C">
      <w:pPr>
        <w:jc w:val="both"/>
        <w:rPr>
          <w:rFonts w:ascii="Arial" w:hAnsi="Arial" w:cs="Arial"/>
          <w:lang w:val="es-ES_tradnl"/>
        </w:rPr>
      </w:pPr>
      <w:r w:rsidRPr="00CE300C">
        <w:rPr>
          <w:rFonts w:ascii="Arial" w:hAnsi="Arial" w:cs="Arial"/>
          <w:lang w:val="es-ES_tradnl"/>
        </w:rPr>
        <w:t xml:space="preserve">Nota 2: Se supone que aplica la restricción de desembolsos de 15% en el primer año, 15% el segundo año, 20% el tercer año. Por tanto, al 31 de diciembre de 2017 se estima se podrán desembolsar el 30% de los 300 millones de aporte del BID, y a igual fecha de 2018 otro </w:t>
      </w:r>
      <w:r>
        <w:rPr>
          <w:rFonts w:ascii="Arial" w:hAnsi="Arial" w:cs="Arial"/>
          <w:lang w:val="es-ES_tradnl"/>
        </w:rPr>
        <w:t>2</w:t>
      </w:r>
      <w:r w:rsidRPr="00CE300C">
        <w:rPr>
          <w:rFonts w:ascii="Arial" w:hAnsi="Arial" w:cs="Arial"/>
          <w:lang w:val="es-ES_tradnl"/>
        </w:rPr>
        <w:t>0%.</w:t>
      </w:r>
      <w:r>
        <w:rPr>
          <w:rFonts w:ascii="Arial" w:hAnsi="Arial" w:cs="Arial"/>
          <w:lang w:val="es-ES_tradnl"/>
        </w:rPr>
        <w:t xml:space="preserve"> De levantarse la restricción a los desembolsos se elaborará un nuevo PEP.</w:t>
      </w:r>
    </w:p>
    <w:sectPr w:rsidR="00CE300C" w:rsidRPr="00CE300C" w:rsidSect="00D93627">
      <w:headerReference w:type="default" r:id="rId9"/>
      <w:pgSz w:w="12240" w:h="15840"/>
      <w:pgMar w:top="1440" w:right="1800" w:bottom="1440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779" w:rsidRDefault="00900779" w:rsidP="000E0D71">
      <w:r>
        <w:separator/>
      </w:r>
    </w:p>
  </w:endnote>
  <w:endnote w:type="continuationSeparator" w:id="0">
    <w:p w:rsidR="00900779" w:rsidRDefault="00900779" w:rsidP="000E0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779" w:rsidRDefault="00900779" w:rsidP="000E0D71">
      <w:r>
        <w:separator/>
      </w:r>
    </w:p>
  </w:footnote>
  <w:footnote w:type="continuationSeparator" w:id="0">
    <w:p w:rsidR="00900779" w:rsidRDefault="00900779" w:rsidP="000E0D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E3E" w:rsidRPr="00D93627" w:rsidRDefault="00D93627" w:rsidP="006F20A1">
    <w:pPr>
      <w:pStyle w:val="Header"/>
      <w:jc w:val="right"/>
      <w:rPr>
        <w:rFonts w:ascii="Arial" w:hAnsi="Arial" w:cs="Arial"/>
        <w:sz w:val="22"/>
        <w:szCs w:val="22"/>
      </w:rPr>
    </w:pPr>
    <w:r w:rsidRPr="00D93627">
      <w:rPr>
        <w:rFonts w:ascii="Arial" w:hAnsi="Arial" w:cs="Arial"/>
        <w:sz w:val="22"/>
        <w:szCs w:val="22"/>
      </w:rPr>
      <w:t>AR-L1199</w:t>
    </w:r>
  </w:p>
  <w:p w:rsidR="000B1E3E" w:rsidRPr="00D93627" w:rsidRDefault="00900779" w:rsidP="006F20A1">
    <w:pPr>
      <w:pStyle w:val="Header"/>
      <w:jc w:val="right"/>
      <w:rPr>
        <w:rFonts w:ascii="Arial" w:hAnsi="Arial" w:cs="Arial"/>
        <w:sz w:val="22"/>
        <w:szCs w:val="22"/>
      </w:rPr>
    </w:pPr>
    <w:sdt>
      <w:sdtPr>
        <w:rPr>
          <w:rFonts w:ascii="Arial" w:hAnsi="Arial" w:cs="Arial"/>
          <w:sz w:val="22"/>
          <w:szCs w:val="22"/>
        </w:rPr>
        <w:id w:val="565053097"/>
        <w:docPartObj>
          <w:docPartGallery w:val="Page Numbers (Top of Page)"/>
          <w:docPartUnique/>
        </w:docPartObj>
      </w:sdtPr>
      <w:sdtEndPr/>
      <w:sdtContent>
        <w:r w:rsidR="000B1E3E" w:rsidRPr="00D93627">
          <w:rPr>
            <w:rFonts w:ascii="Arial" w:hAnsi="Arial" w:cs="Arial"/>
            <w:sz w:val="22"/>
            <w:szCs w:val="22"/>
          </w:rPr>
          <w:t xml:space="preserve">Página </w:t>
        </w:r>
        <w:r w:rsidR="000B1E3E" w:rsidRPr="00D93627">
          <w:rPr>
            <w:rFonts w:ascii="Arial" w:hAnsi="Arial" w:cs="Arial"/>
            <w:sz w:val="22"/>
            <w:szCs w:val="22"/>
          </w:rPr>
          <w:fldChar w:fldCharType="begin"/>
        </w:r>
        <w:r w:rsidR="000B1E3E" w:rsidRPr="00D93627">
          <w:rPr>
            <w:rFonts w:ascii="Arial" w:hAnsi="Arial" w:cs="Arial"/>
            <w:sz w:val="22"/>
            <w:szCs w:val="22"/>
          </w:rPr>
          <w:instrText xml:space="preserve"> PAGE </w:instrText>
        </w:r>
        <w:r w:rsidR="000B1E3E" w:rsidRPr="00D93627">
          <w:rPr>
            <w:rFonts w:ascii="Arial" w:hAnsi="Arial" w:cs="Arial"/>
            <w:sz w:val="22"/>
            <w:szCs w:val="22"/>
          </w:rPr>
          <w:fldChar w:fldCharType="separate"/>
        </w:r>
        <w:r w:rsidR="00CE300C">
          <w:rPr>
            <w:rFonts w:ascii="Arial" w:hAnsi="Arial" w:cs="Arial"/>
            <w:noProof/>
            <w:sz w:val="22"/>
            <w:szCs w:val="22"/>
          </w:rPr>
          <w:t>2</w:t>
        </w:r>
        <w:r w:rsidR="000B1E3E" w:rsidRPr="00D93627">
          <w:rPr>
            <w:rFonts w:ascii="Arial" w:hAnsi="Arial" w:cs="Arial"/>
            <w:sz w:val="22"/>
            <w:szCs w:val="22"/>
          </w:rPr>
          <w:fldChar w:fldCharType="end"/>
        </w:r>
        <w:r w:rsidR="000B1E3E" w:rsidRPr="00D93627">
          <w:rPr>
            <w:rFonts w:ascii="Arial" w:hAnsi="Arial" w:cs="Arial"/>
            <w:sz w:val="22"/>
            <w:szCs w:val="22"/>
          </w:rPr>
          <w:t xml:space="preserve"> de </w:t>
        </w:r>
        <w:r w:rsidR="000B1E3E" w:rsidRPr="00D93627">
          <w:rPr>
            <w:rFonts w:ascii="Arial" w:hAnsi="Arial" w:cs="Arial"/>
            <w:sz w:val="22"/>
            <w:szCs w:val="22"/>
          </w:rPr>
          <w:fldChar w:fldCharType="begin"/>
        </w:r>
        <w:r w:rsidR="000B1E3E" w:rsidRPr="00D93627">
          <w:rPr>
            <w:rFonts w:ascii="Arial" w:hAnsi="Arial" w:cs="Arial"/>
            <w:sz w:val="22"/>
            <w:szCs w:val="22"/>
          </w:rPr>
          <w:instrText xml:space="preserve"> NUMPAGES  </w:instrText>
        </w:r>
        <w:r w:rsidR="000B1E3E" w:rsidRPr="00D93627">
          <w:rPr>
            <w:rFonts w:ascii="Arial" w:hAnsi="Arial" w:cs="Arial"/>
            <w:sz w:val="22"/>
            <w:szCs w:val="22"/>
          </w:rPr>
          <w:fldChar w:fldCharType="separate"/>
        </w:r>
        <w:r w:rsidR="00CE300C">
          <w:rPr>
            <w:rFonts w:ascii="Arial" w:hAnsi="Arial" w:cs="Arial"/>
            <w:noProof/>
            <w:sz w:val="22"/>
            <w:szCs w:val="22"/>
          </w:rPr>
          <w:t>2</w:t>
        </w:r>
        <w:r w:rsidR="000B1E3E" w:rsidRPr="00D93627">
          <w:rPr>
            <w:rFonts w:ascii="Arial" w:hAnsi="Arial" w:cs="Arial"/>
            <w:sz w:val="22"/>
            <w:szCs w:val="22"/>
          </w:rPr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62741"/>
    <w:multiLevelType w:val="multilevel"/>
    <w:tmpl w:val="2B6C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359B4991"/>
    <w:multiLevelType w:val="multilevel"/>
    <w:tmpl w:val="269A40BC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  <w:rPr>
        <w:rFonts w:ascii="Arial" w:hAnsi="Arial" w:cs="Arial" w:hint="default"/>
        <w:b w:val="0"/>
        <w:sz w:val="22"/>
      </w:r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">
    <w:nsid w:val="74C74592"/>
    <w:multiLevelType w:val="multilevel"/>
    <w:tmpl w:val="151E851A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1"/>
    <w:rsid w:val="0002525D"/>
    <w:rsid w:val="00034D78"/>
    <w:rsid w:val="00077BFB"/>
    <w:rsid w:val="000B1E3E"/>
    <w:rsid w:val="000E0D71"/>
    <w:rsid w:val="000F5A1E"/>
    <w:rsid w:val="00117B33"/>
    <w:rsid w:val="0016650E"/>
    <w:rsid w:val="00176DF0"/>
    <w:rsid w:val="001A5B9A"/>
    <w:rsid w:val="00200813"/>
    <w:rsid w:val="002009DB"/>
    <w:rsid w:val="002644B9"/>
    <w:rsid w:val="00287E1F"/>
    <w:rsid w:val="002969CC"/>
    <w:rsid w:val="002A38E2"/>
    <w:rsid w:val="002E2411"/>
    <w:rsid w:val="00301753"/>
    <w:rsid w:val="00372530"/>
    <w:rsid w:val="0039625A"/>
    <w:rsid w:val="003B4639"/>
    <w:rsid w:val="003E7B38"/>
    <w:rsid w:val="00402832"/>
    <w:rsid w:val="0040790B"/>
    <w:rsid w:val="004526FA"/>
    <w:rsid w:val="004660A7"/>
    <w:rsid w:val="00532952"/>
    <w:rsid w:val="005439B2"/>
    <w:rsid w:val="00564A68"/>
    <w:rsid w:val="005675EF"/>
    <w:rsid w:val="00576BEC"/>
    <w:rsid w:val="00582584"/>
    <w:rsid w:val="005926E1"/>
    <w:rsid w:val="005A1751"/>
    <w:rsid w:val="0063132F"/>
    <w:rsid w:val="0064519B"/>
    <w:rsid w:val="006A7A67"/>
    <w:rsid w:val="006F20A1"/>
    <w:rsid w:val="007249A3"/>
    <w:rsid w:val="00733470"/>
    <w:rsid w:val="00771278"/>
    <w:rsid w:val="00791DEF"/>
    <w:rsid w:val="00797E12"/>
    <w:rsid w:val="007D63C4"/>
    <w:rsid w:val="007E2442"/>
    <w:rsid w:val="007E74B8"/>
    <w:rsid w:val="007F322B"/>
    <w:rsid w:val="00837E3D"/>
    <w:rsid w:val="00842127"/>
    <w:rsid w:val="008558EA"/>
    <w:rsid w:val="008768F6"/>
    <w:rsid w:val="008A277D"/>
    <w:rsid w:val="008B0FD8"/>
    <w:rsid w:val="008C3E16"/>
    <w:rsid w:val="008F166A"/>
    <w:rsid w:val="00900779"/>
    <w:rsid w:val="00924373"/>
    <w:rsid w:val="00956736"/>
    <w:rsid w:val="00960D7D"/>
    <w:rsid w:val="00964BE3"/>
    <w:rsid w:val="009A132B"/>
    <w:rsid w:val="009D47B6"/>
    <w:rsid w:val="00A039C3"/>
    <w:rsid w:val="00A36868"/>
    <w:rsid w:val="00A567A3"/>
    <w:rsid w:val="00A84B1E"/>
    <w:rsid w:val="00A870A2"/>
    <w:rsid w:val="00AD3638"/>
    <w:rsid w:val="00AF70EF"/>
    <w:rsid w:val="00B3518D"/>
    <w:rsid w:val="00B61BB6"/>
    <w:rsid w:val="00B63567"/>
    <w:rsid w:val="00BA0E53"/>
    <w:rsid w:val="00CA37EC"/>
    <w:rsid w:val="00CA68FA"/>
    <w:rsid w:val="00CB7BA0"/>
    <w:rsid w:val="00CC68B0"/>
    <w:rsid w:val="00CE300C"/>
    <w:rsid w:val="00D04A29"/>
    <w:rsid w:val="00D0530C"/>
    <w:rsid w:val="00D44C96"/>
    <w:rsid w:val="00D5205B"/>
    <w:rsid w:val="00D56B76"/>
    <w:rsid w:val="00D85930"/>
    <w:rsid w:val="00D93627"/>
    <w:rsid w:val="00D97C84"/>
    <w:rsid w:val="00DC60E1"/>
    <w:rsid w:val="00DD7540"/>
    <w:rsid w:val="00E204C0"/>
    <w:rsid w:val="00E235A4"/>
    <w:rsid w:val="00E36DDF"/>
    <w:rsid w:val="00E4336B"/>
    <w:rsid w:val="00E467CB"/>
    <w:rsid w:val="00E52A1E"/>
    <w:rsid w:val="00E60CF6"/>
    <w:rsid w:val="00E8108A"/>
    <w:rsid w:val="00E84520"/>
    <w:rsid w:val="00ED024B"/>
    <w:rsid w:val="00F10C34"/>
    <w:rsid w:val="00F47445"/>
    <w:rsid w:val="00F9542C"/>
    <w:rsid w:val="00FA2354"/>
    <w:rsid w:val="00FE7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  <w:style w:type="paragraph" w:customStyle="1" w:styleId="Chapter">
    <w:name w:val="Chapter"/>
    <w:basedOn w:val="Normal"/>
    <w:next w:val="Normal"/>
    <w:rsid w:val="001A5B9A"/>
    <w:pPr>
      <w:keepNext/>
      <w:widowControl/>
      <w:numPr>
        <w:numId w:val="9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napToGrid/>
      <w:sz w:val="24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1A5B9A"/>
    <w:pPr>
      <w:widowControl/>
      <w:numPr>
        <w:ilvl w:val="1"/>
        <w:numId w:val="9"/>
      </w:numPr>
      <w:spacing w:before="120"/>
      <w:jc w:val="both"/>
      <w:outlineLvl w:val="1"/>
    </w:pPr>
    <w:rPr>
      <w:rFonts w:ascii="Times New Roman" w:hAnsi="Times New Roman"/>
      <w:snapToGrid/>
      <w:sz w:val="24"/>
      <w:lang w:val="es-ES"/>
    </w:rPr>
  </w:style>
  <w:style w:type="paragraph" w:customStyle="1" w:styleId="subpar">
    <w:name w:val="subpar"/>
    <w:basedOn w:val="BodyTextIndent3"/>
    <w:rsid w:val="001A5B9A"/>
    <w:pPr>
      <w:widowControl/>
      <w:numPr>
        <w:ilvl w:val="2"/>
        <w:numId w:val="9"/>
      </w:numPr>
      <w:tabs>
        <w:tab w:val="clear" w:pos="2304"/>
        <w:tab w:val="num" w:pos="360"/>
      </w:tabs>
      <w:spacing w:before="120"/>
      <w:ind w:left="360" w:firstLine="0"/>
      <w:jc w:val="both"/>
      <w:outlineLvl w:val="2"/>
    </w:pPr>
    <w:rPr>
      <w:rFonts w:ascii="Times New Roman" w:hAnsi="Times New Roman"/>
      <w:snapToGrid/>
      <w:sz w:val="24"/>
      <w:szCs w:val="20"/>
      <w:lang w:val="es-ES_tradnl"/>
    </w:rPr>
  </w:style>
  <w:style w:type="paragraph" w:customStyle="1" w:styleId="SubSubPar">
    <w:name w:val="SubSubPar"/>
    <w:basedOn w:val="subpar"/>
    <w:rsid w:val="001A5B9A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1A5B9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basedOn w:val="DefaultParagraphFont"/>
    <w:link w:val="Paragraph"/>
    <w:rsid w:val="001A5B9A"/>
    <w:rPr>
      <w:sz w:val="24"/>
      <w:lang w:val="es-ES"/>
    </w:rPr>
  </w:style>
  <w:style w:type="paragraph" w:styleId="BodyTextIndent">
    <w:name w:val="Body Text Indent"/>
    <w:basedOn w:val="Normal"/>
    <w:link w:val="BodyTextIndentChar"/>
    <w:rsid w:val="001A5B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A5B9A"/>
    <w:rPr>
      <w:rFonts w:ascii="Courier New" w:hAnsi="Courier New"/>
      <w:snapToGrid w:val="0"/>
      <w:lang w:val="pt-BR"/>
    </w:rPr>
  </w:style>
  <w:style w:type="paragraph" w:styleId="BodyTextIndent3">
    <w:name w:val="Body Text Indent 3"/>
    <w:basedOn w:val="Normal"/>
    <w:link w:val="BodyTextIndent3Char"/>
    <w:rsid w:val="001A5B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A5B9A"/>
    <w:rPr>
      <w:rFonts w:ascii="Courier New" w:hAnsi="Courier New"/>
      <w:snapToGrid w:val="0"/>
      <w:sz w:val="16"/>
      <w:szCs w:val="16"/>
      <w:lang w:val="pt-BR"/>
    </w:rPr>
  </w:style>
  <w:style w:type="paragraph" w:styleId="FootnoteText">
    <w:name w:val="footnote text"/>
    <w:basedOn w:val="Normal"/>
    <w:link w:val="FootnoteTextChar"/>
    <w:rsid w:val="00E36DDF"/>
    <w:pPr>
      <w:widowControl/>
    </w:pPr>
    <w:rPr>
      <w:rFonts w:ascii="Times New Roman" w:hAnsi="Times New Roman"/>
      <w:snapToGrid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36DDF"/>
  </w:style>
  <w:style w:type="character" w:styleId="FootnoteReference">
    <w:name w:val="footnote reference"/>
    <w:basedOn w:val="DefaultParagraphFont"/>
    <w:rsid w:val="00E36DDF"/>
    <w:rPr>
      <w:vertAlign w:val="superscript"/>
    </w:rPr>
  </w:style>
  <w:style w:type="table" w:styleId="LightGrid-Accent5">
    <w:name w:val="Light Grid Accent 5"/>
    <w:basedOn w:val="TableNormal"/>
    <w:uiPriority w:val="62"/>
    <w:rsid w:val="00D9362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D9362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7A67"/>
    <w:pPr>
      <w:widowControl w:val="0"/>
    </w:pPr>
    <w:rPr>
      <w:rFonts w:ascii="Courier New" w:hAnsi="Courier New"/>
      <w:snapToGrid w:val="0"/>
      <w:lang w:val="pt-BR"/>
    </w:rPr>
  </w:style>
  <w:style w:type="paragraph" w:styleId="Heading1">
    <w:name w:val="heading 1"/>
    <w:basedOn w:val="Normal"/>
    <w:next w:val="Normal"/>
    <w:qFormat/>
    <w:rsid w:val="006A7A67"/>
    <w:pPr>
      <w:keepNext/>
      <w:framePr w:hSpace="141" w:wrap="around" w:vAnchor="text" w:hAnchor="text" w:x="15" w:y="8"/>
      <w:outlineLvl w:val="0"/>
    </w:pPr>
    <w:rPr>
      <w:rFonts w:ascii="Times New Roman" w:hAnsi="Times New Roman"/>
      <w:sz w:val="24"/>
      <w:lang w:val="es-ES"/>
    </w:rPr>
  </w:style>
  <w:style w:type="paragraph" w:styleId="Heading2">
    <w:name w:val="heading 2"/>
    <w:basedOn w:val="Normal"/>
    <w:next w:val="Normal"/>
    <w:qFormat/>
    <w:rsid w:val="006A7A67"/>
    <w:pPr>
      <w:keepNext/>
      <w:framePr w:hSpace="141" w:wrap="around" w:vAnchor="text" w:hAnchor="text" w:x="15" w:y="8"/>
      <w:outlineLvl w:val="1"/>
    </w:pPr>
    <w:rPr>
      <w:rFonts w:ascii="Times New Roman" w:eastAsia="Arial Unicode MS" w:hAnsi="Times New Roman"/>
      <w:b/>
      <w:sz w:val="24"/>
    </w:rPr>
  </w:style>
  <w:style w:type="paragraph" w:styleId="Heading3">
    <w:name w:val="heading 3"/>
    <w:basedOn w:val="Normal"/>
    <w:next w:val="Normal"/>
    <w:qFormat/>
    <w:rsid w:val="006A7A67"/>
    <w:pPr>
      <w:keepNext/>
      <w:widowControl/>
      <w:numPr>
        <w:ilvl w:val="2"/>
        <w:numId w:val="2"/>
      </w:numPr>
      <w:spacing w:before="240" w:after="60"/>
      <w:outlineLvl w:val="2"/>
    </w:pPr>
    <w:rPr>
      <w:rFonts w:ascii="Arial" w:hAnsi="Arial"/>
      <w:snapToGrid/>
      <w:sz w:val="24"/>
      <w:lang w:val="en-US"/>
    </w:rPr>
  </w:style>
  <w:style w:type="paragraph" w:styleId="Heading4">
    <w:name w:val="heading 4"/>
    <w:basedOn w:val="Normal"/>
    <w:next w:val="Normal"/>
    <w:qFormat/>
    <w:rsid w:val="006A7A67"/>
    <w:pPr>
      <w:keepNext/>
      <w:widowControl/>
      <w:numPr>
        <w:ilvl w:val="3"/>
        <w:numId w:val="3"/>
      </w:numPr>
      <w:spacing w:before="240" w:after="60"/>
      <w:outlineLvl w:val="3"/>
    </w:pPr>
    <w:rPr>
      <w:rFonts w:ascii="Arial" w:hAnsi="Arial"/>
      <w:b/>
      <w:snapToGrid/>
      <w:sz w:val="24"/>
      <w:lang w:val="en-US"/>
    </w:rPr>
  </w:style>
  <w:style w:type="paragraph" w:styleId="Heading5">
    <w:name w:val="heading 5"/>
    <w:basedOn w:val="Normal"/>
    <w:next w:val="Normal"/>
    <w:qFormat/>
    <w:rsid w:val="006A7A67"/>
    <w:pPr>
      <w:widowControl/>
      <w:numPr>
        <w:ilvl w:val="4"/>
        <w:numId w:val="4"/>
      </w:numPr>
      <w:spacing w:before="240" w:after="60"/>
      <w:outlineLvl w:val="4"/>
    </w:pPr>
    <w:rPr>
      <w:rFonts w:ascii="Times New Roman" w:hAnsi="Times New Roman"/>
      <w:snapToGrid/>
      <w:sz w:val="22"/>
      <w:lang w:val="en-US"/>
    </w:rPr>
  </w:style>
  <w:style w:type="paragraph" w:styleId="Heading6">
    <w:name w:val="heading 6"/>
    <w:basedOn w:val="Normal"/>
    <w:next w:val="Normal"/>
    <w:qFormat/>
    <w:rsid w:val="006A7A67"/>
    <w:pPr>
      <w:widowControl/>
      <w:numPr>
        <w:ilvl w:val="5"/>
        <w:numId w:val="5"/>
      </w:numPr>
      <w:spacing w:before="240" w:after="60"/>
      <w:outlineLvl w:val="5"/>
    </w:pPr>
    <w:rPr>
      <w:rFonts w:ascii="Times New Roman" w:hAnsi="Times New Roman"/>
      <w:i/>
      <w:snapToGrid/>
      <w:sz w:val="22"/>
      <w:lang w:val="en-US"/>
    </w:rPr>
  </w:style>
  <w:style w:type="paragraph" w:styleId="Heading7">
    <w:name w:val="heading 7"/>
    <w:basedOn w:val="Normal"/>
    <w:next w:val="Normal"/>
    <w:qFormat/>
    <w:rsid w:val="006A7A67"/>
    <w:pPr>
      <w:widowControl/>
      <w:numPr>
        <w:ilvl w:val="6"/>
        <w:numId w:val="6"/>
      </w:numPr>
      <w:spacing w:before="240" w:after="60"/>
      <w:outlineLvl w:val="6"/>
    </w:pPr>
    <w:rPr>
      <w:rFonts w:ascii="Arial" w:hAnsi="Arial"/>
      <w:snapToGrid/>
      <w:sz w:val="24"/>
      <w:lang w:val="en-US"/>
    </w:rPr>
  </w:style>
  <w:style w:type="paragraph" w:styleId="Heading8">
    <w:name w:val="heading 8"/>
    <w:basedOn w:val="Normal"/>
    <w:next w:val="Normal"/>
    <w:qFormat/>
    <w:rsid w:val="006A7A67"/>
    <w:pPr>
      <w:widowControl/>
      <w:numPr>
        <w:ilvl w:val="7"/>
        <w:numId w:val="7"/>
      </w:numPr>
      <w:spacing w:before="240" w:after="60"/>
      <w:outlineLvl w:val="7"/>
    </w:pPr>
    <w:rPr>
      <w:rFonts w:ascii="Arial" w:hAnsi="Arial"/>
      <w:i/>
      <w:snapToGrid/>
      <w:sz w:val="24"/>
      <w:lang w:val="en-US"/>
    </w:rPr>
  </w:style>
  <w:style w:type="paragraph" w:styleId="Heading9">
    <w:name w:val="heading 9"/>
    <w:basedOn w:val="Normal"/>
    <w:next w:val="Normal"/>
    <w:qFormat/>
    <w:rsid w:val="006A7A67"/>
    <w:pPr>
      <w:widowControl/>
      <w:numPr>
        <w:ilvl w:val="8"/>
        <w:numId w:val="8"/>
      </w:numPr>
      <w:spacing w:before="240" w:after="60"/>
      <w:outlineLvl w:val="8"/>
    </w:pPr>
    <w:rPr>
      <w:rFonts w:ascii="Arial" w:hAnsi="Arial"/>
      <w:b/>
      <w:i/>
      <w:snapToGrid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A7A67"/>
    <w:pPr>
      <w:jc w:val="center"/>
    </w:pPr>
    <w:rPr>
      <w:rFonts w:ascii="Times New Roman" w:hAnsi="Times New Roman"/>
      <w:b/>
    </w:rPr>
  </w:style>
  <w:style w:type="paragraph" w:customStyle="1" w:styleId="Newpage">
    <w:name w:val="Newpage"/>
    <w:basedOn w:val="Normal"/>
    <w:rsid w:val="000E0D71"/>
    <w:pPr>
      <w:widowControl/>
      <w:tabs>
        <w:tab w:val="left" w:pos="1440"/>
        <w:tab w:val="left" w:pos="3060"/>
      </w:tabs>
      <w:jc w:val="center"/>
    </w:pPr>
    <w:rPr>
      <w:rFonts w:ascii="Times New Roman" w:hAnsi="Times New Roman" w:cs="Arial"/>
      <w:b/>
      <w:smallCaps/>
      <w:snapToGrid/>
      <w:sz w:val="24"/>
      <w:lang w:val="en-US"/>
    </w:rPr>
  </w:style>
  <w:style w:type="paragraph" w:styleId="Header">
    <w:name w:val="header"/>
    <w:basedOn w:val="Normal"/>
    <w:link w:val="HeaderChar"/>
    <w:uiPriority w:val="99"/>
    <w:rsid w:val="000E0D7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E0D71"/>
    <w:pPr>
      <w:tabs>
        <w:tab w:val="center" w:pos="4320"/>
        <w:tab w:val="right" w:pos="8640"/>
      </w:tabs>
    </w:pPr>
  </w:style>
  <w:style w:type="paragraph" w:customStyle="1" w:styleId="Annex">
    <w:name w:val="Annex"/>
    <w:basedOn w:val="Normal"/>
    <w:rsid w:val="00582584"/>
    <w:pPr>
      <w:widowControl/>
    </w:pPr>
    <w:rPr>
      <w:rFonts w:ascii="Times New Roman" w:hAnsi="Times New Roman"/>
      <w:caps/>
      <w:snapToGrid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6F20A1"/>
    <w:rPr>
      <w:rFonts w:ascii="Courier New" w:hAnsi="Courier New"/>
      <w:snapToGrid w:val="0"/>
      <w:lang w:val="pt-BR"/>
    </w:rPr>
  </w:style>
  <w:style w:type="paragraph" w:customStyle="1" w:styleId="Chapter">
    <w:name w:val="Chapter"/>
    <w:basedOn w:val="Normal"/>
    <w:next w:val="Normal"/>
    <w:rsid w:val="001A5B9A"/>
    <w:pPr>
      <w:keepNext/>
      <w:widowControl/>
      <w:numPr>
        <w:numId w:val="9"/>
      </w:numPr>
      <w:tabs>
        <w:tab w:val="left" w:pos="1440"/>
      </w:tabs>
      <w:spacing w:before="240" w:after="240"/>
      <w:jc w:val="center"/>
    </w:pPr>
    <w:rPr>
      <w:rFonts w:ascii="Times New Roman" w:hAnsi="Times New Roman"/>
      <w:b/>
      <w:smallCaps/>
      <w:snapToGrid/>
      <w:sz w:val="24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ar"/>
    <w:qFormat/>
    <w:rsid w:val="001A5B9A"/>
    <w:pPr>
      <w:widowControl/>
      <w:numPr>
        <w:ilvl w:val="1"/>
        <w:numId w:val="9"/>
      </w:numPr>
      <w:spacing w:before="120"/>
      <w:jc w:val="both"/>
      <w:outlineLvl w:val="1"/>
    </w:pPr>
    <w:rPr>
      <w:rFonts w:ascii="Times New Roman" w:hAnsi="Times New Roman"/>
      <w:snapToGrid/>
      <w:sz w:val="24"/>
      <w:lang w:val="es-ES"/>
    </w:rPr>
  </w:style>
  <w:style w:type="paragraph" w:customStyle="1" w:styleId="subpar">
    <w:name w:val="subpar"/>
    <w:basedOn w:val="BodyTextIndent3"/>
    <w:rsid w:val="001A5B9A"/>
    <w:pPr>
      <w:widowControl/>
      <w:numPr>
        <w:ilvl w:val="2"/>
        <w:numId w:val="9"/>
      </w:numPr>
      <w:tabs>
        <w:tab w:val="clear" w:pos="2304"/>
        <w:tab w:val="num" w:pos="360"/>
      </w:tabs>
      <w:spacing w:before="120"/>
      <w:ind w:left="360" w:firstLine="0"/>
      <w:jc w:val="both"/>
      <w:outlineLvl w:val="2"/>
    </w:pPr>
    <w:rPr>
      <w:rFonts w:ascii="Times New Roman" w:hAnsi="Times New Roman"/>
      <w:snapToGrid/>
      <w:sz w:val="24"/>
      <w:szCs w:val="20"/>
      <w:lang w:val="es-ES_tradnl"/>
    </w:rPr>
  </w:style>
  <w:style w:type="paragraph" w:customStyle="1" w:styleId="SubSubPar">
    <w:name w:val="SubSubPar"/>
    <w:basedOn w:val="subpar"/>
    <w:rsid w:val="001A5B9A"/>
    <w:pPr>
      <w:numPr>
        <w:ilvl w:val="3"/>
      </w:numPr>
      <w:tabs>
        <w:tab w:val="clear" w:pos="2736"/>
        <w:tab w:val="left" w:pos="0"/>
        <w:tab w:val="num" w:pos="360"/>
        <w:tab w:val="num" w:pos="1296"/>
      </w:tabs>
      <w:ind w:left="1296"/>
    </w:pPr>
  </w:style>
  <w:style w:type="table" w:styleId="TableGrid">
    <w:name w:val="Table Grid"/>
    <w:basedOn w:val="TableNormal"/>
    <w:uiPriority w:val="59"/>
    <w:rsid w:val="001A5B9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ar">
    <w:name w:val="Paragraph Car"/>
    <w:basedOn w:val="DefaultParagraphFont"/>
    <w:link w:val="Paragraph"/>
    <w:rsid w:val="001A5B9A"/>
    <w:rPr>
      <w:sz w:val="24"/>
      <w:lang w:val="es-ES"/>
    </w:rPr>
  </w:style>
  <w:style w:type="paragraph" w:styleId="BodyTextIndent">
    <w:name w:val="Body Text Indent"/>
    <w:basedOn w:val="Normal"/>
    <w:link w:val="BodyTextIndentChar"/>
    <w:rsid w:val="001A5B9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1A5B9A"/>
    <w:rPr>
      <w:rFonts w:ascii="Courier New" w:hAnsi="Courier New"/>
      <w:snapToGrid w:val="0"/>
      <w:lang w:val="pt-BR"/>
    </w:rPr>
  </w:style>
  <w:style w:type="paragraph" w:styleId="BodyTextIndent3">
    <w:name w:val="Body Text Indent 3"/>
    <w:basedOn w:val="Normal"/>
    <w:link w:val="BodyTextIndent3Char"/>
    <w:rsid w:val="001A5B9A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1A5B9A"/>
    <w:rPr>
      <w:rFonts w:ascii="Courier New" w:hAnsi="Courier New"/>
      <w:snapToGrid w:val="0"/>
      <w:sz w:val="16"/>
      <w:szCs w:val="16"/>
      <w:lang w:val="pt-BR"/>
    </w:rPr>
  </w:style>
  <w:style w:type="paragraph" w:styleId="FootnoteText">
    <w:name w:val="footnote text"/>
    <w:basedOn w:val="Normal"/>
    <w:link w:val="FootnoteTextChar"/>
    <w:rsid w:val="00E36DDF"/>
    <w:pPr>
      <w:widowControl/>
    </w:pPr>
    <w:rPr>
      <w:rFonts w:ascii="Times New Roman" w:hAnsi="Times New Roman"/>
      <w:snapToGrid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E36DDF"/>
  </w:style>
  <w:style w:type="character" w:styleId="FootnoteReference">
    <w:name w:val="footnote reference"/>
    <w:basedOn w:val="DefaultParagraphFont"/>
    <w:rsid w:val="00E36DDF"/>
    <w:rPr>
      <w:vertAlign w:val="superscript"/>
    </w:rPr>
  </w:style>
  <w:style w:type="table" w:styleId="LightGrid-Accent5">
    <w:name w:val="Light Grid Accent 5"/>
    <w:basedOn w:val="TableNormal"/>
    <w:uiPriority w:val="62"/>
    <w:rsid w:val="00D93627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1">
    <w:name w:val="Light Grid Accent 1"/>
    <w:basedOn w:val="TableNormal"/>
    <w:uiPriority w:val="62"/>
    <w:rsid w:val="00D93627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29D29E854EEBFC4B8E9941859393A418" ma:contentTypeVersion="0" ma:contentTypeDescription="A content type to manage public (operations) IDB documents" ma:contentTypeScope="" ma:versionID="de219a18b74def002c31201b8457d618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INE/TSP</Division_x0020_or_x0020_Unit>
    <Other_x0020_Author xmlns="9c571b2f-e523-4ab2-ba2e-09e151a03ef4" xsi:nil="true"/>
    <Region xmlns="9c571b2f-e523-4ab2-ba2e-09e151a03ef4" xsi:nil="true"/>
    <IDBDocs_x0020_Number xmlns="9c571b2f-e523-4ab2-ba2e-09e151a03ef4">40456385</IDBDocs_x0020_Number>
    <Document_x0020_Author xmlns="9c571b2f-e523-4ab2-ba2e-09e151a03ef4">Pereyra Da Luz, Andres</Document_x0020_Author>
    <Publication_x0020_Type xmlns="9c571b2f-e523-4ab2-ba2e-09e151a03ef4" xsi:nil="true"/>
    <Operation_x0020_Type xmlns="9c571b2f-e523-4ab2-ba2e-09e151a03ef4" xsi:nil="true"/>
    <TaxCatchAll xmlns="9c571b2f-e523-4ab2-ba2e-09e151a03ef4">
      <Value>2</Value>
      <Value>4</Value>
    </TaxCatchAll>
    <Fiscal_x0020_Year_x0020_IDB xmlns="9c571b2f-e523-4ab2-ba2e-09e151a03ef4">2016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AR-L1199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TR-TRP</Webtopic>
    <Identifier xmlns="9c571b2f-e523-4ab2-ba2e-09e151a03ef4">Virginia Navas #2457 TECFILE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  <j8b96605ee2f4c4e988849e658583fee xmlns="9c571b2f-e523-4ab2-ba2e-09e151a03ef4">
      <Terms xmlns="http://schemas.microsoft.com/office/infopath/2007/PartnerControls"/>
    </j8b96605ee2f4c4e988849e658583fee>
  </documentManagement>
</p:properties>
</file>

<file path=customXml/itemProps1.xml><?xml version="1.0" encoding="utf-8"?>
<ds:datastoreItem xmlns:ds="http://schemas.openxmlformats.org/officeDocument/2006/customXml" ds:itemID="{6D7B5114-AE9C-4163-AF23-D8120AD5DAE2}"/>
</file>

<file path=customXml/itemProps2.xml><?xml version="1.0" encoding="utf-8"?>
<ds:datastoreItem xmlns:ds="http://schemas.openxmlformats.org/officeDocument/2006/customXml" ds:itemID="{2FCE54FD-8209-4ED1-ABCF-E91E5BC39964}"/>
</file>

<file path=customXml/itemProps3.xml><?xml version="1.0" encoding="utf-8"?>
<ds:datastoreItem xmlns:ds="http://schemas.openxmlformats.org/officeDocument/2006/customXml" ds:itemID="{158D7B7E-AD18-429B-9334-58BA73910B3D}"/>
</file>

<file path=customXml/itemProps4.xml><?xml version="1.0" encoding="utf-8"?>
<ds:datastoreItem xmlns:ds="http://schemas.openxmlformats.org/officeDocument/2006/customXml" ds:itemID="{FD602F42-4936-4D71-B649-45CBBA6058AB}"/>
</file>

<file path=customXml/itemProps5.xml><?xml version="1.0" encoding="utf-8"?>
<ds:datastoreItem xmlns:ds="http://schemas.openxmlformats.org/officeDocument/2006/customXml" ds:itemID="{FA888A13-E977-48CB-96AA-63A526AA2459}"/>
</file>

<file path=customXml/itemProps6.xml><?xml version="1.0" encoding="utf-8"?>
<ds:datastoreItem xmlns:ds="http://schemas.openxmlformats.org/officeDocument/2006/customXml" ds:itemID="{2EDA6E3E-8ABB-4419-85D9-DC742A2DA2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QUADRO DE INVESTIMENTOS POR CATEGORIA DE INVERSÃO</vt:lpstr>
    </vt:vector>
  </TitlesOfParts>
  <Company>Inter-American Development Bank</Company>
  <LinksUpToDate>false</LinksUpToDate>
  <CharactersWithSpaces>2395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EER2_ PEP y POA</dc:title>
  <dc:creator>MIROSLAVAE</dc:creator>
  <cp:lastModifiedBy>Inter-American Development Bank</cp:lastModifiedBy>
  <cp:revision>2</cp:revision>
  <cp:lastPrinted>2016-08-18T13:06:00Z</cp:lastPrinted>
  <dcterms:created xsi:type="dcterms:W3CDTF">2016-08-18T15:07:00Z</dcterms:created>
  <dcterms:modified xsi:type="dcterms:W3CDTF">2016-08-18T15:07:00Z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0x01010046CF21643EE8D14686A648AA6DAD08920029D29E854EEBFC4B8E9941859393A418</vt:lpwstr>
  </property>
  <property fmtid="{D5CDD505-2E9C-101B-9397-08002B2CF9AE}" pid="5" name="TaxKeywordTaxHTField">
    <vt:lpwstr/>
  </property>
  <property fmtid="{D5CDD505-2E9C-101B-9397-08002B2CF9AE}" pid="6" name="Series Operations IDB">
    <vt:lpwstr>2;#Unclassified|a6dff32e-d477-44cd-a56b-85efe9e0a56c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2;#Unclassified|a6dff32e-d477-44cd-a56b-85efe9e0a56c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