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1A8A0" w14:textId="77777777" w:rsidR="00AF34EF" w:rsidRPr="00300C0F" w:rsidRDefault="00AF34EF" w:rsidP="00ED245C">
      <w:pPr>
        <w:ind w:left="-1800"/>
        <w:jc w:val="right"/>
        <w:rPr>
          <w:rFonts w:ascii="Arial" w:eastAsia="Arial Unicode MS" w:hAnsi="Arial" w:cs="Arial"/>
          <w:b/>
          <w:sz w:val="28"/>
          <w:szCs w:val="28"/>
        </w:rPr>
      </w:pPr>
      <w:r w:rsidRPr="00300C0F">
        <w:rPr>
          <w:rFonts w:ascii="Arial" w:eastAsia="Arial Unicode MS" w:hAnsi="Arial" w:cs="Arial"/>
          <w:b/>
          <w:sz w:val="28"/>
          <w:szCs w:val="28"/>
        </w:rPr>
        <w:t>MEMORAND</w:t>
      </w:r>
      <w:r w:rsidR="006E6D7B" w:rsidRPr="00300C0F">
        <w:rPr>
          <w:rFonts w:ascii="Arial" w:eastAsia="Arial Unicode MS" w:hAnsi="Arial" w:cs="Arial"/>
          <w:b/>
          <w:sz w:val="28"/>
          <w:szCs w:val="28"/>
        </w:rPr>
        <w:t>O</w:t>
      </w:r>
    </w:p>
    <w:p w14:paraId="5DFED4B2" w14:textId="77777777" w:rsidR="00ED245C" w:rsidRPr="00300C0F" w:rsidRDefault="00ED245C" w:rsidP="00ED245C">
      <w:pPr>
        <w:ind w:left="-1800"/>
        <w:jc w:val="right"/>
        <w:rPr>
          <w:rFonts w:ascii="Arial" w:eastAsia="Arial Unicode MS" w:hAnsi="Arial" w:cs="Arial"/>
          <w:b/>
          <w:sz w:val="22"/>
          <w:szCs w:val="22"/>
        </w:rPr>
      </w:pPr>
    </w:p>
    <w:p w14:paraId="143290F3" w14:textId="77777777" w:rsidR="00E32393" w:rsidRPr="00300C0F" w:rsidRDefault="00E32393" w:rsidP="00ED245C">
      <w:pPr>
        <w:ind w:left="-1800"/>
        <w:jc w:val="right"/>
        <w:rPr>
          <w:rFonts w:ascii="Arial" w:eastAsia="Arial Unicode MS" w:hAnsi="Arial" w:cs="Arial"/>
          <w:b/>
          <w:sz w:val="22"/>
          <w:szCs w:val="22"/>
        </w:rPr>
      </w:pPr>
    </w:p>
    <w:tbl>
      <w:tblPr>
        <w:tblW w:w="9455" w:type="dxa"/>
        <w:jc w:val="center"/>
        <w:tblLook w:val="01E0" w:firstRow="1" w:lastRow="1" w:firstColumn="1" w:lastColumn="1" w:noHBand="0" w:noVBand="0"/>
      </w:tblPr>
      <w:tblGrid>
        <w:gridCol w:w="1128"/>
        <w:gridCol w:w="8327"/>
      </w:tblGrid>
      <w:tr w:rsidR="00CD58F3" w:rsidRPr="00300C0F" w14:paraId="55FC829E" w14:textId="77777777" w:rsidTr="00B63B5C">
        <w:trPr>
          <w:trHeight w:hRule="exact" w:val="864"/>
          <w:jc w:val="center"/>
        </w:trPr>
        <w:tc>
          <w:tcPr>
            <w:tcW w:w="1128" w:type="dxa"/>
            <w:shd w:val="clear" w:color="auto" w:fill="auto"/>
          </w:tcPr>
          <w:p w14:paraId="72EF7D69" w14:textId="77777777" w:rsidR="00CD58F3" w:rsidRPr="00300C0F" w:rsidRDefault="00CD58F3" w:rsidP="00CD5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0C0F">
              <w:rPr>
                <w:rFonts w:ascii="Arial" w:hAnsi="Arial" w:cs="Arial"/>
                <w:b/>
                <w:sz w:val="22"/>
                <w:szCs w:val="22"/>
              </w:rPr>
              <w:t>Para:</w:t>
            </w:r>
          </w:p>
        </w:tc>
        <w:tc>
          <w:tcPr>
            <w:tcW w:w="8327" w:type="dxa"/>
            <w:shd w:val="clear" w:color="auto" w:fill="auto"/>
          </w:tcPr>
          <w:p w14:paraId="68AB1BC1" w14:textId="77777777" w:rsidR="00646B64" w:rsidRPr="00AD45D4" w:rsidRDefault="003034B9" w:rsidP="00646B64">
            <w:pPr>
              <w:ind w:left="1440" w:hanging="14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Verónica Zavala Lombardi</w:t>
            </w:r>
          </w:p>
          <w:p w14:paraId="0754A9A3" w14:textId="77777777" w:rsidR="00B63B5C" w:rsidRPr="00300C0F" w:rsidRDefault="00646B64" w:rsidP="003034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45D4">
              <w:rPr>
                <w:rFonts w:ascii="Arial" w:hAnsi="Arial" w:cs="Arial"/>
                <w:sz w:val="22"/>
                <w:szCs w:val="22"/>
              </w:rPr>
              <w:t xml:space="preserve">Representante del BID en </w:t>
            </w:r>
            <w:r w:rsidR="003034B9">
              <w:rPr>
                <w:rFonts w:ascii="Arial" w:hAnsi="Arial" w:cs="Arial"/>
                <w:sz w:val="22"/>
                <w:szCs w:val="22"/>
              </w:rPr>
              <w:t>Panamá</w:t>
            </w:r>
            <w:r w:rsidR="003034B9">
              <w:rPr>
                <w:rFonts w:ascii="Arial" w:hAnsi="Arial" w:cs="Arial"/>
                <w:bCs/>
                <w:sz w:val="22"/>
                <w:szCs w:val="22"/>
              </w:rPr>
              <w:t>, CID</w:t>
            </w:r>
            <w:r>
              <w:rPr>
                <w:rFonts w:ascii="Arial" w:hAnsi="Arial" w:cs="Arial"/>
                <w:bCs/>
                <w:sz w:val="22"/>
                <w:szCs w:val="22"/>
              </w:rPr>
              <w:t>/C</w:t>
            </w:r>
            <w:r w:rsidR="003034B9">
              <w:rPr>
                <w:rFonts w:ascii="Arial" w:hAnsi="Arial" w:cs="Arial"/>
                <w:bCs/>
                <w:sz w:val="22"/>
                <w:szCs w:val="22"/>
              </w:rPr>
              <w:t>PN</w:t>
            </w:r>
          </w:p>
        </w:tc>
      </w:tr>
      <w:tr w:rsidR="00CD58F3" w:rsidRPr="00300C0F" w14:paraId="04252D14" w14:textId="77777777" w:rsidTr="00B63B5C">
        <w:trPr>
          <w:trHeight w:hRule="exact" w:val="864"/>
          <w:jc w:val="center"/>
        </w:trPr>
        <w:tc>
          <w:tcPr>
            <w:tcW w:w="1128" w:type="dxa"/>
            <w:shd w:val="clear" w:color="auto" w:fill="auto"/>
          </w:tcPr>
          <w:p w14:paraId="532BCE46" w14:textId="77777777" w:rsidR="00CD58F3" w:rsidRPr="00300C0F" w:rsidRDefault="00CD58F3" w:rsidP="00CD5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0C0F">
              <w:rPr>
                <w:rFonts w:ascii="Arial" w:hAnsi="Arial" w:cs="Arial"/>
                <w:b/>
                <w:sz w:val="22"/>
                <w:szCs w:val="22"/>
              </w:rPr>
              <w:t>De:</w:t>
            </w:r>
          </w:p>
        </w:tc>
        <w:tc>
          <w:tcPr>
            <w:tcW w:w="8327" w:type="dxa"/>
            <w:shd w:val="clear" w:color="auto" w:fill="auto"/>
          </w:tcPr>
          <w:p w14:paraId="52953C54" w14:textId="77777777" w:rsidR="007C6CB0" w:rsidRPr="00AD45D4" w:rsidRDefault="007C6CB0" w:rsidP="007C6CB0">
            <w:pPr>
              <w:ind w:left="1440" w:hanging="14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Carmen Albertos</w:t>
            </w:r>
          </w:p>
          <w:p w14:paraId="423847BE" w14:textId="77777777" w:rsidR="00B63B5C" w:rsidRPr="00300C0F" w:rsidRDefault="007C6CB0" w:rsidP="007C6CB0">
            <w:pPr>
              <w:ind w:left="1440" w:hanging="14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Especialista Principal de Operaciones</w:t>
            </w:r>
            <w:r w:rsidRPr="00AD45D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SCL/GDI</w:t>
            </w:r>
          </w:p>
        </w:tc>
      </w:tr>
      <w:tr w:rsidR="00CD58F3" w:rsidRPr="00F47AB6" w14:paraId="00E61215" w14:textId="77777777" w:rsidTr="00B63B5C">
        <w:trPr>
          <w:trHeight w:hRule="exact" w:val="864"/>
          <w:jc w:val="center"/>
        </w:trPr>
        <w:tc>
          <w:tcPr>
            <w:tcW w:w="1128" w:type="dxa"/>
            <w:shd w:val="clear" w:color="auto" w:fill="auto"/>
          </w:tcPr>
          <w:p w14:paraId="213EFEB5" w14:textId="77777777" w:rsidR="00CD58F3" w:rsidRPr="00300C0F" w:rsidRDefault="00CD58F3" w:rsidP="00DF578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0C0F">
              <w:rPr>
                <w:rFonts w:ascii="Arial" w:hAnsi="Arial" w:cs="Arial"/>
                <w:b/>
                <w:sz w:val="22"/>
                <w:szCs w:val="22"/>
              </w:rPr>
              <w:t>Asunto:</w:t>
            </w:r>
          </w:p>
        </w:tc>
        <w:tc>
          <w:tcPr>
            <w:tcW w:w="8327" w:type="dxa"/>
            <w:shd w:val="clear" w:color="auto" w:fill="auto"/>
          </w:tcPr>
          <w:p w14:paraId="08BE2034" w14:textId="47C41BF8" w:rsidR="00CD58F3" w:rsidRPr="00F47AB6" w:rsidRDefault="00F47AB6" w:rsidP="00B63B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1B5C82">
              <w:rPr>
                <w:rFonts w:ascii="Arial" w:hAnsi="Arial" w:cs="Arial"/>
                <w:sz w:val="22"/>
                <w:szCs w:val="22"/>
              </w:rPr>
              <w:t xml:space="preserve">PANAMA. </w:t>
            </w:r>
            <w:r w:rsidRPr="00B52AD1">
              <w:rPr>
                <w:rFonts w:ascii="Arial" w:hAnsi="Arial" w:cs="Arial"/>
                <w:sz w:val="22"/>
                <w:szCs w:val="22"/>
              </w:rPr>
              <w:t>Intercambio de conocimiento para el desarrol</w:t>
            </w:r>
            <w:r>
              <w:rPr>
                <w:rFonts w:ascii="Arial" w:hAnsi="Arial" w:cs="Arial"/>
                <w:sz w:val="22"/>
                <w:szCs w:val="22"/>
              </w:rPr>
              <w:t>lo económico de los pueblos indígenas</w:t>
            </w:r>
            <w:r w:rsidRPr="00B52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(PN-T1222).</w:t>
            </w:r>
          </w:p>
        </w:tc>
      </w:tr>
      <w:tr w:rsidR="00CD58F3" w:rsidRPr="00300C0F" w14:paraId="74FBEDAE" w14:textId="77777777" w:rsidTr="00B63B5C">
        <w:trPr>
          <w:trHeight w:hRule="exact" w:val="864"/>
          <w:jc w:val="center"/>
        </w:trPr>
        <w:tc>
          <w:tcPr>
            <w:tcW w:w="1128" w:type="dxa"/>
            <w:shd w:val="clear" w:color="auto" w:fill="auto"/>
          </w:tcPr>
          <w:p w14:paraId="15506308" w14:textId="77777777" w:rsidR="00CD58F3" w:rsidRPr="00300C0F" w:rsidRDefault="00CD58F3" w:rsidP="00DF578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0C0F">
              <w:rPr>
                <w:rFonts w:ascii="Arial" w:hAnsi="Arial" w:cs="Arial"/>
                <w:b/>
                <w:sz w:val="22"/>
                <w:szCs w:val="22"/>
              </w:rPr>
              <w:t>Fecha:</w:t>
            </w:r>
          </w:p>
        </w:tc>
        <w:tc>
          <w:tcPr>
            <w:tcW w:w="8327" w:type="dxa"/>
            <w:shd w:val="clear" w:color="auto" w:fill="auto"/>
          </w:tcPr>
          <w:p w14:paraId="47F3F49C" w14:textId="1EB4EFEE" w:rsidR="00CD58F3" w:rsidRPr="00300C0F" w:rsidRDefault="00F47AB6" w:rsidP="00CD58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B82291">
              <w:rPr>
                <w:rFonts w:ascii="Arial" w:hAnsi="Arial" w:cs="Arial"/>
                <w:sz w:val="22"/>
                <w:szCs w:val="22"/>
              </w:rPr>
              <w:t xml:space="preserve"> de </w:t>
            </w:r>
            <w:r>
              <w:rPr>
                <w:rFonts w:ascii="Arial" w:hAnsi="Arial" w:cs="Arial"/>
                <w:sz w:val="22"/>
                <w:szCs w:val="22"/>
              </w:rPr>
              <w:t>octu</w:t>
            </w:r>
            <w:r w:rsidR="00B82291">
              <w:rPr>
                <w:rFonts w:ascii="Arial" w:hAnsi="Arial" w:cs="Arial"/>
                <w:sz w:val="22"/>
                <w:szCs w:val="22"/>
              </w:rPr>
              <w:t>bre, 2018</w:t>
            </w:r>
          </w:p>
        </w:tc>
      </w:tr>
    </w:tbl>
    <w:p w14:paraId="7FDA2F08" w14:textId="77777777" w:rsidR="00CD58F3" w:rsidRPr="00300C0F" w:rsidRDefault="003C1931" w:rsidP="00D6486B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="Calibri" w:hAnsi="Arial" w:cs="Arial"/>
          <w:b/>
          <w:sz w:val="22"/>
          <w:szCs w:val="22"/>
        </w:rPr>
      </w:pPr>
      <w:r w:rsidRPr="00300C0F">
        <w:rPr>
          <w:rFonts w:ascii="Arial" w:hAnsi="Arial" w:cs="Arial"/>
          <w:b/>
          <w:sz w:val="22"/>
          <w:szCs w:val="22"/>
        </w:rPr>
        <w:t>Antecedentes</w:t>
      </w:r>
    </w:p>
    <w:p w14:paraId="704B4BCD" w14:textId="77777777" w:rsidR="00C336E8" w:rsidRPr="00300C0F" w:rsidRDefault="00C336E8" w:rsidP="00C336E8">
      <w:pPr>
        <w:pStyle w:val="ListParagraph"/>
        <w:ind w:left="360"/>
        <w:rPr>
          <w:rFonts w:ascii="Arial" w:eastAsia="Calibri" w:hAnsi="Arial" w:cs="Arial"/>
          <w:sz w:val="22"/>
          <w:szCs w:val="22"/>
          <w:lang w:eastAsia="es-PE"/>
        </w:rPr>
      </w:pPr>
    </w:p>
    <w:p w14:paraId="13A7E818" w14:textId="77777777" w:rsidR="00AB32C2" w:rsidRPr="002E48D1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La economía de Panamá se ha localizado en el primer lugar de crecimiento en América Latina, con un promedio de crecimiento anual de 7,2% entre 2001 y 2003, que duplicó el promedio regional; con crecimientos de 6,1%, 5,8% y 5,4% respectivamente para 2014, 2015 y 2016. Para la población en general, ese crecimiento se ha reflejado en una reducción de la pobreza, entre 2008 y 2014, del 26,2% al 18,7% y de la pobreza extrema del 14,5% al 10,2%. </w:t>
      </w:r>
    </w:p>
    <w:p w14:paraId="2B7F947F" w14:textId="77777777" w:rsidR="00AB32C2" w:rsidRPr="002E48D1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58709351" w14:textId="77777777" w:rsidR="00AB32C2" w:rsidRPr="002E48D1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Sin embargo, ese cambio notable, no se ha reflejado en la población indígena. Los pueblos indígenas de Panamá representan el 12,8% del total de 3,9 millones de pobladores del país. En los territorios indígenas (comarcas y tierras colectivas), el 86% de los pobladores vive debajo de la línea de pobreza y el 66% en situación de extrema pobreza. </w:t>
      </w:r>
    </w:p>
    <w:p w14:paraId="71D079B1" w14:textId="77777777" w:rsidR="00AB32C2" w:rsidRPr="002E48D1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65D97163" w14:textId="4FE9E3A3" w:rsidR="00AB32C2" w:rsidRPr="002E48D1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La desigualdad entre la población indígena y no indígena es una de las más fuertes en la región y se representa en el acceso a los servicios públicos y la generación de ingresos. El deficiente acceso a los servicios públicos es función del bajo nivel de democratización fiscal, caracterizado por la existencia de </w:t>
      </w:r>
      <w:r w:rsidR="002A5F50">
        <w:rPr>
          <w:rFonts w:ascii="Arial" w:eastAsia="Calibri" w:hAnsi="Arial" w:cs="Arial"/>
          <w:sz w:val="22"/>
          <w:szCs w:val="22"/>
          <w:lang w:eastAsia="es-PE"/>
        </w:rPr>
        <w:t>cinco</w:t>
      </w: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 comarcas indígenas que operan como entidades territoriales autónomas, que poseen competencias, pero no cuentan con acceso a recursos públicos adecuados para ejercer dichas competencias. La brecha en la inversión pública para 2014 era de US$436 per cápita en las comarcas vs US$1,028 per cápita de la población panameña fuera de las comarcas, que equivale a una relación de 1 a 2,35 entre el gasto público en indígenas y en no indígenas. En cuanto a la generación de ingresos, la desigualdad se caracteriza por un fenómeno de exclusión financiera, en donde los emprendimientos indígenas se localizan a nivel de subsidios, porque la población indígena no es sujeta de crédito y por lo tanto no puede poner en valor el capital patrimonial de sus territorios en emprendimientos de magnitud.</w:t>
      </w:r>
    </w:p>
    <w:p w14:paraId="61DFC6FE" w14:textId="77777777" w:rsidR="00AB32C2" w:rsidRPr="007A4C7E" w:rsidRDefault="00AB32C2" w:rsidP="00E01A67">
      <w:pPr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60E1EAEB" w14:textId="3B66E76E" w:rsidR="008A2B39" w:rsidRPr="008A2B39" w:rsidRDefault="002A5F50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>
        <w:rPr>
          <w:rFonts w:ascii="Arial" w:eastAsia="Calibri" w:hAnsi="Arial" w:cs="Arial"/>
          <w:sz w:val="22"/>
          <w:szCs w:val="22"/>
          <w:lang w:eastAsia="es-PE"/>
        </w:rPr>
        <w:t xml:space="preserve">Desde el 2012, el país avanzó </w:t>
      </w:r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>con la instalación de la Mesa de Pueblos Indígenas</w:t>
      </w:r>
      <w:r>
        <w:rPr>
          <w:rFonts w:ascii="Arial" w:eastAsia="Calibri" w:hAnsi="Arial" w:cs="Arial"/>
          <w:sz w:val="22"/>
          <w:szCs w:val="22"/>
          <w:lang w:eastAsia="es-PE"/>
        </w:rPr>
        <w:t xml:space="preserve">, instancia </w:t>
      </w:r>
      <w:r w:rsidRPr="003742DA">
        <w:rPr>
          <w:rFonts w:ascii="Arial" w:eastAsia="Calibri" w:hAnsi="Arial" w:cs="Arial"/>
          <w:sz w:val="22"/>
          <w:szCs w:val="22"/>
          <w:lang w:eastAsia="es-PE"/>
        </w:rPr>
        <w:t>de diálogo y coordinación entre el gobierno y los pueblos</w:t>
      </w:r>
      <w:r>
        <w:rPr>
          <w:rFonts w:ascii="Arial" w:eastAsia="Calibri" w:hAnsi="Arial" w:cs="Arial"/>
          <w:sz w:val="22"/>
          <w:szCs w:val="22"/>
          <w:lang w:eastAsia="es-PE"/>
        </w:rPr>
        <w:t xml:space="preserve"> que actualmente es un Consejo Nacional de Pueblos Indígenas (</w:t>
      </w:r>
      <w:r w:rsidR="004104BD">
        <w:rPr>
          <w:rFonts w:ascii="Arial" w:eastAsia="Calibri" w:hAnsi="Arial" w:cs="Arial"/>
          <w:sz w:val="22"/>
          <w:szCs w:val="22"/>
          <w:lang w:eastAsia="es-PE"/>
        </w:rPr>
        <w:t>D</w:t>
      </w:r>
      <w:r>
        <w:rPr>
          <w:rFonts w:ascii="Arial" w:eastAsia="Calibri" w:hAnsi="Arial" w:cs="Arial"/>
          <w:sz w:val="22"/>
          <w:szCs w:val="22"/>
          <w:lang w:eastAsia="es-PE"/>
        </w:rPr>
        <w:t>ecreto</w:t>
      </w:r>
      <w:r w:rsidR="004104BD">
        <w:rPr>
          <w:rFonts w:ascii="Arial" w:eastAsia="Calibri" w:hAnsi="Arial" w:cs="Arial"/>
          <w:sz w:val="22"/>
          <w:szCs w:val="22"/>
          <w:lang w:eastAsia="es-PE"/>
        </w:rPr>
        <w:t xml:space="preserve"> Ejecutivo</w:t>
      </w:r>
      <w:r>
        <w:rPr>
          <w:rFonts w:ascii="Arial" w:eastAsia="Calibri" w:hAnsi="Arial" w:cs="Arial"/>
          <w:sz w:val="22"/>
          <w:szCs w:val="22"/>
          <w:lang w:eastAsia="es-PE"/>
        </w:rPr>
        <w:t xml:space="preserve"> no</w:t>
      </w:r>
      <w:r w:rsidRPr="00784376">
        <w:rPr>
          <w:rFonts w:ascii="Arial" w:eastAsia="Calibri" w:hAnsi="Arial" w:cs="Arial"/>
          <w:sz w:val="22"/>
          <w:szCs w:val="22"/>
          <w:lang w:eastAsia="es-PE"/>
        </w:rPr>
        <w:t xml:space="preserve">. </w:t>
      </w:r>
      <w:r w:rsidR="004104BD" w:rsidRPr="00784376">
        <w:rPr>
          <w:rFonts w:ascii="Arial" w:eastAsia="Calibri" w:hAnsi="Arial" w:cs="Arial"/>
          <w:sz w:val="22"/>
          <w:szCs w:val="22"/>
          <w:lang w:eastAsia="es-PE"/>
        </w:rPr>
        <w:t>203</w:t>
      </w:r>
      <w:r w:rsidRPr="00784376">
        <w:rPr>
          <w:rFonts w:ascii="Arial" w:eastAsia="Calibri" w:hAnsi="Arial" w:cs="Arial"/>
          <w:sz w:val="22"/>
          <w:szCs w:val="22"/>
          <w:lang w:eastAsia="es-PE"/>
        </w:rPr>
        <w:t>) con</w:t>
      </w:r>
      <w:r w:rsidRPr="005A17DB">
        <w:rPr>
          <w:rFonts w:ascii="Arial" w:eastAsia="Calibri" w:hAnsi="Arial" w:cs="Arial"/>
          <w:sz w:val="22"/>
          <w:szCs w:val="22"/>
          <w:lang w:eastAsia="es-PE"/>
        </w:rPr>
        <w:t xml:space="preserve"> carácter permanente.</w:t>
      </w:r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s-PE"/>
        </w:rPr>
        <w:t>Después de un proceso altamente participativo, se aprobó</w:t>
      </w:r>
      <w:bookmarkStart w:id="0" w:name="_Hlk493255660"/>
      <w:r w:rsidR="00FD07D9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 xml:space="preserve">el Plan Nacional de Desarrollo </w:t>
      </w:r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lastRenderedPageBreak/>
        <w:t xml:space="preserve">Integrado de los Pueblos Indígenas de Panamá, </w:t>
      </w:r>
      <w:bookmarkEnd w:id="0"/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 xml:space="preserve">que incorpora la visión compartida (Plan de Vida) de las doce estructuras de gobierno </w:t>
      </w:r>
      <w:r>
        <w:rPr>
          <w:rFonts w:ascii="Arial" w:eastAsia="Calibri" w:hAnsi="Arial" w:cs="Arial"/>
          <w:sz w:val="22"/>
          <w:szCs w:val="22"/>
          <w:lang w:eastAsia="es-PE"/>
        </w:rPr>
        <w:t xml:space="preserve">indígena </w:t>
      </w:r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>de Panamá, el Gobierno de Panamá y la Asamblea Nacional. El Plan descansa en tres pilares: (i) gobernanza y derechos territoriales; (</w:t>
      </w:r>
      <w:proofErr w:type="spellStart"/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>ii</w:t>
      </w:r>
      <w:proofErr w:type="spellEnd"/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>) actividades productivas y seguridad alimentaria; y (</w:t>
      </w:r>
      <w:proofErr w:type="spellStart"/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>iii</w:t>
      </w:r>
      <w:proofErr w:type="spellEnd"/>
      <w:r w:rsidR="00AB32C2" w:rsidRPr="002E48D1">
        <w:rPr>
          <w:rFonts w:ascii="Arial" w:eastAsia="Calibri" w:hAnsi="Arial" w:cs="Arial"/>
          <w:sz w:val="22"/>
          <w:szCs w:val="22"/>
          <w:lang w:eastAsia="es-PE"/>
        </w:rPr>
        <w:t xml:space="preserve">) acceso a servicios públicos. Mientras se vienen realizando avances en el primer y tercer punto, el pilar de la economía se ha quedado rezagado. </w:t>
      </w:r>
    </w:p>
    <w:p w14:paraId="55FE21BF" w14:textId="77777777" w:rsidR="00AB32C2" w:rsidRPr="002E48D1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11617734" w14:textId="2F6223A8" w:rsidR="008A2B39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El Gobierno de Panamá </w:t>
      </w:r>
      <w:r w:rsidR="002A5F50">
        <w:rPr>
          <w:rFonts w:ascii="Arial" w:eastAsia="Calibri" w:hAnsi="Arial" w:cs="Arial"/>
          <w:sz w:val="22"/>
          <w:szCs w:val="22"/>
          <w:lang w:eastAsia="es-PE"/>
        </w:rPr>
        <w:t xml:space="preserve">necesita apoyo para la reglamentación del Consejo y </w:t>
      </w: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no cuenta con iniciativas de gran escala focalizadas en cerrar la brecha económica de los pueblos indígenas. Por ello, se cree necesario conocer las buenas prácticas regionales, que permitan al Gobierno y a los pueblos indígenas enriquecer su conocimiento sobre experiencias exitosas en la región de </w:t>
      </w:r>
      <w:r w:rsidR="002A5F50">
        <w:rPr>
          <w:rFonts w:ascii="Arial" w:eastAsia="Calibri" w:hAnsi="Arial" w:cs="Arial"/>
          <w:sz w:val="22"/>
          <w:szCs w:val="22"/>
          <w:lang w:eastAsia="es-PE"/>
        </w:rPr>
        <w:t xml:space="preserve">legislación para los pueblos indígenas y </w:t>
      </w: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desarrollo económico territorial, y a su vez profundizar la reflexión acerca de cuál va a ser la estrategia del país para abordar el pilar de la economía indígena, en aras de disminuir la brecha de ingresos. </w:t>
      </w:r>
    </w:p>
    <w:p w14:paraId="6326BF0F" w14:textId="77777777" w:rsidR="008A2B39" w:rsidRDefault="008A2B39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31E219D9" w14:textId="56DF2DAF" w:rsidR="001525AA" w:rsidRPr="00F82212" w:rsidRDefault="001525AA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CD2CF5">
        <w:rPr>
          <w:rFonts w:ascii="Arial" w:eastAsia="Calibri" w:hAnsi="Arial" w:cs="Arial"/>
          <w:sz w:val="22"/>
          <w:szCs w:val="22"/>
          <w:lang w:eastAsia="es-PE"/>
        </w:rPr>
        <w:t>Colombia cuenta con amplia experiencia en cuanto disposiciones normativas y jurisprudencia que regulan la relación del Estado con los Pueblos Indígenas. El marco regulatorio e institucional mantiene espacios de diálogo para discutir temas asociados a políticas sectoriales e inversiones que afecta a los pueblos indígenas</w:t>
      </w:r>
      <w:r w:rsidR="008810AC">
        <w:rPr>
          <w:rFonts w:ascii="Arial" w:eastAsia="Calibri" w:hAnsi="Arial" w:cs="Arial"/>
          <w:sz w:val="22"/>
          <w:szCs w:val="22"/>
          <w:lang w:eastAsia="es-PE"/>
        </w:rPr>
        <w:t>.</w:t>
      </w:r>
      <w:r w:rsidRPr="00CD2CF5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="002A5F50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Pr="00CD2CF5">
        <w:rPr>
          <w:rFonts w:ascii="Arial" w:eastAsia="Calibri" w:hAnsi="Arial" w:cs="Arial"/>
          <w:sz w:val="22"/>
          <w:szCs w:val="22"/>
          <w:lang w:eastAsia="es-PE"/>
        </w:rPr>
        <w:t>A su vez</w:t>
      </w:r>
      <w:r>
        <w:rPr>
          <w:rFonts w:ascii="Arial" w:eastAsia="Calibri" w:hAnsi="Arial" w:cs="Arial"/>
          <w:sz w:val="22"/>
          <w:szCs w:val="22"/>
          <w:lang w:eastAsia="es-PE"/>
        </w:rPr>
        <w:t xml:space="preserve">, Colombia también tiene varias empresas indígenas de tercerización de salud y educación, que no solo articulan la prestación de servicios al mercado, sino que también son modelos de emprendimiento indígena en la región. </w:t>
      </w:r>
      <w:r w:rsidR="00CA20FC">
        <w:rPr>
          <w:rFonts w:ascii="Arial" w:eastAsia="Calibri" w:hAnsi="Arial" w:cs="Arial"/>
          <w:sz w:val="22"/>
          <w:szCs w:val="22"/>
          <w:lang w:eastAsia="es-PE"/>
        </w:rPr>
        <w:t>El modelo de ejecución que ha implementado el país</w:t>
      </w:r>
      <w:r w:rsidR="00CB2DE6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="00A9365D">
        <w:rPr>
          <w:rFonts w:ascii="Arial" w:eastAsia="Calibri" w:hAnsi="Arial" w:cs="Arial"/>
          <w:sz w:val="22"/>
          <w:szCs w:val="22"/>
          <w:lang w:eastAsia="es-PE"/>
        </w:rPr>
        <w:t>ha hecho posib</w:t>
      </w:r>
      <w:r w:rsidR="00CB2DE6">
        <w:rPr>
          <w:rFonts w:ascii="Arial" w:eastAsia="Calibri" w:hAnsi="Arial" w:cs="Arial"/>
          <w:sz w:val="22"/>
          <w:szCs w:val="22"/>
          <w:lang w:eastAsia="es-PE"/>
        </w:rPr>
        <w:t xml:space="preserve">le la participación de comunidades indígenas en el gasto de salud, así como en la ejecución de </w:t>
      </w:r>
      <w:r w:rsidR="006262F5">
        <w:rPr>
          <w:rFonts w:ascii="Arial" w:eastAsia="Calibri" w:hAnsi="Arial" w:cs="Arial"/>
          <w:sz w:val="22"/>
          <w:szCs w:val="22"/>
          <w:lang w:eastAsia="es-PE"/>
        </w:rPr>
        <w:t xml:space="preserve">los </w:t>
      </w:r>
      <w:r w:rsidR="00F82212">
        <w:rPr>
          <w:rFonts w:ascii="Arial" w:eastAsia="Calibri" w:hAnsi="Arial" w:cs="Arial"/>
          <w:sz w:val="22"/>
          <w:szCs w:val="22"/>
          <w:lang w:eastAsia="es-PE"/>
        </w:rPr>
        <w:t xml:space="preserve">mismos </w:t>
      </w:r>
      <w:r w:rsidR="006262F5">
        <w:rPr>
          <w:rFonts w:ascii="Arial" w:eastAsia="Calibri" w:hAnsi="Arial" w:cs="Arial"/>
          <w:sz w:val="22"/>
          <w:szCs w:val="22"/>
          <w:lang w:eastAsia="es-PE"/>
        </w:rPr>
        <w:t>servicios de salud, lo cual ha facilitado la implementación de modelos de salud intercultural en territorios indígenas.</w:t>
      </w:r>
      <w:r w:rsidR="00F82212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proofErr w:type="spellStart"/>
      <w:r w:rsidRPr="00F82212">
        <w:rPr>
          <w:rFonts w:ascii="Arial" w:eastAsia="Calibri" w:hAnsi="Arial" w:cs="Arial"/>
          <w:sz w:val="22"/>
          <w:szCs w:val="22"/>
          <w:lang w:eastAsia="es-PE"/>
        </w:rPr>
        <w:t>Anas</w:t>
      </w:r>
      <w:proofErr w:type="spellEnd"/>
      <w:r w:rsidRPr="00F82212">
        <w:rPr>
          <w:rFonts w:ascii="Arial" w:eastAsia="Calibri" w:hAnsi="Arial" w:cs="Arial"/>
          <w:sz w:val="22"/>
          <w:szCs w:val="22"/>
          <w:lang w:eastAsia="es-PE"/>
        </w:rPr>
        <w:t xml:space="preserve"> Wayuu es una empresa indígena de la Guajira colombiana promotora de salud</w:t>
      </w:r>
      <w:r w:rsidR="002A5F50" w:rsidRPr="00F82212">
        <w:rPr>
          <w:rFonts w:ascii="Arial" w:eastAsia="Calibri" w:hAnsi="Arial" w:cs="Arial"/>
          <w:sz w:val="22"/>
          <w:szCs w:val="22"/>
          <w:lang w:eastAsia="es-PE"/>
        </w:rPr>
        <w:t xml:space="preserve"> que p</w:t>
      </w:r>
      <w:r w:rsidRPr="00F82212">
        <w:rPr>
          <w:rFonts w:ascii="Arial" w:eastAsia="Calibri" w:hAnsi="Arial" w:cs="Arial"/>
          <w:sz w:val="22"/>
          <w:szCs w:val="22"/>
          <w:lang w:eastAsia="es-PE"/>
        </w:rPr>
        <w:t>rovee atención de salud integral e intercultural e incorpora en su gestión la complementariedad del derecho propio con las normas del país, y de la práctica médica tanto occidental como indígena. Es una empresa rentable con crecimiento sostenible que responde a los estándares de calidad del Ministerio de Salud. La empresa es de naturaleza colectiva y las autoridades tradicionales son las que dan las directrices de cómo debe darse el aseguramiento de salud.</w:t>
      </w:r>
    </w:p>
    <w:p w14:paraId="4A06667C" w14:textId="77777777" w:rsidR="008A2B39" w:rsidRDefault="008A2B39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729675EA" w14:textId="008F7C08" w:rsidR="001559B7" w:rsidRPr="00807DD0" w:rsidRDefault="00AB32C2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2E48D1">
        <w:rPr>
          <w:rFonts w:ascii="Arial" w:eastAsia="Calibri" w:hAnsi="Arial" w:cs="Arial"/>
          <w:sz w:val="22"/>
          <w:szCs w:val="22"/>
          <w:lang w:eastAsia="es-PE"/>
        </w:rPr>
        <w:t xml:space="preserve">Por medio de un intercambio entre las instituciones </w:t>
      </w:r>
      <w:r w:rsidRPr="00807DD0">
        <w:rPr>
          <w:rFonts w:ascii="Arial" w:eastAsia="Calibri" w:hAnsi="Arial" w:cs="Arial"/>
          <w:sz w:val="22"/>
          <w:szCs w:val="22"/>
          <w:lang w:eastAsia="es-PE"/>
        </w:rPr>
        <w:t xml:space="preserve">relevantes de Panamá, </w:t>
      </w:r>
      <w:r w:rsidR="00C82901" w:rsidRPr="00807DD0">
        <w:rPr>
          <w:rFonts w:ascii="Arial" w:eastAsia="Calibri" w:hAnsi="Arial" w:cs="Arial"/>
          <w:sz w:val="22"/>
          <w:szCs w:val="22"/>
          <w:lang w:eastAsia="es-PE"/>
        </w:rPr>
        <w:t xml:space="preserve">de Colombia, y de </w:t>
      </w:r>
      <w:r w:rsidRPr="00807DD0">
        <w:rPr>
          <w:rFonts w:ascii="Arial" w:eastAsia="Calibri" w:hAnsi="Arial" w:cs="Arial"/>
          <w:sz w:val="22"/>
          <w:szCs w:val="22"/>
          <w:lang w:eastAsia="es-PE"/>
        </w:rPr>
        <w:t>representantes indígenas</w:t>
      </w:r>
      <w:r w:rsidR="00C82901" w:rsidRPr="00807DD0">
        <w:rPr>
          <w:rFonts w:ascii="Arial" w:eastAsia="Calibri" w:hAnsi="Arial" w:cs="Arial"/>
          <w:sz w:val="22"/>
          <w:szCs w:val="22"/>
          <w:lang w:eastAsia="es-PE"/>
        </w:rPr>
        <w:t xml:space="preserve"> de </w:t>
      </w:r>
      <w:r w:rsidR="0021753A" w:rsidRPr="00807DD0">
        <w:rPr>
          <w:rFonts w:ascii="Arial" w:eastAsia="Calibri" w:hAnsi="Arial" w:cs="Arial"/>
          <w:sz w:val="22"/>
          <w:szCs w:val="22"/>
          <w:lang w:eastAsia="es-PE"/>
        </w:rPr>
        <w:t>ambos países</w:t>
      </w:r>
      <w:r w:rsidR="00466181" w:rsidRPr="00807DD0">
        <w:rPr>
          <w:rFonts w:ascii="Arial" w:eastAsia="Calibri" w:hAnsi="Arial" w:cs="Arial"/>
          <w:sz w:val="22"/>
          <w:szCs w:val="22"/>
          <w:lang w:eastAsia="es-PE"/>
        </w:rPr>
        <w:t>,</w:t>
      </w:r>
      <w:r w:rsidR="004A47E8" w:rsidRPr="00807DD0">
        <w:rPr>
          <w:rFonts w:ascii="Arial" w:eastAsia="Calibri" w:hAnsi="Arial" w:cs="Arial"/>
          <w:sz w:val="22"/>
          <w:szCs w:val="22"/>
          <w:lang w:eastAsia="es-PE"/>
        </w:rPr>
        <w:t xml:space="preserve"> Panamá puede verse beneficiada del conocimiento de la experiencia colombiana al ser ésta una referencia emblemática en </w:t>
      </w:r>
      <w:r w:rsidR="00036C5F" w:rsidRPr="00807DD0">
        <w:rPr>
          <w:rFonts w:ascii="Arial" w:eastAsia="Calibri" w:hAnsi="Arial" w:cs="Arial"/>
          <w:sz w:val="22"/>
          <w:szCs w:val="22"/>
          <w:lang w:eastAsia="es-PE"/>
        </w:rPr>
        <w:t>cuan</w:t>
      </w:r>
      <w:r w:rsidR="006403FA" w:rsidRPr="00807DD0">
        <w:rPr>
          <w:rFonts w:ascii="Arial" w:eastAsia="Calibri" w:hAnsi="Arial" w:cs="Arial"/>
          <w:sz w:val="22"/>
          <w:szCs w:val="22"/>
          <w:lang w:eastAsia="es-PE"/>
        </w:rPr>
        <w:t>t</w:t>
      </w:r>
      <w:r w:rsidR="00036C5F" w:rsidRPr="00807DD0">
        <w:rPr>
          <w:rFonts w:ascii="Arial" w:eastAsia="Calibri" w:hAnsi="Arial" w:cs="Arial"/>
          <w:sz w:val="22"/>
          <w:szCs w:val="22"/>
          <w:lang w:eastAsia="es-PE"/>
        </w:rPr>
        <w:t xml:space="preserve">o su marco regulatorio con pueblos indígenas, así como en la </w:t>
      </w:r>
      <w:r w:rsidR="009B1A35" w:rsidRPr="00807DD0">
        <w:rPr>
          <w:rFonts w:ascii="Arial" w:eastAsia="Calibri" w:hAnsi="Arial" w:cs="Arial"/>
          <w:sz w:val="22"/>
          <w:szCs w:val="22"/>
          <w:lang w:eastAsia="es-PE"/>
        </w:rPr>
        <w:t>implementación de políticas que facilitan la tercerización de salud para pueblos indígenas</w:t>
      </w:r>
      <w:r w:rsidR="00036C5F" w:rsidRPr="00807DD0">
        <w:rPr>
          <w:rFonts w:ascii="Arial" w:eastAsia="Calibri" w:hAnsi="Arial" w:cs="Arial"/>
          <w:sz w:val="22"/>
          <w:szCs w:val="22"/>
          <w:lang w:eastAsia="es-PE"/>
        </w:rPr>
        <w:t xml:space="preserve">. </w:t>
      </w:r>
    </w:p>
    <w:p w14:paraId="11368E2B" w14:textId="77777777" w:rsidR="001559B7" w:rsidRPr="00807DD0" w:rsidRDefault="001559B7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74F8BA58" w14:textId="77777777" w:rsidR="00107FC0" w:rsidRPr="00807DD0" w:rsidRDefault="00107FC0" w:rsidP="00E01A67">
      <w:pPr>
        <w:pStyle w:val="ListParagraph"/>
        <w:spacing w:before="240"/>
        <w:ind w:left="360"/>
        <w:rPr>
          <w:rFonts w:ascii="Arial" w:eastAsia="Calibri" w:hAnsi="Arial" w:cs="Arial"/>
          <w:sz w:val="22"/>
          <w:szCs w:val="22"/>
          <w:lang w:eastAsia="es-PE"/>
        </w:rPr>
      </w:pPr>
    </w:p>
    <w:p w14:paraId="0511C10D" w14:textId="77777777" w:rsidR="00ED245C" w:rsidRPr="00807DD0" w:rsidRDefault="00ED245C" w:rsidP="00E01A67">
      <w:pPr>
        <w:pStyle w:val="ListParagraph"/>
        <w:numPr>
          <w:ilvl w:val="0"/>
          <w:numId w:val="14"/>
        </w:numPr>
        <w:jc w:val="both"/>
        <w:rPr>
          <w:rFonts w:ascii="Arial" w:eastAsia="Calibri" w:hAnsi="Arial" w:cs="Arial"/>
          <w:b/>
          <w:sz w:val="22"/>
          <w:szCs w:val="22"/>
        </w:rPr>
      </w:pPr>
      <w:r w:rsidRPr="00807DD0">
        <w:rPr>
          <w:rFonts w:ascii="Arial" w:eastAsia="Calibri" w:hAnsi="Arial" w:cs="Arial"/>
          <w:b/>
          <w:sz w:val="22"/>
          <w:szCs w:val="22"/>
        </w:rPr>
        <w:t xml:space="preserve">Objetivo </w:t>
      </w:r>
    </w:p>
    <w:p w14:paraId="1527C599" w14:textId="77777777" w:rsidR="00107FC0" w:rsidRPr="00300C0F" w:rsidRDefault="00107FC0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</w:rPr>
      </w:pPr>
    </w:p>
    <w:p w14:paraId="31D44910" w14:textId="713A638B" w:rsidR="003E1FBE" w:rsidRDefault="00EF49EF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300C0F">
        <w:rPr>
          <w:rFonts w:ascii="Arial" w:eastAsia="Calibri" w:hAnsi="Arial" w:cs="Arial"/>
          <w:sz w:val="22"/>
          <w:szCs w:val="22"/>
          <w:lang w:eastAsia="es-PE"/>
        </w:rPr>
        <w:t xml:space="preserve">El objetivo </w:t>
      </w:r>
      <w:r w:rsidR="003A092F">
        <w:rPr>
          <w:rFonts w:ascii="Arial" w:eastAsia="Calibri" w:hAnsi="Arial" w:cs="Arial"/>
          <w:sz w:val="22"/>
          <w:szCs w:val="22"/>
          <w:lang w:eastAsia="es-PE"/>
        </w:rPr>
        <w:t xml:space="preserve">general </w:t>
      </w:r>
      <w:r w:rsidRPr="00300C0F">
        <w:rPr>
          <w:rFonts w:ascii="Arial" w:eastAsia="Calibri" w:hAnsi="Arial" w:cs="Arial"/>
          <w:sz w:val="22"/>
          <w:szCs w:val="22"/>
          <w:lang w:eastAsia="es-PE"/>
        </w:rPr>
        <w:t>de la cooperación técnica es</w:t>
      </w:r>
      <w:r w:rsidR="00646B64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="003A092F">
        <w:rPr>
          <w:rFonts w:ascii="Arial" w:eastAsia="Calibri" w:hAnsi="Arial" w:cs="Arial"/>
          <w:sz w:val="22"/>
          <w:szCs w:val="22"/>
          <w:lang w:eastAsia="es-PE"/>
        </w:rPr>
        <w:t xml:space="preserve">facilitar el intercambio de experiencias entre líderes indígenas y las instituciones del Gobierno de </w:t>
      </w:r>
      <w:r w:rsidR="003C402A">
        <w:rPr>
          <w:rFonts w:ascii="Arial" w:eastAsia="Calibri" w:hAnsi="Arial" w:cs="Arial"/>
          <w:sz w:val="22"/>
          <w:szCs w:val="22"/>
          <w:lang w:eastAsia="es-PE"/>
        </w:rPr>
        <w:t>Panamá</w:t>
      </w:r>
      <w:r w:rsidR="003A092F">
        <w:rPr>
          <w:rFonts w:ascii="Arial" w:eastAsia="Calibri" w:hAnsi="Arial" w:cs="Arial"/>
          <w:sz w:val="22"/>
          <w:szCs w:val="22"/>
          <w:lang w:eastAsia="es-PE"/>
        </w:rPr>
        <w:t xml:space="preserve"> y Colombia para la </w:t>
      </w:r>
      <w:r w:rsidR="00DF578E">
        <w:rPr>
          <w:rFonts w:ascii="Arial" w:eastAsia="Calibri" w:hAnsi="Arial" w:cs="Arial"/>
          <w:sz w:val="22"/>
          <w:szCs w:val="22"/>
          <w:lang w:eastAsia="es-PE"/>
        </w:rPr>
        <w:t>recolección de buenas prácticas y</w:t>
      </w:r>
      <w:r w:rsidR="003A092F">
        <w:rPr>
          <w:rFonts w:ascii="Arial" w:eastAsia="Calibri" w:hAnsi="Arial" w:cs="Arial"/>
          <w:sz w:val="22"/>
          <w:szCs w:val="22"/>
          <w:lang w:eastAsia="es-PE"/>
        </w:rPr>
        <w:t xml:space="preserve"> lecciones aprendidas en materia de legislación y políticas </w:t>
      </w:r>
      <w:r w:rsidR="00DF578E">
        <w:rPr>
          <w:rFonts w:ascii="Arial" w:eastAsia="Calibri" w:hAnsi="Arial" w:cs="Arial"/>
          <w:sz w:val="22"/>
          <w:szCs w:val="22"/>
          <w:lang w:eastAsia="es-PE"/>
        </w:rPr>
        <w:t>públicas dirigidas</w:t>
      </w:r>
      <w:r w:rsidR="00EB7AB6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="00DF578E">
        <w:rPr>
          <w:rFonts w:ascii="Arial" w:eastAsia="Calibri" w:hAnsi="Arial" w:cs="Arial"/>
          <w:sz w:val="22"/>
          <w:szCs w:val="22"/>
          <w:lang w:eastAsia="es-PE"/>
        </w:rPr>
        <w:t xml:space="preserve">a los pueblos indígenas, </w:t>
      </w:r>
      <w:r w:rsidR="00913734">
        <w:rPr>
          <w:rFonts w:ascii="Arial" w:eastAsia="Calibri" w:hAnsi="Arial" w:cs="Arial"/>
          <w:sz w:val="22"/>
          <w:szCs w:val="22"/>
          <w:lang w:eastAsia="es-PE"/>
        </w:rPr>
        <w:t>especialmente en lo referente a empresariado</w:t>
      </w:r>
      <w:r w:rsidR="00DF578E">
        <w:rPr>
          <w:rFonts w:ascii="Arial" w:eastAsia="Calibri" w:hAnsi="Arial" w:cs="Arial"/>
          <w:sz w:val="22"/>
          <w:szCs w:val="22"/>
          <w:lang w:eastAsia="es-PE"/>
        </w:rPr>
        <w:t xml:space="preserve"> indígena </w:t>
      </w:r>
      <w:r w:rsidR="00913734">
        <w:rPr>
          <w:rFonts w:ascii="Arial" w:eastAsia="Calibri" w:hAnsi="Arial" w:cs="Arial"/>
          <w:sz w:val="22"/>
          <w:szCs w:val="22"/>
          <w:lang w:eastAsia="es-PE"/>
        </w:rPr>
        <w:t>en el sector salud</w:t>
      </w:r>
      <w:r w:rsidR="00646B64" w:rsidRPr="00646B64">
        <w:rPr>
          <w:rFonts w:ascii="Arial" w:eastAsia="Calibri" w:hAnsi="Arial" w:cs="Arial"/>
          <w:sz w:val="22"/>
          <w:szCs w:val="22"/>
          <w:lang w:eastAsia="es-PE"/>
        </w:rPr>
        <w:t xml:space="preserve"> (</w:t>
      </w:r>
      <w:proofErr w:type="spellStart"/>
      <w:r w:rsidR="00646B64" w:rsidRPr="00646B64">
        <w:rPr>
          <w:rFonts w:ascii="Arial" w:eastAsia="Calibri" w:hAnsi="Arial" w:cs="Arial"/>
          <w:sz w:val="22"/>
          <w:szCs w:val="22"/>
          <w:lang w:eastAsia="es-PE"/>
        </w:rPr>
        <w:t>Anas</w:t>
      </w:r>
      <w:proofErr w:type="spellEnd"/>
      <w:r w:rsidR="00646B64" w:rsidRPr="00646B64">
        <w:rPr>
          <w:rFonts w:ascii="Arial" w:eastAsia="Calibri" w:hAnsi="Arial" w:cs="Arial"/>
          <w:sz w:val="22"/>
          <w:szCs w:val="22"/>
          <w:lang w:eastAsia="es-PE"/>
        </w:rPr>
        <w:t xml:space="preserve"> Wayuu EPS).</w:t>
      </w:r>
    </w:p>
    <w:p w14:paraId="3803B36B" w14:textId="77777777" w:rsidR="00EE1C37" w:rsidRPr="003501D1" w:rsidRDefault="00EE1C37" w:rsidP="00E01A67">
      <w:pPr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0106EA17" w14:textId="77777777" w:rsidR="00EE1C37" w:rsidRDefault="00EE1C37" w:rsidP="00E01A67">
      <w:pPr>
        <w:pStyle w:val="ListParagraph"/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>
        <w:rPr>
          <w:rFonts w:ascii="Arial" w:eastAsia="Calibri" w:hAnsi="Arial" w:cs="Arial"/>
          <w:sz w:val="22"/>
          <w:szCs w:val="22"/>
          <w:lang w:eastAsia="es-PE"/>
        </w:rPr>
        <w:t>Los objetivos específicos resultantes de este encuentro son:</w:t>
      </w:r>
    </w:p>
    <w:p w14:paraId="014F1C26" w14:textId="77777777" w:rsidR="003501D1" w:rsidRPr="007E0390" w:rsidRDefault="003501D1" w:rsidP="00E01A67">
      <w:pPr>
        <w:pStyle w:val="ListParagraph"/>
        <w:numPr>
          <w:ilvl w:val="0"/>
          <w:numId w:val="21"/>
        </w:numPr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7E0390">
        <w:rPr>
          <w:rFonts w:ascii="Arial" w:eastAsia="Calibri" w:hAnsi="Arial" w:cs="Arial"/>
          <w:sz w:val="22"/>
          <w:szCs w:val="22"/>
          <w:lang w:eastAsia="es-PE"/>
        </w:rPr>
        <w:t>Conocer la plataforma legal, institucional y jurisprudencial en Colombia, mediante la cual se relacionan los pueblos indígenas con el Estado Colombiano.</w:t>
      </w:r>
    </w:p>
    <w:p w14:paraId="52F77C3A" w14:textId="40E87A07" w:rsidR="003C402A" w:rsidRPr="007E0390" w:rsidRDefault="003C402A" w:rsidP="00E01A67">
      <w:pPr>
        <w:pStyle w:val="ListParagraph"/>
        <w:numPr>
          <w:ilvl w:val="0"/>
          <w:numId w:val="21"/>
        </w:numPr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7E0390">
        <w:rPr>
          <w:rFonts w:ascii="Arial" w:eastAsia="Calibri" w:hAnsi="Arial" w:cs="Arial"/>
          <w:sz w:val="22"/>
          <w:szCs w:val="22"/>
          <w:lang w:eastAsia="es-PE"/>
        </w:rPr>
        <w:lastRenderedPageBreak/>
        <w:t xml:space="preserve">Conocer las experiencias de </w:t>
      </w:r>
      <w:proofErr w:type="spellStart"/>
      <w:r w:rsidRPr="007E0390">
        <w:rPr>
          <w:rFonts w:ascii="Arial" w:eastAsia="Calibri" w:hAnsi="Arial" w:cs="Arial"/>
          <w:sz w:val="22"/>
          <w:szCs w:val="22"/>
          <w:lang w:eastAsia="es-PE"/>
        </w:rPr>
        <w:t>Anas</w:t>
      </w:r>
      <w:proofErr w:type="spellEnd"/>
      <w:r w:rsidRPr="007E0390">
        <w:rPr>
          <w:rFonts w:ascii="Arial" w:eastAsia="Calibri" w:hAnsi="Arial" w:cs="Arial"/>
          <w:sz w:val="22"/>
          <w:szCs w:val="22"/>
          <w:lang w:eastAsia="es-PE"/>
        </w:rPr>
        <w:t xml:space="preserve"> Wayuu EPS, como ejemplo exitoso de empre</w:t>
      </w:r>
      <w:r w:rsidR="00913734" w:rsidRPr="007E0390">
        <w:rPr>
          <w:rFonts w:ascii="Arial" w:eastAsia="Calibri" w:hAnsi="Arial" w:cs="Arial"/>
          <w:sz w:val="22"/>
          <w:szCs w:val="22"/>
          <w:lang w:eastAsia="es-PE"/>
        </w:rPr>
        <w:t>sariado</w:t>
      </w:r>
      <w:r w:rsidRPr="007E0390">
        <w:rPr>
          <w:rFonts w:ascii="Arial" w:eastAsia="Calibri" w:hAnsi="Arial" w:cs="Arial"/>
          <w:sz w:val="22"/>
          <w:szCs w:val="22"/>
          <w:lang w:eastAsia="es-PE"/>
        </w:rPr>
        <w:t xml:space="preserve"> indígena en Colombia</w:t>
      </w:r>
      <w:r w:rsidR="0028488F" w:rsidRPr="007E0390">
        <w:rPr>
          <w:rFonts w:ascii="Arial" w:eastAsia="Calibri" w:hAnsi="Arial" w:cs="Arial"/>
          <w:sz w:val="22"/>
          <w:szCs w:val="22"/>
          <w:lang w:eastAsia="es-PE"/>
        </w:rPr>
        <w:t>, para identificar lecciones aprendidas</w:t>
      </w:r>
      <w:r w:rsidR="00C972A8" w:rsidRPr="007E0390">
        <w:rPr>
          <w:rFonts w:ascii="Arial" w:eastAsia="Calibri" w:hAnsi="Arial" w:cs="Arial"/>
          <w:sz w:val="22"/>
          <w:szCs w:val="22"/>
          <w:lang w:eastAsia="es-PE"/>
        </w:rPr>
        <w:t xml:space="preserve"> e ideas que puedan informar estrategias de desarrollo económico en Panamá</w:t>
      </w:r>
      <w:r w:rsidRPr="007E0390">
        <w:rPr>
          <w:rFonts w:ascii="Arial" w:eastAsia="Calibri" w:hAnsi="Arial" w:cs="Arial"/>
          <w:sz w:val="22"/>
          <w:szCs w:val="22"/>
          <w:lang w:eastAsia="es-PE"/>
        </w:rPr>
        <w:t>.</w:t>
      </w:r>
    </w:p>
    <w:p w14:paraId="7B6598AA" w14:textId="77777777" w:rsidR="00DD61AB" w:rsidRPr="007E0390" w:rsidRDefault="00EE1C37" w:rsidP="00E01A67">
      <w:pPr>
        <w:pStyle w:val="ListParagraph"/>
        <w:numPr>
          <w:ilvl w:val="0"/>
          <w:numId w:val="21"/>
        </w:numPr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7E0390">
        <w:rPr>
          <w:rFonts w:ascii="Arial" w:eastAsia="Calibri" w:hAnsi="Arial" w:cs="Arial"/>
          <w:sz w:val="22"/>
          <w:szCs w:val="22"/>
          <w:lang w:eastAsia="es-PE"/>
        </w:rPr>
        <w:t xml:space="preserve">Fortalecer el conocimiento sobre el desarrollo de </w:t>
      </w:r>
      <w:r w:rsidR="00DD61AB" w:rsidRPr="007E0390">
        <w:rPr>
          <w:rFonts w:ascii="Arial" w:eastAsia="Calibri" w:hAnsi="Arial" w:cs="Arial"/>
          <w:sz w:val="22"/>
          <w:szCs w:val="22"/>
          <w:lang w:eastAsia="es-PE"/>
        </w:rPr>
        <w:t>un marco regulatorio</w:t>
      </w:r>
      <w:r w:rsidRPr="007E0390">
        <w:rPr>
          <w:rFonts w:ascii="Arial" w:eastAsia="Calibri" w:hAnsi="Arial" w:cs="Arial"/>
          <w:sz w:val="22"/>
          <w:szCs w:val="22"/>
          <w:lang w:eastAsia="es-PE"/>
        </w:rPr>
        <w:t xml:space="preserve"> para pueblos indígenas a nivel regional</w:t>
      </w:r>
      <w:r w:rsidR="005D0635" w:rsidRPr="007E0390">
        <w:rPr>
          <w:rFonts w:ascii="Arial" w:eastAsia="Calibri" w:hAnsi="Arial" w:cs="Arial"/>
          <w:sz w:val="22"/>
          <w:szCs w:val="22"/>
          <w:lang w:eastAsia="es-PE"/>
        </w:rPr>
        <w:t>.</w:t>
      </w:r>
    </w:p>
    <w:p w14:paraId="039EB051" w14:textId="77777777" w:rsidR="00EE1C37" w:rsidRPr="007E0390" w:rsidRDefault="00DD61AB" w:rsidP="00E01A67">
      <w:pPr>
        <w:pStyle w:val="ListParagraph"/>
        <w:numPr>
          <w:ilvl w:val="0"/>
          <w:numId w:val="21"/>
        </w:numPr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7E0390">
        <w:rPr>
          <w:rFonts w:ascii="Arial" w:eastAsia="Calibri" w:hAnsi="Arial" w:cs="Arial"/>
          <w:sz w:val="22"/>
          <w:szCs w:val="22"/>
          <w:lang w:eastAsia="es-PE"/>
        </w:rPr>
        <w:t>Identificar lecciones aprendidas y recolectar insumos resultantes del espacio de diálogo e intercambio interactivo entre las entidades reguladoras del tema indígena en Panamá</w:t>
      </w:r>
      <w:r w:rsidR="001C0564" w:rsidRPr="007E0390">
        <w:rPr>
          <w:rFonts w:ascii="Arial" w:eastAsia="Calibri" w:hAnsi="Arial" w:cs="Arial"/>
          <w:sz w:val="22"/>
          <w:szCs w:val="22"/>
          <w:lang w:eastAsia="es-PE"/>
        </w:rPr>
        <w:t xml:space="preserve"> y </w:t>
      </w:r>
      <w:r w:rsidR="00A9295F" w:rsidRPr="007E0390">
        <w:rPr>
          <w:rFonts w:ascii="Arial" w:eastAsia="Calibri" w:hAnsi="Arial" w:cs="Arial"/>
          <w:sz w:val="22"/>
          <w:szCs w:val="22"/>
          <w:lang w:eastAsia="es-PE"/>
        </w:rPr>
        <w:t xml:space="preserve">las mismas en </w:t>
      </w:r>
      <w:r w:rsidR="001C0564" w:rsidRPr="007E0390">
        <w:rPr>
          <w:rFonts w:ascii="Arial" w:eastAsia="Calibri" w:hAnsi="Arial" w:cs="Arial"/>
          <w:sz w:val="22"/>
          <w:szCs w:val="22"/>
          <w:lang w:eastAsia="es-PE"/>
        </w:rPr>
        <w:t>Colombi</w:t>
      </w:r>
      <w:r w:rsidR="0028488F" w:rsidRPr="007E0390">
        <w:rPr>
          <w:rFonts w:ascii="Arial" w:eastAsia="Calibri" w:hAnsi="Arial" w:cs="Arial"/>
          <w:sz w:val="22"/>
          <w:szCs w:val="22"/>
          <w:lang w:eastAsia="es-PE"/>
        </w:rPr>
        <w:t>a.</w:t>
      </w:r>
      <w:r w:rsidRPr="007E0390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</w:p>
    <w:p w14:paraId="79DEBEF5" w14:textId="77777777" w:rsidR="00EE1C37" w:rsidRPr="007E0390" w:rsidRDefault="00EE1C37" w:rsidP="00E01A67">
      <w:pPr>
        <w:pStyle w:val="ListParagraph"/>
        <w:numPr>
          <w:ilvl w:val="0"/>
          <w:numId w:val="21"/>
        </w:numPr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7E0390">
        <w:rPr>
          <w:rFonts w:ascii="Arial" w:eastAsia="Calibri" w:hAnsi="Arial" w:cs="Arial"/>
          <w:sz w:val="22"/>
          <w:szCs w:val="22"/>
          <w:lang w:eastAsia="es-PE"/>
        </w:rPr>
        <w:t>Relevar y mapear la experiencia c</w:t>
      </w:r>
      <w:r w:rsidR="00DD61AB" w:rsidRPr="007E0390">
        <w:rPr>
          <w:rFonts w:ascii="Arial" w:eastAsia="Calibri" w:hAnsi="Arial" w:cs="Arial"/>
          <w:sz w:val="22"/>
          <w:szCs w:val="22"/>
          <w:lang w:eastAsia="es-PE"/>
        </w:rPr>
        <w:t>olombiana</w:t>
      </w:r>
      <w:r w:rsidRPr="007E0390">
        <w:rPr>
          <w:rFonts w:ascii="Arial" w:eastAsia="Calibri" w:hAnsi="Arial" w:cs="Arial"/>
          <w:sz w:val="22"/>
          <w:szCs w:val="22"/>
          <w:lang w:eastAsia="es-PE"/>
        </w:rPr>
        <w:t xml:space="preserve"> en cuanto al marco político, regulatorio, estadístico, tecnológico, y administrativo, para la implementación de una política pública de desarrollo económico territorial e inclusión financiera indígena a nivel nacional en Panamá.</w:t>
      </w:r>
    </w:p>
    <w:p w14:paraId="7150AB4C" w14:textId="77777777" w:rsidR="00EE1C37" w:rsidRPr="009D5FE4" w:rsidRDefault="00EE1C37" w:rsidP="00E01A67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3EC86AD6" w14:textId="77777777" w:rsidR="00EE1C37" w:rsidRPr="009D5FE4" w:rsidRDefault="00EE1C37" w:rsidP="00E01A67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  <w:r w:rsidRPr="009D5FE4">
        <w:rPr>
          <w:rFonts w:ascii="Arial" w:hAnsi="Arial" w:cs="Arial"/>
          <w:sz w:val="22"/>
          <w:szCs w:val="22"/>
        </w:rPr>
        <w:t>Este objetivo es congruente con los objetivos y normas del Programa Estratégico para el Desarrollo de Países Financiado con Capital Ordinario cuyos objetivos incluyen: “fortalecer la capacidad técnica y de gestión de los gobiernos nacionales” y “ampliar el acceso a experiencias intrarregionales y promover el intercambio de conocimientos cooperativos especializados entre todos los países miembros prestatarios”. (GN-2819-1, Sección II, párrafo 2.1).</w:t>
      </w:r>
    </w:p>
    <w:p w14:paraId="29B760B2" w14:textId="77777777" w:rsidR="00EE1C37" w:rsidRPr="00300C0F" w:rsidRDefault="003275A8" w:rsidP="00E01A67">
      <w:pPr>
        <w:pStyle w:val="ListParagraph"/>
        <w:tabs>
          <w:tab w:val="left" w:pos="3200"/>
        </w:tabs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>
        <w:rPr>
          <w:rFonts w:ascii="Arial" w:eastAsia="Calibri" w:hAnsi="Arial" w:cs="Arial"/>
          <w:sz w:val="22"/>
          <w:szCs w:val="22"/>
          <w:lang w:eastAsia="es-PE"/>
        </w:rPr>
        <w:tab/>
      </w:r>
    </w:p>
    <w:p w14:paraId="7B05550B" w14:textId="77777777" w:rsidR="00EF49EF" w:rsidRPr="00A37A8F" w:rsidRDefault="00EF49EF" w:rsidP="00E01A67">
      <w:pPr>
        <w:rPr>
          <w:rFonts w:ascii="Arial" w:eastAsia="Calibri" w:hAnsi="Arial" w:cs="Arial"/>
          <w:sz w:val="22"/>
          <w:szCs w:val="22"/>
          <w:lang w:eastAsia="es-PE"/>
        </w:rPr>
      </w:pPr>
    </w:p>
    <w:p w14:paraId="169C72AC" w14:textId="77777777" w:rsidR="003C1931" w:rsidRPr="00300C0F" w:rsidRDefault="003C1931" w:rsidP="00E01A67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300C0F">
        <w:rPr>
          <w:rFonts w:ascii="Arial" w:hAnsi="Arial" w:cs="Arial"/>
          <w:b/>
          <w:sz w:val="22"/>
          <w:szCs w:val="22"/>
        </w:rPr>
        <w:t xml:space="preserve">Concordancia con las Políticas </w:t>
      </w:r>
      <w:r w:rsidR="00ED245C" w:rsidRPr="00300C0F">
        <w:rPr>
          <w:rFonts w:ascii="Arial" w:hAnsi="Arial" w:cs="Arial"/>
          <w:b/>
          <w:sz w:val="22"/>
          <w:szCs w:val="22"/>
        </w:rPr>
        <w:t xml:space="preserve">y Estrategias </w:t>
      </w:r>
      <w:r w:rsidRPr="00300C0F">
        <w:rPr>
          <w:rFonts w:ascii="Arial" w:hAnsi="Arial" w:cs="Arial"/>
          <w:b/>
          <w:sz w:val="22"/>
          <w:szCs w:val="22"/>
        </w:rPr>
        <w:t>de Desarrollo del País</w:t>
      </w:r>
    </w:p>
    <w:p w14:paraId="0AE7E4B7" w14:textId="77777777" w:rsidR="00107FC0" w:rsidRPr="00300C0F" w:rsidRDefault="00107FC0" w:rsidP="00E01A67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7D3DE4BE" w14:textId="77777777" w:rsidR="008F0D2F" w:rsidRPr="001D70D1" w:rsidRDefault="008F0D2F" w:rsidP="00E01A67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  <w:r w:rsidRPr="001D70D1">
        <w:rPr>
          <w:rFonts w:ascii="Arial" w:hAnsi="Arial" w:cs="Arial"/>
          <w:sz w:val="22"/>
          <w:szCs w:val="22"/>
        </w:rPr>
        <w:t>La presente cooperación técnica se alinea con la Estrategia de País de Panamá vigente 2015-2019 (GN-2838), que tiene como primer objetivo prioritario (3.5) aquel de mejorar la prestación de servicios básicos a los segmentos de la población que viven en pobreza, en particular a los pueblos indígenas que habitan las comarcas; y como primera área transversal (3.31), la estrategia incorporará temas de: (i) género y diversidad.</w:t>
      </w:r>
    </w:p>
    <w:p w14:paraId="4A7D49EE" w14:textId="77777777" w:rsidR="008F0D2F" w:rsidRPr="001D70D1" w:rsidRDefault="008F0D2F" w:rsidP="00E01A67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  <w:r w:rsidRPr="001D70D1">
        <w:rPr>
          <w:rFonts w:ascii="Arial" w:hAnsi="Arial" w:cs="Arial"/>
          <w:sz w:val="22"/>
          <w:szCs w:val="22"/>
        </w:rPr>
        <w:t xml:space="preserve"> </w:t>
      </w:r>
    </w:p>
    <w:p w14:paraId="438A0182" w14:textId="0260DE29" w:rsidR="008F0D2F" w:rsidRPr="00ED7D43" w:rsidRDefault="008F0D2F" w:rsidP="00E01A67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  <w:r w:rsidRPr="001D70D1">
        <w:rPr>
          <w:rFonts w:ascii="Arial" w:hAnsi="Arial" w:cs="Arial"/>
          <w:sz w:val="22"/>
          <w:szCs w:val="22"/>
        </w:rPr>
        <w:t xml:space="preserve">Asimismo, la cooperación técnica es consistente con la Actualización de la Estrategia Institucional (UIS) 2010-2020 (AB-3008) ya que se alinea estratégicamente con el desafío de la </w:t>
      </w:r>
      <w:r w:rsidR="004823E2">
        <w:rPr>
          <w:rFonts w:ascii="Arial" w:hAnsi="Arial" w:cs="Arial"/>
          <w:sz w:val="22"/>
          <w:szCs w:val="22"/>
        </w:rPr>
        <w:t>desigualdad y la exclusión</w:t>
      </w:r>
      <w:r w:rsidRPr="001D70D1">
        <w:rPr>
          <w:rFonts w:ascii="Arial" w:hAnsi="Arial" w:cs="Arial"/>
          <w:sz w:val="22"/>
          <w:szCs w:val="22"/>
        </w:rPr>
        <w:t xml:space="preserve"> social, en particular con </w:t>
      </w:r>
      <w:r w:rsidR="00822557">
        <w:rPr>
          <w:rFonts w:ascii="Arial" w:hAnsi="Arial" w:cs="Arial"/>
          <w:sz w:val="22"/>
          <w:szCs w:val="22"/>
        </w:rPr>
        <w:t>los</w:t>
      </w:r>
      <w:r w:rsidRPr="001D70D1">
        <w:rPr>
          <w:rFonts w:ascii="Arial" w:hAnsi="Arial" w:cs="Arial"/>
          <w:sz w:val="22"/>
          <w:szCs w:val="22"/>
        </w:rPr>
        <w:t xml:space="preserve"> objetivo</w:t>
      </w:r>
      <w:r w:rsidR="00822557">
        <w:rPr>
          <w:rFonts w:ascii="Arial" w:hAnsi="Arial" w:cs="Arial"/>
          <w:sz w:val="22"/>
          <w:szCs w:val="22"/>
        </w:rPr>
        <w:t xml:space="preserve">s </w:t>
      </w:r>
      <w:r w:rsidRPr="001D70D1">
        <w:rPr>
          <w:rFonts w:ascii="Arial" w:hAnsi="Arial" w:cs="Arial"/>
          <w:sz w:val="22"/>
          <w:szCs w:val="22"/>
        </w:rPr>
        <w:t>de</w:t>
      </w:r>
      <w:r w:rsidR="00FA0B4C">
        <w:rPr>
          <w:rFonts w:ascii="Arial" w:hAnsi="Arial" w:cs="Arial"/>
          <w:sz w:val="22"/>
          <w:szCs w:val="22"/>
        </w:rPr>
        <w:t xml:space="preserve"> </w:t>
      </w:r>
      <w:r w:rsidR="004B64A9">
        <w:rPr>
          <w:rFonts w:ascii="Arial" w:hAnsi="Arial" w:cs="Arial"/>
          <w:sz w:val="22"/>
          <w:szCs w:val="22"/>
        </w:rPr>
        <w:t xml:space="preserve">erradicar la pobreza extrema, e </w:t>
      </w:r>
      <w:r w:rsidRPr="001D70D1">
        <w:rPr>
          <w:rFonts w:ascii="Arial" w:hAnsi="Arial" w:cs="Arial"/>
          <w:sz w:val="22"/>
          <w:szCs w:val="22"/>
        </w:rPr>
        <w:t xml:space="preserve">incluir a todos los segmentos de la población en los </w:t>
      </w:r>
      <w:r w:rsidRPr="00F75EBB">
        <w:rPr>
          <w:rFonts w:ascii="Arial" w:hAnsi="Arial" w:cs="Arial"/>
          <w:sz w:val="22"/>
          <w:szCs w:val="22"/>
        </w:rPr>
        <w:t xml:space="preserve">mercados </w:t>
      </w:r>
      <w:r w:rsidR="00CB7183" w:rsidRPr="00F75EBB">
        <w:rPr>
          <w:rFonts w:ascii="Arial" w:hAnsi="Arial" w:cs="Arial"/>
          <w:sz w:val="22"/>
          <w:szCs w:val="22"/>
          <w:lang w:eastAsia="es-PE"/>
        </w:rPr>
        <w:t>financieros.</w:t>
      </w:r>
      <w:r w:rsidRPr="001D70D1">
        <w:rPr>
          <w:rFonts w:ascii="Arial" w:hAnsi="Arial" w:cs="Arial"/>
          <w:sz w:val="22"/>
          <w:szCs w:val="22"/>
        </w:rPr>
        <w:t xml:space="preserve"> La cooperación técnica también se alinea estratégicamente con </w:t>
      </w:r>
      <w:r w:rsidR="009B5CFE">
        <w:rPr>
          <w:rFonts w:ascii="Arial" w:hAnsi="Arial" w:cs="Arial"/>
          <w:sz w:val="22"/>
          <w:szCs w:val="22"/>
        </w:rPr>
        <w:t>el</w:t>
      </w:r>
      <w:r w:rsidRPr="001D70D1">
        <w:rPr>
          <w:rFonts w:ascii="Arial" w:hAnsi="Arial" w:cs="Arial"/>
          <w:sz w:val="22"/>
          <w:szCs w:val="22"/>
        </w:rPr>
        <w:t xml:space="preserve"> área transversal de la </w:t>
      </w:r>
      <w:r w:rsidR="00362B31">
        <w:rPr>
          <w:rFonts w:ascii="Arial" w:hAnsi="Arial" w:cs="Arial"/>
          <w:sz w:val="22"/>
          <w:szCs w:val="22"/>
        </w:rPr>
        <w:t xml:space="preserve">igualdad de </w:t>
      </w:r>
      <w:r w:rsidRPr="001D70D1">
        <w:rPr>
          <w:rFonts w:ascii="Arial" w:hAnsi="Arial" w:cs="Arial"/>
          <w:sz w:val="22"/>
          <w:szCs w:val="22"/>
        </w:rPr>
        <w:t>género</w:t>
      </w:r>
      <w:r w:rsidR="00362B31">
        <w:rPr>
          <w:rFonts w:ascii="Arial" w:hAnsi="Arial" w:cs="Arial"/>
          <w:sz w:val="22"/>
          <w:szCs w:val="22"/>
        </w:rPr>
        <w:t xml:space="preserve"> y diversidad</w:t>
      </w:r>
      <w:r w:rsidRPr="001D70D1">
        <w:rPr>
          <w:rFonts w:ascii="Arial" w:hAnsi="Arial" w:cs="Arial"/>
          <w:sz w:val="22"/>
          <w:szCs w:val="22"/>
        </w:rPr>
        <w:t xml:space="preserve">, dado que </w:t>
      </w:r>
      <w:r w:rsidR="00362B31">
        <w:rPr>
          <w:rFonts w:ascii="Arial" w:hAnsi="Arial" w:cs="Arial"/>
          <w:sz w:val="22"/>
          <w:szCs w:val="22"/>
        </w:rPr>
        <w:t>apoyará la creación de políticas para apoyar</w:t>
      </w:r>
      <w:r w:rsidR="007F0C01">
        <w:rPr>
          <w:rFonts w:ascii="Arial" w:hAnsi="Arial" w:cs="Arial"/>
          <w:sz w:val="22"/>
          <w:szCs w:val="22"/>
        </w:rPr>
        <w:t xml:space="preserve"> a</w:t>
      </w:r>
      <w:r w:rsidR="00362B31">
        <w:rPr>
          <w:rFonts w:ascii="Arial" w:hAnsi="Arial" w:cs="Arial"/>
          <w:sz w:val="22"/>
          <w:szCs w:val="22"/>
        </w:rPr>
        <w:t xml:space="preserve"> los pueblos indígenas</w:t>
      </w:r>
      <w:r w:rsidRPr="001D70D1">
        <w:rPr>
          <w:rFonts w:ascii="Arial" w:hAnsi="Arial" w:cs="Arial"/>
          <w:sz w:val="22"/>
          <w:szCs w:val="22"/>
        </w:rPr>
        <w:t>.</w:t>
      </w:r>
    </w:p>
    <w:p w14:paraId="2068AE19" w14:textId="77777777" w:rsidR="00EA7EF8" w:rsidRPr="00300C0F" w:rsidRDefault="00EA7EF8" w:rsidP="00E01A67">
      <w:pPr>
        <w:pStyle w:val="ListParagraph"/>
        <w:ind w:left="360"/>
        <w:rPr>
          <w:rFonts w:ascii="Arial" w:eastAsia="Calibri" w:hAnsi="Arial" w:cs="Arial"/>
          <w:sz w:val="22"/>
          <w:szCs w:val="22"/>
          <w:lang w:eastAsia="es-PE"/>
        </w:rPr>
      </w:pPr>
    </w:p>
    <w:p w14:paraId="6AEBAEB3" w14:textId="77777777" w:rsidR="003C1931" w:rsidRPr="00300C0F" w:rsidRDefault="00ED245C" w:rsidP="00E01A67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300C0F">
        <w:rPr>
          <w:rFonts w:ascii="Arial" w:hAnsi="Arial" w:cs="Arial"/>
          <w:b/>
          <w:sz w:val="22"/>
          <w:szCs w:val="22"/>
        </w:rPr>
        <w:t>Cu</w:t>
      </w:r>
      <w:r w:rsidR="003C1931" w:rsidRPr="00300C0F">
        <w:rPr>
          <w:rFonts w:ascii="Arial" w:hAnsi="Arial" w:cs="Arial"/>
          <w:b/>
          <w:sz w:val="22"/>
          <w:szCs w:val="22"/>
        </w:rPr>
        <w:t>mplim</w:t>
      </w:r>
      <w:r w:rsidRPr="00300C0F">
        <w:rPr>
          <w:rFonts w:ascii="Arial" w:hAnsi="Arial" w:cs="Arial"/>
          <w:b/>
          <w:sz w:val="22"/>
          <w:szCs w:val="22"/>
        </w:rPr>
        <w:t>iento de las Normas y C</w:t>
      </w:r>
      <w:r w:rsidR="003C1931" w:rsidRPr="00300C0F">
        <w:rPr>
          <w:rFonts w:ascii="Arial" w:hAnsi="Arial" w:cs="Arial"/>
          <w:b/>
          <w:sz w:val="22"/>
          <w:szCs w:val="22"/>
        </w:rPr>
        <w:t>ondiciones del Banco</w:t>
      </w:r>
    </w:p>
    <w:p w14:paraId="6E99FD04" w14:textId="77777777" w:rsidR="00ED245C" w:rsidRPr="00300C0F" w:rsidRDefault="00ED245C" w:rsidP="00E01A67">
      <w:pPr>
        <w:pStyle w:val="ListParagraph"/>
        <w:ind w:left="360"/>
        <w:rPr>
          <w:rFonts w:ascii="Arial" w:eastAsia="Calibri" w:hAnsi="Arial" w:cs="Arial"/>
          <w:sz w:val="22"/>
          <w:szCs w:val="22"/>
          <w:lang w:eastAsia="es-PE"/>
        </w:rPr>
      </w:pPr>
    </w:p>
    <w:p w14:paraId="248C6330" w14:textId="5FA695D0" w:rsidR="00FC6648" w:rsidRPr="00300C0F" w:rsidRDefault="00FC6648" w:rsidP="00E01A67">
      <w:pPr>
        <w:pStyle w:val="ListParagraph"/>
        <w:ind w:left="360"/>
        <w:jc w:val="both"/>
        <w:rPr>
          <w:rFonts w:ascii="Arial" w:hAnsi="Arial" w:cs="Arial"/>
          <w:b/>
          <w:sz w:val="22"/>
          <w:szCs w:val="22"/>
        </w:rPr>
      </w:pPr>
      <w:r w:rsidRPr="00300C0F">
        <w:rPr>
          <w:rFonts w:ascii="Arial" w:hAnsi="Arial" w:cs="Arial"/>
          <w:sz w:val="22"/>
          <w:szCs w:val="22"/>
        </w:rPr>
        <w:t xml:space="preserve">El Banco ha recibido las comunicaciones oficiales de </w:t>
      </w:r>
      <w:r w:rsidR="008F0D2F">
        <w:rPr>
          <w:rFonts w:ascii="Arial" w:hAnsi="Arial" w:cs="Arial"/>
          <w:sz w:val="22"/>
          <w:szCs w:val="22"/>
        </w:rPr>
        <w:t xml:space="preserve">solicitud del Ministerio de </w:t>
      </w:r>
      <w:r w:rsidR="00D37814">
        <w:rPr>
          <w:rFonts w:ascii="Arial" w:hAnsi="Arial" w:cs="Arial"/>
          <w:sz w:val="22"/>
          <w:szCs w:val="22"/>
        </w:rPr>
        <w:t xml:space="preserve">Economía y </w:t>
      </w:r>
      <w:r w:rsidR="008F0D2F">
        <w:rPr>
          <w:rFonts w:ascii="Arial" w:hAnsi="Arial" w:cs="Arial"/>
          <w:sz w:val="22"/>
          <w:szCs w:val="22"/>
        </w:rPr>
        <w:t xml:space="preserve">Finanzas de Panamá para financiar las actividades antes indicadas. </w:t>
      </w:r>
      <w:r w:rsidRPr="00300C0F">
        <w:rPr>
          <w:rFonts w:ascii="Arial" w:hAnsi="Arial" w:cs="Arial"/>
          <w:sz w:val="22"/>
          <w:szCs w:val="22"/>
        </w:rPr>
        <w:t>La solicitud de financiamiento es congruente con los objetivos y normas del Programa Estratégico para el Desarrollo de Países Financiado con Capital Ordinario</w:t>
      </w:r>
      <w:r w:rsidR="00C70220" w:rsidRPr="00300C0F">
        <w:rPr>
          <w:rFonts w:ascii="Arial" w:hAnsi="Arial" w:cs="Arial"/>
          <w:sz w:val="22"/>
          <w:szCs w:val="22"/>
        </w:rPr>
        <w:t xml:space="preserve"> (</w:t>
      </w:r>
      <w:r w:rsidRPr="00300C0F">
        <w:rPr>
          <w:rFonts w:ascii="Arial" w:hAnsi="Arial" w:cs="Arial"/>
          <w:sz w:val="22"/>
          <w:szCs w:val="22"/>
        </w:rPr>
        <w:t>GN-2819-1, Sección II).</w:t>
      </w:r>
      <w:r w:rsidR="00664A5F" w:rsidRPr="00300C0F">
        <w:rPr>
          <w:rFonts w:ascii="Arial" w:eastAsia="Calibri" w:hAnsi="Arial" w:cs="Arial"/>
          <w:sz w:val="22"/>
          <w:szCs w:val="22"/>
          <w:lang w:eastAsia="es-PE"/>
        </w:rPr>
        <w:t xml:space="preserve"> Las actividades propuestas son consistentes con las actividades elegibles del citado Programa, entre las cuales se prevé “Actividades de intercambio y difusión de conocimientos (…) o actividades que fortalezcan el diálogo y la cooperación, con la participación de representantes de sectores público y privado.” (GN-2319-1, Sección II, párrafo 2.29, inciso 9).</w:t>
      </w:r>
    </w:p>
    <w:p w14:paraId="38C5EF18" w14:textId="77777777" w:rsidR="00107FC0" w:rsidRPr="00300C0F" w:rsidRDefault="00107FC0" w:rsidP="00ED245C">
      <w:pPr>
        <w:pStyle w:val="ListParagraph"/>
        <w:ind w:left="360"/>
        <w:rPr>
          <w:rFonts w:ascii="Arial" w:eastAsia="Calibri" w:hAnsi="Arial" w:cs="Arial"/>
          <w:sz w:val="22"/>
          <w:szCs w:val="22"/>
          <w:lang w:eastAsia="es-PE"/>
        </w:rPr>
      </w:pPr>
    </w:p>
    <w:p w14:paraId="1C725093" w14:textId="77777777" w:rsidR="00107FC0" w:rsidRPr="00300C0F" w:rsidRDefault="00107FC0" w:rsidP="00107FC0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300C0F">
        <w:rPr>
          <w:rFonts w:ascii="Arial" w:hAnsi="Arial" w:cs="Arial"/>
          <w:b/>
          <w:sz w:val="22"/>
          <w:szCs w:val="22"/>
        </w:rPr>
        <w:t>Participantes</w:t>
      </w:r>
    </w:p>
    <w:p w14:paraId="6889DD9C" w14:textId="77777777" w:rsidR="003E1FBE" w:rsidRPr="00300C0F" w:rsidRDefault="003E1FBE" w:rsidP="003E1FBE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0C078B15" w14:textId="5CAAECED" w:rsidR="00713DFD" w:rsidRDefault="00A04CD3" w:rsidP="00A04CD3">
      <w:pPr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E01A67">
        <w:rPr>
          <w:rFonts w:ascii="Arial" w:eastAsia="Calibri" w:hAnsi="Arial" w:cs="Arial"/>
          <w:sz w:val="22"/>
          <w:szCs w:val="22"/>
          <w:lang w:eastAsia="es-PE"/>
        </w:rPr>
        <w:lastRenderedPageBreak/>
        <w:t>Los participantes seleccionados viajarían</w:t>
      </w:r>
      <w:r w:rsidR="00C336E8" w:rsidRPr="00E01A67">
        <w:rPr>
          <w:rFonts w:ascii="Arial" w:eastAsia="Calibri" w:hAnsi="Arial" w:cs="Arial"/>
          <w:sz w:val="22"/>
          <w:szCs w:val="22"/>
          <w:lang w:eastAsia="es-PE"/>
        </w:rPr>
        <w:t xml:space="preserve"> a </w:t>
      </w:r>
      <w:r w:rsidR="00913734" w:rsidRPr="00E01A67">
        <w:rPr>
          <w:rFonts w:ascii="Arial" w:eastAsia="Calibri" w:hAnsi="Arial" w:cs="Arial"/>
          <w:sz w:val="22"/>
          <w:szCs w:val="22"/>
          <w:lang w:eastAsia="es-PE"/>
        </w:rPr>
        <w:t>Bogotá y a la Guajira, Colombia</w:t>
      </w:r>
      <w:r w:rsidR="00C336E8" w:rsidRPr="00E01A67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Pr="00E01A67">
        <w:rPr>
          <w:rFonts w:ascii="Arial" w:eastAsia="Calibri" w:hAnsi="Arial" w:cs="Arial"/>
          <w:sz w:val="22"/>
          <w:szCs w:val="22"/>
          <w:lang w:eastAsia="es-PE"/>
        </w:rPr>
        <w:t xml:space="preserve">por </w:t>
      </w:r>
      <w:r w:rsidR="00913734" w:rsidRPr="00E01A67">
        <w:rPr>
          <w:rFonts w:ascii="Arial" w:eastAsia="Calibri" w:hAnsi="Arial" w:cs="Arial"/>
          <w:sz w:val="22"/>
          <w:szCs w:val="22"/>
          <w:lang w:eastAsia="es-PE"/>
        </w:rPr>
        <w:t>cinco días</w:t>
      </w:r>
      <w:r w:rsidRPr="00E01A67">
        <w:rPr>
          <w:rFonts w:ascii="Arial" w:eastAsia="Calibri" w:hAnsi="Arial" w:cs="Arial"/>
          <w:sz w:val="22"/>
          <w:szCs w:val="22"/>
          <w:lang w:eastAsia="es-PE"/>
        </w:rPr>
        <w:t xml:space="preserve"> con el propósito de cumplir con el programa de </w:t>
      </w:r>
      <w:r w:rsidR="006C05BC" w:rsidRPr="00300C0F">
        <w:rPr>
          <w:rFonts w:ascii="Arial" w:hAnsi="Arial" w:cs="Arial"/>
          <w:sz w:val="22"/>
          <w:szCs w:val="22"/>
        </w:rPr>
        <w:t>actividades.</w:t>
      </w:r>
    </w:p>
    <w:p w14:paraId="63321BF9" w14:textId="5278415C" w:rsidR="00A40772" w:rsidRDefault="00A40772" w:rsidP="00A04CD3">
      <w:pPr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</w:p>
    <w:p w14:paraId="6A704727" w14:textId="32A7575A" w:rsidR="00A40772" w:rsidRPr="00E01A67" w:rsidRDefault="006C0EB8" w:rsidP="00A04CD3">
      <w:pPr>
        <w:ind w:left="360"/>
        <w:jc w:val="both"/>
        <w:rPr>
          <w:rFonts w:ascii="Arial" w:eastAsia="Calibri" w:hAnsi="Arial" w:cs="Arial"/>
          <w:sz w:val="22"/>
          <w:szCs w:val="22"/>
          <w:lang w:eastAsia="es-PE"/>
        </w:rPr>
      </w:pPr>
      <w:r w:rsidRPr="006C0EB8">
        <w:rPr>
          <w:rFonts w:ascii="Arial" w:eastAsia="Calibri" w:hAnsi="Arial" w:cs="Arial"/>
          <w:sz w:val="22"/>
          <w:szCs w:val="22"/>
          <w:lang w:eastAsia="es-PE"/>
        </w:rPr>
        <w:t>El Ministerio de Gobierno ha solicitado apoyo del BID en la reglamentación de los nuevos decretos 202 y 203 dirigidos a la creación del Consejo Nacional de Desarrollo Integral de los Pueblos Indígenas (mecanismo de articulación entre las 12 representaciones indígenas y el Gobierno).  El proceso de reglamentación de los decretos será un ejercicio conjunto entre la gobernanza indígena, conformada por el Consejo Nacional de Desarrollo Integral de Pueblos Indígenas, y el Gobierno de Panamá. El Ministerio de Gobierno ha solicitado un</w:t>
      </w:r>
      <w:r w:rsidR="008914AF">
        <w:rPr>
          <w:rFonts w:ascii="Arial" w:eastAsia="Calibri" w:hAnsi="Arial" w:cs="Arial"/>
          <w:sz w:val="22"/>
          <w:szCs w:val="22"/>
          <w:lang w:eastAsia="es-PE"/>
        </w:rPr>
        <w:t>a</w:t>
      </w:r>
      <w:r w:rsidRPr="006C0EB8">
        <w:rPr>
          <w:rFonts w:ascii="Arial" w:eastAsia="Calibri" w:hAnsi="Arial" w:cs="Arial"/>
          <w:sz w:val="22"/>
          <w:szCs w:val="22"/>
          <w:lang w:eastAsia="es-PE"/>
        </w:rPr>
        <w:t xml:space="preserve"> CT INTRA para conocer la experiencia de Colombia en materia de legislación indígena, cuyos participantes serán técnicos del Consejo Nacional y funcionarios del </w:t>
      </w:r>
      <w:proofErr w:type="gramStart"/>
      <w:r w:rsidRPr="006C0EB8">
        <w:rPr>
          <w:rFonts w:ascii="Arial" w:eastAsia="Calibri" w:hAnsi="Arial" w:cs="Arial"/>
          <w:sz w:val="22"/>
          <w:szCs w:val="22"/>
          <w:lang w:eastAsia="es-PE"/>
        </w:rPr>
        <w:t>Vice</w:t>
      </w:r>
      <w:r w:rsidR="002C1F33">
        <w:rPr>
          <w:rFonts w:ascii="Arial" w:eastAsia="Calibri" w:hAnsi="Arial" w:cs="Arial"/>
          <w:sz w:val="22"/>
          <w:szCs w:val="22"/>
          <w:lang w:eastAsia="es-PE"/>
        </w:rPr>
        <w:t xml:space="preserve"> </w:t>
      </w:r>
      <w:r w:rsidRPr="006C0EB8">
        <w:rPr>
          <w:rFonts w:ascii="Arial" w:eastAsia="Calibri" w:hAnsi="Arial" w:cs="Arial"/>
          <w:sz w:val="22"/>
          <w:szCs w:val="22"/>
          <w:lang w:eastAsia="es-PE"/>
        </w:rPr>
        <w:t>Ministerio</w:t>
      </w:r>
      <w:proofErr w:type="gramEnd"/>
      <w:r w:rsidRPr="006C0EB8">
        <w:rPr>
          <w:rFonts w:ascii="Arial" w:eastAsia="Calibri" w:hAnsi="Arial" w:cs="Arial"/>
          <w:sz w:val="22"/>
          <w:szCs w:val="22"/>
          <w:lang w:eastAsia="es-PE"/>
        </w:rPr>
        <w:t xml:space="preserve"> de Asuntos Indígenas y del Ministerio de Gobierno quienes liderar</w:t>
      </w:r>
      <w:r w:rsidR="002C1F33">
        <w:rPr>
          <w:rFonts w:ascii="Arial" w:eastAsia="Calibri" w:hAnsi="Arial" w:cs="Arial"/>
          <w:sz w:val="22"/>
          <w:szCs w:val="22"/>
          <w:lang w:eastAsia="es-PE"/>
        </w:rPr>
        <w:t>á</w:t>
      </w:r>
      <w:r w:rsidRPr="006C0EB8">
        <w:rPr>
          <w:rFonts w:ascii="Arial" w:eastAsia="Calibri" w:hAnsi="Arial" w:cs="Arial"/>
          <w:sz w:val="22"/>
          <w:szCs w:val="22"/>
          <w:lang w:eastAsia="es-PE"/>
        </w:rPr>
        <w:t xml:space="preserve">n el proceso de reglamentación.  La delegación de técnicos seleccionados que viajará a Colombia </w:t>
      </w:r>
      <w:r w:rsidR="00F75EBB" w:rsidRPr="006C0EB8">
        <w:rPr>
          <w:rFonts w:ascii="Arial" w:eastAsia="Calibri" w:hAnsi="Arial" w:cs="Arial"/>
          <w:sz w:val="22"/>
          <w:szCs w:val="22"/>
          <w:lang w:eastAsia="es-PE"/>
        </w:rPr>
        <w:t>forma</w:t>
      </w:r>
      <w:r w:rsidRPr="006C0EB8">
        <w:rPr>
          <w:rFonts w:ascii="Arial" w:eastAsia="Calibri" w:hAnsi="Arial" w:cs="Arial"/>
          <w:sz w:val="22"/>
          <w:szCs w:val="22"/>
          <w:lang w:eastAsia="es-PE"/>
        </w:rPr>
        <w:t xml:space="preserve"> parte de las estructuras indígenas del Consejo y del Gobierno involucrados en el desarrollo indígena del país. Se considera que todos los delegados tendrán un protagonismo central en la reglamentación de los decretos.</w:t>
      </w:r>
    </w:p>
    <w:p w14:paraId="171BCB03" w14:textId="00478879" w:rsidR="001D583C" w:rsidRDefault="001D583C" w:rsidP="00A04CD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34B4620" w14:textId="77777777" w:rsidR="001D583C" w:rsidRPr="00300C0F" w:rsidRDefault="001D583C" w:rsidP="00A04CD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86F5D34" w14:textId="77777777" w:rsidR="00A04CD3" w:rsidRPr="00300C0F" w:rsidRDefault="00A04CD3" w:rsidP="003E1FBE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005" w:type="dxa"/>
        <w:jc w:val="right"/>
        <w:tblLook w:val="04A0" w:firstRow="1" w:lastRow="0" w:firstColumn="1" w:lastColumn="0" w:noHBand="0" w:noVBand="1"/>
      </w:tblPr>
      <w:tblGrid>
        <w:gridCol w:w="539"/>
        <w:gridCol w:w="2426"/>
        <w:gridCol w:w="3330"/>
        <w:gridCol w:w="2710"/>
      </w:tblGrid>
      <w:tr w:rsidR="00B63B5C" w:rsidRPr="00300C0F" w14:paraId="4725C9A3" w14:textId="6ED35ABE" w:rsidTr="00354B98">
        <w:trPr>
          <w:trHeight w:val="288"/>
          <w:jc w:val="right"/>
        </w:trPr>
        <w:tc>
          <w:tcPr>
            <w:tcW w:w="9005" w:type="dxa"/>
            <w:gridSpan w:val="4"/>
            <w:shd w:val="clear" w:color="auto" w:fill="BFBFBF" w:themeFill="background1" w:themeFillShade="BF"/>
            <w:vAlign w:val="center"/>
          </w:tcPr>
          <w:p w14:paraId="03574CB1" w14:textId="40F76B12" w:rsidR="00B63B5C" w:rsidRPr="00300C0F" w:rsidRDefault="00B63B5C" w:rsidP="00107FC0">
            <w:pPr>
              <w:pStyle w:val="Listavistosa-nfasis1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bookmarkStart w:id="1" w:name="_Hlk485913201"/>
            <w:r w:rsidRPr="00300C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Lista de Participantes</w:t>
            </w:r>
          </w:p>
        </w:tc>
      </w:tr>
      <w:tr w:rsidR="00B63B5C" w:rsidRPr="00300C0F" w14:paraId="07ECAB65" w14:textId="796B097F" w:rsidTr="007F0C01">
        <w:trPr>
          <w:trHeight w:val="288"/>
          <w:jc w:val="right"/>
        </w:trPr>
        <w:tc>
          <w:tcPr>
            <w:tcW w:w="539" w:type="dxa"/>
            <w:shd w:val="clear" w:color="auto" w:fill="BFBFBF" w:themeFill="background1" w:themeFillShade="BF"/>
            <w:vAlign w:val="center"/>
          </w:tcPr>
          <w:p w14:paraId="0FB559EB" w14:textId="5169A54E" w:rsidR="00B63B5C" w:rsidRPr="00300C0F" w:rsidRDefault="00B63B5C" w:rsidP="00107FC0">
            <w:pPr>
              <w:pStyle w:val="Listavistosa-nfasis1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No.</w:t>
            </w:r>
          </w:p>
        </w:tc>
        <w:tc>
          <w:tcPr>
            <w:tcW w:w="2426" w:type="dxa"/>
            <w:shd w:val="clear" w:color="auto" w:fill="BFBFBF" w:themeFill="background1" w:themeFillShade="BF"/>
            <w:vAlign w:val="center"/>
          </w:tcPr>
          <w:p w14:paraId="3B474ED5" w14:textId="20483BF9" w:rsidR="00B63B5C" w:rsidRPr="00300C0F" w:rsidRDefault="00B63B5C" w:rsidP="00107FC0">
            <w:pPr>
              <w:pStyle w:val="Listavistosa-nfasis1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3330" w:type="dxa"/>
            <w:shd w:val="clear" w:color="auto" w:fill="BFBFBF" w:themeFill="background1" w:themeFillShade="BF"/>
            <w:vAlign w:val="center"/>
          </w:tcPr>
          <w:p w14:paraId="39A81FA4" w14:textId="1F1DB26E" w:rsidR="00B63B5C" w:rsidRPr="00300C0F" w:rsidRDefault="00B63B5C" w:rsidP="00107FC0">
            <w:pPr>
              <w:pStyle w:val="Listavistosa-nfasis1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2710" w:type="dxa"/>
            <w:shd w:val="clear" w:color="auto" w:fill="BFBFBF" w:themeFill="background1" w:themeFillShade="BF"/>
          </w:tcPr>
          <w:p w14:paraId="01D29D64" w14:textId="76C4DD4F" w:rsidR="00B63B5C" w:rsidRPr="00300C0F" w:rsidRDefault="00B63B5C" w:rsidP="00107FC0">
            <w:pPr>
              <w:pStyle w:val="Listavistosa-nfasis1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Institución</w:t>
            </w:r>
          </w:p>
        </w:tc>
      </w:tr>
      <w:tr w:rsidR="00FC1166" w:rsidRPr="00300C0F" w14:paraId="07A0FCED" w14:textId="3AD44D0A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1D77FFA9" w14:textId="1A583943" w:rsidR="00FC1166" w:rsidRPr="00300C0F" w:rsidRDefault="00FC1166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1F97C92F" w14:textId="69D7B3F2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Chenier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Carpio</w:t>
            </w:r>
          </w:p>
        </w:tc>
        <w:tc>
          <w:tcPr>
            <w:tcW w:w="3330" w:type="dxa"/>
            <w:vAlign w:val="center"/>
          </w:tcPr>
          <w:p w14:paraId="1D0DCFA7" w14:textId="56F72A6B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Presidente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Congreso</w:t>
            </w:r>
            <w:proofErr w:type="spellEnd"/>
          </w:p>
        </w:tc>
        <w:tc>
          <w:tcPr>
            <w:tcW w:w="2710" w:type="dxa"/>
            <w:vAlign w:val="center"/>
          </w:tcPr>
          <w:p w14:paraId="35E40502" w14:textId="3D17135E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Congreso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Nacional  Pueblo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Wounaan</w:t>
            </w:r>
            <w:proofErr w:type="spellEnd"/>
          </w:p>
        </w:tc>
      </w:tr>
      <w:tr w:rsidR="00FC1166" w:rsidRPr="00300C0F" w14:paraId="749DC959" w14:textId="16F74A33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4613CE23" w14:textId="7D9C3EFD" w:rsidR="00FC1166" w:rsidRPr="00300C0F" w:rsidRDefault="00FC1166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00D7FDD8" w14:textId="131F32FE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Demesio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Case</w:t>
            </w:r>
          </w:p>
        </w:tc>
        <w:tc>
          <w:tcPr>
            <w:tcW w:w="3330" w:type="dxa"/>
            <w:vAlign w:val="center"/>
          </w:tcPr>
          <w:p w14:paraId="7931F4DF" w14:textId="63231D4A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Presidente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Congreso</w:t>
            </w:r>
            <w:proofErr w:type="spellEnd"/>
          </w:p>
        </w:tc>
        <w:tc>
          <w:tcPr>
            <w:tcW w:w="2710" w:type="dxa"/>
            <w:vAlign w:val="center"/>
          </w:tcPr>
          <w:p w14:paraId="0C8C1211" w14:textId="593783FD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Comarca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Ngäbe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Buglé</w:t>
            </w:r>
            <w:proofErr w:type="spellEnd"/>
          </w:p>
        </w:tc>
      </w:tr>
      <w:tr w:rsidR="00FC1166" w:rsidRPr="00300C0F" w14:paraId="0F07DD65" w14:textId="5155E027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64425DDB" w14:textId="27E641A6" w:rsidR="00FC1166" w:rsidRPr="00300C0F" w:rsidRDefault="00FC1166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61178495" w14:textId="2EF3F937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Sara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Omi</w:t>
            </w:r>
            <w:proofErr w:type="spellEnd"/>
          </w:p>
        </w:tc>
        <w:tc>
          <w:tcPr>
            <w:tcW w:w="3330" w:type="dxa"/>
            <w:vAlign w:val="center"/>
          </w:tcPr>
          <w:p w14:paraId="5E4622CA" w14:textId="55279897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Presidenta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Congreso</w:t>
            </w:r>
            <w:proofErr w:type="spellEnd"/>
          </w:p>
        </w:tc>
        <w:tc>
          <w:tcPr>
            <w:tcW w:w="2710" w:type="dxa"/>
            <w:vAlign w:val="center"/>
          </w:tcPr>
          <w:p w14:paraId="43B19758" w14:textId="209799B7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Congreso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General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Emberá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– Alto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Bayano</w:t>
            </w:r>
            <w:proofErr w:type="spellEnd"/>
          </w:p>
        </w:tc>
      </w:tr>
      <w:tr w:rsidR="00A43776" w:rsidRPr="00300C0F" w14:paraId="27D8ECE8" w14:textId="5D57B7A8" w:rsidTr="008F6504">
        <w:trPr>
          <w:trHeight w:val="288"/>
          <w:jc w:val="right"/>
        </w:trPr>
        <w:tc>
          <w:tcPr>
            <w:tcW w:w="539" w:type="dxa"/>
            <w:vAlign w:val="center"/>
          </w:tcPr>
          <w:p w14:paraId="3BC517AD" w14:textId="66850C63" w:rsidR="00A43776" w:rsidRPr="00300C0F" w:rsidRDefault="00A43776" w:rsidP="00A4377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132A133B" w14:textId="6B5DBAF1" w:rsidR="00A43776" w:rsidRPr="00300C0F" w:rsidRDefault="00A43776" w:rsidP="00A43776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Harold Gómez</w:t>
            </w:r>
          </w:p>
        </w:tc>
        <w:tc>
          <w:tcPr>
            <w:tcW w:w="3330" w:type="dxa"/>
          </w:tcPr>
          <w:p w14:paraId="50306792" w14:textId="7D196D84" w:rsidR="00A43776" w:rsidRPr="00300C0F" w:rsidRDefault="00A43776" w:rsidP="00A43776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Asesor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técnico</w:t>
            </w:r>
            <w:proofErr w:type="spellEnd"/>
          </w:p>
        </w:tc>
        <w:tc>
          <w:tcPr>
            <w:tcW w:w="2710" w:type="dxa"/>
          </w:tcPr>
          <w:p w14:paraId="6C021B29" w14:textId="22BF6870" w:rsidR="00A43776" w:rsidRPr="00300C0F" w:rsidRDefault="00A43776" w:rsidP="00A43776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Anas Wayuu </w:t>
            </w:r>
          </w:p>
        </w:tc>
      </w:tr>
      <w:tr w:rsidR="00FC1166" w:rsidRPr="00300C0F" w14:paraId="28E9BE2C" w14:textId="77777777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5162CB26" w14:textId="77777777" w:rsidR="00FC1166" w:rsidRPr="00300C0F" w:rsidRDefault="00FC1166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56186445" w14:textId="50E6F3F7" w:rsidR="00FC1166" w:rsidRPr="00300C0F" w:rsidRDefault="006563F3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Abigail Grajales Cabrera</w:t>
            </w:r>
          </w:p>
        </w:tc>
        <w:tc>
          <w:tcPr>
            <w:tcW w:w="3330" w:type="dxa"/>
            <w:vAlign w:val="center"/>
          </w:tcPr>
          <w:p w14:paraId="00CB8163" w14:textId="4D350544" w:rsidR="00FC1166" w:rsidRPr="00FC1166" w:rsidRDefault="00731A02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Presidente del Congreso</w:t>
            </w:r>
          </w:p>
        </w:tc>
        <w:tc>
          <w:tcPr>
            <w:tcW w:w="2710" w:type="dxa"/>
            <w:vAlign w:val="center"/>
          </w:tcPr>
          <w:p w14:paraId="1A2F7009" w14:textId="1BCB7492" w:rsidR="00FC1166" w:rsidRPr="00300C0F" w:rsidRDefault="00731A02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Congreso General de Tierras Colectivas Emberá y Wounaan</w:t>
            </w:r>
          </w:p>
        </w:tc>
      </w:tr>
      <w:tr w:rsidR="00FC1166" w:rsidRPr="00300C0F" w14:paraId="03BDD817" w14:textId="77777777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1A3B3CEB" w14:textId="77777777" w:rsidR="00FC1166" w:rsidRPr="00300C0F" w:rsidRDefault="00FC1166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6D9CCF6C" w14:textId="408ACF60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Nicanor González</w:t>
            </w:r>
          </w:p>
        </w:tc>
        <w:tc>
          <w:tcPr>
            <w:tcW w:w="3330" w:type="dxa"/>
            <w:vAlign w:val="center"/>
          </w:tcPr>
          <w:p w14:paraId="33CE4A16" w14:textId="2517A9AC" w:rsidR="00FC1166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 del Plan de Desarrollo</w:t>
            </w:r>
          </w:p>
        </w:tc>
        <w:tc>
          <w:tcPr>
            <w:tcW w:w="2710" w:type="dxa"/>
            <w:vAlign w:val="center"/>
          </w:tcPr>
          <w:p w14:paraId="0BFCFE8B" w14:textId="31B0C6F5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Vice-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Ministerio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Asuntos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Indígenas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, MINGOB</w:t>
            </w:r>
          </w:p>
        </w:tc>
      </w:tr>
      <w:tr w:rsidR="00FC1166" w:rsidRPr="00300C0F" w14:paraId="06EC10CC" w14:textId="77777777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1704CA6B" w14:textId="77777777" w:rsidR="00FC1166" w:rsidRPr="00300C0F" w:rsidRDefault="00FC1166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2DD61A74" w14:textId="28425FE8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Dayra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Dawson</w:t>
            </w:r>
          </w:p>
        </w:tc>
        <w:tc>
          <w:tcPr>
            <w:tcW w:w="3330" w:type="dxa"/>
            <w:vAlign w:val="center"/>
          </w:tcPr>
          <w:p w14:paraId="09C194BC" w14:textId="0617E2F7" w:rsidR="00FC1166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Coordinadora de Planes y Programas</w:t>
            </w:r>
          </w:p>
        </w:tc>
        <w:tc>
          <w:tcPr>
            <w:tcW w:w="2710" w:type="dxa"/>
            <w:vAlign w:val="center"/>
          </w:tcPr>
          <w:p w14:paraId="62739370" w14:textId="65CD6631" w:rsidR="00FC1166" w:rsidRPr="00300C0F" w:rsidRDefault="00FC1166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de Planificación y Cooperación Internacional, MINGOB</w:t>
            </w:r>
          </w:p>
        </w:tc>
      </w:tr>
      <w:tr w:rsidR="00FF5274" w:rsidRPr="00300C0F" w14:paraId="572A07A4" w14:textId="77777777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7ED72FC4" w14:textId="77777777" w:rsidR="00FF5274" w:rsidRPr="00300C0F" w:rsidRDefault="00FF5274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2050807F" w14:textId="2932CB19" w:rsidR="00FF5274" w:rsidRPr="00FF5274" w:rsidRDefault="00FF5274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Iv</w:t>
            </w:r>
            <w:r w:rsidR="00BC1634">
              <w:rPr>
                <w:rFonts w:ascii="Arial" w:hAnsi="Arial" w:cs="Arial"/>
                <w:sz w:val="18"/>
                <w:szCs w:val="18"/>
                <w:lang w:val="es-ES"/>
              </w:rPr>
              <w:t xml:space="preserve">án </w:t>
            </w:r>
            <w:proofErr w:type="spellStart"/>
            <w:r w:rsidR="00BC1634">
              <w:rPr>
                <w:rFonts w:ascii="Arial" w:hAnsi="Arial" w:cs="Arial"/>
                <w:sz w:val="18"/>
                <w:szCs w:val="18"/>
                <w:lang w:val="es-ES"/>
              </w:rPr>
              <w:t>Jaripio</w:t>
            </w:r>
            <w:proofErr w:type="spellEnd"/>
            <w:r w:rsidR="00BC1634">
              <w:rPr>
                <w:rFonts w:ascii="Arial" w:hAnsi="Arial" w:cs="Arial"/>
                <w:sz w:val="18"/>
                <w:szCs w:val="18"/>
                <w:lang w:val="es-ES"/>
              </w:rPr>
              <w:t xml:space="preserve"> Olea</w:t>
            </w:r>
          </w:p>
        </w:tc>
        <w:tc>
          <w:tcPr>
            <w:tcW w:w="3330" w:type="dxa"/>
            <w:vAlign w:val="center"/>
          </w:tcPr>
          <w:p w14:paraId="4B5E3937" w14:textId="4429AF78" w:rsidR="00FF5274" w:rsidRDefault="00A8327F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Representante de </w:t>
            </w:r>
            <w:r w:rsidR="00FD5969">
              <w:rPr>
                <w:rFonts w:ascii="Arial" w:hAnsi="Arial" w:cs="Arial"/>
                <w:sz w:val="18"/>
                <w:szCs w:val="18"/>
              </w:rPr>
              <w:t>Comunicaciones</w:t>
            </w:r>
          </w:p>
        </w:tc>
        <w:tc>
          <w:tcPr>
            <w:tcW w:w="2710" w:type="dxa"/>
            <w:vAlign w:val="center"/>
          </w:tcPr>
          <w:p w14:paraId="78C5CBD8" w14:textId="007DB79B" w:rsidR="00FF5274" w:rsidRDefault="00BC1634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Comarca Emberá-Wounaan</w:t>
            </w:r>
          </w:p>
        </w:tc>
      </w:tr>
      <w:tr w:rsidR="005F50FE" w:rsidRPr="00300C0F" w14:paraId="36389152" w14:textId="77777777" w:rsidTr="007F0C01">
        <w:trPr>
          <w:trHeight w:val="288"/>
          <w:jc w:val="right"/>
        </w:trPr>
        <w:tc>
          <w:tcPr>
            <w:tcW w:w="539" w:type="dxa"/>
            <w:vAlign w:val="center"/>
          </w:tcPr>
          <w:p w14:paraId="24626213" w14:textId="77777777" w:rsidR="005F50FE" w:rsidRPr="00300C0F" w:rsidRDefault="005F50FE" w:rsidP="00FC1166">
            <w:pPr>
              <w:pStyle w:val="Listavistosa-nfasis11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26" w:type="dxa"/>
            <w:vAlign w:val="center"/>
          </w:tcPr>
          <w:p w14:paraId="6D59374F" w14:textId="40552AC5" w:rsidR="005F50FE" w:rsidRDefault="005F50FE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Yanisbeth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González</w:t>
            </w:r>
          </w:p>
        </w:tc>
        <w:tc>
          <w:tcPr>
            <w:tcW w:w="3330" w:type="dxa"/>
            <w:vAlign w:val="center"/>
          </w:tcPr>
          <w:p w14:paraId="12ABCBB0" w14:textId="479E0726" w:rsidR="005F50FE" w:rsidRDefault="005F50FE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Asesora Legal</w:t>
            </w:r>
          </w:p>
        </w:tc>
        <w:tc>
          <w:tcPr>
            <w:tcW w:w="2710" w:type="dxa"/>
            <w:vAlign w:val="center"/>
          </w:tcPr>
          <w:p w14:paraId="63B1C752" w14:textId="2AEF8D8C" w:rsidR="005F50FE" w:rsidRDefault="005F50FE" w:rsidP="007F0C01">
            <w:pPr>
              <w:pStyle w:val="Listavistosa-nfasis11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Congreso</w:t>
            </w:r>
            <w:r w:rsidR="00361EC7">
              <w:rPr>
                <w:rFonts w:ascii="Arial" w:hAnsi="Arial" w:cs="Arial"/>
                <w:sz w:val="18"/>
                <w:szCs w:val="18"/>
              </w:rPr>
              <w:t xml:space="preserve"> General Guna Yala</w:t>
            </w:r>
          </w:p>
        </w:tc>
      </w:tr>
      <w:bookmarkEnd w:id="1"/>
    </w:tbl>
    <w:p w14:paraId="4805413E" w14:textId="77777777" w:rsidR="00DB2F93" w:rsidRPr="00300C0F" w:rsidRDefault="00DB2F93" w:rsidP="003E1FBE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0CA4D3E0" w14:textId="77777777" w:rsidR="00307E54" w:rsidRPr="00300C0F" w:rsidRDefault="00591066" w:rsidP="00713DFD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300C0F">
        <w:rPr>
          <w:rFonts w:ascii="Arial" w:hAnsi="Arial" w:cs="Arial"/>
          <w:b/>
          <w:sz w:val="22"/>
          <w:szCs w:val="22"/>
        </w:rPr>
        <w:t>Presupuesto</w:t>
      </w:r>
    </w:p>
    <w:p w14:paraId="2A60DE84" w14:textId="77777777" w:rsidR="00713DFD" w:rsidRPr="00300C0F" w:rsidRDefault="00713DFD" w:rsidP="00713DFD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614532E3" w14:textId="77777777" w:rsidR="008D3867" w:rsidRPr="00300C0F" w:rsidRDefault="008D3867" w:rsidP="00713DFD">
      <w:pPr>
        <w:tabs>
          <w:tab w:val="left" w:pos="720"/>
          <w:tab w:val="left" w:pos="127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300C0F">
        <w:rPr>
          <w:rFonts w:ascii="Arial" w:hAnsi="Arial" w:cs="Arial"/>
          <w:sz w:val="22"/>
          <w:szCs w:val="22"/>
        </w:rPr>
        <w:t xml:space="preserve">El Banco contribuirá para los costos de la </w:t>
      </w:r>
      <w:r w:rsidR="002D0A53" w:rsidRPr="00300C0F">
        <w:rPr>
          <w:rFonts w:ascii="Arial" w:hAnsi="Arial" w:cs="Arial"/>
          <w:sz w:val="22"/>
          <w:szCs w:val="22"/>
        </w:rPr>
        <w:t xml:space="preserve">operación </w:t>
      </w:r>
      <w:r w:rsidR="009866C8" w:rsidRPr="00300C0F">
        <w:rPr>
          <w:rFonts w:ascii="Arial" w:hAnsi="Arial" w:cs="Arial"/>
          <w:sz w:val="22"/>
          <w:szCs w:val="22"/>
        </w:rPr>
        <w:t>d</w:t>
      </w:r>
      <w:r w:rsidRPr="00300C0F">
        <w:rPr>
          <w:rFonts w:ascii="Arial" w:hAnsi="Arial" w:cs="Arial"/>
          <w:sz w:val="22"/>
          <w:szCs w:val="22"/>
        </w:rPr>
        <w:t>e conformid</w:t>
      </w:r>
      <w:r w:rsidR="00AA5AD3" w:rsidRPr="00300C0F">
        <w:rPr>
          <w:rFonts w:ascii="Arial" w:hAnsi="Arial" w:cs="Arial"/>
          <w:sz w:val="22"/>
          <w:szCs w:val="22"/>
        </w:rPr>
        <w:t>ad con el siguiente presupuesto.</w:t>
      </w:r>
    </w:p>
    <w:p w14:paraId="36BE0C80" w14:textId="77777777" w:rsidR="001C6137" w:rsidRPr="00300C0F" w:rsidRDefault="001C6137" w:rsidP="00713DFD">
      <w:pPr>
        <w:tabs>
          <w:tab w:val="left" w:pos="720"/>
          <w:tab w:val="left" w:pos="127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039" w:type="dxa"/>
        <w:jc w:val="right"/>
        <w:tblLook w:val="04A0" w:firstRow="1" w:lastRow="0" w:firstColumn="1" w:lastColumn="0" w:noHBand="0" w:noVBand="1"/>
      </w:tblPr>
      <w:tblGrid>
        <w:gridCol w:w="1794"/>
        <w:gridCol w:w="3358"/>
        <w:gridCol w:w="983"/>
        <w:gridCol w:w="718"/>
        <w:gridCol w:w="1080"/>
        <w:gridCol w:w="1106"/>
      </w:tblGrid>
      <w:tr w:rsidR="00920198" w:rsidRPr="00300C0F" w14:paraId="74C3D1FE" w14:textId="77777777" w:rsidTr="00354B98">
        <w:trPr>
          <w:trHeight w:val="288"/>
          <w:jc w:val="right"/>
        </w:trPr>
        <w:tc>
          <w:tcPr>
            <w:tcW w:w="9039" w:type="dxa"/>
            <w:gridSpan w:val="6"/>
            <w:shd w:val="clear" w:color="auto" w:fill="BFBFBF" w:themeFill="background1" w:themeFillShade="BF"/>
            <w:vAlign w:val="center"/>
          </w:tcPr>
          <w:p w14:paraId="33F262C4" w14:textId="77777777" w:rsidR="00920198" w:rsidRPr="00300C0F" w:rsidRDefault="00920198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Presupuesto en US$</w:t>
            </w:r>
          </w:p>
        </w:tc>
      </w:tr>
      <w:tr w:rsidR="00C72EE5" w:rsidRPr="00300C0F" w14:paraId="4DBEBA64" w14:textId="77777777" w:rsidTr="005C6533">
        <w:trPr>
          <w:jc w:val="right"/>
        </w:trPr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175BE07B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3358" w:type="dxa"/>
            <w:shd w:val="clear" w:color="auto" w:fill="BFBFBF" w:themeFill="background1" w:themeFillShade="BF"/>
            <w:vAlign w:val="center"/>
          </w:tcPr>
          <w:p w14:paraId="3ABF950B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 xml:space="preserve">Ciudad/País </w:t>
            </w:r>
          </w:p>
        </w:tc>
        <w:tc>
          <w:tcPr>
            <w:tcW w:w="983" w:type="dxa"/>
            <w:shd w:val="clear" w:color="auto" w:fill="BFBFBF" w:themeFill="background1" w:themeFillShade="BF"/>
            <w:vAlign w:val="center"/>
          </w:tcPr>
          <w:p w14:paraId="62C58FF9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Tarifa</w:t>
            </w:r>
          </w:p>
          <w:p w14:paraId="50314083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en US$</w:t>
            </w:r>
          </w:p>
        </w:tc>
        <w:tc>
          <w:tcPr>
            <w:tcW w:w="718" w:type="dxa"/>
            <w:shd w:val="clear" w:color="auto" w:fill="BFBFBF" w:themeFill="background1" w:themeFillShade="BF"/>
            <w:vAlign w:val="center"/>
          </w:tcPr>
          <w:p w14:paraId="0C84C180" w14:textId="77777777" w:rsidR="003C1F05" w:rsidRPr="00300C0F" w:rsidRDefault="003C1F05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Días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5C001228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1106" w:type="dxa"/>
            <w:shd w:val="clear" w:color="auto" w:fill="BFBFBF" w:themeFill="background1" w:themeFillShade="BF"/>
            <w:vAlign w:val="center"/>
          </w:tcPr>
          <w:p w14:paraId="09C56D63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  <w:p w14:paraId="7602352B" w14:textId="77777777" w:rsidR="00920198" w:rsidRPr="00300C0F" w:rsidRDefault="00C70220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920198" w:rsidRPr="00300C0F">
              <w:rPr>
                <w:rFonts w:ascii="Arial" w:hAnsi="Arial" w:cs="Arial"/>
                <w:b/>
                <w:sz w:val="20"/>
                <w:szCs w:val="20"/>
              </w:rPr>
              <w:t>n US$</w:t>
            </w:r>
          </w:p>
        </w:tc>
      </w:tr>
      <w:tr w:rsidR="00C72EE5" w:rsidRPr="00300C0F" w14:paraId="7D235697" w14:textId="77777777" w:rsidTr="005C6533">
        <w:trPr>
          <w:trHeight w:val="288"/>
          <w:jc w:val="right"/>
        </w:trPr>
        <w:tc>
          <w:tcPr>
            <w:tcW w:w="1794" w:type="dxa"/>
          </w:tcPr>
          <w:p w14:paraId="29016D44" w14:textId="77777777" w:rsidR="00CD0D16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0C0F">
              <w:rPr>
                <w:rFonts w:ascii="Arial" w:hAnsi="Arial" w:cs="Arial"/>
                <w:sz w:val="20"/>
                <w:szCs w:val="20"/>
              </w:rPr>
              <w:t>Boletos Aéreos</w:t>
            </w:r>
            <w:r w:rsidR="00270770">
              <w:rPr>
                <w:rFonts w:ascii="Arial" w:hAnsi="Arial" w:cs="Arial"/>
                <w:sz w:val="20"/>
                <w:szCs w:val="20"/>
              </w:rPr>
              <w:t xml:space="preserve"> Internacionales</w:t>
            </w:r>
          </w:p>
          <w:p w14:paraId="36C98280" w14:textId="77777777" w:rsidR="003C1F05" w:rsidRPr="00300C0F" w:rsidRDefault="00CD0D16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0C0F">
              <w:rPr>
                <w:rFonts w:ascii="Arial" w:hAnsi="Arial" w:cs="Arial"/>
                <w:sz w:val="20"/>
                <w:szCs w:val="20"/>
              </w:rPr>
              <w:t>(</w:t>
            </w:r>
            <w:r w:rsidR="00651D87" w:rsidRPr="00300C0F">
              <w:rPr>
                <w:rFonts w:ascii="Arial" w:hAnsi="Arial" w:cs="Arial"/>
                <w:sz w:val="20"/>
                <w:szCs w:val="20"/>
              </w:rPr>
              <w:t>C</w:t>
            </w:r>
            <w:r w:rsidR="003C1F05" w:rsidRPr="00300C0F">
              <w:rPr>
                <w:rFonts w:ascii="Arial" w:hAnsi="Arial" w:cs="Arial"/>
                <w:sz w:val="20"/>
                <w:szCs w:val="20"/>
              </w:rPr>
              <w:t>lase económica</w:t>
            </w:r>
            <w:r w:rsidRPr="00300C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358" w:type="dxa"/>
          </w:tcPr>
          <w:p w14:paraId="6BA03633" w14:textId="77777777" w:rsidR="003C1F05" w:rsidRPr="00300C0F" w:rsidRDefault="009A734A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Desde </w:t>
            </w:r>
            <w:r w:rsidR="00ED0DF0">
              <w:rPr>
                <w:rFonts w:ascii="Arial" w:hAnsi="Arial" w:cs="Arial"/>
                <w:bCs/>
                <w:sz w:val="22"/>
                <w:szCs w:val="22"/>
              </w:rPr>
              <w:t>Panamá</w:t>
            </w:r>
            <w:r w:rsidR="00A75AE1">
              <w:rPr>
                <w:rFonts w:ascii="Arial" w:hAnsi="Arial" w:cs="Arial"/>
                <w:bCs/>
                <w:sz w:val="22"/>
                <w:szCs w:val="22"/>
              </w:rPr>
              <w:t>, Panamá a Bogotá, Colombia</w:t>
            </w:r>
          </w:p>
        </w:tc>
        <w:tc>
          <w:tcPr>
            <w:tcW w:w="983" w:type="dxa"/>
          </w:tcPr>
          <w:p w14:paraId="7C4C2A3A" w14:textId="6B66A6AA" w:rsidR="003C1F05" w:rsidRPr="00300C0F" w:rsidRDefault="00C72794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F1065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18" w:type="dxa"/>
          </w:tcPr>
          <w:p w14:paraId="10FCDBE6" w14:textId="77777777" w:rsidR="003C1F05" w:rsidRPr="00300C0F" w:rsidRDefault="00920198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C0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F8CBE87" w14:textId="1C437CBD" w:rsidR="003C1F05" w:rsidRPr="00300C0F" w:rsidRDefault="00E52463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6" w:type="dxa"/>
          </w:tcPr>
          <w:p w14:paraId="65760ED1" w14:textId="6CEB4A27" w:rsidR="003C1F05" w:rsidRPr="00300C0F" w:rsidRDefault="00E52463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1402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960</w:t>
            </w:r>
          </w:p>
        </w:tc>
      </w:tr>
      <w:tr w:rsidR="00270770" w:rsidRPr="00300C0F" w14:paraId="6EBA0C7C" w14:textId="77777777" w:rsidTr="005C6533">
        <w:trPr>
          <w:trHeight w:val="288"/>
          <w:jc w:val="right"/>
        </w:trPr>
        <w:tc>
          <w:tcPr>
            <w:tcW w:w="1794" w:type="dxa"/>
          </w:tcPr>
          <w:p w14:paraId="4FBDE9EC" w14:textId="77777777" w:rsidR="00270770" w:rsidRPr="00300C0F" w:rsidRDefault="00270770" w:rsidP="00270770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0C0F">
              <w:rPr>
                <w:rFonts w:ascii="Arial" w:hAnsi="Arial" w:cs="Arial"/>
                <w:sz w:val="20"/>
                <w:szCs w:val="20"/>
              </w:rPr>
              <w:lastRenderedPageBreak/>
              <w:t>Boletos Aéreos</w:t>
            </w:r>
            <w:r>
              <w:rPr>
                <w:rFonts w:ascii="Arial" w:hAnsi="Arial" w:cs="Arial"/>
                <w:sz w:val="20"/>
                <w:szCs w:val="20"/>
              </w:rPr>
              <w:t xml:space="preserve"> Domésticos</w:t>
            </w:r>
          </w:p>
          <w:p w14:paraId="43C3E15E" w14:textId="77777777" w:rsidR="00270770" w:rsidRPr="00300C0F" w:rsidRDefault="00270770" w:rsidP="00270770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0C0F">
              <w:rPr>
                <w:rFonts w:ascii="Arial" w:hAnsi="Arial" w:cs="Arial"/>
                <w:sz w:val="20"/>
                <w:szCs w:val="20"/>
              </w:rPr>
              <w:t>(Clase económica)</w:t>
            </w:r>
          </w:p>
        </w:tc>
        <w:tc>
          <w:tcPr>
            <w:tcW w:w="3358" w:type="dxa"/>
          </w:tcPr>
          <w:p w14:paraId="4CA9BCCC" w14:textId="77777777" w:rsidR="00270770" w:rsidRDefault="00270770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Desde Bogotá a Riohacha, Colombia</w:t>
            </w:r>
          </w:p>
        </w:tc>
        <w:tc>
          <w:tcPr>
            <w:tcW w:w="983" w:type="dxa"/>
          </w:tcPr>
          <w:p w14:paraId="26BCBC4C" w14:textId="77777777" w:rsidR="00270770" w:rsidRPr="00300C0F" w:rsidRDefault="00C72794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718" w:type="dxa"/>
          </w:tcPr>
          <w:p w14:paraId="31906F73" w14:textId="77777777" w:rsidR="00270770" w:rsidRPr="00300C0F" w:rsidRDefault="00C72794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D105F54" w14:textId="2DFFDEC8" w:rsidR="00270770" w:rsidRPr="00300C0F" w:rsidRDefault="00013EE7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06" w:type="dxa"/>
          </w:tcPr>
          <w:p w14:paraId="4825D71B" w14:textId="289A175A" w:rsidR="00270770" w:rsidRPr="00300C0F" w:rsidRDefault="00070AFF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1402A">
              <w:rPr>
                <w:rFonts w:ascii="Arial" w:hAnsi="Arial" w:cs="Arial"/>
                <w:sz w:val="20"/>
                <w:szCs w:val="20"/>
              </w:rPr>
              <w:t>.</w:t>
            </w:r>
            <w:r w:rsidR="00013EE7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72EE5" w:rsidRPr="00300C0F" w14:paraId="1549BDAE" w14:textId="77777777" w:rsidTr="005C6533">
        <w:trPr>
          <w:trHeight w:val="288"/>
          <w:jc w:val="right"/>
        </w:trPr>
        <w:tc>
          <w:tcPr>
            <w:tcW w:w="1794" w:type="dxa"/>
          </w:tcPr>
          <w:p w14:paraId="727DDD8A" w14:textId="77777777" w:rsidR="003C1F05" w:rsidRPr="009A734A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A734A">
              <w:rPr>
                <w:rFonts w:ascii="Arial" w:hAnsi="Arial" w:cs="Arial"/>
                <w:sz w:val="20"/>
                <w:szCs w:val="20"/>
                <w:lang w:val="pt-BR"/>
              </w:rPr>
              <w:t>Viáticos</w:t>
            </w:r>
          </w:p>
          <w:p w14:paraId="61A8F7EF" w14:textId="77777777" w:rsidR="003C1F05" w:rsidRPr="009A734A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A734A">
              <w:rPr>
                <w:rFonts w:ascii="Arial" w:hAnsi="Arial" w:cs="Arial"/>
                <w:sz w:val="20"/>
                <w:szCs w:val="20"/>
                <w:lang w:val="pt-BR"/>
              </w:rPr>
              <w:t>(Hotel</w:t>
            </w:r>
            <w:r w:rsidR="00CD0D16" w:rsidRPr="009A734A">
              <w:rPr>
                <w:rFonts w:ascii="Arial" w:hAnsi="Arial" w:cs="Arial"/>
                <w:sz w:val="20"/>
                <w:szCs w:val="20"/>
                <w:lang w:val="pt-BR"/>
              </w:rPr>
              <w:t>, Comidas e Incidentes)</w:t>
            </w:r>
          </w:p>
        </w:tc>
        <w:tc>
          <w:tcPr>
            <w:tcW w:w="3358" w:type="dxa"/>
          </w:tcPr>
          <w:p w14:paraId="2A3C6EF5" w14:textId="671DE3E3" w:rsidR="003C1F05" w:rsidRPr="009A734A" w:rsidRDefault="000D57E2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Bogotá, Colombia</w:t>
            </w:r>
          </w:p>
        </w:tc>
        <w:tc>
          <w:tcPr>
            <w:tcW w:w="983" w:type="dxa"/>
          </w:tcPr>
          <w:p w14:paraId="6B796C64" w14:textId="1D29C71D" w:rsidR="003C1F05" w:rsidRPr="00300C0F" w:rsidRDefault="0001402A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18" w:type="dxa"/>
          </w:tcPr>
          <w:p w14:paraId="2C402BCB" w14:textId="1C9C9520" w:rsidR="003C1F05" w:rsidRPr="00300C0F" w:rsidRDefault="00D64811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14:paraId="34DCE124" w14:textId="31796056" w:rsidR="003C1F05" w:rsidRPr="00300C0F" w:rsidRDefault="0001402A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6" w:type="dxa"/>
          </w:tcPr>
          <w:p w14:paraId="18B5E61E" w14:textId="579A61F7" w:rsidR="003C1F05" w:rsidRPr="00300C0F" w:rsidRDefault="007E1E99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1402A">
              <w:rPr>
                <w:rFonts w:ascii="Arial" w:hAnsi="Arial" w:cs="Arial"/>
                <w:sz w:val="20"/>
                <w:szCs w:val="20"/>
              </w:rPr>
              <w:t>.60</w:t>
            </w:r>
            <w:r w:rsidR="001D58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27272" w:rsidRPr="00300C0F" w14:paraId="03B33D64" w14:textId="77777777" w:rsidTr="005C6533">
        <w:trPr>
          <w:trHeight w:val="288"/>
          <w:jc w:val="right"/>
        </w:trPr>
        <w:tc>
          <w:tcPr>
            <w:tcW w:w="1794" w:type="dxa"/>
          </w:tcPr>
          <w:p w14:paraId="326B5DE4" w14:textId="77777777" w:rsidR="00B27272" w:rsidRPr="009A734A" w:rsidRDefault="00B27272" w:rsidP="00B27272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A734A">
              <w:rPr>
                <w:rFonts w:ascii="Arial" w:hAnsi="Arial" w:cs="Arial"/>
                <w:sz w:val="20"/>
                <w:szCs w:val="20"/>
                <w:lang w:val="pt-BR"/>
              </w:rPr>
              <w:t>Viáticos</w:t>
            </w:r>
          </w:p>
          <w:p w14:paraId="58A184C9" w14:textId="5BFDCF2A" w:rsidR="00B27272" w:rsidRPr="009A734A" w:rsidRDefault="00B27272" w:rsidP="00B27272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A734A">
              <w:rPr>
                <w:rFonts w:ascii="Arial" w:hAnsi="Arial" w:cs="Arial"/>
                <w:sz w:val="20"/>
                <w:szCs w:val="20"/>
                <w:lang w:val="pt-BR"/>
              </w:rPr>
              <w:t>(Hotel, Comidas e Incidentes)</w:t>
            </w:r>
          </w:p>
        </w:tc>
        <w:tc>
          <w:tcPr>
            <w:tcW w:w="3358" w:type="dxa"/>
          </w:tcPr>
          <w:p w14:paraId="477001EA" w14:textId="34B71BFF" w:rsidR="00B27272" w:rsidRDefault="00B27272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Riohacha, Colombia</w:t>
            </w:r>
          </w:p>
        </w:tc>
        <w:tc>
          <w:tcPr>
            <w:tcW w:w="983" w:type="dxa"/>
          </w:tcPr>
          <w:p w14:paraId="2F064141" w14:textId="3ECBBD48" w:rsidR="00B27272" w:rsidRDefault="00EB520F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D21B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18" w:type="dxa"/>
          </w:tcPr>
          <w:p w14:paraId="1E022CE3" w14:textId="6A199912" w:rsidR="00B27272" w:rsidRDefault="00D64811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5480C4E0" w14:textId="5BAC6AA5" w:rsidR="00B27272" w:rsidRDefault="00073DFC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06" w:type="dxa"/>
          </w:tcPr>
          <w:p w14:paraId="6B0D98FE" w14:textId="2E469EE7" w:rsidR="00B27272" w:rsidRDefault="002E31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6630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B46CC9" w:rsidRPr="00300C0F" w14:paraId="4B6F8DCF" w14:textId="77777777" w:rsidTr="005C6533">
        <w:trPr>
          <w:trHeight w:val="288"/>
          <w:jc w:val="right"/>
        </w:trPr>
        <w:tc>
          <w:tcPr>
            <w:tcW w:w="1794" w:type="dxa"/>
          </w:tcPr>
          <w:p w14:paraId="48FE7934" w14:textId="77777777" w:rsidR="00B46CC9" w:rsidRPr="00350E2A" w:rsidRDefault="001154FB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Transporte y hotel</w:t>
            </w:r>
            <w:r w:rsidR="00002A07">
              <w:rPr>
                <w:rFonts w:ascii="Arial" w:hAnsi="Arial" w:cs="Arial"/>
                <w:sz w:val="20"/>
                <w:szCs w:val="20"/>
                <w:lang w:val="es-ES"/>
              </w:rPr>
              <w:t xml:space="preserve"> (Panamá)</w:t>
            </w:r>
          </w:p>
        </w:tc>
        <w:tc>
          <w:tcPr>
            <w:tcW w:w="3358" w:type="dxa"/>
          </w:tcPr>
          <w:p w14:paraId="657C942F" w14:textId="77777777" w:rsidR="00B46CC9" w:rsidRPr="00300C0F" w:rsidRDefault="005558DF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Comarcas hasta Ciudad de Panamá</w:t>
            </w:r>
          </w:p>
        </w:tc>
        <w:tc>
          <w:tcPr>
            <w:tcW w:w="983" w:type="dxa"/>
          </w:tcPr>
          <w:p w14:paraId="774DB62C" w14:textId="3466F1F4" w:rsidR="00B46CC9" w:rsidRPr="00300C0F" w:rsidRDefault="00541CF5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F5B74">
              <w:rPr>
                <w:rFonts w:ascii="Arial" w:hAnsi="Arial" w:cs="Arial"/>
                <w:sz w:val="20"/>
                <w:szCs w:val="20"/>
              </w:rPr>
              <w:t>0</w:t>
            </w:r>
            <w:r w:rsidR="00026C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18" w:type="dxa"/>
          </w:tcPr>
          <w:p w14:paraId="7B52B3C9" w14:textId="77777777" w:rsidR="00B46CC9" w:rsidRPr="00300C0F" w:rsidRDefault="00470F13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EC82553" w14:textId="35168BF2" w:rsidR="00B46CC9" w:rsidRPr="00300C0F" w:rsidRDefault="00D8432E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06" w:type="dxa"/>
          </w:tcPr>
          <w:p w14:paraId="4F4CAC01" w14:textId="200FDC79" w:rsidR="00B46CC9" w:rsidRPr="00300C0F" w:rsidRDefault="008716B6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6303">
              <w:rPr>
                <w:rFonts w:ascii="Arial" w:hAnsi="Arial" w:cs="Arial"/>
                <w:sz w:val="20"/>
                <w:szCs w:val="20"/>
              </w:rPr>
              <w:t>.</w:t>
            </w:r>
            <w:r w:rsidR="00CF5B74">
              <w:rPr>
                <w:rFonts w:ascii="Arial" w:hAnsi="Arial" w:cs="Arial"/>
                <w:sz w:val="20"/>
                <w:szCs w:val="20"/>
              </w:rPr>
              <w:t>2</w:t>
            </w:r>
            <w:r w:rsidR="001F77E6">
              <w:rPr>
                <w:rFonts w:ascii="Arial" w:hAnsi="Arial" w:cs="Arial"/>
                <w:sz w:val="20"/>
                <w:szCs w:val="20"/>
              </w:rPr>
              <w:t>3</w:t>
            </w:r>
            <w:r w:rsidR="00D84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41CF5" w:rsidRPr="00300C0F" w14:paraId="46CD269A" w14:textId="77777777" w:rsidTr="005C6533">
        <w:trPr>
          <w:trHeight w:val="288"/>
          <w:jc w:val="right"/>
        </w:trPr>
        <w:tc>
          <w:tcPr>
            <w:tcW w:w="1794" w:type="dxa"/>
          </w:tcPr>
          <w:p w14:paraId="11A02A2D" w14:textId="77777777" w:rsidR="00541CF5" w:rsidRPr="00350E2A" w:rsidRDefault="00541CF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Transporte interno (Colombia)</w:t>
            </w:r>
          </w:p>
        </w:tc>
        <w:tc>
          <w:tcPr>
            <w:tcW w:w="3358" w:type="dxa"/>
          </w:tcPr>
          <w:p w14:paraId="487EAA02" w14:textId="77777777" w:rsidR="00541CF5" w:rsidRDefault="00BA6019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Desde Riohacha a Maicao, ida/vuelta</w:t>
            </w:r>
          </w:p>
        </w:tc>
        <w:tc>
          <w:tcPr>
            <w:tcW w:w="983" w:type="dxa"/>
          </w:tcPr>
          <w:p w14:paraId="3E4CE844" w14:textId="4A3B8240" w:rsidR="00541CF5" w:rsidRDefault="00971482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18" w:type="dxa"/>
          </w:tcPr>
          <w:p w14:paraId="277754DE" w14:textId="77777777" w:rsidR="00541CF5" w:rsidRDefault="00BA6019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7FF8C29" w14:textId="720EA1D9" w:rsidR="00541CF5" w:rsidRDefault="00D8432E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06" w:type="dxa"/>
          </w:tcPr>
          <w:p w14:paraId="11B0CDA0" w14:textId="7FBB5FFA" w:rsidR="00541CF5" w:rsidRPr="00300C0F" w:rsidRDefault="00971482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442C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72EE5" w:rsidRPr="00300C0F" w14:paraId="7F0325B9" w14:textId="77777777" w:rsidTr="005C6533">
        <w:trPr>
          <w:trHeight w:val="288"/>
          <w:jc w:val="right"/>
        </w:trPr>
        <w:tc>
          <w:tcPr>
            <w:tcW w:w="1794" w:type="dxa"/>
            <w:shd w:val="clear" w:color="auto" w:fill="BFBFBF" w:themeFill="background1" w:themeFillShade="BF"/>
          </w:tcPr>
          <w:p w14:paraId="1F2BFB47" w14:textId="77777777" w:rsidR="003C1F05" w:rsidRPr="00300C0F" w:rsidRDefault="003C1F05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C0F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3358" w:type="dxa"/>
            <w:shd w:val="clear" w:color="auto" w:fill="BFBFBF" w:themeFill="background1" w:themeFillShade="BF"/>
          </w:tcPr>
          <w:p w14:paraId="75539DF1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BFBFBF" w:themeFill="background1" w:themeFillShade="BF"/>
          </w:tcPr>
          <w:p w14:paraId="23DF2DE0" w14:textId="77777777" w:rsidR="003C1F05" w:rsidRPr="00300C0F" w:rsidRDefault="003C1F05" w:rsidP="00745AFC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BFBFBF" w:themeFill="background1" w:themeFillShade="BF"/>
          </w:tcPr>
          <w:p w14:paraId="43EF9FA6" w14:textId="77777777" w:rsidR="003C1F05" w:rsidRPr="00300C0F" w:rsidRDefault="003C1F05" w:rsidP="00B54B03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14:paraId="5ACC82C3" w14:textId="77777777" w:rsidR="003C1F05" w:rsidRPr="00300C0F" w:rsidRDefault="003C1F05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BFBFBF" w:themeFill="background1" w:themeFillShade="BF"/>
          </w:tcPr>
          <w:p w14:paraId="72C15C69" w14:textId="0FAEC6E9" w:rsidR="003C1F05" w:rsidRPr="00300C0F" w:rsidRDefault="005442C4" w:rsidP="004137C6">
            <w:pPr>
              <w:tabs>
                <w:tab w:val="left" w:pos="720"/>
                <w:tab w:val="left" w:pos="12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F77E6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000</w:t>
            </w:r>
            <w:r w:rsidR="00920198" w:rsidRPr="00300C0F">
              <w:rPr>
                <w:rFonts w:ascii="Arial" w:hAnsi="Arial" w:cs="Arial"/>
                <w:b/>
                <w:sz w:val="20"/>
                <w:szCs w:val="20"/>
              </w:rPr>
              <w:t>.00</w:t>
            </w:r>
          </w:p>
        </w:tc>
      </w:tr>
    </w:tbl>
    <w:p w14:paraId="36CB1488" w14:textId="1471C39A" w:rsidR="00F63393" w:rsidRDefault="00F63393" w:rsidP="003E1FBE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78F9BFFD" w14:textId="77777777" w:rsidR="0072439D" w:rsidRPr="00300C0F" w:rsidRDefault="0072439D" w:rsidP="003E1FBE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27DF75A8" w14:textId="77777777" w:rsidR="007F5F64" w:rsidRPr="00300C0F" w:rsidRDefault="007F5F64" w:rsidP="007F5F64">
      <w:pPr>
        <w:pStyle w:val="ListParagraph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300C0F">
        <w:rPr>
          <w:rFonts w:ascii="Arial" w:hAnsi="Arial" w:cs="Arial"/>
          <w:b/>
          <w:bCs/>
          <w:sz w:val="22"/>
          <w:szCs w:val="22"/>
        </w:rPr>
        <w:t>Desembolsos y Ejecución</w:t>
      </w:r>
    </w:p>
    <w:p w14:paraId="42B1761D" w14:textId="77777777" w:rsidR="00C55CD4" w:rsidRPr="00300C0F" w:rsidRDefault="00C55CD4" w:rsidP="00FB28CF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D0D0656" w14:textId="77777777" w:rsidR="00CA73E4" w:rsidRPr="00300C0F" w:rsidRDefault="00CA73E4" w:rsidP="007F5F64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300C0F">
        <w:rPr>
          <w:rFonts w:ascii="Arial" w:hAnsi="Arial" w:cs="Arial"/>
          <w:bCs/>
          <w:sz w:val="22"/>
          <w:szCs w:val="22"/>
        </w:rPr>
        <w:t>El total de actividades consideradas en la presente cooperación técnica deberán llevarse a cabo dentro de un período de 6 meses, a partir de la fecha de aprobación. Esta operación será ejecutada por el Banco.</w:t>
      </w:r>
    </w:p>
    <w:p w14:paraId="67B8D5E0" w14:textId="77777777" w:rsidR="005146B4" w:rsidRPr="00300C0F" w:rsidRDefault="005146B4" w:rsidP="003302D0">
      <w:pPr>
        <w:jc w:val="both"/>
        <w:rPr>
          <w:rFonts w:ascii="Arial" w:hAnsi="Arial" w:cs="Arial"/>
          <w:bCs/>
          <w:sz w:val="22"/>
          <w:szCs w:val="22"/>
        </w:rPr>
      </w:pPr>
    </w:p>
    <w:p w14:paraId="38F1DAE7" w14:textId="77777777" w:rsidR="005146B4" w:rsidRPr="00300C0F" w:rsidRDefault="005146B4" w:rsidP="007F5F64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3167924E" w14:textId="77777777" w:rsidR="007F5F64" w:rsidRPr="00300C0F" w:rsidRDefault="007F5F64" w:rsidP="007F5F64">
      <w:pPr>
        <w:pStyle w:val="ListParagraph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300C0F">
        <w:rPr>
          <w:rFonts w:ascii="Arial" w:hAnsi="Arial" w:cs="Arial"/>
          <w:b/>
          <w:bCs/>
          <w:sz w:val="22"/>
          <w:szCs w:val="22"/>
        </w:rPr>
        <w:t>Reportes</w:t>
      </w:r>
    </w:p>
    <w:p w14:paraId="6D6491A0" w14:textId="77777777" w:rsidR="007F5F64" w:rsidRPr="00300C0F" w:rsidRDefault="007F5F64" w:rsidP="007F5F64">
      <w:pPr>
        <w:pStyle w:val="ListParagraph"/>
        <w:ind w:left="360"/>
        <w:rPr>
          <w:rFonts w:ascii="Arial" w:hAnsi="Arial" w:cs="Arial"/>
          <w:bCs/>
          <w:sz w:val="22"/>
          <w:szCs w:val="22"/>
        </w:rPr>
      </w:pPr>
    </w:p>
    <w:p w14:paraId="4633986B" w14:textId="77777777" w:rsidR="00CA73E4" w:rsidRPr="00300C0F" w:rsidRDefault="00CA73E4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300C0F">
        <w:rPr>
          <w:rFonts w:ascii="Arial" w:hAnsi="Arial" w:cs="Arial"/>
          <w:bCs/>
          <w:sz w:val="22"/>
          <w:szCs w:val="22"/>
        </w:rPr>
        <w:t>Los logros de la operación, enfocados en lecciones aprendidas y transferencia de conocimiento al programa operativo del Banco, deben ser reportados en el sistema del Banco en un plazo de 120 días a partir del cierre financiero de la operación.</w:t>
      </w:r>
    </w:p>
    <w:p w14:paraId="446B0CEC" w14:textId="77777777" w:rsidR="00664A5F" w:rsidRPr="00300C0F" w:rsidRDefault="00664A5F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59DBA195" w14:textId="77777777" w:rsidR="00664A5F" w:rsidRPr="00300C0F" w:rsidRDefault="00664A5F" w:rsidP="00664A5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bookmarkStart w:id="2" w:name="_Hlk509391367"/>
      <w:bookmarkStart w:id="3" w:name="_Hlk509391057"/>
      <w:r w:rsidRPr="00300C0F">
        <w:rPr>
          <w:rFonts w:ascii="Arial" w:hAnsi="Arial" w:cs="Arial"/>
          <w:b/>
          <w:bCs/>
          <w:sz w:val="22"/>
          <w:szCs w:val="22"/>
        </w:rPr>
        <w:t xml:space="preserve">Recomendación </w:t>
      </w:r>
    </w:p>
    <w:p w14:paraId="59D2C7E4" w14:textId="77777777" w:rsidR="00664A5F" w:rsidRPr="00300C0F" w:rsidRDefault="00664A5F" w:rsidP="00664A5F">
      <w:pPr>
        <w:pStyle w:val="ListParagraph"/>
        <w:ind w:left="360"/>
        <w:rPr>
          <w:rFonts w:ascii="Arial" w:hAnsi="Arial" w:cs="Arial"/>
          <w:bCs/>
          <w:sz w:val="22"/>
          <w:szCs w:val="22"/>
        </w:rPr>
      </w:pPr>
    </w:p>
    <w:p w14:paraId="064B4BDA" w14:textId="65AFB950" w:rsidR="00664A5F" w:rsidRPr="00300C0F" w:rsidRDefault="00664A5F" w:rsidP="00664A5F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300C0F">
        <w:rPr>
          <w:rFonts w:ascii="Arial" w:hAnsi="Arial" w:cs="Arial"/>
          <w:bCs/>
          <w:sz w:val="22"/>
          <w:szCs w:val="22"/>
        </w:rPr>
        <w:t xml:space="preserve">De acuerdo con la Resolución DE-103/14, aprobada a partir de la Propuesta de Modificación de Procedimientos para la Aprobación de Operaciones No Reembolsables (documento GN-2752-4), el Directorio Ejecutivo resolvió delegar al Presidente, o al representante que él designe, la autoridad de aprobar tanto operaciones individuales de cooperación técnica como operaciones de inversión no reembolsable financiadas con cargo a los recursos de donantes en administración, hasta por la suma de US$3.000.000, y adoptar las medidas pertinentes para la administración y ejecución de tales operaciones.  El Presidente, a su vez, ha delegado la aprobación de operaciones de cooperación técnica financiadas con cargo a los recursos de los ingresos netos del Capital Ordinario, hasta por la suma de US$750.000 a los Representantes del Banco.  Por tanto, se recomienda </w:t>
      </w:r>
      <w:r w:rsidR="007D5721">
        <w:rPr>
          <w:rFonts w:ascii="Arial" w:hAnsi="Arial" w:cs="Arial"/>
          <w:bCs/>
          <w:sz w:val="22"/>
          <w:szCs w:val="22"/>
        </w:rPr>
        <w:t>la</w:t>
      </w:r>
      <w:r w:rsidRPr="00300C0F">
        <w:rPr>
          <w:rFonts w:ascii="Arial" w:hAnsi="Arial" w:cs="Arial"/>
          <w:bCs/>
          <w:sz w:val="22"/>
          <w:szCs w:val="22"/>
        </w:rPr>
        <w:t xml:space="preserve"> aprobación </w:t>
      </w:r>
      <w:r w:rsidR="007D5721">
        <w:rPr>
          <w:rFonts w:ascii="Arial" w:hAnsi="Arial" w:cs="Arial"/>
          <w:bCs/>
          <w:sz w:val="22"/>
          <w:szCs w:val="22"/>
        </w:rPr>
        <w:t>de</w:t>
      </w:r>
      <w:r w:rsidRPr="00300C0F">
        <w:rPr>
          <w:rFonts w:ascii="Arial" w:hAnsi="Arial" w:cs="Arial"/>
          <w:bCs/>
          <w:sz w:val="22"/>
          <w:szCs w:val="22"/>
        </w:rPr>
        <w:t xml:space="preserve"> la presente operación de cooperación técnica</w:t>
      </w:r>
      <w:bookmarkEnd w:id="2"/>
      <w:r w:rsidR="007F61A9">
        <w:rPr>
          <w:rFonts w:ascii="Arial" w:hAnsi="Arial" w:cs="Arial"/>
          <w:bCs/>
          <w:sz w:val="22"/>
          <w:szCs w:val="22"/>
        </w:rPr>
        <w:t xml:space="preserve"> por parte de la Representante de la Oficina del Banco en Panamá</w:t>
      </w:r>
      <w:r w:rsidRPr="00300C0F">
        <w:rPr>
          <w:rFonts w:ascii="Arial" w:hAnsi="Arial" w:cs="Arial"/>
          <w:bCs/>
          <w:sz w:val="22"/>
          <w:szCs w:val="22"/>
        </w:rPr>
        <w:t>.</w:t>
      </w:r>
    </w:p>
    <w:bookmarkEnd w:id="3"/>
    <w:p w14:paraId="11A98B64" w14:textId="77777777" w:rsidR="00664A5F" w:rsidRPr="00300C0F" w:rsidRDefault="00664A5F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305540B7" w14:textId="77777777" w:rsidR="00EC2CC8" w:rsidRPr="00300C0F" w:rsidRDefault="00EC2CC8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51A06799" w14:textId="77777777" w:rsidR="00EC2CC8" w:rsidRPr="00300C0F" w:rsidRDefault="00EC2CC8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1B33E7D" w14:textId="77777777" w:rsidR="00EC2CC8" w:rsidRPr="00300C0F" w:rsidRDefault="00EC2CC8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470F616" w14:textId="77777777" w:rsidR="00EC2CC8" w:rsidRPr="00300C0F" w:rsidRDefault="00EC2CC8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C9D7812" w14:textId="77777777" w:rsidR="00C86E9E" w:rsidRPr="00300C0F" w:rsidRDefault="00C86E9E" w:rsidP="00CA73E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014085A" w14:textId="77777777" w:rsidR="003601BA" w:rsidRPr="00300C0F" w:rsidRDefault="003601BA">
      <w:pPr>
        <w:rPr>
          <w:rFonts w:ascii="Arial" w:hAnsi="Arial" w:cs="Arial"/>
          <w:bCs/>
          <w:caps/>
          <w:sz w:val="22"/>
          <w:szCs w:val="22"/>
        </w:rPr>
      </w:pPr>
    </w:p>
    <w:p w14:paraId="7B915F46" w14:textId="77777777" w:rsidR="003601BA" w:rsidRPr="00300C0F" w:rsidRDefault="003601BA" w:rsidP="003601BA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300C0F">
        <w:rPr>
          <w:rFonts w:ascii="Arial" w:hAnsi="Arial" w:cs="Arial"/>
          <w:b/>
          <w:bCs/>
          <w:caps/>
          <w:sz w:val="22"/>
          <w:szCs w:val="22"/>
        </w:rPr>
        <w:lastRenderedPageBreak/>
        <w:t>Anexos</w:t>
      </w:r>
      <w:r w:rsidRPr="00300C0F">
        <w:rPr>
          <w:rFonts w:ascii="Arial" w:hAnsi="Arial" w:cs="Arial"/>
          <w:b/>
          <w:bCs/>
          <w:sz w:val="22"/>
          <w:szCs w:val="22"/>
        </w:rPr>
        <w:t>:</w:t>
      </w:r>
    </w:p>
    <w:p w14:paraId="130106EE" w14:textId="77777777" w:rsidR="003601BA" w:rsidRPr="00300C0F" w:rsidRDefault="003601BA" w:rsidP="003601BA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F42D586" w14:textId="28B73916" w:rsidR="00DE4BF0" w:rsidRPr="00300C0F" w:rsidRDefault="00DE4BF0" w:rsidP="00DE4BF0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300C0F">
        <w:rPr>
          <w:rFonts w:ascii="Arial" w:hAnsi="Arial" w:cs="Arial"/>
          <w:bCs/>
          <w:sz w:val="22"/>
          <w:szCs w:val="22"/>
        </w:rPr>
        <w:t xml:space="preserve">Solicitud del Gobierno -  </w:t>
      </w:r>
      <w:hyperlink r:id="rId15" w:history="1">
        <w:r w:rsidR="00A80990" w:rsidRPr="00A80990">
          <w:rPr>
            <w:rStyle w:val="Hyperlink"/>
            <w:rFonts w:ascii="Arial" w:hAnsi="Arial" w:cs="Arial"/>
            <w:bCs/>
            <w:sz w:val="22"/>
            <w:szCs w:val="22"/>
          </w:rPr>
          <w:t>EZSHARE-132937195-12</w:t>
        </w:r>
      </w:hyperlink>
    </w:p>
    <w:p w14:paraId="720665C5" w14:textId="403A8271" w:rsidR="00DE4BF0" w:rsidRPr="00300C0F" w:rsidRDefault="00DE4BF0" w:rsidP="00DE4BF0">
      <w:pPr>
        <w:pStyle w:val="ListParagraph"/>
        <w:numPr>
          <w:ilvl w:val="0"/>
          <w:numId w:val="17"/>
        </w:numPr>
        <w:tabs>
          <w:tab w:val="left" w:pos="720"/>
        </w:tabs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</w:pPr>
      <w:r w:rsidRPr="00300C0F">
        <w:rPr>
          <w:rFonts w:ascii="Arial" w:hAnsi="Arial" w:cs="Arial"/>
          <w:bCs/>
          <w:sz w:val="22"/>
          <w:szCs w:val="22"/>
        </w:rPr>
        <w:t xml:space="preserve">No Objeción a la Misión - </w:t>
      </w:r>
      <w:hyperlink r:id="rId16" w:history="1">
        <w:r w:rsidR="00DF423D" w:rsidRPr="00DF423D">
          <w:rPr>
            <w:rStyle w:val="Hyperlink"/>
            <w:rFonts w:ascii="Arial" w:hAnsi="Arial" w:cs="Arial"/>
            <w:bCs/>
            <w:sz w:val="22"/>
            <w:szCs w:val="22"/>
          </w:rPr>
          <w:t>EZSHARE-132937195-10</w:t>
        </w:r>
      </w:hyperlink>
    </w:p>
    <w:p w14:paraId="7A7B2C93" w14:textId="27F37DA2" w:rsidR="00DE4BF0" w:rsidRPr="00300C0F" w:rsidRDefault="00DE4BF0" w:rsidP="00DE4BF0">
      <w:pPr>
        <w:pStyle w:val="ListParagraph"/>
        <w:numPr>
          <w:ilvl w:val="0"/>
          <w:numId w:val="17"/>
        </w:numPr>
        <w:tabs>
          <w:tab w:val="left" w:pos="720"/>
        </w:tabs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</w:pPr>
      <w:r w:rsidRPr="00300C0F">
        <w:rPr>
          <w:rFonts w:ascii="Arial" w:hAnsi="Arial" w:cs="Arial"/>
          <w:bCs/>
          <w:sz w:val="22"/>
          <w:szCs w:val="22"/>
        </w:rPr>
        <w:t xml:space="preserve">Programa de Actividades - </w:t>
      </w:r>
      <w:hyperlink r:id="rId17" w:history="1">
        <w:r w:rsidR="00844BE5" w:rsidRPr="00994C1D">
          <w:rPr>
            <w:rStyle w:val="Hyperlink"/>
            <w:rFonts w:ascii="Arial" w:hAnsi="Arial" w:cs="Arial"/>
            <w:sz w:val="22"/>
            <w:szCs w:val="22"/>
          </w:rPr>
          <w:t>EZSHARE-132937195-11</w:t>
        </w:r>
      </w:hyperlink>
    </w:p>
    <w:p w14:paraId="626A06E6" w14:textId="425AC6F1" w:rsidR="00DE4BF0" w:rsidRPr="00300C0F" w:rsidRDefault="00DE4BF0" w:rsidP="00DE4BF0">
      <w:pPr>
        <w:pStyle w:val="ListParagraph"/>
        <w:numPr>
          <w:ilvl w:val="0"/>
          <w:numId w:val="17"/>
        </w:numPr>
        <w:tabs>
          <w:tab w:val="left" w:pos="720"/>
        </w:tabs>
        <w:rPr>
          <w:rFonts w:ascii="Arial" w:hAnsi="Arial" w:cs="Arial"/>
          <w:bCs/>
          <w:sz w:val="22"/>
          <w:szCs w:val="22"/>
        </w:rPr>
      </w:pPr>
      <w:r w:rsidRPr="00300C0F">
        <w:rPr>
          <w:rFonts w:ascii="Arial" w:hAnsi="Arial" w:cs="Arial"/>
          <w:bCs/>
          <w:sz w:val="22"/>
          <w:szCs w:val="22"/>
        </w:rPr>
        <w:t xml:space="preserve">Currículum Vitae de los Participantes - </w:t>
      </w:r>
      <w:r w:rsidR="002749CA" w:rsidRPr="002749CA">
        <w:rPr>
          <w:rStyle w:val="Hyperlink"/>
          <w:rFonts w:ascii="Arial" w:hAnsi="Arial" w:cs="Arial"/>
          <w:sz w:val="22"/>
          <w:szCs w:val="22"/>
        </w:rPr>
        <w:tab/>
      </w:r>
      <w:hyperlink r:id="rId18" w:history="1">
        <w:r w:rsidR="002749CA" w:rsidRPr="00756613">
          <w:rPr>
            <w:rStyle w:val="Hyperlink"/>
            <w:rFonts w:ascii="Arial" w:hAnsi="Arial" w:cs="Arial"/>
            <w:sz w:val="22"/>
            <w:szCs w:val="22"/>
          </w:rPr>
          <w:t>EZSHARE-132937195-13</w:t>
        </w:r>
      </w:hyperlink>
    </w:p>
    <w:p w14:paraId="18979D5E" w14:textId="20295863" w:rsidR="00DE4BF0" w:rsidRPr="00300C0F" w:rsidRDefault="00DE4BF0" w:rsidP="00DE4BF0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2"/>
          <w:szCs w:val="22"/>
        </w:rPr>
      </w:pPr>
      <w:r w:rsidRPr="00300C0F">
        <w:rPr>
          <w:rFonts w:ascii="Arial" w:hAnsi="Arial" w:cs="Arial"/>
          <w:bCs/>
          <w:sz w:val="22"/>
          <w:szCs w:val="22"/>
        </w:rPr>
        <w:t>Elegibilidad de Fondos -</w:t>
      </w:r>
      <w:r w:rsidRPr="00300C0F">
        <w:rPr>
          <w:rFonts w:ascii="Arial" w:hAnsi="Arial" w:cs="Arial"/>
          <w:sz w:val="22"/>
          <w:szCs w:val="22"/>
        </w:rPr>
        <w:t xml:space="preserve"> </w:t>
      </w:r>
      <w:hyperlink r:id="rId19" w:history="1">
        <w:r w:rsidR="00AD292C" w:rsidRPr="00AD292C">
          <w:rPr>
            <w:rStyle w:val="Hyperlink"/>
            <w:rFonts w:ascii="Arial" w:hAnsi="Arial" w:cs="Arial"/>
            <w:sz w:val="22"/>
            <w:szCs w:val="22"/>
          </w:rPr>
          <w:t>EZSHARE-132937195-14</w:t>
        </w:r>
      </w:hyperlink>
    </w:p>
    <w:p w14:paraId="1770B665" w14:textId="58E96981" w:rsidR="003601BA" w:rsidRPr="00300C0F" w:rsidRDefault="305FC5A2" w:rsidP="305FC5A2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305FC5A2">
        <w:rPr>
          <w:rFonts w:ascii="Arial" w:hAnsi="Arial" w:cs="Arial"/>
          <w:sz w:val="22"/>
          <w:szCs w:val="22"/>
        </w:rPr>
        <w:t xml:space="preserve">Visto Bueno del Departamento Legal - </w:t>
      </w:r>
      <w:hyperlink r:id="rId20">
        <w:r w:rsidRPr="305FC5A2">
          <w:rPr>
            <w:rStyle w:val="Hyperlink"/>
            <w:rFonts w:ascii="Arial" w:hAnsi="Arial" w:cs="Arial"/>
            <w:sz w:val="22"/>
            <w:szCs w:val="22"/>
          </w:rPr>
          <w:t>EZSHARE-132937195-15</w:t>
        </w:r>
      </w:hyperlink>
      <w:bookmarkStart w:id="4" w:name="_GoBack"/>
      <w:bookmarkEnd w:id="4"/>
    </w:p>
    <w:sectPr w:rsidR="003601BA" w:rsidRPr="00300C0F" w:rsidSect="00A04CD3">
      <w:head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titlePg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1AF90" w14:textId="77777777" w:rsidR="00545BD6" w:rsidRDefault="00545BD6">
      <w:r>
        <w:separator/>
      </w:r>
    </w:p>
  </w:endnote>
  <w:endnote w:type="continuationSeparator" w:id="0">
    <w:p w14:paraId="5C008549" w14:textId="77777777" w:rsidR="00545BD6" w:rsidRDefault="00545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G  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655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091E82" w14:textId="77777777" w:rsidR="00EE0603" w:rsidRDefault="00EE06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0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E4451B" w14:textId="77777777" w:rsidR="00EE0603" w:rsidRDefault="00EE0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FF9E5" w14:textId="77777777" w:rsidR="00EE0603" w:rsidRPr="006E6D7B" w:rsidRDefault="00EE0603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2BFA4" w14:textId="77777777" w:rsidR="00545BD6" w:rsidRDefault="00545BD6">
      <w:r>
        <w:separator/>
      </w:r>
    </w:p>
  </w:footnote>
  <w:footnote w:type="continuationSeparator" w:id="0">
    <w:p w14:paraId="4790ED51" w14:textId="77777777" w:rsidR="00545BD6" w:rsidRDefault="00545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BB08D" w14:textId="77777777" w:rsidR="00EE0603" w:rsidRDefault="00EE06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EF0E00D" w14:textId="77777777" w:rsidR="00EE0603" w:rsidRDefault="00EE0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CE792" w14:textId="77777777" w:rsidR="00EE0603" w:rsidRDefault="00EE0603">
    <w:pPr>
      <w:pStyle w:val="Header"/>
    </w:pPr>
    <w:r>
      <w:rPr>
        <w:noProof/>
        <w:lang w:val="en-US" w:eastAsia="en-US"/>
      </w:rPr>
      <w:drawing>
        <wp:inline distT="0" distB="0" distL="0" distR="0" wp14:anchorId="42389FDE" wp14:editId="1159CDEF">
          <wp:extent cx="1987550" cy="8597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51EBE"/>
    <w:multiLevelType w:val="hybridMultilevel"/>
    <w:tmpl w:val="4DFE83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E141E3"/>
    <w:multiLevelType w:val="hybridMultilevel"/>
    <w:tmpl w:val="BB0C75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4F3DD4"/>
    <w:multiLevelType w:val="multilevel"/>
    <w:tmpl w:val="BEDCAAF6"/>
    <w:lvl w:ilvl="0">
      <w:start w:val="1"/>
      <w:numFmt w:val="upperRoman"/>
      <w:pStyle w:val="Chapter"/>
      <w:lvlText w:val="%1."/>
      <w:lvlJc w:val="left"/>
      <w:pPr>
        <w:tabs>
          <w:tab w:val="num" w:pos="630"/>
        </w:tabs>
        <w:ind w:left="-18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3" w15:restartNumberingAfterBreak="0">
    <w:nsid w:val="15B576B5"/>
    <w:multiLevelType w:val="multilevel"/>
    <w:tmpl w:val="096A6CE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077F65"/>
    <w:multiLevelType w:val="hybridMultilevel"/>
    <w:tmpl w:val="1E74D0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C7BF0"/>
    <w:multiLevelType w:val="hybridMultilevel"/>
    <w:tmpl w:val="FE7A3F52"/>
    <w:lvl w:ilvl="0" w:tplc="F52AE774">
      <w:start w:val="1"/>
      <w:numFmt w:val="upperRoman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2612689"/>
    <w:multiLevelType w:val="hybridMultilevel"/>
    <w:tmpl w:val="D7C0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538E6"/>
    <w:multiLevelType w:val="hybridMultilevel"/>
    <w:tmpl w:val="F80ECA6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4F1AFA"/>
    <w:multiLevelType w:val="multilevel"/>
    <w:tmpl w:val="096A6CE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C1A0E7A"/>
    <w:multiLevelType w:val="hybridMultilevel"/>
    <w:tmpl w:val="23AE175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6A543F"/>
    <w:multiLevelType w:val="hybridMultilevel"/>
    <w:tmpl w:val="9ADA48B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E57B4"/>
    <w:multiLevelType w:val="multilevel"/>
    <w:tmpl w:val="096A6CE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6963B10"/>
    <w:multiLevelType w:val="hybridMultilevel"/>
    <w:tmpl w:val="2DEADC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5F3729"/>
    <w:multiLevelType w:val="hybridMultilevel"/>
    <w:tmpl w:val="66122A6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FA47AF"/>
    <w:multiLevelType w:val="hybridMultilevel"/>
    <w:tmpl w:val="58AAFE02"/>
    <w:lvl w:ilvl="0" w:tplc="C8B42D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4F3CB4"/>
    <w:multiLevelType w:val="hybridMultilevel"/>
    <w:tmpl w:val="4A32EC24"/>
    <w:lvl w:ilvl="0" w:tplc="564E4B3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9B2E0F"/>
    <w:multiLevelType w:val="hybridMultilevel"/>
    <w:tmpl w:val="7D4EAB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5CF2AFB"/>
    <w:multiLevelType w:val="hybridMultilevel"/>
    <w:tmpl w:val="87121E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E54A1D"/>
    <w:multiLevelType w:val="hybridMultilevel"/>
    <w:tmpl w:val="00BA4B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4259F6"/>
    <w:multiLevelType w:val="hybridMultilevel"/>
    <w:tmpl w:val="F6CEC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B81484"/>
    <w:multiLevelType w:val="hybridMultilevel"/>
    <w:tmpl w:val="BA3E7E9E"/>
    <w:lvl w:ilvl="0" w:tplc="F52AE77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3"/>
  </w:num>
  <w:num w:numId="3">
    <w:abstractNumId w:val="15"/>
  </w:num>
  <w:num w:numId="4">
    <w:abstractNumId w:val="7"/>
  </w:num>
  <w:num w:numId="5">
    <w:abstractNumId w:val="12"/>
  </w:num>
  <w:num w:numId="6">
    <w:abstractNumId w:val="0"/>
  </w:num>
  <w:num w:numId="7">
    <w:abstractNumId w:val="1"/>
  </w:num>
  <w:num w:numId="8">
    <w:abstractNumId w:val="5"/>
  </w:num>
  <w:num w:numId="9">
    <w:abstractNumId w:val="14"/>
  </w:num>
  <w:num w:numId="10">
    <w:abstractNumId w:val="16"/>
  </w:num>
  <w:num w:numId="11">
    <w:abstractNumId w:val="6"/>
  </w:num>
  <w:num w:numId="12">
    <w:abstractNumId w:val="9"/>
  </w:num>
  <w:num w:numId="13">
    <w:abstractNumId w:val="2"/>
  </w:num>
  <w:num w:numId="14">
    <w:abstractNumId w:val="10"/>
  </w:num>
  <w:num w:numId="15">
    <w:abstractNumId w:val="4"/>
  </w:num>
  <w:num w:numId="16">
    <w:abstractNumId w:val="18"/>
  </w:num>
  <w:num w:numId="17">
    <w:abstractNumId w:val="17"/>
  </w:num>
  <w:num w:numId="18">
    <w:abstractNumId w:val="3"/>
  </w:num>
  <w:num w:numId="19">
    <w:abstractNumId w:val="8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4EF"/>
    <w:rsid w:val="00002A07"/>
    <w:rsid w:val="00012E46"/>
    <w:rsid w:val="00013EE7"/>
    <w:rsid w:val="0001402A"/>
    <w:rsid w:val="00023407"/>
    <w:rsid w:val="00026C76"/>
    <w:rsid w:val="00036C5F"/>
    <w:rsid w:val="000477E4"/>
    <w:rsid w:val="00053EC0"/>
    <w:rsid w:val="0005553D"/>
    <w:rsid w:val="00056860"/>
    <w:rsid w:val="00056DC3"/>
    <w:rsid w:val="00061978"/>
    <w:rsid w:val="00065BCD"/>
    <w:rsid w:val="00066645"/>
    <w:rsid w:val="00070AFF"/>
    <w:rsid w:val="00073DFC"/>
    <w:rsid w:val="00075C3C"/>
    <w:rsid w:val="0007619C"/>
    <w:rsid w:val="00083C8E"/>
    <w:rsid w:val="00085A67"/>
    <w:rsid w:val="00091141"/>
    <w:rsid w:val="000935F0"/>
    <w:rsid w:val="00095615"/>
    <w:rsid w:val="000A35BA"/>
    <w:rsid w:val="000A5A94"/>
    <w:rsid w:val="000B230C"/>
    <w:rsid w:val="000C2BD0"/>
    <w:rsid w:val="000C603C"/>
    <w:rsid w:val="000D100D"/>
    <w:rsid w:val="000D57E2"/>
    <w:rsid w:val="000D6C0D"/>
    <w:rsid w:val="000F015C"/>
    <w:rsid w:val="000F199B"/>
    <w:rsid w:val="000F2100"/>
    <w:rsid w:val="000F5E96"/>
    <w:rsid w:val="00107290"/>
    <w:rsid w:val="00107FC0"/>
    <w:rsid w:val="00110A1B"/>
    <w:rsid w:val="001111DB"/>
    <w:rsid w:val="001136CA"/>
    <w:rsid w:val="001154FB"/>
    <w:rsid w:val="001221FE"/>
    <w:rsid w:val="0012672C"/>
    <w:rsid w:val="001403F6"/>
    <w:rsid w:val="001443B2"/>
    <w:rsid w:val="001525AA"/>
    <w:rsid w:val="0015436A"/>
    <w:rsid w:val="001559B7"/>
    <w:rsid w:val="001725CE"/>
    <w:rsid w:val="00172BDA"/>
    <w:rsid w:val="001844B7"/>
    <w:rsid w:val="00186AFC"/>
    <w:rsid w:val="001A5B7B"/>
    <w:rsid w:val="001B7843"/>
    <w:rsid w:val="001C0564"/>
    <w:rsid w:val="001C2A20"/>
    <w:rsid w:val="001C6137"/>
    <w:rsid w:val="001D096F"/>
    <w:rsid w:val="001D10C9"/>
    <w:rsid w:val="001D2446"/>
    <w:rsid w:val="001D5491"/>
    <w:rsid w:val="001D583C"/>
    <w:rsid w:val="001D5DD8"/>
    <w:rsid w:val="001D70D1"/>
    <w:rsid w:val="001D7D2E"/>
    <w:rsid w:val="001E77C9"/>
    <w:rsid w:val="001F4F26"/>
    <w:rsid w:val="001F77E6"/>
    <w:rsid w:val="00204654"/>
    <w:rsid w:val="00204F64"/>
    <w:rsid w:val="00207E47"/>
    <w:rsid w:val="00210E7C"/>
    <w:rsid w:val="0021249F"/>
    <w:rsid w:val="0021753A"/>
    <w:rsid w:val="00233E0B"/>
    <w:rsid w:val="002355D2"/>
    <w:rsid w:val="00250F8D"/>
    <w:rsid w:val="00264DFB"/>
    <w:rsid w:val="00265112"/>
    <w:rsid w:val="00266790"/>
    <w:rsid w:val="00266B54"/>
    <w:rsid w:val="00270770"/>
    <w:rsid w:val="002749CA"/>
    <w:rsid w:val="0027621D"/>
    <w:rsid w:val="002764AB"/>
    <w:rsid w:val="0028488F"/>
    <w:rsid w:val="00287C35"/>
    <w:rsid w:val="00292241"/>
    <w:rsid w:val="002A1B64"/>
    <w:rsid w:val="002A5F50"/>
    <w:rsid w:val="002A6C2B"/>
    <w:rsid w:val="002B18F9"/>
    <w:rsid w:val="002C1F33"/>
    <w:rsid w:val="002C34C4"/>
    <w:rsid w:val="002C3BBF"/>
    <w:rsid w:val="002D0A53"/>
    <w:rsid w:val="002D21BE"/>
    <w:rsid w:val="002D5F06"/>
    <w:rsid w:val="002D759C"/>
    <w:rsid w:val="002E1E59"/>
    <w:rsid w:val="002E3105"/>
    <w:rsid w:val="002E48D1"/>
    <w:rsid w:val="002E74B8"/>
    <w:rsid w:val="002E7D9D"/>
    <w:rsid w:val="002F2EBA"/>
    <w:rsid w:val="00300C0F"/>
    <w:rsid w:val="00301C39"/>
    <w:rsid w:val="0030250F"/>
    <w:rsid w:val="003034B9"/>
    <w:rsid w:val="00303E7A"/>
    <w:rsid w:val="00305617"/>
    <w:rsid w:val="00307E54"/>
    <w:rsid w:val="00316D64"/>
    <w:rsid w:val="00324AC2"/>
    <w:rsid w:val="003275A8"/>
    <w:rsid w:val="003302D0"/>
    <w:rsid w:val="00344283"/>
    <w:rsid w:val="00346EA7"/>
    <w:rsid w:val="003501D1"/>
    <w:rsid w:val="00350E2A"/>
    <w:rsid w:val="00354B98"/>
    <w:rsid w:val="00357C3A"/>
    <w:rsid w:val="003601BA"/>
    <w:rsid w:val="00361B79"/>
    <w:rsid w:val="00361EC7"/>
    <w:rsid w:val="003621AD"/>
    <w:rsid w:val="00362B31"/>
    <w:rsid w:val="00362E75"/>
    <w:rsid w:val="00367BE7"/>
    <w:rsid w:val="0037300C"/>
    <w:rsid w:val="00373451"/>
    <w:rsid w:val="003779D2"/>
    <w:rsid w:val="0038102F"/>
    <w:rsid w:val="0039537E"/>
    <w:rsid w:val="003A092F"/>
    <w:rsid w:val="003A66A1"/>
    <w:rsid w:val="003A6CD1"/>
    <w:rsid w:val="003B1E23"/>
    <w:rsid w:val="003B2447"/>
    <w:rsid w:val="003C1931"/>
    <w:rsid w:val="003C1F05"/>
    <w:rsid w:val="003C2685"/>
    <w:rsid w:val="003C2AB7"/>
    <w:rsid w:val="003C402A"/>
    <w:rsid w:val="003C5387"/>
    <w:rsid w:val="003D6F21"/>
    <w:rsid w:val="003E0B62"/>
    <w:rsid w:val="003E1FBE"/>
    <w:rsid w:val="003E4814"/>
    <w:rsid w:val="003E65F4"/>
    <w:rsid w:val="003F534E"/>
    <w:rsid w:val="00401CA5"/>
    <w:rsid w:val="004104BD"/>
    <w:rsid w:val="004137C6"/>
    <w:rsid w:val="0041555B"/>
    <w:rsid w:val="004165F8"/>
    <w:rsid w:val="004350DD"/>
    <w:rsid w:val="00466181"/>
    <w:rsid w:val="0046637C"/>
    <w:rsid w:val="00470F13"/>
    <w:rsid w:val="004823E2"/>
    <w:rsid w:val="004850F4"/>
    <w:rsid w:val="004940B7"/>
    <w:rsid w:val="00496F37"/>
    <w:rsid w:val="004A0C28"/>
    <w:rsid w:val="004A47E8"/>
    <w:rsid w:val="004A5540"/>
    <w:rsid w:val="004B1EEE"/>
    <w:rsid w:val="004B64A9"/>
    <w:rsid w:val="004D2618"/>
    <w:rsid w:val="004E3CCE"/>
    <w:rsid w:val="004F1D46"/>
    <w:rsid w:val="004F52B2"/>
    <w:rsid w:val="00503721"/>
    <w:rsid w:val="00504A34"/>
    <w:rsid w:val="00513949"/>
    <w:rsid w:val="005146B4"/>
    <w:rsid w:val="00516C96"/>
    <w:rsid w:val="00520A43"/>
    <w:rsid w:val="00521DFC"/>
    <w:rsid w:val="00523547"/>
    <w:rsid w:val="00526452"/>
    <w:rsid w:val="00541CF5"/>
    <w:rsid w:val="005442C4"/>
    <w:rsid w:val="00545BD6"/>
    <w:rsid w:val="005558DF"/>
    <w:rsid w:val="00557CD7"/>
    <w:rsid w:val="00581C85"/>
    <w:rsid w:val="0058244B"/>
    <w:rsid w:val="00584ACC"/>
    <w:rsid w:val="0058676E"/>
    <w:rsid w:val="00591066"/>
    <w:rsid w:val="00591DDC"/>
    <w:rsid w:val="00595042"/>
    <w:rsid w:val="005A17DB"/>
    <w:rsid w:val="005A1A25"/>
    <w:rsid w:val="005A43E0"/>
    <w:rsid w:val="005C6533"/>
    <w:rsid w:val="005D0635"/>
    <w:rsid w:val="005D25F7"/>
    <w:rsid w:val="005D778A"/>
    <w:rsid w:val="005E69D3"/>
    <w:rsid w:val="005F1A4A"/>
    <w:rsid w:val="005F50FE"/>
    <w:rsid w:val="00602507"/>
    <w:rsid w:val="0060647F"/>
    <w:rsid w:val="00616925"/>
    <w:rsid w:val="00617DFC"/>
    <w:rsid w:val="006262F5"/>
    <w:rsid w:val="00634799"/>
    <w:rsid w:val="00640103"/>
    <w:rsid w:val="006403FA"/>
    <w:rsid w:val="00646B64"/>
    <w:rsid w:val="00647A33"/>
    <w:rsid w:val="00650E83"/>
    <w:rsid w:val="00651D87"/>
    <w:rsid w:val="006529EC"/>
    <w:rsid w:val="00653C79"/>
    <w:rsid w:val="006563F3"/>
    <w:rsid w:val="006621B0"/>
    <w:rsid w:val="00664A5F"/>
    <w:rsid w:val="00667019"/>
    <w:rsid w:val="00672722"/>
    <w:rsid w:val="00685273"/>
    <w:rsid w:val="006B4AFA"/>
    <w:rsid w:val="006C05BC"/>
    <w:rsid w:val="006C0EB8"/>
    <w:rsid w:val="006C1073"/>
    <w:rsid w:val="006C33F0"/>
    <w:rsid w:val="006D5BEF"/>
    <w:rsid w:val="006D6092"/>
    <w:rsid w:val="006E6D7B"/>
    <w:rsid w:val="006F14EB"/>
    <w:rsid w:val="006F3233"/>
    <w:rsid w:val="006F69C5"/>
    <w:rsid w:val="00703F31"/>
    <w:rsid w:val="00710FB3"/>
    <w:rsid w:val="00713DFD"/>
    <w:rsid w:val="0071433B"/>
    <w:rsid w:val="0072439D"/>
    <w:rsid w:val="00725297"/>
    <w:rsid w:val="00731A02"/>
    <w:rsid w:val="00745AFC"/>
    <w:rsid w:val="00754E05"/>
    <w:rsid w:val="00756613"/>
    <w:rsid w:val="00761EF0"/>
    <w:rsid w:val="00764993"/>
    <w:rsid w:val="0076729E"/>
    <w:rsid w:val="00772C1E"/>
    <w:rsid w:val="00782B64"/>
    <w:rsid w:val="00784376"/>
    <w:rsid w:val="007875A7"/>
    <w:rsid w:val="00794CEB"/>
    <w:rsid w:val="007961DC"/>
    <w:rsid w:val="00797DFB"/>
    <w:rsid w:val="007A4C7E"/>
    <w:rsid w:val="007B710A"/>
    <w:rsid w:val="007B7DE6"/>
    <w:rsid w:val="007C6CB0"/>
    <w:rsid w:val="007C72A8"/>
    <w:rsid w:val="007D5721"/>
    <w:rsid w:val="007E0390"/>
    <w:rsid w:val="007E1E99"/>
    <w:rsid w:val="007E7A37"/>
    <w:rsid w:val="007F0C01"/>
    <w:rsid w:val="007F3BDF"/>
    <w:rsid w:val="007F5F64"/>
    <w:rsid w:val="007F61A9"/>
    <w:rsid w:val="008034BB"/>
    <w:rsid w:val="00806948"/>
    <w:rsid w:val="00807DD0"/>
    <w:rsid w:val="00811E61"/>
    <w:rsid w:val="008122B4"/>
    <w:rsid w:val="008127F0"/>
    <w:rsid w:val="008149B6"/>
    <w:rsid w:val="00817E1B"/>
    <w:rsid w:val="00822557"/>
    <w:rsid w:val="00825830"/>
    <w:rsid w:val="00835311"/>
    <w:rsid w:val="00844BE5"/>
    <w:rsid w:val="00851234"/>
    <w:rsid w:val="00855373"/>
    <w:rsid w:val="00857675"/>
    <w:rsid w:val="0086056B"/>
    <w:rsid w:val="00862F10"/>
    <w:rsid w:val="008646B0"/>
    <w:rsid w:val="00865095"/>
    <w:rsid w:val="00866F83"/>
    <w:rsid w:val="008716B6"/>
    <w:rsid w:val="008810AC"/>
    <w:rsid w:val="0088360A"/>
    <w:rsid w:val="00887A2E"/>
    <w:rsid w:val="008914AF"/>
    <w:rsid w:val="008A2B39"/>
    <w:rsid w:val="008B23A0"/>
    <w:rsid w:val="008B2CE5"/>
    <w:rsid w:val="008B7198"/>
    <w:rsid w:val="008C0114"/>
    <w:rsid w:val="008C3959"/>
    <w:rsid w:val="008D3867"/>
    <w:rsid w:val="008D5AA0"/>
    <w:rsid w:val="008E1DC4"/>
    <w:rsid w:val="008E205E"/>
    <w:rsid w:val="008E233B"/>
    <w:rsid w:val="008E7090"/>
    <w:rsid w:val="008F0D2F"/>
    <w:rsid w:val="008F2BD2"/>
    <w:rsid w:val="0090733E"/>
    <w:rsid w:val="00913734"/>
    <w:rsid w:val="00920198"/>
    <w:rsid w:val="00920FD5"/>
    <w:rsid w:val="00924556"/>
    <w:rsid w:val="00932B4E"/>
    <w:rsid w:val="0093346C"/>
    <w:rsid w:val="009374E9"/>
    <w:rsid w:val="009509CA"/>
    <w:rsid w:val="009668F7"/>
    <w:rsid w:val="00970381"/>
    <w:rsid w:val="00970DB3"/>
    <w:rsid w:val="00971482"/>
    <w:rsid w:val="00976153"/>
    <w:rsid w:val="009866C8"/>
    <w:rsid w:val="00986BD1"/>
    <w:rsid w:val="009928A3"/>
    <w:rsid w:val="00994C1D"/>
    <w:rsid w:val="00996328"/>
    <w:rsid w:val="009A0F2D"/>
    <w:rsid w:val="009A1C26"/>
    <w:rsid w:val="009A2637"/>
    <w:rsid w:val="009A489F"/>
    <w:rsid w:val="009A734A"/>
    <w:rsid w:val="009B1A35"/>
    <w:rsid w:val="009B57EF"/>
    <w:rsid w:val="009B5CFE"/>
    <w:rsid w:val="009B7E17"/>
    <w:rsid w:val="009C0E84"/>
    <w:rsid w:val="009D5FE4"/>
    <w:rsid w:val="009D6A0F"/>
    <w:rsid w:val="009E03E1"/>
    <w:rsid w:val="00A00EDF"/>
    <w:rsid w:val="00A04CD3"/>
    <w:rsid w:val="00A06C09"/>
    <w:rsid w:val="00A11373"/>
    <w:rsid w:val="00A15A35"/>
    <w:rsid w:val="00A2313A"/>
    <w:rsid w:val="00A37A8F"/>
    <w:rsid w:val="00A40772"/>
    <w:rsid w:val="00A43776"/>
    <w:rsid w:val="00A55910"/>
    <w:rsid w:val="00A56B67"/>
    <w:rsid w:val="00A75AE1"/>
    <w:rsid w:val="00A75B55"/>
    <w:rsid w:val="00A80990"/>
    <w:rsid w:val="00A8327F"/>
    <w:rsid w:val="00A8408B"/>
    <w:rsid w:val="00A85F40"/>
    <w:rsid w:val="00A86FA3"/>
    <w:rsid w:val="00A9295F"/>
    <w:rsid w:val="00A9365D"/>
    <w:rsid w:val="00A971FA"/>
    <w:rsid w:val="00A977BA"/>
    <w:rsid w:val="00AA5AD3"/>
    <w:rsid w:val="00AB32C2"/>
    <w:rsid w:val="00AB5B25"/>
    <w:rsid w:val="00AC09B3"/>
    <w:rsid w:val="00AC6362"/>
    <w:rsid w:val="00AD12DF"/>
    <w:rsid w:val="00AD292C"/>
    <w:rsid w:val="00AD2BF2"/>
    <w:rsid w:val="00AD45D4"/>
    <w:rsid w:val="00AE38D1"/>
    <w:rsid w:val="00AF34EF"/>
    <w:rsid w:val="00AF6D02"/>
    <w:rsid w:val="00AF73CC"/>
    <w:rsid w:val="00AF7627"/>
    <w:rsid w:val="00B061A4"/>
    <w:rsid w:val="00B23493"/>
    <w:rsid w:val="00B23B38"/>
    <w:rsid w:val="00B27272"/>
    <w:rsid w:val="00B35AF2"/>
    <w:rsid w:val="00B46CC9"/>
    <w:rsid w:val="00B52F75"/>
    <w:rsid w:val="00B54B03"/>
    <w:rsid w:val="00B610F3"/>
    <w:rsid w:val="00B63B5C"/>
    <w:rsid w:val="00B66303"/>
    <w:rsid w:val="00B73C0E"/>
    <w:rsid w:val="00B80692"/>
    <w:rsid w:val="00B82291"/>
    <w:rsid w:val="00B90504"/>
    <w:rsid w:val="00B93A01"/>
    <w:rsid w:val="00B93DF4"/>
    <w:rsid w:val="00B96158"/>
    <w:rsid w:val="00BA4189"/>
    <w:rsid w:val="00BA5780"/>
    <w:rsid w:val="00BA6019"/>
    <w:rsid w:val="00BC1634"/>
    <w:rsid w:val="00BC1B4A"/>
    <w:rsid w:val="00BC2A6F"/>
    <w:rsid w:val="00BD1D06"/>
    <w:rsid w:val="00BD565E"/>
    <w:rsid w:val="00BE166A"/>
    <w:rsid w:val="00BE16B9"/>
    <w:rsid w:val="00BE6C4A"/>
    <w:rsid w:val="00BF2E04"/>
    <w:rsid w:val="00C01FE8"/>
    <w:rsid w:val="00C027A2"/>
    <w:rsid w:val="00C14ECF"/>
    <w:rsid w:val="00C20014"/>
    <w:rsid w:val="00C24406"/>
    <w:rsid w:val="00C336E8"/>
    <w:rsid w:val="00C404DD"/>
    <w:rsid w:val="00C549F1"/>
    <w:rsid w:val="00C55CD4"/>
    <w:rsid w:val="00C67227"/>
    <w:rsid w:val="00C70220"/>
    <w:rsid w:val="00C72794"/>
    <w:rsid w:val="00C72EE5"/>
    <w:rsid w:val="00C75A41"/>
    <w:rsid w:val="00C76244"/>
    <w:rsid w:val="00C82901"/>
    <w:rsid w:val="00C86223"/>
    <w:rsid w:val="00C86E9E"/>
    <w:rsid w:val="00C972A8"/>
    <w:rsid w:val="00CA20FC"/>
    <w:rsid w:val="00CA4CA0"/>
    <w:rsid w:val="00CA73E4"/>
    <w:rsid w:val="00CB011A"/>
    <w:rsid w:val="00CB2DE6"/>
    <w:rsid w:val="00CB578A"/>
    <w:rsid w:val="00CB7183"/>
    <w:rsid w:val="00CC602D"/>
    <w:rsid w:val="00CD0D16"/>
    <w:rsid w:val="00CD41A1"/>
    <w:rsid w:val="00CD58F3"/>
    <w:rsid w:val="00CE3E29"/>
    <w:rsid w:val="00CE3F17"/>
    <w:rsid w:val="00CF3CEF"/>
    <w:rsid w:val="00CF5B74"/>
    <w:rsid w:val="00D031E2"/>
    <w:rsid w:val="00D046AF"/>
    <w:rsid w:val="00D0529C"/>
    <w:rsid w:val="00D248D3"/>
    <w:rsid w:val="00D26289"/>
    <w:rsid w:val="00D27B10"/>
    <w:rsid w:val="00D3480B"/>
    <w:rsid w:val="00D34A9E"/>
    <w:rsid w:val="00D37814"/>
    <w:rsid w:val="00D41966"/>
    <w:rsid w:val="00D478F4"/>
    <w:rsid w:val="00D47925"/>
    <w:rsid w:val="00D62E15"/>
    <w:rsid w:val="00D64811"/>
    <w:rsid w:val="00D6486B"/>
    <w:rsid w:val="00D664C8"/>
    <w:rsid w:val="00D67F0D"/>
    <w:rsid w:val="00D713D3"/>
    <w:rsid w:val="00D737D2"/>
    <w:rsid w:val="00D8432E"/>
    <w:rsid w:val="00D91CF1"/>
    <w:rsid w:val="00DA0248"/>
    <w:rsid w:val="00DA5A62"/>
    <w:rsid w:val="00DB249D"/>
    <w:rsid w:val="00DB2F93"/>
    <w:rsid w:val="00DB5CE9"/>
    <w:rsid w:val="00DB5E25"/>
    <w:rsid w:val="00DC1C7E"/>
    <w:rsid w:val="00DC682A"/>
    <w:rsid w:val="00DC6F60"/>
    <w:rsid w:val="00DC7D71"/>
    <w:rsid w:val="00DD0500"/>
    <w:rsid w:val="00DD61AB"/>
    <w:rsid w:val="00DD75FC"/>
    <w:rsid w:val="00DE4599"/>
    <w:rsid w:val="00DE4BF0"/>
    <w:rsid w:val="00DE7431"/>
    <w:rsid w:val="00DF0AEF"/>
    <w:rsid w:val="00DF1065"/>
    <w:rsid w:val="00DF185F"/>
    <w:rsid w:val="00DF423D"/>
    <w:rsid w:val="00DF578E"/>
    <w:rsid w:val="00E01A67"/>
    <w:rsid w:val="00E03D38"/>
    <w:rsid w:val="00E116E0"/>
    <w:rsid w:val="00E122CB"/>
    <w:rsid w:val="00E20566"/>
    <w:rsid w:val="00E20F71"/>
    <w:rsid w:val="00E27BA9"/>
    <w:rsid w:val="00E31405"/>
    <w:rsid w:val="00E32393"/>
    <w:rsid w:val="00E50234"/>
    <w:rsid w:val="00E52463"/>
    <w:rsid w:val="00E53187"/>
    <w:rsid w:val="00E64CF2"/>
    <w:rsid w:val="00E772E0"/>
    <w:rsid w:val="00E807AF"/>
    <w:rsid w:val="00E86FFE"/>
    <w:rsid w:val="00EA0047"/>
    <w:rsid w:val="00EA02A0"/>
    <w:rsid w:val="00EA4ADE"/>
    <w:rsid w:val="00EA6F06"/>
    <w:rsid w:val="00EA7EF8"/>
    <w:rsid w:val="00EB2930"/>
    <w:rsid w:val="00EB520F"/>
    <w:rsid w:val="00EB5D48"/>
    <w:rsid w:val="00EB5E17"/>
    <w:rsid w:val="00EB7AB6"/>
    <w:rsid w:val="00EC2CC8"/>
    <w:rsid w:val="00ED0DF0"/>
    <w:rsid w:val="00ED245C"/>
    <w:rsid w:val="00EE0603"/>
    <w:rsid w:val="00EE1C37"/>
    <w:rsid w:val="00EE4956"/>
    <w:rsid w:val="00EE6B92"/>
    <w:rsid w:val="00EF49EF"/>
    <w:rsid w:val="00EF680E"/>
    <w:rsid w:val="00F00151"/>
    <w:rsid w:val="00F07153"/>
    <w:rsid w:val="00F12254"/>
    <w:rsid w:val="00F22B33"/>
    <w:rsid w:val="00F26B23"/>
    <w:rsid w:val="00F26EE0"/>
    <w:rsid w:val="00F350EF"/>
    <w:rsid w:val="00F41696"/>
    <w:rsid w:val="00F47AB6"/>
    <w:rsid w:val="00F50D22"/>
    <w:rsid w:val="00F532A3"/>
    <w:rsid w:val="00F63393"/>
    <w:rsid w:val="00F665C0"/>
    <w:rsid w:val="00F66A79"/>
    <w:rsid w:val="00F75EBB"/>
    <w:rsid w:val="00F77A51"/>
    <w:rsid w:val="00F802FC"/>
    <w:rsid w:val="00F8166A"/>
    <w:rsid w:val="00F82212"/>
    <w:rsid w:val="00F97775"/>
    <w:rsid w:val="00F97F44"/>
    <w:rsid w:val="00FA0B4C"/>
    <w:rsid w:val="00FA76B0"/>
    <w:rsid w:val="00FB03B8"/>
    <w:rsid w:val="00FB20F9"/>
    <w:rsid w:val="00FB28CF"/>
    <w:rsid w:val="00FC1166"/>
    <w:rsid w:val="00FC3CE9"/>
    <w:rsid w:val="00FC43B0"/>
    <w:rsid w:val="00FC5580"/>
    <w:rsid w:val="00FC6648"/>
    <w:rsid w:val="00FD07D9"/>
    <w:rsid w:val="00FD5969"/>
    <w:rsid w:val="00FD5991"/>
    <w:rsid w:val="00FE07FD"/>
    <w:rsid w:val="00FE2F5E"/>
    <w:rsid w:val="00FE56D3"/>
    <w:rsid w:val="00FF1D67"/>
    <w:rsid w:val="00FF5274"/>
    <w:rsid w:val="305FC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58EB8F"/>
  <w15:docId w15:val="{D0838F92-DE22-4974-928E-1ECD374E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0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  <w:lang w:eastAsia="es-E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  <w:lang w:eastAsia="es-ES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7920"/>
      </w:tabs>
    </w:pPr>
    <w:rPr>
      <w:b/>
      <w:bCs/>
      <w:noProof/>
      <w:lang w:val="es-AR"/>
    </w:rPr>
  </w:style>
  <w:style w:type="paragraph" w:styleId="BalloonText">
    <w:name w:val="Balloon Text"/>
    <w:basedOn w:val="Normal"/>
    <w:link w:val="BalloonTextChar"/>
    <w:rsid w:val="007649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993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rsid w:val="0061692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Cs w:val="20"/>
    </w:rPr>
  </w:style>
  <w:style w:type="paragraph" w:customStyle="1" w:styleId="Normal1">
    <w:name w:val="Normal1"/>
    <w:basedOn w:val="Normal"/>
    <w:next w:val="Normal"/>
    <w:rsid w:val="00307E54"/>
    <w:pPr>
      <w:spacing w:line="360" w:lineRule="auto"/>
      <w:ind w:firstLine="706"/>
      <w:jc w:val="both"/>
    </w:pPr>
    <w:rPr>
      <w:rFonts w:ascii="CG  times" w:hAnsi="CG  times"/>
      <w:sz w:val="22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AF7627"/>
    <w:pPr>
      <w:ind w:left="720"/>
      <w:contextualSpacing/>
    </w:pPr>
  </w:style>
  <w:style w:type="table" w:styleId="TableGrid">
    <w:name w:val="Table Grid"/>
    <w:basedOn w:val="TableNormal"/>
    <w:rsid w:val="008D3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4E3CCE"/>
    <w:rPr>
      <w:sz w:val="24"/>
      <w:lang w:val="es-ES_tradnl" w:eastAsia="es-ES"/>
    </w:rPr>
  </w:style>
  <w:style w:type="paragraph" w:customStyle="1" w:styleId="Paragraph">
    <w:name w:val="Paragraph"/>
    <w:basedOn w:val="BodyTextIndent"/>
    <w:rsid w:val="003C1931"/>
    <w:pPr>
      <w:numPr>
        <w:ilvl w:val="1"/>
        <w:numId w:val="13"/>
      </w:numPr>
      <w:spacing w:before="120"/>
      <w:jc w:val="both"/>
      <w:outlineLvl w:val="1"/>
    </w:pPr>
    <w:rPr>
      <w:szCs w:val="20"/>
      <w:lang w:eastAsia="es-PE"/>
    </w:rPr>
  </w:style>
  <w:style w:type="character" w:styleId="Hyperlink">
    <w:name w:val="Hyperlink"/>
    <w:basedOn w:val="DefaultParagraphFont"/>
    <w:uiPriority w:val="99"/>
    <w:unhideWhenUsed/>
    <w:rsid w:val="003C1931"/>
    <w:rPr>
      <w:color w:val="0000FF" w:themeColor="hyperlink"/>
      <w:u w:val="single"/>
    </w:rPr>
  </w:style>
  <w:style w:type="table" w:styleId="LightList-Accent1">
    <w:name w:val="Light List Accent 1"/>
    <w:basedOn w:val="TableNormal"/>
    <w:uiPriority w:val="61"/>
    <w:rsid w:val="003C193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Listavistosa-nfasis11">
    <w:name w:val="Lista vistosa - Énfasis 11"/>
    <w:basedOn w:val="Normal"/>
    <w:uiPriority w:val="34"/>
    <w:qFormat/>
    <w:rsid w:val="003C19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C"/>
    </w:rPr>
  </w:style>
  <w:style w:type="paragraph" w:styleId="BodyTextIndent">
    <w:name w:val="Body Text Indent"/>
    <w:basedOn w:val="Normal"/>
    <w:link w:val="BodyTextIndentChar"/>
    <w:rsid w:val="003C193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C1931"/>
    <w:rPr>
      <w:sz w:val="24"/>
      <w:szCs w:val="24"/>
    </w:rPr>
  </w:style>
  <w:style w:type="paragraph" w:customStyle="1" w:styleId="Chapter">
    <w:name w:val="Chapter"/>
    <w:basedOn w:val="Normal"/>
    <w:rsid w:val="00CD58F3"/>
    <w:pPr>
      <w:numPr>
        <w:numId w:val="13"/>
      </w:numPr>
    </w:pPr>
  </w:style>
  <w:style w:type="paragraph" w:customStyle="1" w:styleId="subpar">
    <w:name w:val="subpar"/>
    <w:basedOn w:val="Normal"/>
    <w:rsid w:val="00CD58F3"/>
    <w:pPr>
      <w:numPr>
        <w:ilvl w:val="2"/>
        <w:numId w:val="13"/>
      </w:numPr>
    </w:pPr>
  </w:style>
  <w:style w:type="paragraph" w:customStyle="1" w:styleId="SubSubPar">
    <w:name w:val="SubSubPar"/>
    <w:basedOn w:val="Normal"/>
    <w:rsid w:val="00CD58F3"/>
    <w:pPr>
      <w:numPr>
        <w:ilvl w:val="3"/>
        <w:numId w:val="13"/>
      </w:numPr>
    </w:pPr>
  </w:style>
  <w:style w:type="character" w:styleId="FollowedHyperlink">
    <w:name w:val="FollowedHyperlink"/>
    <w:basedOn w:val="DefaultParagraphFont"/>
    <w:rsid w:val="00D248D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58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867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676E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676E"/>
    <w:rPr>
      <w:b/>
      <w:bCs/>
      <w:lang w:val="es-ES_tradnl"/>
    </w:rPr>
  </w:style>
  <w:style w:type="character" w:styleId="UnresolvedMention">
    <w:name w:val="Unresolved Mention"/>
    <w:basedOn w:val="DefaultParagraphFont"/>
    <w:uiPriority w:val="99"/>
    <w:semiHidden/>
    <w:unhideWhenUsed/>
    <w:rsid w:val="00DF4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2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7.xml"/><Relationship Id="rId13" Type="http://schemas.openxmlformats.org/officeDocument/2006/relationships/footnotes" Target="footnotes.xml"/><Relationship Id="rId18" Type="http://schemas.openxmlformats.org/officeDocument/2006/relationships/hyperlink" Target="https://idbg.sharepoint.com/teams/EZ-PN-TCP/PN-T1222/15%20LifeCycle%20Milestones/Anexo%204.%20PN-T1222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2.xml"/><Relationship Id="rId21" Type="http://schemas.openxmlformats.org/officeDocument/2006/relationships/header" Target="header1.xml"/><Relationship Id="rId7" Type="http://schemas.openxmlformats.org/officeDocument/2006/relationships/customXml" Target="../customXml/item6.xml"/><Relationship Id="rId12" Type="http://schemas.openxmlformats.org/officeDocument/2006/relationships/webSettings" Target="webSettings.xml"/><Relationship Id="rId17" Type="http://schemas.openxmlformats.org/officeDocument/2006/relationships/hyperlink" Target="https://idbg.sharepoint.com/teams/EZ-PN-TCP/PN-T1222/15%20LifeCycle%20Milestones/Anexo%203.%20PN-T1222.docx?d=wde245d49616144049323cb52598292a8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yperlink" Target="https://idbg.sharepoint.com/teams/EZ-PN-TCP/PN-T1222/_layouts/15/DocIdRedir.aspx?ID=EZSHARE-132937195-10" TargetMode="External"/><Relationship Id="rId20" Type="http://schemas.openxmlformats.org/officeDocument/2006/relationships/hyperlink" Target="https://idbg.sharepoint.com/teams/EZ-PN-TCP/PN-T1222/_layouts/15/DocIdRedir.aspx?ID=EZSHARE-132937195-15" TargetMode="Externa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settings" Target="settings.xml"/><Relationship Id="rId24" Type="http://schemas.openxmlformats.org/officeDocument/2006/relationships/footer" Target="footer2.xml"/><Relationship Id="rId5" Type="http://schemas.openxmlformats.org/officeDocument/2006/relationships/customXml" Target="../customXml/item4.xml"/><Relationship Id="rId15" Type="http://schemas.openxmlformats.org/officeDocument/2006/relationships/hyperlink" Target="https://idbg.sharepoint.com/teams/EZ-PN-TCP/PN-T1222/_layouts/15/DocIdRedir.aspx?ID=EZSHARE-132937195-12" TargetMode="External"/><Relationship Id="rId23" Type="http://schemas.openxmlformats.org/officeDocument/2006/relationships/header" Target="header2.xml"/><Relationship Id="rId10" Type="http://schemas.openxmlformats.org/officeDocument/2006/relationships/styles" Target="styles.xml"/><Relationship Id="rId19" Type="http://schemas.openxmlformats.org/officeDocument/2006/relationships/hyperlink" Target="https://idbg.sharepoint.com/teams/EZ-PN-TCP/PN-T1222/15%20LifeCycle%20Milestones/Anexo%205.%20PN-T1222.pdf" TargetMode="External"/><Relationship Id="rId22" Type="http://schemas.openxmlformats.org/officeDocument/2006/relationships/footer" Target="footer1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7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SCL/GDI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ATN/OC-16982-PN;</Approval_x0020_Number>
    <Phase xmlns="cdc7663a-08f0-4737-9e8c-148ce897a09c" xsi:nil="true"/>
    <Document_x0020_Author xmlns="cdc7663a-08f0-4737-9e8c-148ce897a09c">Martin, Carolina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INDIGENOUS PEOPLES DEVELOPMENT</TermName>
          <TermId xmlns="http://schemas.microsoft.com/office/infopath/2007/PartnerControls">4cb058cd-0456-45cc-8ce8-f84df17fe51d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Related_x0020_SisCor_x0020_Number xmlns="cdc7663a-08f0-4737-9e8c-148ce897a09c" xsi:nil="true"/>
    <TaxCatchAll xmlns="cdc7663a-08f0-4737-9e8c-148ce897a09c">
      <Value>83</Value>
      <Value>26</Value>
      <Value>25</Value>
      <Value>128</Value>
      <Value>2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PN-T1222;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R0002902664</Record_x0020_Number>
    <_dlc_DocId xmlns="cdc7663a-08f0-4737-9e8c-148ce897a09c">EZSHARE-132937195-16</_dlc_DocId>
    <_dlc_DocIdUrl xmlns="cdc7663a-08f0-4737-9e8c-148ce897a09c">
      <Url>https://idbg.sharepoint.com/teams/EZ-PN-TCP/PN-T1222/_layouts/15/DocIdRedir.aspx?ID=EZSHARE-132937195-16</Url>
      <Description>EZSHARE-132937195-16</Description>
    </_dlc_DocIdUrl>
    <Disclosure_x0020_Activity xmlns="cdc7663a-08f0-4737-9e8c-148ce897a09c">Intraregional Technical Cooperation Program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A74418CC90BC84A8F70B04E8D7FFEE7" ma:contentTypeVersion="341" ma:contentTypeDescription="The base project type from which other project content types inherit their information." ma:contentTypeScope="" ma:versionID="e64ff683c3f72d5d6a5fc79ab0893e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aba7f55e6fe69056991b25f7486128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9A231BBB4A80247A8D31EFA3114D49D" ma:contentTypeVersion="942" ma:contentTypeDescription="A content type to manage public (operations) IDB documents" ma:contentTypeScope="" ma:versionID="52d9f216fa8ff1cf4e8696485604f79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269E34A-2A05-48F0-99DD-9FEC90902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81BE1-A9D3-47E3-8C80-0FD542E4EF87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507D5AB2-1C6A-4B31-A07E-7A74B7066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5AEA4-BB1F-44D9-A056-E834099EABCD}"/>
</file>

<file path=customXml/itemProps5.xml><?xml version="1.0" encoding="utf-8"?>
<ds:datastoreItem xmlns:ds="http://schemas.openxmlformats.org/officeDocument/2006/customXml" ds:itemID="{4C766306-3059-4433-BDC7-9B942717350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CF02EED-4B24-4F56-A66F-94D002CB7636}"/>
</file>

<file path=customXml/itemProps7.xml><?xml version="1.0" encoding="utf-8"?>
<ds:datastoreItem xmlns:ds="http://schemas.openxmlformats.org/officeDocument/2006/customXml" ds:itemID="{6955DD92-3D53-4F39-89F3-2BD27DBD88C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AA51828-D8C6-4E1A-88F3-5ABB2522BF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BANCO INTERAMERICANO DE DESARROLLO</vt:lpstr>
    </vt:vector>
  </TitlesOfParts>
  <Company>Inter-American Development Bank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BANCO INTERAMERICANO DE DESARROLLO</dc:title>
  <dc:creator>MICHELLEM</dc:creator>
  <cp:keywords/>
  <cp:lastModifiedBy>Uribe Vasquez, Lina Eugenia</cp:lastModifiedBy>
  <cp:revision>3</cp:revision>
  <cp:lastPrinted>2015-07-22T19:46:00Z</cp:lastPrinted>
  <dcterms:created xsi:type="dcterms:W3CDTF">2018-10-16T17:21:00Z</dcterms:created>
  <dcterms:modified xsi:type="dcterms:W3CDTF">2018-10-16T17:25:00Z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83;#INDIGENOUS PEOPLES DEVELOPMENT|4cb058cd-0456-45cc-8ce8-f84df17fe51d</vt:lpwstr>
  </property>
  <property fmtid="{D5CDD505-2E9C-101B-9397-08002B2CF9AE}" pid="7" name="Fund IDB">
    <vt:lpwstr>128;#CTY|480c4b50-1d26-4981-a192-620d20903d26</vt:lpwstr>
  </property>
  <property fmtid="{D5CDD505-2E9C-101B-9397-08002B2CF9AE}" pid="8" name="Country">
    <vt:lpwstr>25;#Panama|7af43a84-776d-43d1-b0f2-8a1f2a8ffc7b</vt:lpwstr>
  </property>
  <property fmtid="{D5CDD505-2E9C-101B-9397-08002B2CF9AE}" pid="9" name="Sector IDB">
    <vt:lpwstr>26;#SOCIAL INVESTMENT|3f908695-d5b5-49f6-941f-76876b39564f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304d1aee-5a70-4863-b18f-b20ad3b444d0</vt:lpwstr>
  </property>
  <property fmtid="{D5CDD505-2E9C-101B-9397-08002B2CF9AE}" pid="12" name="ContentTypeId">
    <vt:lpwstr>0x0101001A458A224826124E8B45B1D613300CFC00C9A231BBB4A80247A8D31EFA3114D49D</vt:lpwstr>
  </property>
</Properties>
</file>