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78C" w:rsidRPr="005D5712" w:rsidRDefault="00C0578C" w:rsidP="00C0578C">
      <w:pPr>
        <w:tabs>
          <w:tab w:val="left" w:pos="1440"/>
          <w:tab w:val="left" w:pos="3060"/>
        </w:tabs>
        <w:jc w:val="center"/>
        <w:rPr>
          <w:b/>
          <w:smallCaps/>
          <w:lang w:val="pt-BR"/>
        </w:rPr>
      </w:pPr>
    </w:p>
    <w:p w:rsidR="00C0578C" w:rsidRDefault="00C0578C" w:rsidP="00C0578C">
      <w:pPr>
        <w:tabs>
          <w:tab w:val="left" w:pos="1440"/>
          <w:tab w:val="left" w:pos="3060"/>
        </w:tabs>
        <w:jc w:val="center"/>
        <w:rPr>
          <w:b/>
          <w:smallCaps/>
          <w:highlight w:val="lightGray"/>
          <w:lang w:val="pt-BR"/>
        </w:rPr>
      </w:pPr>
    </w:p>
    <w:p w:rsidR="008F786B" w:rsidRDefault="008F786B" w:rsidP="00C0578C">
      <w:pPr>
        <w:tabs>
          <w:tab w:val="left" w:pos="1440"/>
          <w:tab w:val="left" w:pos="3060"/>
        </w:tabs>
        <w:jc w:val="center"/>
        <w:rPr>
          <w:b/>
          <w:smallCaps/>
          <w:highlight w:val="lightGray"/>
          <w:lang w:val="pt-BR"/>
        </w:rPr>
      </w:pPr>
    </w:p>
    <w:p w:rsidR="008F786B" w:rsidRDefault="008F786B" w:rsidP="00C0578C">
      <w:pPr>
        <w:tabs>
          <w:tab w:val="left" w:pos="1440"/>
          <w:tab w:val="left" w:pos="3060"/>
        </w:tabs>
        <w:jc w:val="center"/>
        <w:rPr>
          <w:b/>
          <w:smallCaps/>
          <w:highlight w:val="lightGray"/>
          <w:lang w:val="pt-BR"/>
        </w:rPr>
      </w:pPr>
    </w:p>
    <w:p w:rsidR="008F786B" w:rsidRDefault="008F786B" w:rsidP="00C0578C">
      <w:pPr>
        <w:tabs>
          <w:tab w:val="left" w:pos="1440"/>
          <w:tab w:val="left" w:pos="3060"/>
        </w:tabs>
        <w:jc w:val="center"/>
        <w:rPr>
          <w:b/>
          <w:smallCaps/>
          <w:highlight w:val="lightGray"/>
          <w:lang w:val="pt-BR"/>
        </w:rPr>
      </w:pPr>
    </w:p>
    <w:p w:rsidR="008F786B" w:rsidRDefault="008F786B" w:rsidP="00C0578C">
      <w:pPr>
        <w:tabs>
          <w:tab w:val="left" w:pos="1440"/>
          <w:tab w:val="left" w:pos="3060"/>
        </w:tabs>
        <w:jc w:val="center"/>
        <w:rPr>
          <w:b/>
          <w:smallCaps/>
          <w:highlight w:val="lightGray"/>
          <w:lang w:val="pt-BR"/>
        </w:rPr>
      </w:pPr>
    </w:p>
    <w:p w:rsidR="008F786B" w:rsidRDefault="008F786B" w:rsidP="00C0578C">
      <w:pPr>
        <w:tabs>
          <w:tab w:val="left" w:pos="1440"/>
          <w:tab w:val="left" w:pos="3060"/>
        </w:tabs>
        <w:jc w:val="center"/>
        <w:rPr>
          <w:b/>
          <w:smallCaps/>
          <w:highlight w:val="lightGray"/>
          <w:lang w:val="pt-BR"/>
        </w:rPr>
      </w:pPr>
    </w:p>
    <w:p w:rsidR="008F786B" w:rsidRPr="005D5712" w:rsidRDefault="00804859" w:rsidP="00C0578C">
      <w:pPr>
        <w:tabs>
          <w:tab w:val="left" w:pos="1440"/>
          <w:tab w:val="left" w:pos="3060"/>
        </w:tabs>
        <w:jc w:val="center"/>
        <w:rPr>
          <w:b/>
          <w:smallCaps/>
          <w:highlight w:val="lightGray"/>
          <w:lang w:val="pt-BR"/>
        </w:rPr>
      </w:pPr>
      <w:r w:rsidRPr="005D5712">
        <w:rPr>
          <w:b/>
          <w:smallCaps/>
          <w:lang w:val="pt-BR"/>
        </w:rPr>
        <w:t>Brasil</w:t>
      </w:r>
    </w:p>
    <w:p w:rsidR="00C0578C" w:rsidRDefault="00C0578C" w:rsidP="00C0578C">
      <w:pPr>
        <w:tabs>
          <w:tab w:val="left" w:pos="1440"/>
          <w:tab w:val="left" w:pos="3060"/>
        </w:tabs>
        <w:jc w:val="center"/>
        <w:rPr>
          <w:b/>
          <w:smallCaps/>
          <w:lang w:val="pt-BR"/>
        </w:rPr>
      </w:pPr>
    </w:p>
    <w:p w:rsidR="00804859" w:rsidRDefault="00804859" w:rsidP="00C0578C">
      <w:pPr>
        <w:tabs>
          <w:tab w:val="left" w:pos="1440"/>
          <w:tab w:val="left" w:pos="3060"/>
        </w:tabs>
        <w:jc w:val="center"/>
        <w:rPr>
          <w:b/>
          <w:smallCaps/>
          <w:lang w:val="pt-BR"/>
        </w:rPr>
      </w:pPr>
    </w:p>
    <w:p w:rsidR="00804859" w:rsidRDefault="00804859" w:rsidP="00C0578C">
      <w:pPr>
        <w:tabs>
          <w:tab w:val="left" w:pos="1440"/>
          <w:tab w:val="left" w:pos="3060"/>
        </w:tabs>
        <w:jc w:val="center"/>
        <w:rPr>
          <w:b/>
          <w:smallCaps/>
          <w:lang w:val="pt-BR"/>
        </w:rPr>
      </w:pPr>
    </w:p>
    <w:p w:rsidR="00804859" w:rsidRDefault="00804859" w:rsidP="00C0578C">
      <w:pPr>
        <w:tabs>
          <w:tab w:val="left" w:pos="1440"/>
          <w:tab w:val="left" w:pos="3060"/>
        </w:tabs>
        <w:jc w:val="center"/>
        <w:rPr>
          <w:b/>
          <w:smallCaps/>
          <w:lang w:val="pt-BR"/>
        </w:rPr>
      </w:pPr>
    </w:p>
    <w:p w:rsidR="00804859" w:rsidRPr="005D5712" w:rsidRDefault="00804859" w:rsidP="00C0578C">
      <w:pPr>
        <w:tabs>
          <w:tab w:val="left" w:pos="1440"/>
          <w:tab w:val="left" w:pos="3060"/>
        </w:tabs>
        <w:jc w:val="center"/>
        <w:rPr>
          <w:b/>
          <w:smallCaps/>
          <w:lang w:val="pt-BR"/>
        </w:rPr>
      </w:pPr>
    </w:p>
    <w:p w:rsidR="00C0578C" w:rsidRPr="005D5712" w:rsidRDefault="005D5712" w:rsidP="00C0578C">
      <w:pPr>
        <w:tabs>
          <w:tab w:val="left" w:pos="1440"/>
          <w:tab w:val="left" w:pos="3060"/>
        </w:tabs>
        <w:jc w:val="center"/>
        <w:rPr>
          <w:b/>
          <w:smallCaps/>
          <w:lang w:val="pt-BR"/>
        </w:rPr>
      </w:pPr>
      <w:bookmarkStart w:id="0" w:name="Book01"/>
      <w:r w:rsidRPr="005D5712">
        <w:rPr>
          <w:b/>
          <w:smallCaps/>
          <w:lang w:val="pt-BR"/>
        </w:rPr>
        <w:t>Projeto de Expansão e Aperfeiçoamento da Educação Infantil e do Ensino Fundamental em Florianópolis</w:t>
      </w:r>
      <w:bookmarkEnd w:id="0"/>
      <w:r w:rsidRPr="005D5712">
        <w:rPr>
          <w:b/>
          <w:smallCaps/>
          <w:lang w:val="pt-BR"/>
        </w:rPr>
        <w:t xml:space="preserve"> </w:t>
      </w:r>
    </w:p>
    <w:p w:rsidR="00C0578C" w:rsidRPr="005D5712" w:rsidRDefault="00C0578C" w:rsidP="00C0578C">
      <w:pPr>
        <w:tabs>
          <w:tab w:val="left" w:pos="1440"/>
          <w:tab w:val="left" w:pos="3060"/>
        </w:tabs>
        <w:jc w:val="center"/>
        <w:rPr>
          <w:b/>
          <w:smallCaps/>
          <w:lang w:val="pt-BR"/>
        </w:rPr>
      </w:pPr>
      <w:r w:rsidRPr="005D5712">
        <w:rPr>
          <w:b/>
          <w:smallCaps/>
          <w:lang w:val="pt-BR"/>
        </w:rPr>
        <w:t>(BR-L1329)</w:t>
      </w:r>
    </w:p>
    <w:p w:rsidR="008F786B" w:rsidRDefault="008F786B" w:rsidP="00C0578C">
      <w:pPr>
        <w:tabs>
          <w:tab w:val="left" w:pos="1440"/>
          <w:tab w:val="left" w:pos="3060"/>
        </w:tabs>
        <w:jc w:val="center"/>
        <w:rPr>
          <w:smallCaps/>
          <w:lang w:val="pt-BR"/>
        </w:rPr>
      </w:pPr>
    </w:p>
    <w:p w:rsidR="00804859" w:rsidRPr="005D5712" w:rsidRDefault="00804859" w:rsidP="00C0578C">
      <w:pPr>
        <w:tabs>
          <w:tab w:val="left" w:pos="1440"/>
          <w:tab w:val="left" w:pos="3060"/>
        </w:tabs>
        <w:jc w:val="center"/>
        <w:rPr>
          <w:smallCaps/>
          <w:lang w:val="pt-BR"/>
        </w:rPr>
      </w:pPr>
    </w:p>
    <w:p w:rsidR="00C0578C" w:rsidRPr="00193851" w:rsidRDefault="00C0578C" w:rsidP="00193851">
      <w:pPr>
        <w:jc w:val="center"/>
        <w:rPr>
          <w:b/>
          <w:smallCaps/>
          <w:lang w:val="pt-BR"/>
        </w:rPr>
      </w:pPr>
      <w:r w:rsidRPr="00193851">
        <w:rPr>
          <w:b/>
          <w:smallCaps/>
          <w:lang w:val="pt-BR"/>
        </w:rPr>
        <w:t>Anexo de An</w:t>
      </w:r>
      <w:r w:rsidR="00986EDC" w:rsidRPr="00193851">
        <w:rPr>
          <w:b/>
          <w:smallCaps/>
          <w:lang w:val="pt-BR"/>
        </w:rPr>
        <w:t>álise Econô</w:t>
      </w:r>
      <w:r w:rsidR="008B7C4F" w:rsidRPr="00193851">
        <w:rPr>
          <w:b/>
          <w:smallCaps/>
          <w:lang w:val="pt-BR"/>
        </w:rPr>
        <w:t>mica</w:t>
      </w:r>
    </w:p>
    <w:p w:rsidR="00C0578C" w:rsidRPr="005D5712" w:rsidRDefault="00C0578C" w:rsidP="00C0578C">
      <w:pPr>
        <w:tabs>
          <w:tab w:val="left" w:pos="1440"/>
          <w:tab w:val="left" w:pos="3060"/>
        </w:tabs>
        <w:outlineLvl w:val="0"/>
        <w:rPr>
          <w:b/>
          <w:smallCaps/>
          <w:lang w:val="pt-BR"/>
        </w:rPr>
      </w:pPr>
    </w:p>
    <w:p w:rsidR="00C0578C" w:rsidRPr="00804859" w:rsidRDefault="00C0578C" w:rsidP="00804859">
      <w:pPr>
        <w:tabs>
          <w:tab w:val="left" w:pos="1440"/>
          <w:tab w:val="left" w:pos="3060"/>
        </w:tabs>
        <w:jc w:val="center"/>
        <w:rPr>
          <w:smallCaps/>
          <w:lang w:val="pt-BR"/>
        </w:rPr>
      </w:pPr>
    </w:p>
    <w:p w:rsidR="00C0578C" w:rsidRPr="00804859" w:rsidRDefault="00C0578C" w:rsidP="00804859">
      <w:pPr>
        <w:tabs>
          <w:tab w:val="left" w:pos="1440"/>
          <w:tab w:val="left" w:pos="3060"/>
        </w:tabs>
        <w:jc w:val="center"/>
        <w:rPr>
          <w:smallCaps/>
          <w:lang w:val="pt-BR"/>
        </w:rPr>
      </w:pPr>
    </w:p>
    <w:p w:rsidR="00C0578C" w:rsidRPr="00804859" w:rsidRDefault="00C0578C" w:rsidP="00804859">
      <w:pPr>
        <w:tabs>
          <w:tab w:val="left" w:pos="1440"/>
          <w:tab w:val="left" w:pos="3060"/>
        </w:tabs>
        <w:jc w:val="center"/>
        <w:rPr>
          <w:smallCaps/>
          <w:lang w:val="pt-BR"/>
        </w:rPr>
      </w:pPr>
    </w:p>
    <w:p w:rsidR="00C0578C" w:rsidRPr="00804859" w:rsidRDefault="00C0578C" w:rsidP="00804859">
      <w:pPr>
        <w:tabs>
          <w:tab w:val="left" w:pos="1440"/>
          <w:tab w:val="left" w:pos="3060"/>
        </w:tabs>
        <w:jc w:val="center"/>
        <w:rPr>
          <w:smallCaps/>
          <w:lang w:val="pt-BR"/>
        </w:rPr>
      </w:pPr>
    </w:p>
    <w:p w:rsidR="00C0578C" w:rsidRPr="00804859" w:rsidRDefault="00C0578C" w:rsidP="00804859">
      <w:pPr>
        <w:tabs>
          <w:tab w:val="left" w:pos="1440"/>
          <w:tab w:val="left" w:pos="3060"/>
        </w:tabs>
        <w:jc w:val="center"/>
        <w:rPr>
          <w:smallCaps/>
          <w:lang w:val="pt-BR"/>
        </w:rPr>
      </w:pPr>
    </w:p>
    <w:p w:rsidR="00C0578C" w:rsidRPr="00804859" w:rsidRDefault="00C0578C" w:rsidP="00804859">
      <w:pPr>
        <w:tabs>
          <w:tab w:val="left" w:pos="1440"/>
          <w:tab w:val="left" w:pos="3060"/>
        </w:tabs>
        <w:jc w:val="center"/>
        <w:rPr>
          <w:smallCaps/>
          <w:lang w:val="pt-BR"/>
        </w:rPr>
      </w:pPr>
    </w:p>
    <w:p w:rsidR="00C0578C" w:rsidRPr="00284DBF" w:rsidRDefault="00C0578C" w:rsidP="00C0578C">
      <w:pPr>
        <w:tabs>
          <w:tab w:val="left" w:pos="1440"/>
          <w:tab w:val="left" w:pos="3060"/>
        </w:tabs>
        <w:jc w:val="center"/>
        <w:rPr>
          <w:lang w:val="pt-BR"/>
        </w:rPr>
      </w:pPr>
    </w:p>
    <w:p w:rsidR="00804859" w:rsidRPr="00284DBF" w:rsidRDefault="00C0578C" w:rsidP="00804859">
      <w:pPr>
        <w:pStyle w:val="BodyText"/>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440"/>
        </w:tabs>
        <w:jc w:val="both"/>
        <w:rPr>
          <w:lang w:val="pt-BR"/>
        </w:rPr>
      </w:pPr>
      <w:r w:rsidRPr="00284DBF">
        <w:rPr>
          <w:lang w:val="pt-BR"/>
        </w:rPr>
        <w:t>Este documento f</w:t>
      </w:r>
      <w:r w:rsidR="00986EDC" w:rsidRPr="00284DBF">
        <w:rPr>
          <w:lang w:val="pt-BR"/>
        </w:rPr>
        <w:t>oi</w:t>
      </w:r>
      <w:r w:rsidRPr="00284DBF">
        <w:rPr>
          <w:lang w:val="pt-BR"/>
        </w:rPr>
        <w:t xml:space="preserve"> elaborado por:</w:t>
      </w:r>
      <w:r w:rsidR="00804859" w:rsidRPr="00804859">
        <w:rPr>
          <w:b/>
          <w:lang w:val="pt-BR"/>
        </w:rPr>
        <w:t xml:space="preserve"> </w:t>
      </w:r>
      <w:r w:rsidR="00804859" w:rsidRPr="00804859">
        <w:rPr>
          <w:lang w:val="pt-BR"/>
        </w:rPr>
        <w:t xml:space="preserve">Roseli da Silva, </w:t>
      </w:r>
      <w:r w:rsidR="00804859" w:rsidRPr="00284DBF">
        <w:rPr>
          <w:lang w:val="pt-BR"/>
        </w:rPr>
        <w:t>Economista, Doutora em Teoria Econômica</w:t>
      </w:r>
      <w:r w:rsidR="00804859">
        <w:rPr>
          <w:lang w:val="pt-BR"/>
        </w:rPr>
        <w:t>.</w:t>
      </w:r>
    </w:p>
    <w:p w:rsidR="00C0578C" w:rsidRPr="00804859" w:rsidRDefault="00C0578C" w:rsidP="00C0578C">
      <w:pPr>
        <w:autoSpaceDE w:val="0"/>
        <w:autoSpaceDN w:val="0"/>
        <w:adjustRightInd w:val="0"/>
        <w:jc w:val="both"/>
        <w:rPr>
          <w:b/>
          <w:bCs/>
          <w:i/>
          <w:iCs/>
          <w:lang w:val="pt-BR"/>
        </w:rPr>
      </w:pPr>
    </w:p>
    <w:p w:rsidR="00C0578C" w:rsidRPr="00804859" w:rsidRDefault="00C0578C" w:rsidP="00C0578C">
      <w:pPr>
        <w:autoSpaceDE w:val="0"/>
        <w:autoSpaceDN w:val="0"/>
        <w:adjustRightInd w:val="0"/>
        <w:jc w:val="both"/>
        <w:rPr>
          <w:b/>
          <w:bCs/>
          <w:i/>
          <w:iCs/>
          <w:lang w:val="pt-BR"/>
        </w:rPr>
        <w:sectPr w:rsidR="00C0578C" w:rsidRPr="00804859" w:rsidSect="00986EDC">
          <w:pgSz w:w="12240" w:h="15840" w:code="1"/>
          <w:pgMar w:top="1440" w:right="1800" w:bottom="1440" w:left="1800" w:header="720" w:footer="432" w:gutter="0"/>
          <w:cols w:space="720"/>
          <w:vAlign w:val="both"/>
          <w:docGrid w:linePitch="360"/>
        </w:sectPr>
      </w:pPr>
    </w:p>
    <w:p w:rsidR="00C0578C" w:rsidRDefault="00C0578C" w:rsidP="00C0578C">
      <w:pPr>
        <w:pStyle w:val="ListParagraph"/>
        <w:spacing w:before="120" w:after="0" w:line="240" w:lineRule="auto"/>
        <w:ind w:left="1080"/>
        <w:jc w:val="center"/>
        <w:rPr>
          <w:rFonts w:ascii="Times New Roman" w:hAnsi="Times New Roman"/>
          <w:b/>
          <w:sz w:val="24"/>
          <w:szCs w:val="24"/>
          <w:lang w:val="pt-BR"/>
        </w:rPr>
      </w:pPr>
    </w:p>
    <w:p w:rsidR="00077B71" w:rsidRDefault="00077B71" w:rsidP="00C0578C">
      <w:pPr>
        <w:pStyle w:val="ListParagraph"/>
        <w:spacing w:before="120" w:after="0" w:line="240" w:lineRule="auto"/>
        <w:ind w:left="1080"/>
        <w:jc w:val="center"/>
        <w:rPr>
          <w:rFonts w:ascii="Times New Roman" w:hAnsi="Times New Roman"/>
          <w:b/>
          <w:sz w:val="24"/>
          <w:szCs w:val="24"/>
          <w:lang w:val="pt-BR"/>
        </w:rPr>
      </w:pPr>
    </w:p>
    <w:p w:rsidR="00077B71" w:rsidRDefault="00077B71" w:rsidP="003E2EFB">
      <w:pPr>
        <w:pStyle w:val="ListParagraph"/>
        <w:spacing w:before="120" w:after="0" w:line="240" w:lineRule="auto"/>
        <w:ind w:left="0"/>
        <w:jc w:val="center"/>
        <w:rPr>
          <w:rFonts w:ascii="Times New Roman" w:hAnsi="Times New Roman"/>
          <w:b/>
          <w:sz w:val="24"/>
          <w:szCs w:val="24"/>
          <w:lang w:val="pt-BR"/>
        </w:rPr>
      </w:pPr>
      <w:r>
        <w:rPr>
          <w:rFonts w:ascii="Times New Roman" w:hAnsi="Times New Roman"/>
          <w:b/>
          <w:sz w:val="24"/>
          <w:szCs w:val="24"/>
          <w:lang w:val="pt-BR"/>
        </w:rPr>
        <w:t>Sumário</w:t>
      </w:r>
    </w:p>
    <w:p w:rsidR="00077B71" w:rsidRDefault="00077B71" w:rsidP="00077B71">
      <w:pPr>
        <w:pStyle w:val="ListParagraph"/>
        <w:spacing w:before="120" w:after="0" w:line="240" w:lineRule="auto"/>
        <w:ind w:left="1080"/>
        <w:rPr>
          <w:rFonts w:ascii="Times New Roman" w:hAnsi="Times New Roman"/>
          <w:b/>
          <w:sz w:val="24"/>
          <w:szCs w:val="24"/>
          <w:lang w:val="pt-BR"/>
        </w:rPr>
      </w:pPr>
    </w:p>
    <w:p w:rsidR="00077B71" w:rsidRDefault="00077B71" w:rsidP="00077B71">
      <w:pPr>
        <w:pStyle w:val="ListParagraph"/>
        <w:spacing w:before="120" w:after="0" w:line="240" w:lineRule="auto"/>
        <w:ind w:left="1080"/>
        <w:rPr>
          <w:rFonts w:ascii="Times New Roman" w:hAnsi="Times New Roman"/>
          <w:b/>
          <w:sz w:val="24"/>
          <w:szCs w:val="24"/>
          <w:lang w:val="pt-BR"/>
        </w:rPr>
      </w:pPr>
    </w:p>
    <w:p w:rsidR="00077B71" w:rsidRDefault="00077B71" w:rsidP="00077B71">
      <w:pPr>
        <w:pStyle w:val="ListParagraph"/>
        <w:spacing w:before="120" w:after="0" w:line="240" w:lineRule="auto"/>
        <w:ind w:left="1080"/>
        <w:rPr>
          <w:rFonts w:ascii="Times New Roman" w:hAnsi="Times New Roman"/>
          <w:b/>
          <w:sz w:val="24"/>
          <w:szCs w:val="24"/>
          <w:lang w:val="pt-BR"/>
        </w:rPr>
      </w:pPr>
    </w:p>
    <w:p w:rsidR="007C708B" w:rsidRPr="004D641D" w:rsidRDefault="00660D11" w:rsidP="007C708B">
      <w:pPr>
        <w:pStyle w:val="TOC1"/>
        <w:tabs>
          <w:tab w:val="left" w:pos="480"/>
          <w:tab w:val="right" w:leader="dot" w:pos="8494"/>
        </w:tabs>
        <w:spacing w:line="360" w:lineRule="auto"/>
        <w:rPr>
          <w:rFonts w:ascii="Calibri" w:eastAsia="Times New Roman" w:hAnsi="Calibri"/>
          <w:noProof/>
          <w:sz w:val="22"/>
          <w:szCs w:val="22"/>
          <w:lang w:val="pt-BR" w:eastAsia="pt-BR"/>
        </w:rPr>
      </w:pPr>
      <w:r w:rsidRPr="00660D11">
        <w:rPr>
          <w:b/>
          <w:lang w:val="pt-BR"/>
        </w:rPr>
        <w:fldChar w:fldCharType="begin"/>
      </w:r>
      <w:r w:rsidR="00A04383">
        <w:rPr>
          <w:b/>
          <w:lang w:val="pt-BR"/>
        </w:rPr>
        <w:instrText xml:space="preserve"> TOC \o "1-4" \h \z \u </w:instrText>
      </w:r>
      <w:r w:rsidRPr="00660D11">
        <w:rPr>
          <w:b/>
          <w:lang w:val="pt-BR"/>
        </w:rPr>
        <w:fldChar w:fldCharType="separate"/>
      </w:r>
      <w:hyperlink w:anchor="_Toc320875532" w:history="1">
        <w:r w:rsidR="007C708B" w:rsidRPr="00FE6F4E">
          <w:rPr>
            <w:rStyle w:val="Hyperlink"/>
            <w:noProof/>
          </w:rPr>
          <w:t>1</w:t>
        </w:r>
        <w:r w:rsidR="007C708B" w:rsidRPr="004D641D">
          <w:rPr>
            <w:rFonts w:ascii="Calibri" w:eastAsia="Times New Roman" w:hAnsi="Calibri"/>
            <w:noProof/>
            <w:sz w:val="22"/>
            <w:szCs w:val="22"/>
            <w:lang w:val="pt-BR" w:eastAsia="pt-BR"/>
          </w:rPr>
          <w:tab/>
        </w:r>
        <w:r w:rsidR="007C708B" w:rsidRPr="00FE6F4E">
          <w:rPr>
            <w:rStyle w:val="Hyperlink"/>
            <w:noProof/>
          </w:rPr>
          <w:t>Introdução</w:t>
        </w:r>
        <w:r w:rsidR="007C708B">
          <w:rPr>
            <w:noProof/>
            <w:webHidden/>
          </w:rPr>
          <w:tab/>
        </w:r>
        <w:r>
          <w:rPr>
            <w:noProof/>
            <w:webHidden/>
          </w:rPr>
          <w:fldChar w:fldCharType="begin"/>
        </w:r>
        <w:r w:rsidR="007C708B">
          <w:rPr>
            <w:noProof/>
            <w:webHidden/>
          </w:rPr>
          <w:instrText xml:space="preserve"> PAGEREF _Toc320875532 \h </w:instrText>
        </w:r>
        <w:r>
          <w:rPr>
            <w:noProof/>
            <w:webHidden/>
          </w:rPr>
        </w:r>
        <w:r>
          <w:rPr>
            <w:noProof/>
            <w:webHidden/>
          </w:rPr>
          <w:fldChar w:fldCharType="separate"/>
        </w:r>
        <w:r w:rsidR="00380E3F">
          <w:rPr>
            <w:noProof/>
            <w:webHidden/>
          </w:rPr>
          <w:t>1</w:t>
        </w:r>
        <w:r>
          <w:rPr>
            <w:noProof/>
            <w:webHidden/>
          </w:rPr>
          <w:fldChar w:fldCharType="end"/>
        </w:r>
      </w:hyperlink>
    </w:p>
    <w:p w:rsidR="007C708B" w:rsidRPr="004D641D" w:rsidRDefault="00660D11" w:rsidP="007C708B">
      <w:pPr>
        <w:pStyle w:val="TOC1"/>
        <w:tabs>
          <w:tab w:val="left" w:pos="480"/>
          <w:tab w:val="right" w:leader="dot" w:pos="8494"/>
        </w:tabs>
        <w:spacing w:line="360" w:lineRule="auto"/>
        <w:rPr>
          <w:rFonts w:ascii="Calibri" w:eastAsia="Times New Roman" w:hAnsi="Calibri"/>
          <w:noProof/>
          <w:sz w:val="22"/>
          <w:szCs w:val="22"/>
          <w:lang w:val="pt-BR" w:eastAsia="pt-BR"/>
        </w:rPr>
      </w:pPr>
      <w:hyperlink w:anchor="_Toc320875533" w:history="1">
        <w:r w:rsidR="007C708B" w:rsidRPr="00FE6F4E">
          <w:rPr>
            <w:rStyle w:val="Hyperlink"/>
            <w:noProof/>
          </w:rPr>
          <w:t>2</w:t>
        </w:r>
        <w:r w:rsidR="007C708B" w:rsidRPr="004D641D">
          <w:rPr>
            <w:rFonts w:ascii="Calibri" w:eastAsia="Times New Roman" w:hAnsi="Calibri"/>
            <w:noProof/>
            <w:sz w:val="22"/>
            <w:szCs w:val="22"/>
            <w:lang w:val="pt-BR" w:eastAsia="pt-BR"/>
          </w:rPr>
          <w:tab/>
        </w:r>
        <w:r w:rsidR="007C708B" w:rsidRPr="00FE6F4E">
          <w:rPr>
            <w:rStyle w:val="Hyperlink"/>
            <w:noProof/>
          </w:rPr>
          <w:t>Pressupostos e metodologia</w:t>
        </w:r>
        <w:r w:rsidR="007C708B">
          <w:rPr>
            <w:noProof/>
            <w:webHidden/>
          </w:rPr>
          <w:tab/>
        </w:r>
        <w:r>
          <w:rPr>
            <w:noProof/>
            <w:webHidden/>
          </w:rPr>
          <w:fldChar w:fldCharType="begin"/>
        </w:r>
        <w:r w:rsidR="007C708B">
          <w:rPr>
            <w:noProof/>
            <w:webHidden/>
          </w:rPr>
          <w:instrText xml:space="preserve"> PAGEREF _Toc320875533 \h </w:instrText>
        </w:r>
        <w:r>
          <w:rPr>
            <w:noProof/>
            <w:webHidden/>
          </w:rPr>
        </w:r>
        <w:r>
          <w:rPr>
            <w:noProof/>
            <w:webHidden/>
          </w:rPr>
          <w:fldChar w:fldCharType="separate"/>
        </w:r>
        <w:r w:rsidR="00380E3F">
          <w:rPr>
            <w:noProof/>
            <w:webHidden/>
          </w:rPr>
          <w:t>3</w:t>
        </w:r>
        <w:r>
          <w:rPr>
            <w:noProof/>
            <w:webHidden/>
          </w:rPr>
          <w:fldChar w:fldCharType="end"/>
        </w:r>
      </w:hyperlink>
    </w:p>
    <w:p w:rsidR="007C708B" w:rsidRPr="004D641D" w:rsidRDefault="00660D11" w:rsidP="007C708B">
      <w:pPr>
        <w:pStyle w:val="TOC2"/>
        <w:tabs>
          <w:tab w:val="left" w:pos="880"/>
          <w:tab w:val="right" w:leader="dot" w:pos="8494"/>
        </w:tabs>
        <w:spacing w:line="360" w:lineRule="auto"/>
        <w:rPr>
          <w:rFonts w:ascii="Calibri" w:eastAsia="Times New Roman" w:hAnsi="Calibri"/>
          <w:noProof/>
          <w:sz w:val="22"/>
          <w:szCs w:val="22"/>
          <w:lang w:val="pt-BR" w:eastAsia="pt-BR"/>
        </w:rPr>
      </w:pPr>
      <w:hyperlink w:anchor="_Toc320875534" w:history="1">
        <w:r w:rsidR="007C708B" w:rsidRPr="00FE6F4E">
          <w:rPr>
            <w:rStyle w:val="Hyperlink"/>
            <w:noProof/>
          </w:rPr>
          <w:t>2.1</w:t>
        </w:r>
        <w:r w:rsidR="007C708B" w:rsidRPr="004D641D">
          <w:rPr>
            <w:rFonts w:ascii="Calibri" w:eastAsia="Times New Roman" w:hAnsi="Calibri"/>
            <w:noProof/>
            <w:sz w:val="22"/>
            <w:szCs w:val="22"/>
            <w:lang w:val="pt-BR" w:eastAsia="pt-BR"/>
          </w:rPr>
          <w:tab/>
        </w:r>
        <w:r w:rsidR="007C708B" w:rsidRPr="00FE6F4E">
          <w:rPr>
            <w:rStyle w:val="Hyperlink"/>
            <w:noProof/>
          </w:rPr>
          <w:t>Fator de conversão padrão (FCP)</w:t>
        </w:r>
        <w:r w:rsidR="007C708B">
          <w:rPr>
            <w:noProof/>
            <w:webHidden/>
          </w:rPr>
          <w:tab/>
        </w:r>
        <w:r>
          <w:rPr>
            <w:noProof/>
            <w:webHidden/>
          </w:rPr>
          <w:fldChar w:fldCharType="begin"/>
        </w:r>
        <w:r w:rsidR="007C708B">
          <w:rPr>
            <w:noProof/>
            <w:webHidden/>
          </w:rPr>
          <w:instrText xml:space="preserve"> PAGEREF _Toc320875534 \h </w:instrText>
        </w:r>
        <w:r>
          <w:rPr>
            <w:noProof/>
            <w:webHidden/>
          </w:rPr>
        </w:r>
        <w:r>
          <w:rPr>
            <w:noProof/>
            <w:webHidden/>
          </w:rPr>
          <w:fldChar w:fldCharType="separate"/>
        </w:r>
        <w:r w:rsidR="00380E3F">
          <w:rPr>
            <w:noProof/>
            <w:webHidden/>
          </w:rPr>
          <w:t>3</w:t>
        </w:r>
        <w:r>
          <w:rPr>
            <w:noProof/>
            <w:webHidden/>
          </w:rPr>
          <w:fldChar w:fldCharType="end"/>
        </w:r>
      </w:hyperlink>
    </w:p>
    <w:p w:rsidR="007C708B" w:rsidRPr="004D641D" w:rsidRDefault="00660D11" w:rsidP="007C708B">
      <w:pPr>
        <w:pStyle w:val="TOC2"/>
        <w:tabs>
          <w:tab w:val="left" w:pos="880"/>
          <w:tab w:val="right" w:leader="dot" w:pos="8494"/>
        </w:tabs>
        <w:spacing w:line="360" w:lineRule="auto"/>
        <w:rPr>
          <w:rFonts w:ascii="Calibri" w:eastAsia="Times New Roman" w:hAnsi="Calibri"/>
          <w:noProof/>
          <w:sz w:val="22"/>
          <w:szCs w:val="22"/>
          <w:lang w:val="pt-BR" w:eastAsia="pt-BR"/>
        </w:rPr>
      </w:pPr>
      <w:hyperlink w:anchor="_Toc320875535" w:history="1">
        <w:r w:rsidR="007C708B" w:rsidRPr="00FE6F4E">
          <w:rPr>
            <w:rStyle w:val="Hyperlink"/>
            <w:noProof/>
          </w:rPr>
          <w:t>2.2</w:t>
        </w:r>
        <w:r w:rsidR="007C708B" w:rsidRPr="004D641D">
          <w:rPr>
            <w:rFonts w:ascii="Calibri" w:eastAsia="Times New Roman" w:hAnsi="Calibri"/>
            <w:noProof/>
            <w:sz w:val="22"/>
            <w:szCs w:val="22"/>
            <w:lang w:val="pt-BR" w:eastAsia="pt-BR"/>
          </w:rPr>
          <w:tab/>
        </w:r>
        <w:r w:rsidR="007C708B" w:rsidRPr="00FE6F4E">
          <w:rPr>
            <w:rStyle w:val="Hyperlink"/>
            <w:noProof/>
          </w:rPr>
          <w:t>Fator de conversão da mão de obra não qualificada (FCMONQ)</w:t>
        </w:r>
        <w:r w:rsidR="007C708B">
          <w:rPr>
            <w:noProof/>
            <w:webHidden/>
          </w:rPr>
          <w:tab/>
        </w:r>
        <w:r>
          <w:rPr>
            <w:noProof/>
            <w:webHidden/>
          </w:rPr>
          <w:fldChar w:fldCharType="begin"/>
        </w:r>
        <w:r w:rsidR="007C708B">
          <w:rPr>
            <w:noProof/>
            <w:webHidden/>
          </w:rPr>
          <w:instrText xml:space="preserve"> PAGEREF _Toc320875535 \h </w:instrText>
        </w:r>
        <w:r>
          <w:rPr>
            <w:noProof/>
            <w:webHidden/>
          </w:rPr>
        </w:r>
        <w:r>
          <w:rPr>
            <w:noProof/>
            <w:webHidden/>
          </w:rPr>
          <w:fldChar w:fldCharType="separate"/>
        </w:r>
        <w:r w:rsidR="00380E3F">
          <w:rPr>
            <w:noProof/>
            <w:webHidden/>
          </w:rPr>
          <w:t>4</w:t>
        </w:r>
        <w:r>
          <w:rPr>
            <w:noProof/>
            <w:webHidden/>
          </w:rPr>
          <w:fldChar w:fldCharType="end"/>
        </w:r>
      </w:hyperlink>
    </w:p>
    <w:p w:rsidR="007C708B" w:rsidRPr="004D641D" w:rsidRDefault="00660D11" w:rsidP="007C708B">
      <w:pPr>
        <w:pStyle w:val="TOC2"/>
        <w:tabs>
          <w:tab w:val="left" w:pos="880"/>
          <w:tab w:val="right" w:leader="dot" w:pos="8494"/>
        </w:tabs>
        <w:spacing w:line="360" w:lineRule="auto"/>
        <w:rPr>
          <w:rFonts w:ascii="Calibri" w:eastAsia="Times New Roman" w:hAnsi="Calibri"/>
          <w:noProof/>
          <w:sz w:val="22"/>
          <w:szCs w:val="22"/>
          <w:lang w:val="pt-BR" w:eastAsia="pt-BR"/>
        </w:rPr>
      </w:pPr>
      <w:hyperlink w:anchor="_Toc320875536" w:history="1">
        <w:r w:rsidR="007C708B" w:rsidRPr="00FE6F4E">
          <w:rPr>
            <w:rStyle w:val="Hyperlink"/>
            <w:noProof/>
          </w:rPr>
          <w:t>2.3</w:t>
        </w:r>
        <w:r w:rsidR="007C708B" w:rsidRPr="004D641D">
          <w:rPr>
            <w:rFonts w:ascii="Calibri" w:eastAsia="Times New Roman" w:hAnsi="Calibri"/>
            <w:noProof/>
            <w:sz w:val="22"/>
            <w:szCs w:val="22"/>
            <w:lang w:val="pt-BR" w:eastAsia="pt-BR"/>
          </w:rPr>
          <w:tab/>
        </w:r>
        <w:r w:rsidR="007C708B" w:rsidRPr="00FE6F4E">
          <w:rPr>
            <w:rStyle w:val="Hyperlink"/>
            <w:noProof/>
          </w:rPr>
          <w:t>Fator de conversão da mão de obra qualificada (FCMOQ)</w:t>
        </w:r>
        <w:r w:rsidR="007C708B">
          <w:rPr>
            <w:noProof/>
            <w:webHidden/>
          </w:rPr>
          <w:tab/>
        </w:r>
        <w:r>
          <w:rPr>
            <w:noProof/>
            <w:webHidden/>
          </w:rPr>
          <w:fldChar w:fldCharType="begin"/>
        </w:r>
        <w:r w:rsidR="007C708B">
          <w:rPr>
            <w:noProof/>
            <w:webHidden/>
          </w:rPr>
          <w:instrText xml:space="preserve"> PAGEREF _Toc320875536 \h </w:instrText>
        </w:r>
        <w:r>
          <w:rPr>
            <w:noProof/>
            <w:webHidden/>
          </w:rPr>
        </w:r>
        <w:r>
          <w:rPr>
            <w:noProof/>
            <w:webHidden/>
          </w:rPr>
          <w:fldChar w:fldCharType="separate"/>
        </w:r>
        <w:r w:rsidR="00380E3F">
          <w:rPr>
            <w:noProof/>
            <w:webHidden/>
          </w:rPr>
          <w:t>5</w:t>
        </w:r>
        <w:r>
          <w:rPr>
            <w:noProof/>
            <w:webHidden/>
          </w:rPr>
          <w:fldChar w:fldCharType="end"/>
        </w:r>
      </w:hyperlink>
    </w:p>
    <w:p w:rsidR="007C708B" w:rsidRPr="004D641D" w:rsidRDefault="00660D11" w:rsidP="007C708B">
      <w:pPr>
        <w:pStyle w:val="TOC2"/>
        <w:tabs>
          <w:tab w:val="left" w:pos="880"/>
          <w:tab w:val="right" w:leader="dot" w:pos="8494"/>
        </w:tabs>
        <w:spacing w:line="360" w:lineRule="auto"/>
        <w:rPr>
          <w:rFonts w:ascii="Calibri" w:eastAsia="Times New Roman" w:hAnsi="Calibri"/>
          <w:noProof/>
          <w:sz w:val="22"/>
          <w:szCs w:val="22"/>
          <w:lang w:val="pt-BR" w:eastAsia="pt-BR"/>
        </w:rPr>
      </w:pPr>
      <w:hyperlink w:anchor="_Toc320875537" w:history="1">
        <w:r w:rsidR="007C708B" w:rsidRPr="00FE6F4E">
          <w:rPr>
            <w:rStyle w:val="Hyperlink"/>
            <w:noProof/>
          </w:rPr>
          <w:t>2.4</w:t>
        </w:r>
        <w:r w:rsidR="007C708B" w:rsidRPr="004D641D">
          <w:rPr>
            <w:rFonts w:ascii="Calibri" w:eastAsia="Times New Roman" w:hAnsi="Calibri"/>
            <w:noProof/>
            <w:sz w:val="22"/>
            <w:szCs w:val="22"/>
            <w:lang w:val="pt-BR" w:eastAsia="pt-BR"/>
          </w:rPr>
          <w:tab/>
        </w:r>
        <w:r w:rsidR="007C708B" w:rsidRPr="00FE6F4E">
          <w:rPr>
            <w:rStyle w:val="Hyperlink"/>
            <w:noProof/>
          </w:rPr>
          <w:t>Critérios de análise e hipóteses gerais</w:t>
        </w:r>
        <w:r w:rsidR="007C708B">
          <w:rPr>
            <w:noProof/>
            <w:webHidden/>
          </w:rPr>
          <w:tab/>
        </w:r>
        <w:r>
          <w:rPr>
            <w:noProof/>
            <w:webHidden/>
          </w:rPr>
          <w:fldChar w:fldCharType="begin"/>
        </w:r>
        <w:r w:rsidR="007C708B">
          <w:rPr>
            <w:noProof/>
            <w:webHidden/>
          </w:rPr>
          <w:instrText xml:space="preserve"> PAGEREF _Toc320875537 \h </w:instrText>
        </w:r>
        <w:r>
          <w:rPr>
            <w:noProof/>
            <w:webHidden/>
          </w:rPr>
        </w:r>
        <w:r>
          <w:rPr>
            <w:noProof/>
            <w:webHidden/>
          </w:rPr>
          <w:fldChar w:fldCharType="separate"/>
        </w:r>
        <w:r w:rsidR="00380E3F">
          <w:rPr>
            <w:noProof/>
            <w:webHidden/>
          </w:rPr>
          <w:t>6</w:t>
        </w:r>
        <w:r>
          <w:rPr>
            <w:noProof/>
            <w:webHidden/>
          </w:rPr>
          <w:fldChar w:fldCharType="end"/>
        </w:r>
      </w:hyperlink>
    </w:p>
    <w:p w:rsidR="007C708B" w:rsidRPr="004D641D" w:rsidRDefault="00660D11" w:rsidP="007C708B">
      <w:pPr>
        <w:pStyle w:val="TOC2"/>
        <w:tabs>
          <w:tab w:val="left" w:pos="880"/>
          <w:tab w:val="right" w:leader="dot" w:pos="8494"/>
        </w:tabs>
        <w:spacing w:line="360" w:lineRule="auto"/>
        <w:rPr>
          <w:rFonts w:ascii="Calibri" w:eastAsia="Times New Roman" w:hAnsi="Calibri"/>
          <w:noProof/>
          <w:sz w:val="22"/>
          <w:szCs w:val="22"/>
          <w:lang w:val="pt-BR" w:eastAsia="pt-BR"/>
        </w:rPr>
      </w:pPr>
      <w:hyperlink w:anchor="_Toc320875538" w:history="1">
        <w:r w:rsidR="007C708B" w:rsidRPr="00FE6F4E">
          <w:rPr>
            <w:rStyle w:val="Hyperlink"/>
            <w:noProof/>
          </w:rPr>
          <w:t>2.5</w:t>
        </w:r>
        <w:r w:rsidR="007C708B" w:rsidRPr="004D641D">
          <w:rPr>
            <w:rFonts w:ascii="Calibri" w:eastAsia="Times New Roman" w:hAnsi="Calibri"/>
            <w:noProof/>
            <w:sz w:val="22"/>
            <w:szCs w:val="22"/>
            <w:lang w:val="pt-BR" w:eastAsia="pt-BR"/>
          </w:rPr>
          <w:tab/>
        </w:r>
        <w:r w:rsidR="007C708B" w:rsidRPr="00FE6F4E">
          <w:rPr>
            <w:rStyle w:val="Hyperlink"/>
            <w:noProof/>
          </w:rPr>
          <w:t>Benefícios: Aspectos teóricos</w:t>
        </w:r>
        <w:r w:rsidR="007C708B">
          <w:rPr>
            <w:noProof/>
            <w:webHidden/>
          </w:rPr>
          <w:tab/>
        </w:r>
        <w:r>
          <w:rPr>
            <w:noProof/>
            <w:webHidden/>
          </w:rPr>
          <w:fldChar w:fldCharType="begin"/>
        </w:r>
        <w:r w:rsidR="007C708B">
          <w:rPr>
            <w:noProof/>
            <w:webHidden/>
          </w:rPr>
          <w:instrText xml:space="preserve"> PAGEREF _Toc320875538 \h </w:instrText>
        </w:r>
        <w:r>
          <w:rPr>
            <w:noProof/>
            <w:webHidden/>
          </w:rPr>
        </w:r>
        <w:r>
          <w:rPr>
            <w:noProof/>
            <w:webHidden/>
          </w:rPr>
          <w:fldChar w:fldCharType="separate"/>
        </w:r>
        <w:r w:rsidR="00380E3F">
          <w:rPr>
            <w:noProof/>
            <w:webHidden/>
          </w:rPr>
          <w:t>7</w:t>
        </w:r>
        <w:r>
          <w:rPr>
            <w:noProof/>
            <w:webHidden/>
          </w:rPr>
          <w:fldChar w:fldCharType="end"/>
        </w:r>
      </w:hyperlink>
    </w:p>
    <w:p w:rsidR="007C708B" w:rsidRPr="004D641D" w:rsidRDefault="00660D11" w:rsidP="007C708B">
      <w:pPr>
        <w:pStyle w:val="TOC1"/>
        <w:tabs>
          <w:tab w:val="left" w:pos="480"/>
          <w:tab w:val="right" w:leader="dot" w:pos="8494"/>
        </w:tabs>
        <w:spacing w:line="360" w:lineRule="auto"/>
        <w:rPr>
          <w:rFonts w:ascii="Calibri" w:eastAsia="Times New Roman" w:hAnsi="Calibri"/>
          <w:noProof/>
          <w:sz w:val="22"/>
          <w:szCs w:val="22"/>
          <w:lang w:val="pt-BR" w:eastAsia="pt-BR"/>
        </w:rPr>
      </w:pPr>
      <w:hyperlink w:anchor="_Toc320875539" w:history="1">
        <w:r w:rsidR="007C708B" w:rsidRPr="00FE6F4E">
          <w:rPr>
            <w:rStyle w:val="Hyperlink"/>
            <w:noProof/>
          </w:rPr>
          <w:t>3</w:t>
        </w:r>
        <w:r w:rsidR="007C708B" w:rsidRPr="004D641D">
          <w:rPr>
            <w:rFonts w:ascii="Calibri" w:eastAsia="Times New Roman" w:hAnsi="Calibri"/>
            <w:noProof/>
            <w:sz w:val="22"/>
            <w:szCs w:val="22"/>
            <w:lang w:val="pt-BR" w:eastAsia="pt-BR"/>
          </w:rPr>
          <w:tab/>
        </w:r>
        <w:r w:rsidR="007C708B" w:rsidRPr="00FE6F4E">
          <w:rPr>
            <w:rStyle w:val="Hyperlink"/>
            <w:noProof/>
          </w:rPr>
          <w:t>Benefícios econômicos: aplicação</w:t>
        </w:r>
        <w:r w:rsidR="007C708B">
          <w:rPr>
            <w:noProof/>
            <w:webHidden/>
          </w:rPr>
          <w:tab/>
        </w:r>
        <w:r>
          <w:rPr>
            <w:noProof/>
            <w:webHidden/>
          </w:rPr>
          <w:fldChar w:fldCharType="begin"/>
        </w:r>
        <w:r w:rsidR="007C708B">
          <w:rPr>
            <w:noProof/>
            <w:webHidden/>
          </w:rPr>
          <w:instrText xml:space="preserve"> PAGEREF _Toc320875539 \h </w:instrText>
        </w:r>
        <w:r>
          <w:rPr>
            <w:noProof/>
            <w:webHidden/>
          </w:rPr>
        </w:r>
        <w:r>
          <w:rPr>
            <w:noProof/>
            <w:webHidden/>
          </w:rPr>
          <w:fldChar w:fldCharType="separate"/>
        </w:r>
        <w:r w:rsidR="00380E3F">
          <w:rPr>
            <w:noProof/>
            <w:webHidden/>
          </w:rPr>
          <w:t>8</w:t>
        </w:r>
        <w:r>
          <w:rPr>
            <w:noProof/>
            <w:webHidden/>
          </w:rPr>
          <w:fldChar w:fldCharType="end"/>
        </w:r>
      </w:hyperlink>
    </w:p>
    <w:p w:rsidR="007C708B" w:rsidRPr="004D641D" w:rsidRDefault="00660D11" w:rsidP="007C708B">
      <w:pPr>
        <w:pStyle w:val="TOC2"/>
        <w:tabs>
          <w:tab w:val="left" w:pos="880"/>
          <w:tab w:val="right" w:leader="dot" w:pos="8494"/>
        </w:tabs>
        <w:spacing w:line="360" w:lineRule="auto"/>
        <w:rPr>
          <w:rFonts w:ascii="Calibri" w:eastAsia="Times New Roman" w:hAnsi="Calibri"/>
          <w:noProof/>
          <w:sz w:val="22"/>
          <w:szCs w:val="22"/>
          <w:lang w:val="pt-BR" w:eastAsia="pt-BR"/>
        </w:rPr>
      </w:pPr>
      <w:hyperlink w:anchor="_Toc320875540" w:history="1">
        <w:r w:rsidR="007C708B" w:rsidRPr="00FE6F4E">
          <w:rPr>
            <w:rStyle w:val="Hyperlink"/>
            <w:noProof/>
          </w:rPr>
          <w:t>3.1</w:t>
        </w:r>
        <w:r w:rsidR="007C708B" w:rsidRPr="004D641D">
          <w:rPr>
            <w:rFonts w:ascii="Calibri" w:eastAsia="Times New Roman" w:hAnsi="Calibri"/>
            <w:noProof/>
            <w:sz w:val="22"/>
            <w:szCs w:val="22"/>
            <w:lang w:val="pt-BR" w:eastAsia="pt-BR"/>
          </w:rPr>
          <w:tab/>
        </w:r>
        <w:r w:rsidR="007C708B" w:rsidRPr="00FE6F4E">
          <w:rPr>
            <w:rStyle w:val="Hyperlink"/>
            <w:noProof/>
          </w:rPr>
          <w:t>Monetização dos benefícios</w:t>
        </w:r>
        <w:r w:rsidR="007C708B">
          <w:rPr>
            <w:noProof/>
            <w:webHidden/>
          </w:rPr>
          <w:tab/>
        </w:r>
        <w:r>
          <w:rPr>
            <w:noProof/>
            <w:webHidden/>
          </w:rPr>
          <w:fldChar w:fldCharType="begin"/>
        </w:r>
        <w:r w:rsidR="007C708B">
          <w:rPr>
            <w:noProof/>
            <w:webHidden/>
          </w:rPr>
          <w:instrText xml:space="preserve"> PAGEREF _Toc320875540 \h </w:instrText>
        </w:r>
        <w:r>
          <w:rPr>
            <w:noProof/>
            <w:webHidden/>
          </w:rPr>
        </w:r>
        <w:r>
          <w:rPr>
            <w:noProof/>
            <w:webHidden/>
          </w:rPr>
          <w:fldChar w:fldCharType="separate"/>
        </w:r>
        <w:r w:rsidR="00380E3F">
          <w:rPr>
            <w:noProof/>
            <w:webHidden/>
          </w:rPr>
          <w:t>9</w:t>
        </w:r>
        <w:r>
          <w:rPr>
            <w:noProof/>
            <w:webHidden/>
          </w:rPr>
          <w:fldChar w:fldCharType="end"/>
        </w:r>
      </w:hyperlink>
    </w:p>
    <w:p w:rsidR="007C708B" w:rsidRPr="004D641D" w:rsidRDefault="00660D11" w:rsidP="007C708B">
      <w:pPr>
        <w:pStyle w:val="TOC3"/>
        <w:tabs>
          <w:tab w:val="left" w:pos="1320"/>
          <w:tab w:val="right" w:leader="dot" w:pos="8494"/>
        </w:tabs>
        <w:spacing w:line="360" w:lineRule="auto"/>
        <w:rPr>
          <w:rFonts w:ascii="Calibri" w:eastAsia="Times New Roman" w:hAnsi="Calibri"/>
          <w:noProof/>
          <w:sz w:val="22"/>
          <w:szCs w:val="22"/>
          <w:lang w:val="pt-BR" w:eastAsia="pt-BR"/>
        </w:rPr>
      </w:pPr>
      <w:hyperlink w:anchor="_Toc320875541" w:history="1">
        <w:r w:rsidR="007C708B" w:rsidRPr="00FE6F4E">
          <w:rPr>
            <w:rStyle w:val="Hyperlink"/>
            <w:noProof/>
          </w:rPr>
          <w:t>3.1.1</w:t>
        </w:r>
        <w:r w:rsidR="007C708B" w:rsidRPr="004D641D">
          <w:rPr>
            <w:rFonts w:ascii="Calibri" w:eastAsia="Times New Roman" w:hAnsi="Calibri"/>
            <w:noProof/>
            <w:sz w:val="22"/>
            <w:szCs w:val="22"/>
            <w:lang w:val="pt-BR" w:eastAsia="pt-BR"/>
          </w:rPr>
          <w:tab/>
        </w:r>
        <w:r w:rsidR="007C708B" w:rsidRPr="00FE6F4E">
          <w:rPr>
            <w:rStyle w:val="Hyperlink"/>
            <w:noProof/>
          </w:rPr>
          <w:t>Monetização da hipótese B1:</w:t>
        </w:r>
        <w:r w:rsidR="007C708B">
          <w:rPr>
            <w:noProof/>
            <w:webHidden/>
          </w:rPr>
          <w:tab/>
        </w:r>
        <w:r>
          <w:rPr>
            <w:noProof/>
            <w:webHidden/>
          </w:rPr>
          <w:fldChar w:fldCharType="begin"/>
        </w:r>
        <w:r w:rsidR="007C708B">
          <w:rPr>
            <w:noProof/>
            <w:webHidden/>
          </w:rPr>
          <w:instrText xml:space="preserve"> PAGEREF _Toc320875541 \h </w:instrText>
        </w:r>
        <w:r>
          <w:rPr>
            <w:noProof/>
            <w:webHidden/>
          </w:rPr>
        </w:r>
        <w:r>
          <w:rPr>
            <w:noProof/>
            <w:webHidden/>
          </w:rPr>
          <w:fldChar w:fldCharType="separate"/>
        </w:r>
        <w:r w:rsidR="00380E3F">
          <w:rPr>
            <w:noProof/>
            <w:webHidden/>
          </w:rPr>
          <w:t>9</w:t>
        </w:r>
        <w:r>
          <w:rPr>
            <w:noProof/>
            <w:webHidden/>
          </w:rPr>
          <w:fldChar w:fldCharType="end"/>
        </w:r>
      </w:hyperlink>
    </w:p>
    <w:p w:rsidR="007C708B" w:rsidRPr="004D641D" w:rsidRDefault="00660D11" w:rsidP="007C708B">
      <w:pPr>
        <w:pStyle w:val="TOC3"/>
        <w:tabs>
          <w:tab w:val="left" w:pos="1320"/>
          <w:tab w:val="right" w:leader="dot" w:pos="8494"/>
        </w:tabs>
        <w:spacing w:line="360" w:lineRule="auto"/>
        <w:rPr>
          <w:rFonts w:ascii="Calibri" w:eastAsia="Times New Roman" w:hAnsi="Calibri"/>
          <w:noProof/>
          <w:sz w:val="22"/>
          <w:szCs w:val="22"/>
          <w:lang w:val="pt-BR" w:eastAsia="pt-BR"/>
        </w:rPr>
      </w:pPr>
      <w:hyperlink w:anchor="_Toc320875542" w:history="1">
        <w:r w:rsidR="007C708B" w:rsidRPr="00FE6F4E">
          <w:rPr>
            <w:rStyle w:val="Hyperlink"/>
            <w:noProof/>
          </w:rPr>
          <w:t>3.1.2</w:t>
        </w:r>
        <w:r w:rsidR="007C708B" w:rsidRPr="004D641D">
          <w:rPr>
            <w:rFonts w:ascii="Calibri" w:eastAsia="Times New Roman" w:hAnsi="Calibri"/>
            <w:noProof/>
            <w:sz w:val="22"/>
            <w:szCs w:val="22"/>
            <w:lang w:val="pt-BR" w:eastAsia="pt-BR"/>
          </w:rPr>
          <w:tab/>
        </w:r>
        <w:r w:rsidR="007C708B" w:rsidRPr="00FE6F4E">
          <w:rPr>
            <w:rStyle w:val="Hyperlink"/>
            <w:noProof/>
          </w:rPr>
          <w:t>Monetização da Hipótese B2:</w:t>
        </w:r>
        <w:r w:rsidR="007C708B">
          <w:rPr>
            <w:noProof/>
            <w:webHidden/>
          </w:rPr>
          <w:tab/>
        </w:r>
        <w:r>
          <w:rPr>
            <w:noProof/>
            <w:webHidden/>
          </w:rPr>
          <w:fldChar w:fldCharType="begin"/>
        </w:r>
        <w:r w:rsidR="007C708B">
          <w:rPr>
            <w:noProof/>
            <w:webHidden/>
          </w:rPr>
          <w:instrText xml:space="preserve"> PAGEREF _Toc320875542 \h </w:instrText>
        </w:r>
        <w:r>
          <w:rPr>
            <w:noProof/>
            <w:webHidden/>
          </w:rPr>
        </w:r>
        <w:r>
          <w:rPr>
            <w:noProof/>
            <w:webHidden/>
          </w:rPr>
          <w:fldChar w:fldCharType="separate"/>
        </w:r>
        <w:r w:rsidR="00380E3F">
          <w:rPr>
            <w:noProof/>
            <w:webHidden/>
          </w:rPr>
          <w:t>10</w:t>
        </w:r>
        <w:r>
          <w:rPr>
            <w:noProof/>
            <w:webHidden/>
          </w:rPr>
          <w:fldChar w:fldCharType="end"/>
        </w:r>
      </w:hyperlink>
    </w:p>
    <w:p w:rsidR="007C708B" w:rsidRPr="004D641D" w:rsidRDefault="00660D11" w:rsidP="007C708B">
      <w:pPr>
        <w:pStyle w:val="TOC3"/>
        <w:tabs>
          <w:tab w:val="left" w:pos="1320"/>
          <w:tab w:val="right" w:leader="dot" w:pos="8494"/>
        </w:tabs>
        <w:spacing w:line="360" w:lineRule="auto"/>
        <w:rPr>
          <w:rFonts w:ascii="Calibri" w:eastAsia="Times New Roman" w:hAnsi="Calibri"/>
          <w:noProof/>
          <w:sz w:val="22"/>
          <w:szCs w:val="22"/>
          <w:lang w:val="pt-BR" w:eastAsia="pt-BR"/>
        </w:rPr>
      </w:pPr>
      <w:hyperlink w:anchor="_Toc320875543" w:history="1">
        <w:r w:rsidR="007C708B" w:rsidRPr="00FE6F4E">
          <w:rPr>
            <w:rStyle w:val="Hyperlink"/>
            <w:noProof/>
          </w:rPr>
          <w:t>3.1.3</w:t>
        </w:r>
        <w:r w:rsidR="007C708B" w:rsidRPr="004D641D">
          <w:rPr>
            <w:rFonts w:ascii="Calibri" w:eastAsia="Times New Roman" w:hAnsi="Calibri"/>
            <w:noProof/>
            <w:sz w:val="22"/>
            <w:szCs w:val="22"/>
            <w:lang w:val="pt-BR" w:eastAsia="pt-BR"/>
          </w:rPr>
          <w:tab/>
        </w:r>
        <w:r w:rsidR="007C708B" w:rsidRPr="00FE6F4E">
          <w:rPr>
            <w:rStyle w:val="Hyperlink"/>
            <w:noProof/>
          </w:rPr>
          <w:t>Monetização da Hipótese B3:</w:t>
        </w:r>
        <w:r w:rsidR="007C708B">
          <w:rPr>
            <w:noProof/>
            <w:webHidden/>
          </w:rPr>
          <w:tab/>
        </w:r>
        <w:r>
          <w:rPr>
            <w:noProof/>
            <w:webHidden/>
          </w:rPr>
          <w:fldChar w:fldCharType="begin"/>
        </w:r>
        <w:r w:rsidR="007C708B">
          <w:rPr>
            <w:noProof/>
            <w:webHidden/>
          </w:rPr>
          <w:instrText xml:space="preserve"> PAGEREF _Toc320875543 \h </w:instrText>
        </w:r>
        <w:r>
          <w:rPr>
            <w:noProof/>
            <w:webHidden/>
          </w:rPr>
        </w:r>
        <w:r>
          <w:rPr>
            <w:noProof/>
            <w:webHidden/>
          </w:rPr>
          <w:fldChar w:fldCharType="separate"/>
        </w:r>
        <w:r w:rsidR="00380E3F">
          <w:rPr>
            <w:noProof/>
            <w:webHidden/>
          </w:rPr>
          <w:t>10</w:t>
        </w:r>
        <w:r>
          <w:rPr>
            <w:noProof/>
            <w:webHidden/>
          </w:rPr>
          <w:fldChar w:fldCharType="end"/>
        </w:r>
      </w:hyperlink>
    </w:p>
    <w:p w:rsidR="007C708B" w:rsidRPr="004D641D" w:rsidRDefault="00660D11" w:rsidP="007C708B">
      <w:pPr>
        <w:pStyle w:val="TOC1"/>
        <w:tabs>
          <w:tab w:val="left" w:pos="480"/>
          <w:tab w:val="right" w:leader="dot" w:pos="8494"/>
        </w:tabs>
        <w:spacing w:line="360" w:lineRule="auto"/>
        <w:rPr>
          <w:rFonts w:ascii="Calibri" w:eastAsia="Times New Roman" w:hAnsi="Calibri"/>
          <w:noProof/>
          <w:sz w:val="22"/>
          <w:szCs w:val="22"/>
          <w:lang w:val="pt-BR" w:eastAsia="pt-BR"/>
        </w:rPr>
      </w:pPr>
      <w:hyperlink w:anchor="_Toc320875544" w:history="1">
        <w:r w:rsidR="007C708B" w:rsidRPr="00FE6F4E">
          <w:rPr>
            <w:rStyle w:val="Hyperlink"/>
            <w:noProof/>
          </w:rPr>
          <w:t>4</w:t>
        </w:r>
        <w:r w:rsidR="007C708B" w:rsidRPr="004D641D">
          <w:rPr>
            <w:rFonts w:ascii="Calibri" w:eastAsia="Times New Roman" w:hAnsi="Calibri"/>
            <w:noProof/>
            <w:sz w:val="22"/>
            <w:szCs w:val="22"/>
            <w:lang w:val="pt-BR" w:eastAsia="pt-BR"/>
          </w:rPr>
          <w:tab/>
        </w:r>
        <w:r w:rsidR="007C708B" w:rsidRPr="00FE6F4E">
          <w:rPr>
            <w:rStyle w:val="Hyperlink"/>
            <w:noProof/>
          </w:rPr>
          <w:t>Custos econômicos: aplicação</w:t>
        </w:r>
        <w:r w:rsidR="007C708B">
          <w:rPr>
            <w:noProof/>
            <w:webHidden/>
          </w:rPr>
          <w:tab/>
        </w:r>
        <w:r>
          <w:rPr>
            <w:noProof/>
            <w:webHidden/>
          </w:rPr>
          <w:fldChar w:fldCharType="begin"/>
        </w:r>
        <w:r w:rsidR="007C708B">
          <w:rPr>
            <w:noProof/>
            <w:webHidden/>
          </w:rPr>
          <w:instrText xml:space="preserve"> PAGEREF _Toc320875544 \h </w:instrText>
        </w:r>
        <w:r>
          <w:rPr>
            <w:noProof/>
            <w:webHidden/>
          </w:rPr>
        </w:r>
        <w:r>
          <w:rPr>
            <w:noProof/>
            <w:webHidden/>
          </w:rPr>
          <w:fldChar w:fldCharType="separate"/>
        </w:r>
        <w:r w:rsidR="00380E3F">
          <w:rPr>
            <w:noProof/>
            <w:webHidden/>
          </w:rPr>
          <w:t>11</w:t>
        </w:r>
        <w:r>
          <w:rPr>
            <w:noProof/>
            <w:webHidden/>
          </w:rPr>
          <w:fldChar w:fldCharType="end"/>
        </w:r>
      </w:hyperlink>
    </w:p>
    <w:p w:rsidR="007C708B" w:rsidRPr="004D641D" w:rsidRDefault="00660D11" w:rsidP="007C708B">
      <w:pPr>
        <w:pStyle w:val="TOC1"/>
        <w:tabs>
          <w:tab w:val="left" w:pos="480"/>
          <w:tab w:val="right" w:leader="dot" w:pos="8494"/>
        </w:tabs>
        <w:spacing w:line="360" w:lineRule="auto"/>
        <w:rPr>
          <w:rFonts w:ascii="Calibri" w:eastAsia="Times New Roman" w:hAnsi="Calibri"/>
          <w:noProof/>
          <w:sz w:val="22"/>
          <w:szCs w:val="22"/>
          <w:lang w:val="pt-BR" w:eastAsia="pt-BR"/>
        </w:rPr>
      </w:pPr>
      <w:hyperlink w:anchor="_Toc320875545" w:history="1">
        <w:r w:rsidR="007C708B" w:rsidRPr="00FE6F4E">
          <w:rPr>
            <w:rStyle w:val="Hyperlink"/>
            <w:noProof/>
          </w:rPr>
          <w:t>5</w:t>
        </w:r>
        <w:r w:rsidR="007C708B" w:rsidRPr="004D641D">
          <w:rPr>
            <w:rFonts w:ascii="Calibri" w:eastAsia="Times New Roman" w:hAnsi="Calibri"/>
            <w:noProof/>
            <w:sz w:val="22"/>
            <w:szCs w:val="22"/>
            <w:lang w:val="pt-BR" w:eastAsia="pt-BR"/>
          </w:rPr>
          <w:tab/>
        </w:r>
        <w:r w:rsidR="007C708B" w:rsidRPr="00FE6F4E">
          <w:rPr>
            <w:rStyle w:val="Hyperlink"/>
            <w:noProof/>
          </w:rPr>
          <w:t>Rentabilidade econômica</w:t>
        </w:r>
        <w:r w:rsidR="007C708B">
          <w:rPr>
            <w:noProof/>
            <w:webHidden/>
          </w:rPr>
          <w:tab/>
        </w:r>
        <w:r>
          <w:rPr>
            <w:noProof/>
            <w:webHidden/>
          </w:rPr>
          <w:fldChar w:fldCharType="begin"/>
        </w:r>
        <w:r w:rsidR="007C708B">
          <w:rPr>
            <w:noProof/>
            <w:webHidden/>
          </w:rPr>
          <w:instrText xml:space="preserve"> PAGEREF _Toc320875545 \h </w:instrText>
        </w:r>
        <w:r>
          <w:rPr>
            <w:noProof/>
            <w:webHidden/>
          </w:rPr>
        </w:r>
        <w:r>
          <w:rPr>
            <w:noProof/>
            <w:webHidden/>
          </w:rPr>
          <w:fldChar w:fldCharType="separate"/>
        </w:r>
        <w:r w:rsidR="00380E3F">
          <w:rPr>
            <w:noProof/>
            <w:webHidden/>
          </w:rPr>
          <w:t>12</w:t>
        </w:r>
        <w:r>
          <w:rPr>
            <w:noProof/>
            <w:webHidden/>
          </w:rPr>
          <w:fldChar w:fldCharType="end"/>
        </w:r>
      </w:hyperlink>
    </w:p>
    <w:p w:rsidR="007C708B" w:rsidRPr="004D641D" w:rsidRDefault="00660D11" w:rsidP="007C708B">
      <w:pPr>
        <w:pStyle w:val="TOC1"/>
        <w:tabs>
          <w:tab w:val="left" w:pos="480"/>
          <w:tab w:val="right" w:leader="dot" w:pos="8494"/>
        </w:tabs>
        <w:spacing w:line="360" w:lineRule="auto"/>
        <w:rPr>
          <w:rFonts w:ascii="Calibri" w:eastAsia="Times New Roman" w:hAnsi="Calibri"/>
          <w:noProof/>
          <w:sz w:val="22"/>
          <w:szCs w:val="22"/>
          <w:lang w:val="pt-BR" w:eastAsia="pt-BR"/>
        </w:rPr>
      </w:pPr>
      <w:hyperlink w:anchor="_Toc320875546" w:history="1">
        <w:r w:rsidR="007C708B" w:rsidRPr="00FE6F4E">
          <w:rPr>
            <w:rStyle w:val="Hyperlink"/>
            <w:noProof/>
          </w:rPr>
          <w:t>6</w:t>
        </w:r>
        <w:r w:rsidR="007C708B" w:rsidRPr="004D641D">
          <w:rPr>
            <w:rFonts w:ascii="Calibri" w:eastAsia="Times New Roman" w:hAnsi="Calibri"/>
            <w:noProof/>
            <w:sz w:val="22"/>
            <w:szCs w:val="22"/>
            <w:lang w:val="pt-BR" w:eastAsia="pt-BR"/>
          </w:rPr>
          <w:tab/>
        </w:r>
        <w:r w:rsidR="007C708B" w:rsidRPr="00FE6F4E">
          <w:rPr>
            <w:rStyle w:val="Hyperlink"/>
            <w:noProof/>
          </w:rPr>
          <w:t>Análise de sensibilidade</w:t>
        </w:r>
        <w:r w:rsidR="007C708B">
          <w:rPr>
            <w:noProof/>
            <w:webHidden/>
          </w:rPr>
          <w:tab/>
        </w:r>
        <w:r>
          <w:rPr>
            <w:noProof/>
            <w:webHidden/>
          </w:rPr>
          <w:fldChar w:fldCharType="begin"/>
        </w:r>
        <w:r w:rsidR="007C708B">
          <w:rPr>
            <w:noProof/>
            <w:webHidden/>
          </w:rPr>
          <w:instrText xml:space="preserve"> PAGEREF _Toc320875546 \h </w:instrText>
        </w:r>
        <w:r>
          <w:rPr>
            <w:noProof/>
            <w:webHidden/>
          </w:rPr>
        </w:r>
        <w:r>
          <w:rPr>
            <w:noProof/>
            <w:webHidden/>
          </w:rPr>
          <w:fldChar w:fldCharType="separate"/>
        </w:r>
        <w:r w:rsidR="00380E3F">
          <w:rPr>
            <w:noProof/>
            <w:webHidden/>
          </w:rPr>
          <w:t>13</w:t>
        </w:r>
        <w:r>
          <w:rPr>
            <w:noProof/>
            <w:webHidden/>
          </w:rPr>
          <w:fldChar w:fldCharType="end"/>
        </w:r>
      </w:hyperlink>
    </w:p>
    <w:p w:rsidR="007C708B" w:rsidRPr="004D641D" w:rsidRDefault="00660D11" w:rsidP="007C708B">
      <w:pPr>
        <w:pStyle w:val="TOC1"/>
        <w:tabs>
          <w:tab w:val="left" w:pos="480"/>
          <w:tab w:val="right" w:leader="dot" w:pos="8494"/>
        </w:tabs>
        <w:spacing w:line="360" w:lineRule="auto"/>
        <w:rPr>
          <w:rFonts w:ascii="Calibri" w:eastAsia="Times New Roman" w:hAnsi="Calibri"/>
          <w:noProof/>
          <w:sz w:val="22"/>
          <w:szCs w:val="22"/>
          <w:lang w:val="pt-BR" w:eastAsia="pt-BR"/>
        </w:rPr>
      </w:pPr>
      <w:hyperlink w:anchor="_Toc320875547" w:history="1">
        <w:r w:rsidR="007C708B" w:rsidRPr="00FE6F4E">
          <w:rPr>
            <w:rStyle w:val="Hyperlink"/>
            <w:noProof/>
          </w:rPr>
          <w:t>7</w:t>
        </w:r>
        <w:r w:rsidR="007C708B" w:rsidRPr="004D641D">
          <w:rPr>
            <w:rFonts w:ascii="Calibri" w:eastAsia="Times New Roman" w:hAnsi="Calibri"/>
            <w:noProof/>
            <w:sz w:val="22"/>
            <w:szCs w:val="22"/>
            <w:lang w:val="pt-BR" w:eastAsia="pt-BR"/>
          </w:rPr>
          <w:tab/>
        </w:r>
        <w:r w:rsidR="007C708B" w:rsidRPr="00FE6F4E">
          <w:rPr>
            <w:rStyle w:val="Hyperlink"/>
            <w:noProof/>
          </w:rPr>
          <w:t>Conclusões</w:t>
        </w:r>
        <w:r w:rsidR="007C708B">
          <w:rPr>
            <w:noProof/>
            <w:webHidden/>
          </w:rPr>
          <w:tab/>
        </w:r>
        <w:r>
          <w:rPr>
            <w:noProof/>
            <w:webHidden/>
          </w:rPr>
          <w:fldChar w:fldCharType="begin"/>
        </w:r>
        <w:r w:rsidR="007C708B">
          <w:rPr>
            <w:noProof/>
            <w:webHidden/>
          </w:rPr>
          <w:instrText xml:space="preserve"> PAGEREF _Toc320875547 \h </w:instrText>
        </w:r>
        <w:r>
          <w:rPr>
            <w:noProof/>
            <w:webHidden/>
          </w:rPr>
        </w:r>
        <w:r>
          <w:rPr>
            <w:noProof/>
            <w:webHidden/>
          </w:rPr>
          <w:fldChar w:fldCharType="separate"/>
        </w:r>
        <w:r w:rsidR="00380E3F">
          <w:rPr>
            <w:noProof/>
            <w:webHidden/>
          </w:rPr>
          <w:t>14</w:t>
        </w:r>
        <w:r>
          <w:rPr>
            <w:noProof/>
            <w:webHidden/>
          </w:rPr>
          <w:fldChar w:fldCharType="end"/>
        </w:r>
      </w:hyperlink>
    </w:p>
    <w:p w:rsidR="007C708B" w:rsidRPr="004D641D" w:rsidRDefault="00660D11" w:rsidP="007C708B">
      <w:pPr>
        <w:pStyle w:val="TOC1"/>
        <w:tabs>
          <w:tab w:val="left" w:pos="480"/>
          <w:tab w:val="right" w:leader="dot" w:pos="8494"/>
        </w:tabs>
        <w:spacing w:line="360" w:lineRule="auto"/>
        <w:rPr>
          <w:rFonts w:ascii="Calibri" w:eastAsia="Times New Roman" w:hAnsi="Calibri"/>
          <w:noProof/>
          <w:sz w:val="22"/>
          <w:szCs w:val="22"/>
          <w:lang w:val="pt-BR" w:eastAsia="pt-BR"/>
        </w:rPr>
      </w:pPr>
      <w:hyperlink w:anchor="_Toc320875548" w:history="1">
        <w:r w:rsidR="007C708B" w:rsidRPr="00FE6F4E">
          <w:rPr>
            <w:rStyle w:val="Hyperlink"/>
            <w:noProof/>
          </w:rPr>
          <w:t>8</w:t>
        </w:r>
        <w:r w:rsidR="007C708B" w:rsidRPr="004D641D">
          <w:rPr>
            <w:rFonts w:ascii="Calibri" w:eastAsia="Times New Roman" w:hAnsi="Calibri"/>
            <w:noProof/>
            <w:sz w:val="22"/>
            <w:szCs w:val="22"/>
            <w:lang w:val="pt-BR" w:eastAsia="pt-BR"/>
          </w:rPr>
          <w:tab/>
        </w:r>
        <w:r w:rsidR="007C708B" w:rsidRPr="00FE6F4E">
          <w:rPr>
            <w:rStyle w:val="Hyperlink"/>
            <w:noProof/>
          </w:rPr>
          <w:t>Referências Bibliográficas</w:t>
        </w:r>
        <w:r w:rsidR="007C708B">
          <w:rPr>
            <w:noProof/>
            <w:webHidden/>
          </w:rPr>
          <w:tab/>
        </w:r>
        <w:r>
          <w:rPr>
            <w:noProof/>
            <w:webHidden/>
          </w:rPr>
          <w:fldChar w:fldCharType="begin"/>
        </w:r>
        <w:r w:rsidR="007C708B">
          <w:rPr>
            <w:noProof/>
            <w:webHidden/>
          </w:rPr>
          <w:instrText xml:space="preserve"> PAGEREF _Toc320875548 \h </w:instrText>
        </w:r>
        <w:r>
          <w:rPr>
            <w:noProof/>
            <w:webHidden/>
          </w:rPr>
        </w:r>
        <w:r>
          <w:rPr>
            <w:noProof/>
            <w:webHidden/>
          </w:rPr>
          <w:fldChar w:fldCharType="separate"/>
        </w:r>
        <w:r w:rsidR="00380E3F">
          <w:rPr>
            <w:noProof/>
            <w:webHidden/>
          </w:rPr>
          <w:t>16</w:t>
        </w:r>
        <w:r>
          <w:rPr>
            <w:noProof/>
            <w:webHidden/>
          </w:rPr>
          <w:fldChar w:fldCharType="end"/>
        </w:r>
      </w:hyperlink>
    </w:p>
    <w:p w:rsidR="007C708B" w:rsidRPr="004D641D" w:rsidRDefault="00660D11" w:rsidP="007C708B">
      <w:pPr>
        <w:pStyle w:val="TOC1"/>
        <w:tabs>
          <w:tab w:val="left" w:pos="480"/>
          <w:tab w:val="right" w:leader="dot" w:pos="8494"/>
        </w:tabs>
        <w:spacing w:line="360" w:lineRule="auto"/>
        <w:rPr>
          <w:rFonts w:ascii="Calibri" w:eastAsia="Times New Roman" w:hAnsi="Calibri"/>
          <w:noProof/>
          <w:sz w:val="22"/>
          <w:szCs w:val="22"/>
          <w:lang w:val="pt-BR" w:eastAsia="pt-BR"/>
        </w:rPr>
      </w:pPr>
      <w:hyperlink w:anchor="_Toc320875549" w:history="1">
        <w:r w:rsidR="007C708B" w:rsidRPr="00FE6F4E">
          <w:rPr>
            <w:rStyle w:val="Hyperlink"/>
            <w:noProof/>
          </w:rPr>
          <w:t>9</w:t>
        </w:r>
        <w:r w:rsidR="007C708B" w:rsidRPr="004D641D">
          <w:rPr>
            <w:rFonts w:ascii="Calibri" w:eastAsia="Times New Roman" w:hAnsi="Calibri"/>
            <w:noProof/>
            <w:sz w:val="22"/>
            <w:szCs w:val="22"/>
            <w:lang w:val="pt-BR" w:eastAsia="pt-BR"/>
          </w:rPr>
          <w:tab/>
        </w:r>
        <w:r w:rsidR="007C708B" w:rsidRPr="00FE6F4E">
          <w:rPr>
            <w:rStyle w:val="Hyperlink"/>
            <w:noProof/>
          </w:rPr>
          <w:t>Anexos</w:t>
        </w:r>
        <w:r w:rsidR="007C708B">
          <w:rPr>
            <w:noProof/>
            <w:webHidden/>
          </w:rPr>
          <w:tab/>
        </w:r>
        <w:r>
          <w:rPr>
            <w:noProof/>
            <w:webHidden/>
          </w:rPr>
          <w:fldChar w:fldCharType="begin"/>
        </w:r>
        <w:r w:rsidR="007C708B">
          <w:rPr>
            <w:noProof/>
            <w:webHidden/>
          </w:rPr>
          <w:instrText xml:space="preserve"> PAGEREF _Toc320875549 \h </w:instrText>
        </w:r>
        <w:r>
          <w:rPr>
            <w:noProof/>
            <w:webHidden/>
          </w:rPr>
        </w:r>
        <w:r>
          <w:rPr>
            <w:noProof/>
            <w:webHidden/>
          </w:rPr>
          <w:fldChar w:fldCharType="separate"/>
        </w:r>
        <w:r w:rsidR="00380E3F">
          <w:rPr>
            <w:noProof/>
            <w:webHidden/>
          </w:rPr>
          <w:t>17</w:t>
        </w:r>
        <w:r>
          <w:rPr>
            <w:noProof/>
            <w:webHidden/>
          </w:rPr>
          <w:fldChar w:fldCharType="end"/>
        </w:r>
      </w:hyperlink>
    </w:p>
    <w:p w:rsidR="00077B71" w:rsidRDefault="00660D11" w:rsidP="007C708B">
      <w:pPr>
        <w:pStyle w:val="ListParagraph"/>
        <w:spacing w:before="120" w:after="0" w:line="360" w:lineRule="auto"/>
        <w:ind w:left="0"/>
        <w:rPr>
          <w:rFonts w:ascii="Times New Roman" w:hAnsi="Times New Roman"/>
          <w:b/>
          <w:sz w:val="24"/>
          <w:szCs w:val="24"/>
          <w:lang w:val="pt-BR"/>
        </w:rPr>
      </w:pPr>
      <w:r>
        <w:rPr>
          <w:rFonts w:ascii="Times New Roman" w:hAnsi="Times New Roman"/>
          <w:b/>
          <w:sz w:val="24"/>
          <w:szCs w:val="24"/>
          <w:lang w:val="pt-BR"/>
        </w:rPr>
        <w:fldChar w:fldCharType="end"/>
      </w:r>
    </w:p>
    <w:p w:rsidR="00077B71" w:rsidRDefault="00077B71" w:rsidP="00077B71">
      <w:pPr>
        <w:pStyle w:val="ListParagraph"/>
        <w:spacing w:before="120" w:after="0" w:line="240" w:lineRule="auto"/>
        <w:ind w:left="1080"/>
        <w:rPr>
          <w:rFonts w:ascii="Times New Roman" w:hAnsi="Times New Roman"/>
          <w:b/>
          <w:sz w:val="24"/>
          <w:szCs w:val="24"/>
          <w:lang w:val="pt-BR"/>
        </w:rPr>
      </w:pPr>
    </w:p>
    <w:p w:rsidR="00077B71" w:rsidRDefault="00077B71" w:rsidP="00077B71">
      <w:pPr>
        <w:pStyle w:val="ListParagraph"/>
        <w:spacing w:before="120" w:after="0" w:line="240" w:lineRule="auto"/>
        <w:ind w:left="1080"/>
        <w:rPr>
          <w:rFonts w:ascii="Times New Roman" w:hAnsi="Times New Roman"/>
          <w:b/>
          <w:sz w:val="24"/>
          <w:szCs w:val="24"/>
          <w:lang w:val="pt-BR"/>
        </w:rPr>
      </w:pPr>
    </w:p>
    <w:p w:rsidR="00077B71" w:rsidRDefault="00077B71" w:rsidP="00077B71">
      <w:pPr>
        <w:pStyle w:val="ListParagraph"/>
        <w:spacing w:before="120" w:after="0" w:line="240" w:lineRule="auto"/>
        <w:ind w:left="1080"/>
        <w:rPr>
          <w:rFonts w:ascii="Times New Roman" w:hAnsi="Times New Roman"/>
          <w:b/>
          <w:sz w:val="24"/>
          <w:szCs w:val="24"/>
          <w:lang w:val="pt-BR"/>
        </w:rPr>
      </w:pPr>
    </w:p>
    <w:p w:rsidR="00077B71" w:rsidRDefault="00077B71" w:rsidP="00077B71">
      <w:pPr>
        <w:pStyle w:val="ListParagraph"/>
        <w:spacing w:before="120" w:after="0" w:line="240" w:lineRule="auto"/>
        <w:ind w:left="1080"/>
        <w:rPr>
          <w:rFonts w:ascii="Times New Roman" w:hAnsi="Times New Roman"/>
          <w:b/>
          <w:sz w:val="24"/>
          <w:szCs w:val="24"/>
          <w:lang w:val="pt-BR"/>
        </w:rPr>
        <w:sectPr w:rsidR="00077B71" w:rsidSect="00CE24B2">
          <w:footerReference w:type="default" r:id="rId8"/>
          <w:pgSz w:w="11906" w:h="16838"/>
          <w:pgMar w:top="1417" w:right="1701" w:bottom="1417" w:left="1701" w:header="708" w:footer="708" w:gutter="0"/>
          <w:pgNumType w:start="1"/>
          <w:cols w:space="708"/>
          <w:docGrid w:linePitch="360"/>
        </w:sectPr>
      </w:pPr>
    </w:p>
    <w:p w:rsidR="00077B71" w:rsidRPr="005D5712" w:rsidRDefault="00077B71" w:rsidP="00C0578C">
      <w:pPr>
        <w:pStyle w:val="ListParagraph"/>
        <w:spacing w:before="120" w:after="0" w:line="240" w:lineRule="auto"/>
        <w:ind w:left="1080"/>
        <w:jc w:val="center"/>
        <w:rPr>
          <w:rFonts w:ascii="Times New Roman" w:hAnsi="Times New Roman"/>
          <w:b/>
          <w:sz w:val="24"/>
          <w:szCs w:val="24"/>
          <w:lang w:val="pt-BR"/>
        </w:rPr>
      </w:pPr>
    </w:p>
    <w:p w:rsidR="00C0578C" w:rsidRPr="00804859" w:rsidRDefault="00261386" w:rsidP="00804859">
      <w:pPr>
        <w:pStyle w:val="Heading1"/>
        <w:spacing w:before="240" w:after="240"/>
        <w:jc w:val="left"/>
        <w:rPr>
          <w:rFonts w:ascii="Times New Roman" w:hAnsi="Times New Roman" w:cs="Times New Roman"/>
        </w:rPr>
      </w:pPr>
      <w:bookmarkStart w:id="1" w:name="_Toc320875532"/>
      <w:r w:rsidRPr="00804859">
        <w:rPr>
          <w:rFonts w:ascii="Times New Roman" w:hAnsi="Times New Roman" w:cs="Times New Roman"/>
        </w:rPr>
        <w:t>Introdução</w:t>
      </w:r>
      <w:bookmarkEnd w:id="1"/>
    </w:p>
    <w:p w:rsidR="005D5712" w:rsidRDefault="005D5712" w:rsidP="00804859">
      <w:pPr>
        <w:numPr>
          <w:ilvl w:val="0"/>
          <w:numId w:val="2"/>
        </w:numPr>
        <w:spacing w:before="120" w:after="120"/>
        <w:jc w:val="both"/>
        <w:rPr>
          <w:lang w:val="pt-BR"/>
        </w:rPr>
      </w:pPr>
      <w:r w:rsidRPr="005D5712">
        <w:rPr>
          <w:lang w:val="pt-BR"/>
        </w:rPr>
        <w:t>O projeto em análise visa alcançar níveis de excelência em Educação e Fundamental, estabelecendo ações de aperfeiçoamento e qualificação para os profissionais envolvidos no ensino, apoio e gestão da Rede Municipal de Educação. Os benefícios de uma educação de qualidade, que propicie a formação de cidadãos plenamente capacitados a desenvolver suas competências e habilidades em múltiplas dimensões, conforme apontados pela literatura revisada anteriormente, são inúmeros e afetam não só a remuneração futura de trabalhadores mais bem qualificados, como também a situação nutricional e de saúde das crianças e adolescentes, com efeitos positivos inclusive sobre a participação e inserção da mulher no mercado de trabalho, assim como efeitos positivos sobre a redução da criminalidade.</w:t>
      </w:r>
    </w:p>
    <w:p w:rsidR="005D5712" w:rsidRPr="005D5712" w:rsidRDefault="005D5712" w:rsidP="00804859">
      <w:pPr>
        <w:numPr>
          <w:ilvl w:val="0"/>
          <w:numId w:val="2"/>
        </w:numPr>
        <w:spacing w:before="120" w:after="120"/>
        <w:jc w:val="both"/>
        <w:rPr>
          <w:lang w:val="pt-BR"/>
        </w:rPr>
      </w:pPr>
      <w:r w:rsidRPr="005D5712">
        <w:rPr>
          <w:lang w:val="pt-BR"/>
        </w:rPr>
        <w:t xml:space="preserve">Tais benefícios indiretos são bastante difíceis de serem monetizados e a maior parte dos estudos científicos preocupam-se em mensurar os efeitos diretos de um ano a mais de educação sobre a renda futura dos indivíduos, tomando também a elevação da renda como </w:t>
      </w:r>
      <w:r w:rsidRPr="005D5712">
        <w:rPr>
          <w:i/>
          <w:lang w:val="pt-BR"/>
        </w:rPr>
        <w:t>proxy</w:t>
      </w:r>
      <w:r w:rsidRPr="005D5712">
        <w:rPr>
          <w:lang w:val="pt-BR"/>
        </w:rPr>
        <w:t xml:space="preserve"> para os demais benefícios indiretos. Para estabelecer uma estratégia de avaliação e monetização dos benefícios, elaborou-se um fluxograma entre os componentes do projeto:</w:t>
      </w:r>
    </w:p>
    <w:p w:rsidR="005D5712" w:rsidRPr="005D5712" w:rsidRDefault="00660D11" w:rsidP="005D5712">
      <w:pPr>
        <w:rPr>
          <w:lang w:val="pt-BR"/>
        </w:rPr>
      </w:pPr>
      <w:r w:rsidRPr="00660D11">
        <w:rPr>
          <w:noProof/>
          <w:lang w:val="pt-BR" w:eastAsia="pt-BR"/>
        </w:rPr>
        <w:pict>
          <v:group id="Group 11" o:spid="_x0000_s1027" style="position:absolute;margin-left:94.2pt;margin-top:9.1pt;width:228pt;height:186.75pt;z-index:251652096" coordorigin=",-28575" coordsize="2895600,23717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3" o:spid="_x0000_s1028" style="position:absolute;top:209550;width:2895600;height:21336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ZgdsIA&#10;AADaAAAADwAAAGRycy9kb3ducmV2LnhtbESPQWvCQBSE7wX/w/IEb3VXLaVE1yABoeKljUKvz+wz&#10;WZJ9G7Jbjf++Wyj0OMzMN8wmH10nbjQE61nDYq5AEFfeWK41nE/75zcQISIb7DyThgcFyLeTpw1m&#10;xt/5k25lrEWCcMhQQxNjn0kZqoYchrnviZN39YPDmORQSzPgPcFdJ5dKvUqHltNCgz0VDVVt+e00&#10;FPuXR9t+2IMqT9bj2V3UlzlqPZuOuzWISGP8D/+1342GFfxeSTd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1mB2wgAAANoAAAAPAAAAAAAAAAAAAAAAAJgCAABkcnMvZG93&#10;bnJldi54bWxQSwUGAAAAAAQABAD1AAAAhwMAAAAA&#10;" fillcolor="#a3c4ff" strokecolor="#4a7ebb">
              <v:fill color2="#e5eeff" rotate="t" angle="180" colors="0 #a3c4ff;22938f #bfd5ff;1 #e5eeff" focus="100%" type="gradient"/>
              <v:shadow on="t" color="black" opacity="24903f" origin=",.5" offset="0,.55556mm"/>
              <v:textbox>
                <w:txbxContent>
                  <w:p w:rsidR="00F85DEC" w:rsidRPr="00804859" w:rsidRDefault="00F85DEC" w:rsidP="005D5712">
                    <w:pPr>
                      <w:rPr>
                        <w:lang w:val="pt-BR"/>
                      </w:rPr>
                    </w:pPr>
                    <w:r w:rsidRPr="00804859">
                      <w:rPr>
                        <w:lang w:val="pt-BR"/>
                      </w:rPr>
                      <w:t xml:space="preserve">       600 vagas pré-escola</w:t>
                    </w:r>
                  </w:p>
                  <w:p w:rsidR="00F85DEC" w:rsidRPr="00804859" w:rsidRDefault="00F85DEC" w:rsidP="005D5712">
                    <w:pPr>
                      <w:jc w:val="center"/>
                      <w:rPr>
                        <w:lang w:val="pt-BR"/>
                      </w:rPr>
                    </w:pPr>
                    <w:r w:rsidRPr="00804859">
                      <w:rPr>
                        <w:lang w:val="pt-BR"/>
                      </w:rPr>
                      <w:t>+</w:t>
                    </w:r>
                  </w:p>
                  <w:p w:rsidR="00F85DEC" w:rsidRPr="00804859" w:rsidRDefault="00F85DEC" w:rsidP="005D5712">
                    <w:pPr>
                      <w:jc w:val="center"/>
                      <w:rPr>
                        <w:lang w:val="pt-BR"/>
                      </w:rPr>
                    </w:pPr>
                    <w:r w:rsidRPr="00804859">
                      <w:rPr>
                        <w:lang w:val="pt-BR"/>
                      </w:rPr>
                      <w:t>4660 vagas em creches</w:t>
                    </w:r>
                  </w:p>
                  <w:p w:rsidR="00F85DEC" w:rsidRPr="00804859" w:rsidRDefault="00F85DEC" w:rsidP="005D5712">
                    <w:pPr>
                      <w:jc w:val="center"/>
                      <w:rPr>
                        <w:lang w:val="pt-BR"/>
                      </w:rPr>
                    </w:pPr>
                  </w:p>
                  <w:p w:rsidR="00F85DEC" w:rsidRPr="00804859" w:rsidRDefault="00F85DEC" w:rsidP="005D5712">
                    <w:pPr>
                      <w:jc w:val="center"/>
                      <w:rPr>
                        <w:lang w:val="pt-BR"/>
                      </w:rPr>
                    </w:pPr>
                  </w:p>
                  <w:p w:rsidR="00F85DEC" w:rsidRPr="00804859" w:rsidRDefault="00F85DEC" w:rsidP="005D5712">
                    <w:pPr>
                      <w:jc w:val="center"/>
                      <w:rPr>
                        <w:lang w:val="pt-BR"/>
                      </w:rPr>
                    </w:pPr>
                    <w:r w:rsidRPr="00804859">
                      <w:rPr>
                        <w:lang w:val="pt-BR"/>
                      </w:rPr>
                      <w:t>1600 vagas Tempo Integral</w:t>
                    </w:r>
                  </w:p>
                  <w:p w:rsidR="00F85DEC" w:rsidRPr="00804859" w:rsidRDefault="00F85DEC" w:rsidP="005D5712">
                    <w:pPr>
                      <w:jc w:val="center"/>
                      <w:rPr>
                        <w:lang w:val="pt-BR"/>
                      </w:rPr>
                    </w:pPr>
                    <w:r w:rsidRPr="00804859">
                      <w:rPr>
                        <w:lang w:val="pt-BR"/>
                      </w:rPr>
                      <w:t>+</w:t>
                    </w:r>
                  </w:p>
                  <w:p w:rsidR="00F85DEC" w:rsidRPr="00804859" w:rsidRDefault="00F85DEC" w:rsidP="005D5712">
                    <w:pPr>
                      <w:jc w:val="center"/>
                      <w:rPr>
                        <w:lang w:val="pt-BR"/>
                      </w:rPr>
                    </w:pPr>
                    <w:r w:rsidRPr="00804859">
                      <w:rPr>
                        <w:lang w:val="pt-BR"/>
                      </w:rPr>
                      <w:t>1200 vagas em CIEBs</w:t>
                    </w:r>
                  </w:p>
                </w:txbxContent>
              </v:textbox>
            </v:oval>
            <v:group id="Group 10" o:spid="_x0000_s1029" style="position:absolute;left:85725;top:-28575;width:2400300;height:2114550" coordorigin=",-28575" coordsize="2400300,2114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oval id="Oval 7" o:spid="_x0000_s1030" style="position:absolute;left:447675;top:400050;width:1762125;height:8858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fmkcIA&#10;AADaAAAADwAAAGRycy9kb3ducmV2LnhtbESPT4vCMBTE74LfITzBm6b+QaUaRQouXjysCl6fzbMp&#10;Ni+lyWr105uFhT0OM/MbZrVpbSUe1PjSsYLRMAFBnDtdcqHgfNoNFiB8QNZYOSYFL/KwWXc7K0y1&#10;e/I3PY6hEBHCPkUFJoQ6ldLnhiz6oauJo3dzjcUQZVNI3eAzwm0lx0kykxZLjgsGa8oM5ffjj1Vw&#10;wffuy06TvN1vJ6Z6XbPsMCuV6vfa7RJEoDb8h//ae61gDr9X4g2Q6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Z+aRwgAAANoAAAAPAAAAAAAAAAAAAAAAAJgCAABkcnMvZG93&#10;bnJldi54bWxQSwUGAAAAAAQABAD1AAAAhwMAAAAA&#10;" filled="f" strokecolor="#4a7ebb">
                <v:shadow on="t" color="black" opacity="24903f" origin=",.5" offset="0,.55556mm"/>
              </v:oval>
              <v:shapetype id="_x0000_t202" coordsize="21600,21600" o:spt="202" path="m,l,21600r21600,l21600,xe">
                <v:stroke joinstyle="miter"/>
                <v:path gradientshapeok="t" o:connecttype="rect"/>
              </v:shapetype>
              <v:shape id="Text Box 5" o:spid="_x0000_s1031" type="#_x0000_t202" style="position:absolute;left:133350;top:666750;width:390525;height:342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dAP8EA&#10;AADaAAAADwAAAGRycy9kb3ducmV2LnhtbESPQYvCMBSE7wv+h/CEva2pyspajVIE0atVFo+P5NkU&#10;m5fSRK3/fiMseBxm5htmue5dI+7UhdqzgvEoA0Gsvam5UnA6br9+QISIbLDxTAqeFGC9GnwsMTf+&#10;wQe6l7ESCcIhRwU2xjaXMmhLDsPIt8TJu/jOYUyyq6Tp8JHgrpGTLJtJhzWnBYstbSzpa3lzCrLj&#10;76Y46GKu7bl/XrbXXTmZTpX6HPbFAkSkPr7D/+29UfANryvpBs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3QD/BAAAA2gAAAA8AAAAAAAAAAAAAAAAAmAIAAGRycy9kb3du&#10;cmV2LnhtbFBLBQYAAAAABAAEAPUAAACGAwAAAAA=&#10;" filled="f" stroked="f">
                <v:shadow on="t" color="black" opacity="24903f" origin=",.5" offset="0,.55556mm"/>
                <v:textbox>
                  <w:txbxContent>
                    <w:p w:rsidR="00F85DEC" w:rsidRPr="00CF417A" w:rsidRDefault="00F85DEC" w:rsidP="005D5712">
                      <w:pPr>
                        <w:rPr>
                          <w:b/>
                        </w:rPr>
                      </w:pPr>
                      <w:r w:rsidRPr="00CF417A">
                        <w:rPr>
                          <w:b/>
                        </w:rPr>
                        <w:t>EI</w:t>
                      </w:r>
                    </w:p>
                  </w:txbxContent>
                </v:textbox>
              </v:shape>
              <v:oval id="Oval 8" o:spid="_x0000_s1032" style="position:absolute;left:323850;top:1276350;width:2076450;height:8096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y474A&#10;AADaAAAADwAAAGRycy9kb3ducmV2LnhtbERPy4rCMBTdD/gP4QrupqkPRKpRpKC4cTEquL0216bY&#10;3JQmavXrJwvB5eG8F6vO1uJBra8cKxgmKQjiwumKSwWn4+Z3BsIHZI21Y1LwIg+rZe9ngZl2T/6j&#10;xyGUIoawz1CBCaHJpPSFIYs+cQ1x5K6utRgibEupW3zGcFvLUZpOpcWKY4PBhnJDxe1wtwrO+N5s&#10;7SQtut16bOrXJc/300qpQb9bz0EE6sJX/HHvtIK4NV6JN0A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f4cuO+AAAA2gAAAA8AAAAAAAAAAAAAAAAAmAIAAGRycy9kb3ducmV2&#10;LnhtbFBLBQYAAAAABAAEAPUAAACDAwAAAAA=&#10;" filled="f" strokecolor="#4a7ebb">
                <v:shadow on="t" color="black" opacity="24903f" origin=",.5" offset="0,.55556mm"/>
              </v:oval>
              <v:shape id="Text Box 6" o:spid="_x0000_s1033" type="#_x0000_t202" style="position:absolute;top:1447800;width:409575;height:342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XeSMAA&#10;AADaAAAADwAAAGRycy9kb3ducmV2LnhtbESPQYvCMBSE78L+h/AWvGm6CqJdoxRB9GoV8fhInk2x&#10;eSlN1PrvjbCwx2FmvmGW69414kFdqD0r+BlnIIi1NzVXCk7H7WgOIkRkg41nUvCiAOvV12CJufFP&#10;PtCjjJVIEA45KrAxtrmUQVtyGMa+JU7e1XcOY5JdJU2HzwR3jZxk2Uw6rDktWGxpY0nfyrtTkB3P&#10;m+Kgi4W2l/513d525WQ6VWr43Re/ICL18T/8194bBTP4XEk3QK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aXeSMAAAADaAAAADwAAAAAAAAAAAAAAAACYAgAAZHJzL2Rvd25y&#10;ZXYueG1sUEsFBgAAAAAEAAQA9QAAAIUDAAAAAA==&#10;" filled="f" stroked="f">
                <v:shadow on="t" color="black" opacity="24903f" origin=",.5" offset="0,.55556mm"/>
                <v:textbox>
                  <w:txbxContent>
                    <w:p w:rsidR="00F85DEC" w:rsidRPr="00CF417A" w:rsidRDefault="00F85DEC" w:rsidP="005D5712">
                      <w:pPr>
                        <w:rPr>
                          <w:b/>
                        </w:rPr>
                      </w:pPr>
                      <w:r w:rsidRPr="00CF417A">
                        <w:rPr>
                          <w:b/>
                        </w:rPr>
                        <w:t>EF</w:t>
                      </w:r>
                    </w:p>
                  </w:txbxContent>
                </v:textbox>
              </v:shape>
              <v:shape id="Text Box 9" o:spid="_x0000_s1034" type="#_x0000_t202" style="position:absolute;left:762000;top:-28575;width:1209675;height:3333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pKOsAA&#10;AADaAAAADwAAAGRycy9kb3ducmV2LnhtbESPQYvCMBSE7wv+h/CEva2pCqLVKEWQ3atVxOMjeTbF&#10;5qU0Ueu/3wiCx2FmvmFWm9414k5dqD0rGI8yEMTam5orBcfD7mcOIkRkg41nUvCkAJv14GuFufEP&#10;3tO9jJVIEA45KrAxtrmUQVtyGEa+JU7exXcOY5JdJU2HjwR3jZxk2Uw6rDktWGxpa0lfy5tTkB1O&#10;22Kvi4W25/552V1/y8l0qtT3sC+WICL18RN+t/+MggW8rqQbI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pKOsAAAADaAAAADwAAAAAAAAAAAAAAAACYAgAAZHJzL2Rvd25y&#10;ZXYueG1sUEsFBgAAAAAEAAQA9QAAAIUDAAAAAA==&#10;" filled="f" stroked="f">
                <v:shadow on="t" color="black" opacity="24903f" origin=",.5" offset="0,.55556mm"/>
                <v:textbox>
                  <w:txbxContent>
                    <w:p w:rsidR="00F85DEC" w:rsidRPr="00CF417A" w:rsidRDefault="00F85DEC" w:rsidP="005D5712">
                      <w:pPr>
                        <w:rPr>
                          <w:b/>
                        </w:rPr>
                      </w:pPr>
                      <w:r w:rsidRPr="00CF417A">
                        <w:rPr>
                          <w:b/>
                        </w:rPr>
                        <w:t>Componente 1</w:t>
                      </w:r>
                    </w:p>
                  </w:txbxContent>
                </v:textbox>
              </v:shape>
            </v:group>
          </v:group>
        </w:pict>
      </w:r>
    </w:p>
    <w:p w:rsidR="005D5712" w:rsidRPr="005D5712" w:rsidRDefault="005D5712" w:rsidP="005D5712">
      <w:pPr>
        <w:rPr>
          <w:lang w:val="pt-BR"/>
        </w:rPr>
      </w:pPr>
    </w:p>
    <w:p w:rsidR="005D5712" w:rsidRPr="005D5712" w:rsidRDefault="005D5712" w:rsidP="005D5712">
      <w:pPr>
        <w:rPr>
          <w:lang w:val="pt-BR"/>
        </w:rPr>
      </w:pPr>
    </w:p>
    <w:p w:rsidR="005D5712" w:rsidRPr="005D5712" w:rsidRDefault="005D5712" w:rsidP="005D5712">
      <w:pPr>
        <w:rPr>
          <w:lang w:val="pt-BR"/>
        </w:rPr>
      </w:pPr>
    </w:p>
    <w:p w:rsidR="005D5712" w:rsidRPr="005D5712" w:rsidRDefault="005D5712" w:rsidP="005D5712">
      <w:pPr>
        <w:rPr>
          <w:lang w:val="pt-BR"/>
        </w:rPr>
      </w:pPr>
    </w:p>
    <w:p w:rsidR="005D5712" w:rsidRPr="005D5712" w:rsidRDefault="005D5712" w:rsidP="005D5712">
      <w:pPr>
        <w:rPr>
          <w:lang w:val="pt-BR"/>
        </w:rPr>
      </w:pPr>
    </w:p>
    <w:p w:rsidR="005D5712" w:rsidRPr="005D5712" w:rsidRDefault="00660D11" w:rsidP="005D5712">
      <w:pPr>
        <w:rPr>
          <w:lang w:val="pt-BR"/>
        </w:rPr>
      </w:pPr>
      <w:r w:rsidRPr="00660D11">
        <w:rPr>
          <w:noProof/>
          <w:lang w:val="pt-BR" w:eastAsia="pt-BR"/>
        </w:rPr>
        <w:pict>
          <v:shape id="Text Box 19" o:spid="_x0000_s1040" type="#_x0000_t202" style="position:absolute;margin-left:334.2pt;margin-top:4.3pt;width:115.5pt;height:23.25pt;z-index:251658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w:txbxContent>
                <w:p w:rsidR="00F85DEC" w:rsidRPr="002F236A" w:rsidRDefault="00F85DEC" w:rsidP="005D5712">
                  <w:pPr>
                    <w:rPr>
                      <w:b/>
                    </w:rPr>
                  </w:pPr>
                  <w:r>
                    <w:rPr>
                      <w:b/>
                    </w:rPr>
                    <w:t xml:space="preserve"> Componentes 3 e 4</w:t>
                  </w:r>
                </w:p>
              </w:txbxContent>
            </v:textbox>
          </v:shape>
        </w:pict>
      </w:r>
      <w:r w:rsidRPr="00660D11">
        <w:rPr>
          <w:noProof/>
          <w:lang w:val="pt-BR" w:eastAsia="pt-BR"/>
        </w:rPr>
        <w:pict>
          <v:shape id="Text Box 15" o:spid="_x0000_s1036" type="#_x0000_t202" style="position:absolute;margin-left:-16.8pt;margin-top:4.3pt;width:98.25pt;height:23.25pt;z-index:251654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F85DEC" w:rsidRPr="002F236A" w:rsidRDefault="00F85DEC" w:rsidP="005D5712">
                  <w:pPr>
                    <w:rPr>
                      <w:b/>
                    </w:rPr>
                  </w:pPr>
                  <w:r>
                    <w:rPr>
                      <w:b/>
                    </w:rPr>
                    <w:t>Componente 2</w:t>
                  </w:r>
                </w:p>
              </w:txbxContent>
            </v:textbox>
          </v:shape>
        </w:pict>
      </w:r>
    </w:p>
    <w:p w:rsidR="005D5712" w:rsidRPr="005D5712" w:rsidRDefault="00660D11" w:rsidP="005D5712">
      <w:pPr>
        <w:rPr>
          <w:lang w:val="pt-BR"/>
        </w:rPr>
      </w:pPr>
      <w:r w:rsidRPr="00660D11">
        <w:rPr>
          <w:noProof/>
          <w:lang w:val="pt-BR" w:eastAsia="pt-BR"/>
        </w:rPr>
        <w:pict>
          <v:roundrect id="Rounded Rectangle 18" o:spid="_x0000_s1039" style="position:absolute;margin-left:331.2pt;margin-top:9.25pt;width:123pt;height:209.25pt;z-index:251657216;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fqXcYA&#10;AADbAAAADwAAAGRycy9kb3ducmV2LnhtbESPT2vCQBDF7wW/wzIFL6IbK4imrqKFongo+AfqcchO&#10;k2B2Ns2uGv30nYPQ2wzvzXu/mS1aV6krNaH0bGA4SEARZ96WnBs4Hj77E1AhIlusPJOBOwVYzDsv&#10;M0ytv/GOrvuYKwnhkKKBIsY61TpkBTkMA18Ti/bjG4dR1ibXtsGbhLtKvyXJWDssWRoKrOmjoOy8&#10;vzgDp/HafuFxlZynj972ez06lb/5xpjua7t8BxWpjf/m5/XGCr7Ayi8ygJ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TfqXcYAAADbAAAADwAAAAAAAAAAAAAAAACYAgAAZHJz&#10;L2Rvd25yZXYueG1sUEsFBgAAAAAEAAQA9QAAAIsDAAAAAA==&#10;" fillcolor="#a3c4ff" strokecolor="#4a7ebb">
            <v:fill color2="#e5eeff" rotate="t" angle="180" colors="0 #a3c4ff;22938f #bfd5ff;1 #e5eeff" focus="100%" type="gradient"/>
            <v:shadow on="t" color="black" opacity="24903f" origin=",.5" offset="0,.55556mm"/>
            <v:textbox>
              <w:txbxContent>
                <w:p w:rsidR="00F85DEC" w:rsidRPr="00804859" w:rsidRDefault="00F85DEC" w:rsidP="005D5712">
                  <w:pPr>
                    <w:jc w:val="center"/>
                    <w:rPr>
                      <w:b/>
                      <w:lang w:val="pt-BR"/>
                    </w:rPr>
                  </w:pPr>
                  <w:r w:rsidRPr="00804859">
                    <w:rPr>
                      <w:b/>
                      <w:lang w:val="pt-BR"/>
                    </w:rPr>
                    <w:t>3A: Gestão Escolar e da RME</w:t>
                  </w:r>
                </w:p>
                <w:p w:rsidR="00F85DEC" w:rsidRPr="00804859" w:rsidRDefault="00F85DEC" w:rsidP="005D5712">
                  <w:pPr>
                    <w:jc w:val="center"/>
                    <w:rPr>
                      <w:lang w:val="pt-BR"/>
                    </w:rPr>
                  </w:pPr>
                  <w:r w:rsidRPr="00804859">
                    <w:rPr>
                      <w:lang w:val="pt-BR"/>
                    </w:rPr>
                    <w:t>208 técnicos, assessores e gestores</w:t>
                  </w:r>
                </w:p>
                <w:p w:rsidR="00F85DEC" w:rsidRPr="00804859" w:rsidRDefault="00F85DEC" w:rsidP="005D5712">
                  <w:pPr>
                    <w:jc w:val="center"/>
                    <w:rPr>
                      <w:lang w:val="pt-BR"/>
                    </w:rPr>
                  </w:pPr>
                </w:p>
                <w:p w:rsidR="00F85DEC" w:rsidRPr="00804859" w:rsidRDefault="00F85DEC" w:rsidP="005D5712">
                  <w:pPr>
                    <w:jc w:val="center"/>
                    <w:rPr>
                      <w:b/>
                      <w:lang w:val="pt-BR"/>
                    </w:rPr>
                  </w:pPr>
                  <w:r w:rsidRPr="00804859">
                    <w:rPr>
                      <w:b/>
                      <w:lang w:val="pt-BR"/>
                    </w:rPr>
                    <w:t>3B: Monitoramento e Avaliação</w:t>
                  </w:r>
                </w:p>
                <w:p w:rsidR="00F85DEC" w:rsidRPr="00804859" w:rsidRDefault="00F85DEC" w:rsidP="005D5712">
                  <w:pPr>
                    <w:jc w:val="center"/>
                    <w:rPr>
                      <w:b/>
                      <w:lang w:val="pt-BR"/>
                    </w:rPr>
                  </w:pPr>
                </w:p>
                <w:p w:rsidR="00F85DEC" w:rsidRPr="00BD03DE" w:rsidRDefault="00F85DEC" w:rsidP="005D5712">
                  <w:pPr>
                    <w:jc w:val="center"/>
                    <w:rPr>
                      <w:b/>
                    </w:rPr>
                  </w:pPr>
                  <w:r>
                    <w:rPr>
                      <w:b/>
                    </w:rPr>
                    <w:t>Componente 4: Administração do Projeto</w:t>
                  </w:r>
                </w:p>
              </w:txbxContent>
            </v:textbox>
          </v:roundrect>
        </w:pict>
      </w:r>
      <w:r w:rsidRPr="00660D11">
        <w:rPr>
          <w:noProof/>
          <w:lang w:val="pt-BR" w:eastAsia="pt-BR"/>
        </w:rPr>
        <w:pict>
          <v:roundrect id="Rounded Rectangle 14" o:spid="_x0000_s1035" style="position:absolute;margin-left:-26.55pt;margin-top:9.25pt;width:114.75pt;height:209.25pt;z-index:25165312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rgWMQA&#10;AADbAAAADwAAAGRycy9kb3ducmV2LnhtbERPS2vCQBC+F/wPywi9FN30gWh0E2xBlB4EH6DHITsm&#10;IdnZNLuatL++Wyh4m4/vOYu0N7W4UetKywqexxEI4szqknMFx8NqNAXhPLLG2jIp+CYHaTJ4WGCs&#10;bcc7uu19LkIIuxgVFN43sZQuK8igG9uGOHAX2xr0Aba51C12IdzU8iWKJtJgyaGhwIY+Csqq/dUo&#10;OE/WeovH96ia/Tx9ntav5/Ir3yj1OOyXcxCeen8X/7s3Osx/g79fwg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64FjEAAAA2wAAAA8AAAAAAAAAAAAAAAAAmAIAAGRycy9k&#10;b3ducmV2LnhtbFBLBQYAAAAABAAEAPUAAACJAwAAAAA=&#10;" fillcolor="#a3c4ff" strokecolor="#4a7ebb">
            <v:fill color2="#e5eeff" rotate="t" angle="180" colors="0 #a3c4ff;22938f #bfd5ff;1 #e5eeff" focus="100%" type="gradient"/>
            <v:shadow on="t" color="black" opacity="24903f" origin=",.5" offset="0,.55556mm"/>
            <v:textbox>
              <w:txbxContent>
                <w:p w:rsidR="00F85DEC" w:rsidRPr="00804859" w:rsidRDefault="00F85DEC" w:rsidP="005D5712">
                  <w:pPr>
                    <w:jc w:val="center"/>
                    <w:rPr>
                      <w:b/>
                      <w:lang w:val="pt-BR"/>
                    </w:rPr>
                  </w:pPr>
                  <w:r w:rsidRPr="00804859">
                    <w:rPr>
                      <w:b/>
                      <w:lang w:val="pt-BR"/>
                    </w:rPr>
                    <w:t>A: Formação e Qualificação de profissionais</w:t>
                  </w:r>
                </w:p>
                <w:p w:rsidR="00F85DEC" w:rsidRPr="00804859" w:rsidRDefault="00F85DEC" w:rsidP="005D5712">
                  <w:pPr>
                    <w:jc w:val="center"/>
                    <w:rPr>
                      <w:lang w:val="pt-BR"/>
                    </w:rPr>
                  </w:pPr>
                  <w:r w:rsidRPr="00804859">
                    <w:rPr>
                      <w:lang w:val="pt-BR"/>
                    </w:rPr>
                    <w:t>1.105 do EF</w:t>
                  </w:r>
                </w:p>
                <w:p w:rsidR="00F85DEC" w:rsidRPr="00804859" w:rsidRDefault="00F85DEC" w:rsidP="005D5712">
                  <w:pPr>
                    <w:jc w:val="center"/>
                    <w:rPr>
                      <w:lang w:val="pt-BR"/>
                    </w:rPr>
                  </w:pPr>
                  <w:r w:rsidRPr="00804859">
                    <w:rPr>
                      <w:lang w:val="pt-BR"/>
                    </w:rPr>
                    <w:t>918 do EF</w:t>
                  </w:r>
                </w:p>
                <w:p w:rsidR="00F85DEC" w:rsidRPr="00804859" w:rsidRDefault="00F85DEC" w:rsidP="005D5712">
                  <w:pPr>
                    <w:jc w:val="center"/>
                    <w:rPr>
                      <w:lang w:val="pt-BR"/>
                    </w:rPr>
                  </w:pPr>
                  <w:r w:rsidRPr="00804859">
                    <w:rPr>
                      <w:lang w:val="pt-BR"/>
                    </w:rPr>
                    <w:t>Coaching para 1200 professores</w:t>
                  </w:r>
                </w:p>
                <w:p w:rsidR="00F85DEC" w:rsidRPr="00804859" w:rsidRDefault="00F85DEC" w:rsidP="005D5712">
                  <w:pPr>
                    <w:jc w:val="center"/>
                    <w:rPr>
                      <w:lang w:val="pt-BR"/>
                    </w:rPr>
                  </w:pPr>
                </w:p>
                <w:p w:rsidR="00F85DEC" w:rsidRPr="00BD03DE" w:rsidRDefault="00F85DEC" w:rsidP="005D5712">
                  <w:pPr>
                    <w:jc w:val="center"/>
                    <w:rPr>
                      <w:b/>
                    </w:rPr>
                  </w:pPr>
                  <w:r w:rsidRPr="00BD03DE">
                    <w:rPr>
                      <w:b/>
                    </w:rPr>
                    <w:t>B: Diretrizes e Práticas Pedagógicas</w:t>
                  </w:r>
                </w:p>
              </w:txbxContent>
            </v:textbox>
          </v:roundrect>
        </w:pict>
      </w:r>
    </w:p>
    <w:p w:rsidR="005D5712" w:rsidRPr="005D5712" w:rsidRDefault="005D5712" w:rsidP="005D5712">
      <w:pPr>
        <w:rPr>
          <w:lang w:val="pt-BR"/>
        </w:rPr>
      </w:pPr>
    </w:p>
    <w:p w:rsidR="005D5712" w:rsidRPr="005D5712" w:rsidRDefault="005D5712" w:rsidP="005D5712">
      <w:pPr>
        <w:rPr>
          <w:lang w:val="pt-BR"/>
        </w:rPr>
      </w:pPr>
    </w:p>
    <w:p w:rsidR="005D5712" w:rsidRPr="005D5712" w:rsidRDefault="005D5712" w:rsidP="005D5712">
      <w:pPr>
        <w:rPr>
          <w:lang w:val="pt-BR"/>
        </w:rPr>
      </w:pPr>
    </w:p>
    <w:p w:rsidR="005D5712" w:rsidRPr="005D5712" w:rsidRDefault="005D5712" w:rsidP="005D5712">
      <w:pPr>
        <w:rPr>
          <w:lang w:val="pt-BR"/>
        </w:rPr>
      </w:pPr>
    </w:p>
    <w:p w:rsidR="005D5712" w:rsidRPr="005D5712" w:rsidRDefault="005D5712" w:rsidP="005D5712">
      <w:pPr>
        <w:rPr>
          <w:lang w:val="pt-BR"/>
        </w:rPr>
      </w:pPr>
    </w:p>
    <w:p w:rsidR="005D5712" w:rsidRPr="005D5712" w:rsidRDefault="00660D11" w:rsidP="005D5712">
      <w:pPr>
        <w:rPr>
          <w:lang w:val="pt-BR"/>
        </w:rPr>
      </w:pPr>
      <w:r w:rsidRPr="00660D11">
        <w:rPr>
          <w:noProof/>
          <w:lang w:val="pt-BR" w:eastAsia="pt-BR"/>
        </w:rPr>
        <w:pict>
          <v:shape id="Bent-Up Arrow 27" o:spid="_x0000_s1044" style="position:absolute;margin-left:88.2pt;margin-top:7.45pt;width:67.5pt;height:27.75pt;z-index:251662336;visibility:visible;mso-wrap-style:square;v-text-anchor:middle" coordsize="857250,352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ofrsMA&#10;AADbAAAADwAAAGRycy9kb3ducmV2LnhtbESPzWrDMBCE74W8g9hAb7WcFNLUsRJKaMGH0hKnD7BY&#10;G9vYWrmW4p+3rwqBHIeZ+YZJD5NpxUC9qy0rWEUxCOLC6ppLBT/nj6ctCOeRNbaWScFMDg77xUOK&#10;ibYjn2jIfSkChF2CCirvu0RKV1Rk0EW2Iw7exfYGfZB9KXWPY4CbVq7jeCMN1hwWKuzoWFHR5Fej&#10;oGFcHZ+/shFfr/LzHb9/54w3Sj0up7cdCE+Tv4dv7UwrWL/A/5fwA+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oofrsMAAADbAAAADwAAAAAAAAAAAAAAAACYAgAAZHJzL2Rv&#10;d25yZXYueG1sUEsFBgAAAAAEAAQA9QAAAIgDAAAAAA==&#10;" path="m,289366r737614,l737614,88106r-56576,l769144,r88106,88106l800673,88106r,264319l,352425,,289366xe" fillcolor="#4f81bd" strokecolor="#385d8a" strokeweight="2pt">
            <v:path arrowok="t" o:connecttype="custom" o:connectlocs="0,289366;737614,289366;737614,88106;681038,88106;769144,0;857250,88106;800673,88106;800673,352425;0,352425;0,289366" o:connectangles="0,0,0,0,0,0,0,0,0,0"/>
          </v:shape>
        </w:pict>
      </w:r>
      <w:r w:rsidRPr="00660D11">
        <w:rPr>
          <w:noProof/>
          <w:lang w:val="pt-BR" w:eastAsia="pt-BR"/>
        </w:rPr>
        <w:pict>
          <v:shape id="Bent-Up Arrow 25" o:spid="_x0000_s1042" style="position:absolute;margin-left:259.95pt;margin-top:7.45pt;width:70.5pt;height:27.75pt;flip:x;z-index:251660288;visibility:visible;mso-wrap-style:square;v-text-anchor:middle" coordsize="895351,352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0A28QA&#10;AADbAAAADwAAAGRycy9kb3ducmV2LnhtbESPzWrDMBCE74W8g9hAb40cQ4txI4c6YEhpfGiSB1is&#10;9Q+xVsZSY/vtq0Chx2FmvmF2+9n04k6j6ywr2G4iEMSV1R03Cq6X4iUB4Tyyxt4yKVjIwT5bPe0w&#10;1Xbib7qffSMChF2KClrvh1RKV7Vk0G3sQBy82o4GfZBjI/WIU4CbXsZR9CYNdhwWWhzo0FJ1O/8Y&#10;BbL2+ekr2caf5eFWmGOZL4XOlXpezx/vIDzN/j/81z5qBfErPL6EHy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dANvEAAAA2wAAAA8AAAAAAAAAAAAAAAAAmAIAAGRycy9k&#10;b3ducmV2LnhtbFBLBQYAAAAABAAEAPUAAACJAwAAAAA=&#10;" path="m,289366r775715,l775715,88106r-56576,l807245,r88106,88106l838774,88106r,264319l,352425,,289366xe" fillcolor="#4f81bd" strokecolor="#385d8a" strokeweight="2pt">
            <v:path arrowok="t" o:connecttype="custom" o:connectlocs="0,289366;775715,289366;775715,88106;719139,88106;807245,0;895351,88106;838774,88106;838774,352425;0,352425;0,289366" o:connectangles="0,0,0,0,0,0,0,0,0,0"/>
          </v:shape>
        </w:pict>
      </w:r>
    </w:p>
    <w:p w:rsidR="005D5712" w:rsidRPr="005D5712" w:rsidRDefault="00660D11" w:rsidP="005D5712">
      <w:pPr>
        <w:rPr>
          <w:lang w:val="pt-BR"/>
        </w:rPr>
      </w:pPr>
      <w:r w:rsidRPr="00660D11">
        <w:rPr>
          <w:noProof/>
          <w:lang w:val="pt-BR" w:eastAsia="pt-BR"/>
        </w:rPr>
        <w:pict>
          <v:shape id="Plus 16" o:spid="_x0000_s1037" style="position:absolute;margin-left:190.2pt;margin-top:8.65pt;width:37.5pt;height:30.75pt;z-index:251655168;visibility:visible;mso-wrap-style:square;v-text-anchor:middle" coordsize="476250,390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B558AA&#10;AADbAAAADwAAAGRycy9kb3ducmV2LnhtbERPzWrCQBC+F3yHZQRvdVMPQVJXKaUBFUpR+wBDdkyC&#10;2dmYHXV9e7dQ8DYf3+8sVtF16kpDaD0beJtmoIgrb1uuDfweytc5qCDIFjvPZOBOAVbL0csCC+tv&#10;vKPrXmqVQjgUaKAR6QutQ9WQwzD1PXHijn5wKAkOtbYD3lK46/Qsy3LtsOXU0GBPnw1Vp/3FGZDT&#10;Zl5+x5hvD2X7tc5/0B3lbMxkHD/eQQlFeYr/3Wub5ufw90s6QC8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eB558AAAADbAAAADwAAAAAAAAAAAAAAAACYAgAAZHJzL2Rvd25y&#10;ZXYueG1sUEsFBgAAAAAEAAQA9QAAAIUDAAAAAA==&#10;" path="m63127,149337r129072,l192199,51764r91852,l284051,149337r129072,l413123,241188r-129072,l284051,338761r-91852,l192199,241188r-129072,l63127,149337xe" fillcolor="#a3c4ff" strokecolor="#4a7ebb">
            <v:fill color2="#e5eeff" rotate="t" angle="180" colors="0 #a3c4ff;22938f #bfd5ff;1 #e5eeff" focus="100%" type="gradient"/>
            <v:shadow on="t" color="black" opacity="24903f" origin=",.5" offset="0,.55556mm"/>
            <v:path arrowok="t" o:connecttype="custom" o:connectlocs="63127,149337;192199,149337;192199,51764;284051,51764;284051,149337;413123,149337;413123,241188;284051,241188;284051,338761;192199,338761;192199,241188;63127,241188;63127,149337" o:connectangles="0,0,0,0,0,0,0,0,0,0,0,0,0"/>
          </v:shape>
        </w:pict>
      </w:r>
    </w:p>
    <w:p w:rsidR="005D5712" w:rsidRPr="005D5712" w:rsidRDefault="005D5712" w:rsidP="005D5712">
      <w:pPr>
        <w:rPr>
          <w:lang w:val="pt-BR"/>
        </w:rPr>
      </w:pPr>
    </w:p>
    <w:p w:rsidR="005D5712" w:rsidRPr="005D5712" w:rsidRDefault="00660D11" w:rsidP="005D5712">
      <w:pPr>
        <w:rPr>
          <w:lang w:val="pt-BR"/>
        </w:rPr>
      </w:pPr>
      <w:r w:rsidRPr="00660D11">
        <w:rPr>
          <w:noProof/>
          <w:lang w:val="pt-BR" w:eastAsia="pt-BR"/>
        </w:rPr>
        <w:pict>
          <v:shape id="Bent-Up Arrow 26" o:spid="_x0000_s1043" style="position:absolute;margin-left:259.95pt;margin-top:2.8pt;width:69.75pt;height:27.75pt;rotation:180;z-index:251661312;visibility:visible;mso-wrap-style:square;v-text-anchor:middle" coordsize="885825,352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N2sMEA&#10;AADbAAAADwAAAGRycy9kb3ducmV2LnhtbESPzarCMBSE94LvEI7gTlOrSKlG0QuCuPMHcXlojm2x&#10;OalNrta3N4LgcpiZb5j5sjWVeFDjSssKRsMIBHFmdcm5gtNxM0hAOI+ssbJMCl7kYLnoduaYavvk&#10;PT0OPhcBwi5FBYX3dSqlywoy6Ia2Jg7e1TYGfZBNLnWDzwA3lYyjaCoNlhwWCqzpr6Dsdvg3Ci7V&#10;BMfXZHzfHdeT5L6NDb/as1L9XruagfDU+l/4295qBfEUPl/CD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zdrDBAAAA2wAAAA8AAAAAAAAAAAAAAAAAmAIAAGRycy9kb3du&#10;cmV2LnhtbFBLBQYAAAAABAAEAPUAAACGAwAAAAA=&#10;" path="m,289366r766189,l766189,88107r-56577,l797719,r88106,88107l829248,88107r,264319l,352426,,289366xe" fillcolor="#4f81bd" strokecolor="#385d8a" strokeweight="2pt">
            <v:path arrowok="t" o:connecttype="custom" o:connectlocs="0,289366;766189,289366;766189,88107;709612,88107;797719,0;885825,88107;829248,88107;829248,352426;0,352426;0,289366" o:connectangles="0,0,0,0,0,0,0,0,0,0"/>
          </v:shape>
        </w:pict>
      </w:r>
      <w:r w:rsidRPr="00660D11">
        <w:rPr>
          <w:noProof/>
          <w:lang w:val="pt-BR" w:eastAsia="pt-BR"/>
        </w:rPr>
        <w:pict>
          <v:shape id="Bent-Up Arrow 24" o:spid="_x0000_s1041" style="position:absolute;margin-left:88.2pt;margin-top:4.3pt;width:67.5pt;height:27.75pt;rotation:180;flip:x;z-index:251659264;visibility:visible;mso-wrap-style:square;v-text-anchor:middle" coordsize="857250,352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cAIscA&#10;AADbAAAADwAAAGRycy9kb3ducmV2LnhtbESPT2vCQBTE7wW/w/KEXkrdJFSR1FWCVJAeSv3Tg7dH&#10;9jUbzb4N2TWm375bKHgcZuY3zGI12Eb01PnasYJ0koAgLp2uuVJwPGye5yB8QNbYOCYFP+RhtRw9&#10;LDDX7sY76vehEhHCPkcFJoQ2l9KXhiz6iWuJo/ftOoshyq6SusNbhNtGZkkykxZrjgsGW1obKi/7&#10;q1VQ9NnlOj2dN580ff/antInu3v7UOpxPBSvIAIN4R7+b2+1guwF/r7EH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i3ACLHAAAA2wAAAA8AAAAAAAAAAAAAAAAAmAIAAGRy&#10;cy9kb3ducmV2LnhtbFBLBQYAAAAABAAEAPUAAACMAwAAAAA=&#10;" path="m,289366r737614,l737614,88106r-56576,l769144,r88106,88106l800673,88106r,264319l,352425,,289366xe" fillcolor="#4f81bd" strokecolor="#385d8a" strokeweight="2pt">
            <v:path arrowok="t" o:connecttype="custom" o:connectlocs="0,289366;737614,289366;737614,88106;681038,88106;769144,0;857250,88106;800673,88106;800673,352425;0,352425;0,289366" o:connectangles="0,0,0,0,0,0,0,0,0,0"/>
          </v:shape>
        </w:pict>
      </w:r>
    </w:p>
    <w:p w:rsidR="005D5712" w:rsidRPr="005D5712" w:rsidRDefault="00660D11" w:rsidP="005D5712">
      <w:pPr>
        <w:rPr>
          <w:lang w:val="pt-BR"/>
        </w:rPr>
      </w:pPr>
      <w:r w:rsidRPr="00660D11">
        <w:rPr>
          <w:noProof/>
          <w:lang w:val="pt-BR" w:eastAsia="pt-BR"/>
        </w:rPr>
        <w:pict>
          <v:oval id="Oval 17" o:spid="_x0000_s1038" style="position:absolute;margin-left:133.95pt;margin-top:.25pt;width:152.25pt;height:113.25pt;z-index:25165619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uHcsAA&#10;AADbAAAADwAAAGRycy9kb3ducmV2LnhtbERP32vCMBB+H/g/hBN8m4ki26jGIgVh4stWhb2ezdmG&#10;NpfSZFr/+2Uw2Nt9fD9vk4+uEzcagvWsYTFXIIgrbyzXGs6n/fMbiBCRDXaeScODAuTbydMGM+Pv&#10;/Em3MtYihXDIUEMTY59JGaqGHIa574kTd/WDw5jgUEsz4D2Fu04ulXqRDi2nhgZ7Khqq2vLbaSj2&#10;q0fbftiDKk/W49ld1Jc5aj2bjrs1iEhj/Bf/ud9Nmv8Kv7+kA+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muHcsAAAADbAAAADwAAAAAAAAAAAAAAAACYAgAAZHJzL2Rvd25y&#10;ZXYueG1sUEsFBgAAAAAEAAQA9QAAAIUDAAAAAA==&#10;" fillcolor="#a3c4ff" strokecolor="#4a7ebb">
            <v:fill color2="#e5eeff" rotate="t" angle="180" colors="0 #a3c4ff;22938f #bfd5ff;1 #e5eeff" focus="100%" type="gradient"/>
            <v:shadow on="t" color="black" opacity="24903f" origin=",.5" offset="0,.55556mm"/>
            <v:textbox>
              <w:txbxContent>
                <w:p w:rsidR="00F85DEC" w:rsidRPr="00804859" w:rsidRDefault="00F85DEC" w:rsidP="005D5712">
                  <w:pPr>
                    <w:jc w:val="center"/>
                    <w:rPr>
                      <w:lang w:val="pt-BR"/>
                    </w:rPr>
                  </w:pPr>
                  <w:r w:rsidRPr="00804859">
                    <w:rPr>
                      <w:lang w:val="pt-BR"/>
                    </w:rPr>
                    <w:t>Estudantes matriculados na RME:</w:t>
                  </w:r>
                </w:p>
                <w:p w:rsidR="00F85DEC" w:rsidRPr="00804859" w:rsidRDefault="00F85DEC" w:rsidP="005D5712">
                  <w:pPr>
                    <w:jc w:val="center"/>
                    <w:rPr>
                      <w:lang w:val="pt-BR"/>
                    </w:rPr>
                  </w:pPr>
                  <w:r w:rsidRPr="00804859">
                    <w:rPr>
                      <w:lang w:val="pt-BR"/>
                    </w:rPr>
                    <w:t>10.720 no EI</w:t>
                  </w:r>
                </w:p>
                <w:p w:rsidR="00F85DEC" w:rsidRDefault="00F85DEC" w:rsidP="005D5712">
                  <w:pPr>
                    <w:jc w:val="center"/>
                  </w:pPr>
                  <w:r>
                    <w:t>15.766 no EF</w:t>
                  </w:r>
                </w:p>
                <w:p w:rsidR="00F85DEC" w:rsidRDefault="00F85DEC" w:rsidP="005D5712"/>
              </w:txbxContent>
            </v:textbox>
          </v:oval>
        </w:pict>
      </w:r>
    </w:p>
    <w:p w:rsidR="005D5712" w:rsidRPr="005D5712" w:rsidRDefault="005D5712" w:rsidP="005D5712">
      <w:pPr>
        <w:rPr>
          <w:lang w:val="pt-BR"/>
        </w:rPr>
      </w:pPr>
    </w:p>
    <w:p w:rsidR="005D5712" w:rsidRPr="005D5712" w:rsidRDefault="005D5712" w:rsidP="005D5712">
      <w:pPr>
        <w:rPr>
          <w:lang w:val="pt-BR"/>
        </w:rPr>
      </w:pPr>
    </w:p>
    <w:p w:rsidR="005D5712" w:rsidRPr="005D5712" w:rsidRDefault="005D5712" w:rsidP="005D5712">
      <w:pPr>
        <w:rPr>
          <w:lang w:val="pt-BR"/>
        </w:rPr>
      </w:pPr>
    </w:p>
    <w:p w:rsidR="005D5712" w:rsidRPr="005D5712" w:rsidRDefault="005D5712" w:rsidP="005D5712">
      <w:pPr>
        <w:rPr>
          <w:lang w:val="pt-BR"/>
        </w:rPr>
      </w:pPr>
    </w:p>
    <w:p w:rsidR="005D5712" w:rsidRPr="005D5712" w:rsidRDefault="005D5712" w:rsidP="005D5712">
      <w:pPr>
        <w:rPr>
          <w:lang w:val="pt-BR"/>
        </w:rPr>
      </w:pPr>
    </w:p>
    <w:p w:rsidR="005D5712" w:rsidRPr="005D5712" w:rsidRDefault="005D5712" w:rsidP="005D5712">
      <w:pPr>
        <w:rPr>
          <w:lang w:val="pt-BR"/>
        </w:rPr>
      </w:pPr>
    </w:p>
    <w:p w:rsidR="005D5712" w:rsidRPr="005D5712" w:rsidRDefault="005D5712" w:rsidP="005D5712">
      <w:pPr>
        <w:rPr>
          <w:lang w:val="pt-BR"/>
        </w:rPr>
      </w:pPr>
    </w:p>
    <w:p w:rsidR="005D5712" w:rsidRPr="005D5712" w:rsidRDefault="005D5712" w:rsidP="005D5712">
      <w:pPr>
        <w:rPr>
          <w:b/>
          <w:lang w:val="pt-BR"/>
        </w:rPr>
      </w:pPr>
    </w:p>
    <w:p w:rsidR="005D5712" w:rsidRPr="00804859" w:rsidRDefault="005D5712" w:rsidP="005D5712">
      <w:pPr>
        <w:jc w:val="both"/>
        <w:rPr>
          <w:sz w:val="20"/>
          <w:szCs w:val="20"/>
          <w:lang w:val="pt-BR"/>
        </w:rPr>
      </w:pPr>
      <w:r w:rsidRPr="00804859">
        <w:rPr>
          <w:b/>
          <w:sz w:val="20"/>
          <w:szCs w:val="20"/>
          <w:lang w:val="pt-BR"/>
        </w:rPr>
        <w:t>Figura 1:</w:t>
      </w:r>
      <w:r w:rsidRPr="00804859">
        <w:rPr>
          <w:sz w:val="20"/>
          <w:szCs w:val="20"/>
          <w:lang w:val="pt-BR"/>
        </w:rPr>
        <w:t xml:space="preserve"> Fluxograma de inter-relação dos componentes do Projeto de Expansão e Aperfeiçoamento da Educação Infantil e do Ensino Fundamental em Florianópolis</w:t>
      </w:r>
    </w:p>
    <w:p w:rsidR="005D5712" w:rsidRPr="00804859" w:rsidRDefault="005D5712" w:rsidP="005D5712">
      <w:pPr>
        <w:rPr>
          <w:sz w:val="20"/>
          <w:szCs w:val="20"/>
          <w:lang w:val="pt-BR"/>
        </w:rPr>
      </w:pPr>
    </w:p>
    <w:p w:rsidR="005D5712" w:rsidRDefault="005D5712" w:rsidP="00804859">
      <w:pPr>
        <w:numPr>
          <w:ilvl w:val="0"/>
          <w:numId w:val="2"/>
        </w:numPr>
        <w:spacing w:before="120" w:after="120"/>
        <w:jc w:val="both"/>
        <w:rPr>
          <w:lang w:val="pt-BR"/>
        </w:rPr>
      </w:pPr>
      <w:r w:rsidRPr="005D5712">
        <w:rPr>
          <w:lang w:val="pt-BR"/>
        </w:rPr>
        <w:lastRenderedPageBreak/>
        <w:t xml:space="preserve">A Figura 1 ilustra como os componentes do Projeto interagem para propiciar o alcance de seu </w:t>
      </w:r>
      <w:r w:rsidRPr="00513BD4">
        <w:rPr>
          <w:lang w:val="pt-BR"/>
        </w:rPr>
        <w:t>objetivo geral</w:t>
      </w:r>
      <w:r w:rsidRPr="005D5712">
        <w:rPr>
          <w:lang w:val="pt-BR"/>
        </w:rPr>
        <w:t xml:space="preserve">, qual seja: </w:t>
      </w:r>
      <w:r w:rsidR="00227436">
        <w:rPr>
          <w:lang w:val="pt-BR"/>
        </w:rPr>
        <w:t xml:space="preserve">expandir a cobertura e melhorar a qualidade da educação </w:t>
      </w:r>
      <w:r w:rsidR="00227436" w:rsidRPr="005D5712">
        <w:rPr>
          <w:lang w:val="pt-BR"/>
        </w:rPr>
        <w:t>dos estudantes da Rede Municipal de Ensino (RME) de Florianópolis</w:t>
      </w:r>
      <w:r w:rsidR="00227436">
        <w:rPr>
          <w:lang w:val="pt-BR"/>
        </w:rPr>
        <w:t>,</w:t>
      </w:r>
      <w:r w:rsidR="00227436" w:rsidRPr="005D5712">
        <w:rPr>
          <w:lang w:val="pt-BR"/>
        </w:rPr>
        <w:t xml:space="preserve"> </w:t>
      </w:r>
      <w:r w:rsidRPr="005D5712">
        <w:rPr>
          <w:lang w:val="pt-BR"/>
        </w:rPr>
        <w:t>consolidar a educação integral, assegurando-lhes uma educação de qualidade, o desenvolvimento das múltiplas dimensões humanas e o acesso aos serviços educacionais em jornada ampliada no âmbito da Educação Infantil (EI) e do Ensino Fundamental (EF)</w:t>
      </w:r>
      <w:r w:rsidR="00A9578A">
        <w:rPr>
          <w:rStyle w:val="FootnoteReference"/>
          <w:lang w:val="pt-BR"/>
        </w:rPr>
        <w:footnoteReference w:id="1"/>
      </w:r>
      <w:r w:rsidRPr="005D5712">
        <w:rPr>
          <w:lang w:val="pt-BR"/>
        </w:rPr>
        <w:t>.</w:t>
      </w:r>
    </w:p>
    <w:p w:rsidR="005D5712" w:rsidRDefault="005D5712" w:rsidP="00804859">
      <w:pPr>
        <w:numPr>
          <w:ilvl w:val="0"/>
          <w:numId w:val="2"/>
        </w:numPr>
        <w:spacing w:before="120" w:after="120"/>
        <w:jc w:val="both"/>
        <w:rPr>
          <w:lang w:val="pt-BR"/>
        </w:rPr>
      </w:pPr>
      <w:r w:rsidRPr="005D5712">
        <w:rPr>
          <w:lang w:val="pt-BR"/>
        </w:rPr>
        <w:t xml:space="preserve">O </w:t>
      </w:r>
      <w:r w:rsidRPr="00227436">
        <w:rPr>
          <w:b/>
          <w:lang w:val="pt-BR"/>
        </w:rPr>
        <w:t>Componente 1</w:t>
      </w:r>
      <w:r w:rsidR="00A9578A">
        <w:rPr>
          <w:b/>
          <w:lang w:val="pt-BR"/>
        </w:rPr>
        <w:t xml:space="preserve"> (Expansão da cobertura  melhoria da infraestrutura educacional)</w:t>
      </w:r>
      <w:r w:rsidRPr="005D5712">
        <w:rPr>
          <w:lang w:val="pt-BR"/>
        </w:rPr>
        <w:t xml:space="preserve"> trata do aumento da oferta de educação infantil, garantindo que, até 2016, 100% das crianças entre 4 e 5 anos tenham acesso à pré-escola e que, ao menos 60% das crianças de 0 a 3 anos, à creche, com a criação de </w:t>
      </w:r>
      <w:r w:rsidRPr="00513BD4">
        <w:rPr>
          <w:lang w:val="pt-BR"/>
        </w:rPr>
        <w:t>5.260 novas vagas</w:t>
      </w:r>
      <w:r w:rsidRPr="005D5712">
        <w:rPr>
          <w:lang w:val="pt-BR"/>
        </w:rPr>
        <w:t xml:space="preserve"> na Educação Infantil, por meio da ampliação e construção de novas Unidades (objetivo específico (a), da Carta Consulta). Além de aumentar para 32% o número de estudantes do Ensino Fundamental, em tempo integral, em relação a 2011, por meio da construção de 22 novas salas de aula (construção de 03 e ampliação de 03 escolas); reforma de 08 Unidades de EF para qualificar os espaços, aumentando a oferta de vagas em tempo integral em </w:t>
      </w:r>
      <w:r w:rsidRPr="00513BD4">
        <w:rPr>
          <w:lang w:val="pt-BR"/>
        </w:rPr>
        <w:t>1600</w:t>
      </w:r>
      <w:r w:rsidRPr="005D5712">
        <w:rPr>
          <w:lang w:val="pt-BR"/>
        </w:rPr>
        <w:t xml:space="preserve">, e construção de 02 Centros de Inovação da Educação Básica (CIEBs), que propiciará mais </w:t>
      </w:r>
      <w:r w:rsidRPr="00513BD4">
        <w:rPr>
          <w:lang w:val="pt-BR"/>
        </w:rPr>
        <w:t>1200</w:t>
      </w:r>
      <w:r w:rsidRPr="005D5712">
        <w:rPr>
          <w:lang w:val="pt-BR"/>
        </w:rPr>
        <w:t xml:space="preserve"> vagas para jornada escolar ampliada.</w:t>
      </w:r>
    </w:p>
    <w:p w:rsidR="005D5712" w:rsidRDefault="005D5712" w:rsidP="00804859">
      <w:pPr>
        <w:numPr>
          <w:ilvl w:val="0"/>
          <w:numId w:val="2"/>
        </w:numPr>
        <w:spacing w:before="120" w:after="120"/>
        <w:jc w:val="both"/>
        <w:rPr>
          <w:lang w:val="pt-BR"/>
        </w:rPr>
      </w:pPr>
      <w:r w:rsidRPr="005D5712">
        <w:rPr>
          <w:lang w:val="pt-BR"/>
        </w:rPr>
        <w:t xml:space="preserve">O objetivo do </w:t>
      </w:r>
      <w:r w:rsidRPr="00227436">
        <w:rPr>
          <w:b/>
          <w:lang w:val="pt-BR"/>
        </w:rPr>
        <w:t>Componente 2</w:t>
      </w:r>
      <w:r w:rsidR="00A9578A">
        <w:rPr>
          <w:b/>
          <w:lang w:val="pt-BR"/>
        </w:rPr>
        <w:t xml:space="preserve"> (Melhoria da qualidade da educação)</w:t>
      </w:r>
      <w:r w:rsidRPr="005D5712">
        <w:rPr>
          <w:lang w:val="pt-BR"/>
        </w:rPr>
        <w:t xml:space="preserve"> é melhorar o rendimento e o desempenho escolar dos alunos da RME, por meio </w:t>
      </w:r>
      <w:r w:rsidR="00227436">
        <w:rPr>
          <w:lang w:val="pt-BR"/>
        </w:rPr>
        <w:t>da contratação de consultorias específicas e da compra de bens e serviços para realizar as seguintes atividades</w:t>
      </w:r>
      <w:r w:rsidRPr="005D5712">
        <w:rPr>
          <w:lang w:val="pt-BR"/>
        </w:rPr>
        <w:t xml:space="preserve">. Para tanto, prevê-se realizar ações em dois subcomponentes: </w:t>
      </w:r>
      <w:r w:rsidRPr="00513BD4">
        <w:rPr>
          <w:lang w:val="pt-BR"/>
        </w:rPr>
        <w:t>(A)</w:t>
      </w:r>
      <w:r w:rsidRPr="005D5712">
        <w:rPr>
          <w:lang w:val="pt-BR"/>
        </w:rPr>
        <w:t xml:space="preserve"> cursos de capacitação em educação integral para </w:t>
      </w:r>
      <w:r w:rsidR="00A9578A">
        <w:rPr>
          <w:lang w:val="pt-BR"/>
        </w:rPr>
        <w:t>2023</w:t>
      </w:r>
      <w:r w:rsidRPr="005D5712">
        <w:rPr>
          <w:lang w:val="pt-BR"/>
        </w:rPr>
        <w:t xml:space="preserve"> profissionais da educação, com o objetivo de subsidiar tais profissionais para a promoção da educação integral, assegurando aos estudantes da RME o desenvolvimento de competências e habilidades </w:t>
      </w:r>
      <w:r w:rsidRPr="00513BD4">
        <w:rPr>
          <w:lang w:val="pt-BR"/>
        </w:rPr>
        <w:t>em suas múltiplas dimensões, que lhes possibilitem a melhoria da sua qualidade de vida e a condição de avançar aos níveis mais elevados do conhecimento e da cultura; além de um sis</w:t>
      </w:r>
      <w:r w:rsidR="00A9578A">
        <w:rPr>
          <w:lang w:val="pt-BR"/>
        </w:rPr>
        <w:t>tema de assistência técnica a 12</w:t>
      </w:r>
      <w:r w:rsidRPr="00513BD4">
        <w:rPr>
          <w:lang w:val="pt-BR"/>
        </w:rPr>
        <w:t>00 professores (</w:t>
      </w:r>
      <w:r w:rsidRPr="00227436">
        <w:rPr>
          <w:i/>
          <w:lang w:val="pt-BR"/>
        </w:rPr>
        <w:t>coaching</w:t>
      </w:r>
      <w:r w:rsidRPr="00513BD4">
        <w:rPr>
          <w:lang w:val="pt-BR"/>
        </w:rPr>
        <w:t>);</w:t>
      </w:r>
      <w:r w:rsidR="00A9578A">
        <w:rPr>
          <w:lang w:val="pt-BR"/>
        </w:rPr>
        <w:t xml:space="preserve"> uma proposta de redesenho da carreira docente para agregar, à avaliação do professor, outros aspectos vinculados ao seu desempenho, além dos já utilizados, como capacitação e anos de serviço</w:t>
      </w:r>
      <w:r w:rsidRPr="00513BD4">
        <w:rPr>
          <w:lang w:val="pt-BR"/>
        </w:rPr>
        <w:t xml:space="preserve"> e (B) consolidar a política educacional e aprimorar as práticas pedagógicas de professores de EI e EF, contando com projetos inovadores de aprendizagem e a implantação de 36 laboratórios multimidiáticos nas Unidades de EF.</w:t>
      </w:r>
    </w:p>
    <w:p w:rsidR="00513BD4" w:rsidRDefault="005D5712" w:rsidP="00804859">
      <w:pPr>
        <w:numPr>
          <w:ilvl w:val="0"/>
          <w:numId w:val="2"/>
        </w:numPr>
        <w:spacing w:before="120" w:after="120"/>
        <w:jc w:val="both"/>
        <w:rPr>
          <w:lang w:val="pt-BR"/>
        </w:rPr>
      </w:pPr>
      <w:r w:rsidRPr="00337D85">
        <w:rPr>
          <w:lang w:val="pt-BR"/>
        </w:rPr>
        <w:t xml:space="preserve">Já o </w:t>
      </w:r>
      <w:r w:rsidRPr="00337D85">
        <w:rPr>
          <w:b/>
          <w:lang w:val="pt-BR"/>
        </w:rPr>
        <w:t>Componente 3</w:t>
      </w:r>
      <w:r w:rsidR="00A9578A" w:rsidRPr="00337D85">
        <w:rPr>
          <w:b/>
          <w:lang w:val="pt-BR"/>
        </w:rPr>
        <w:t xml:space="preserve"> (Gestão, monitoramento e avaliação)</w:t>
      </w:r>
      <w:r w:rsidRPr="00337D85">
        <w:rPr>
          <w:b/>
          <w:lang w:val="pt-BR"/>
        </w:rPr>
        <w:t xml:space="preserve"> </w:t>
      </w:r>
      <w:r w:rsidRPr="00337D85">
        <w:rPr>
          <w:lang w:val="pt-BR"/>
        </w:rPr>
        <w:t>objetiva fortalecer a capacidade institucional da SME</w:t>
      </w:r>
      <w:r w:rsidR="00A9578A" w:rsidRPr="00337D85">
        <w:rPr>
          <w:lang w:val="pt-BR"/>
        </w:rPr>
        <w:t xml:space="preserve"> para gerenciar a rede educacional</w:t>
      </w:r>
      <w:r w:rsidRPr="00337D85">
        <w:rPr>
          <w:lang w:val="pt-BR"/>
        </w:rPr>
        <w:t>, por meio da implantação de ferramentas de monitoramento e avaliação mais eficazes e da produção e disseminação de conhecimento sobre diferentes aspectos da realidade educacional do município.</w:t>
      </w:r>
      <w:r w:rsidR="00A9578A" w:rsidRPr="00337D85">
        <w:rPr>
          <w:lang w:val="pt-BR"/>
        </w:rPr>
        <w:t xml:space="preserve"> Para tanto, financiará</w:t>
      </w:r>
      <w:r w:rsidR="00337D85" w:rsidRPr="00337D85">
        <w:rPr>
          <w:lang w:val="pt-BR"/>
        </w:rPr>
        <w:t xml:space="preserve"> uma série de atividades, entre elas: a melhoria de processos de seleção de gestores escolares; desenvolvimento e implantação do Sistema Integrado de Gestão Escolar (SIGEF); melhoramento da Prova Floripa; desenvolvimento e aplicação de um sistema de monitoramento da qualidade da EI; realização de pesquisas para </w:t>
      </w:r>
      <w:r w:rsidR="00337D85" w:rsidRPr="00337D85">
        <w:rPr>
          <w:lang w:val="pt-BR"/>
        </w:rPr>
        <w:lastRenderedPageBreak/>
        <w:t>identificar a demanda não atendida; desenho e implementação das avaliações de processo e de impactos gerados pelo programa.</w:t>
      </w:r>
    </w:p>
    <w:p w:rsidR="00337D85" w:rsidRDefault="00337D85" w:rsidP="00804859">
      <w:pPr>
        <w:numPr>
          <w:ilvl w:val="0"/>
          <w:numId w:val="2"/>
        </w:numPr>
        <w:spacing w:before="120" w:after="120"/>
        <w:jc w:val="both"/>
        <w:rPr>
          <w:lang w:val="pt-BR"/>
        </w:rPr>
      </w:pPr>
      <w:r>
        <w:rPr>
          <w:lang w:val="pt-BR"/>
        </w:rPr>
        <w:t xml:space="preserve">O </w:t>
      </w:r>
      <w:r w:rsidRPr="00337D85">
        <w:rPr>
          <w:b/>
          <w:lang w:val="pt-BR"/>
        </w:rPr>
        <w:t>Componente 4 (Administração do programa)</w:t>
      </w:r>
      <w:r>
        <w:rPr>
          <w:lang w:val="pt-BR"/>
        </w:rPr>
        <w:t xml:space="preserve"> objetiva dotar a SME de capacidade para executar o programa</w:t>
      </w:r>
      <w:r w:rsidR="00B1019E">
        <w:rPr>
          <w:lang w:val="pt-BR"/>
        </w:rPr>
        <w:t>, financiando gastos vinculados a: criação da unidade de gerenciamento do projeto; aquisição de bens para seu funcionamento; e provisão de serviços de apoio à gestão.</w:t>
      </w:r>
    </w:p>
    <w:p w:rsidR="005D5712" w:rsidRPr="005D5712" w:rsidRDefault="005D5712" w:rsidP="00804859">
      <w:pPr>
        <w:numPr>
          <w:ilvl w:val="0"/>
          <w:numId w:val="2"/>
        </w:numPr>
        <w:spacing w:before="120" w:after="120"/>
        <w:jc w:val="both"/>
        <w:rPr>
          <w:lang w:val="pt-BR"/>
        </w:rPr>
      </w:pPr>
      <w:r w:rsidRPr="005D5712">
        <w:rPr>
          <w:lang w:val="pt-BR"/>
        </w:rPr>
        <w:t>Observa-se que os Componentes 2 e 3, embora estejam identificando os profissionais envolvidos no processo educacional como os beneficiários diretos das ações de qualificação e melhoria das condições de trabalho, não</w:t>
      </w:r>
      <w:r w:rsidR="00B1019E">
        <w:rPr>
          <w:lang w:val="pt-BR"/>
        </w:rPr>
        <w:t xml:space="preserve"> há, ainda, uma</w:t>
      </w:r>
      <w:r w:rsidRPr="005D5712">
        <w:rPr>
          <w:lang w:val="pt-BR"/>
        </w:rPr>
        <w:t xml:space="preserve"> ação de politica educacional que resulte em melhores salários para os profissionais melhor qualificados e que, efetivamente, </w:t>
      </w:r>
      <w:r w:rsidR="008368B9" w:rsidRPr="005D5712">
        <w:rPr>
          <w:lang w:val="pt-BR"/>
        </w:rPr>
        <w:t>coloque</w:t>
      </w:r>
      <w:r w:rsidR="00B1019E">
        <w:rPr>
          <w:lang w:val="pt-BR"/>
        </w:rPr>
        <w:t>m</w:t>
      </w:r>
      <w:r w:rsidRPr="005D5712">
        <w:rPr>
          <w:lang w:val="pt-BR"/>
        </w:rPr>
        <w:t xml:space="preserve"> em sua prática diária na sala de aula tal qualificação no futuro</w:t>
      </w:r>
      <w:r w:rsidR="00B1019E">
        <w:rPr>
          <w:lang w:val="pt-BR"/>
        </w:rPr>
        <w:t>. Entretanto, no componente 2, umas das atividades é exatamente propor um redesenho da carreira docente com este objetivo</w:t>
      </w:r>
      <w:r w:rsidR="00B1019E" w:rsidRPr="005D5712">
        <w:rPr>
          <w:lang w:val="pt-BR"/>
        </w:rPr>
        <w:t xml:space="preserve">, </w:t>
      </w:r>
      <w:r w:rsidR="00D83A2E">
        <w:rPr>
          <w:lang w:val="pt-BR"/>
        </w:rPr>
        <w:t xml:space="preserve">e que poderá servir como parâmetro futuro para </w:t>
      </w:r>
      <w:r w:rsidR="00B1019E" w:rsidRPr="005D5712">
        <w:rPr>
          <w:lang w:val="pt-BR"/>
        </w:rPr>
        <w:t>a mensuração dos supostos benefícios diretos a tais profissionais</w:t>
      </w:r>
      <w:r w:rsidR="00D83A2E">
        <w:rPr>
          <w:lang w:val="pt-BR"/>
        </w:rPr>
        <w:t>.</w:t>
      </w:r>
    </w:p>
    <w:p w:rsidR="00261386" w:rsidRPr="00804859" w:rsidRDefault="00261386" w:rsidP="00804859">
      <w:pPr>
        <w:pStyle w:val="Heading1"/>
        <w:spacing w:before="240" w:after="240"/>
        <w:jc w:val="left"/>
        <w:rPr>
          <w:rFonts w:ascii="Times New Roman" w:hAnsi="Times New Roman" w:cs="Times New Roman"/>
        </w:rPr>
      </w:pPr>
      <w:bookmarkStart w:id="2" w:name="_Toc320875533"/>
      <w:r w:rsidRPr="00804859">
        <w:rPr>
          <w:rFonts w:ascii="Times New Roman" w:hAnsi="Times New Roman" w:cs="Times New Roman"/>
        </w:rPr>
        <w:t>Pressupostos e metodologia</w:t>
      </w:r>
      <w:bookmarkEnd w:id="2"/>
    </w:p>
    <w:p w:rsidR="00C018D4" w:rsidRPr="00C018D4" w:rsidRDefault="00E73F40" w:rsidP="00804859">
      <w:pPr>
        <w:numPr>
          <w:ilvl w:val="0"/>
          <w:numId w:val="4"/>
        </w:numPr>
        <w:spacing w:before="120" w:after="120"/>
        <w:jc w:val="both"/>
        <w:rPr>
          <w:lang w:val="pt-BR"/>
        </w:rPr>
      </w:pPr>
      <w:r>
        <w:rPr>
          <w:lang w:val="pt-BR"/>
        </w:rPr>
        <w:t xml:space="preserve">O estudo de viabilidade econômica </w:t>
      </w:r>
      <w:r w:rsidR="00C37425">
        <w:rPr>
          <w:lang w:val="pt-BR"/>
        </w:rPr>
        <w:t xml:space="preserve">foi realizado por meio da aplicação da Análise Custo-Benefício, em que </w:t>
      </w:r>
      <w:r w:rsidR="00697566">
        <w:rPr>
          <w:lang w:val="pt-BR"/>
        </w:rPr>
        <w:t xml:space="preserve">tanto custos quanto os benefícios são mensurados a preços sociais ou econômicos ou de eficiência. Tais preços </w:t>
      </w:r>
      <w:r w:rsidR="00C018D4" w:rsidRPr="00C018D4">
        <w:rPr>
          <w:lang w:val="pt-BR"/>
        </w:rPr>
        <w:t>retratam o custo efetivo de alocação dos fatores produtivos, medido pelo custo de oportunidade desses fatores, ou seja, pelo custo do melhor uso alternativo desses recursos em situação de equilíbrio.</w:t>
      </w:r>
      <w:r w:rsidR="00C018D4">
        <w:rPr>
          <w:lang w:val="pt-BR"/>
        </w:rPr>
        <w:t xml:space="preserve"> Idealmente, os preços econômicos deveriam abstrair os efeitos de impostos indiretos e subsídios, bem como as externalidades positivas ou negativas e o efeito de estruturas de mercados não concorrenciais sobre a formação dos preços de mercado. Do ponto de vista prático, p</w:t>
      </w:r>
      <w:r w:rsidR="00C018D4" w:rsidRPr="00C018D4">
        <w:rPr>
          <w:lang w:val="pt-BR"/>
        </w:rPr>
        <w:t xml:space="preserve">ara transformar preços de mercado em econômicos são utilizados </w:t>
      </w:r>
      <w:r w:rsidR="00C018D4" w:rsidRPr="006A0D1A">
        <w:rPr>
          <w:lang w:val="pt-BR"/>
        </w:rPr>
        <w:t>Fatores de Conversão</w:t>
      </w:r>
      <w:r w:rsidR="00C018D4">
        <w:rPr>
          <w:lang w:val="pt-BR"/>
        </w:rPr>
        <w:t xml:space="preserve">, que </w:t>
      </w:r>
      <w:r w:rsidR="00C018D4" w:rsidRPr="00C018D4">
        <w:rPr>
          <w:lang w:val="pt-BR"/>
        </w:rPr>
        <w:t>buscam isolar</w:t>
      </w:r>
      <w:r w:rsidR="00C018D4">
        <w:rPr>
          <w:lang w:val="pt-BR"/>
        </w:rPr>
        <w:t xml:space="preserve"> apenas</w:t>
      </w:r>
      <w:r w:rsidR="00C018D4" w:rsidRPr="00C018D4">
        <w:rPr>
          <w:lang w:val="pt-BR"/>
        </w:rPr>
        <w:t xml:space="preserve"> mecanismos de interferência no mercado </w:t>
      </w:r>
      <w:r w:rsidR="00C018D4">
        <w:rPr>
          <w:lang w:val="pt-BR"/>
        </w:rPr>
        <w:t>devidos a</w:t>
      </w:r>
      <w:r w:rsidR="00C018D4" w:rsidRPr="00C018D4">
        <w:rPr>
          <w:lang w:val="pt-BR"/>
        </w:rPr>
        <w:t xml:space="preserve"> tributos e subsídios, que representam transferências entre dif</w:t>
      </w:r>
      <w:r w:rsidR="00C018D4">
        <w:rPr>
          <w:lang w:val="pt-BR"/>
        </w:rPr>
        <w:t xml:space="preserve">erentes agentes da sociedade e </w:t>
      </w:r>
      <w:r w:rsidR="00C018D4" w:rsidRPr="00C018D4">
        <w:rPr>
          <w:lang w:val="pt-BR"/>
        </w:rPr>
        <w:t>não custo efetivo de fatores de produção.</w:t>
      </w:r>
    </w:p>
    <w:p w:rsidR="00C018D4" w:rsidRPr="006A0D1A" w:rsidRDefault="00C018D4" w:rsidP="00804859">
      <w:pPr>
        <w:numPr>
          <w:ilvl w:val="0"/>
          <w:numId w:val="4"/>
        </w:numPr>
        <w:spacing w:before="120" w:after="120"/>
        <w:jc w:val="both"/>
        <w:rPr>
          <w:lang w:val="pt-BR"/>
        </w:rPr>
      </w:pPr>
      <w:r w:rsidRPr="006A0D1A">
        <w:rPr>
          <w:lang w:val="pt-BR"/>
        </w:rPr>
        <w:t>O objetivo da aplicação dos fatores de conversão é tornar possível a avaliação dos projetos sob a ótica de preços econômicos, considerando a perspectiva da sociedade como um todo, contrapondo-se à geração e apropriação privadas de benefícios e custos que são objeto da análise financeira.</w:t>
      </w:r>
    </w:p>
    <w:p w:rsidR="00C018D4" w:rsidRPr="006A0D1A" w:rsidRDefault="00C018D4" w:rsidP="00804859">
      <w:pPr>
        <w:numPr>
          <w:ilvl w:val="0"/>
          <w:numId w:val="4"/>
        </w:numPr>
        <w:spacing w:before="120" w:after="120"/>
        <w:jc w:val="both"/>
        <w:rPr>
          <w:lang w:val="pt-BR"/>
        </w:rPr>
      </w:pPr>
      <w:r w:rsidRPr="006A0D1A">
        <w:rPr>
          <w:lang w:val="pt-BR"/>
        </w:rPr>
        <w:t>Neste sentido são apresentados a seguir as c</w:t>
      </w:r>
      <w:r w:rsidR="00040A92" w:rsidRPr="006A0D1A">
        <w:rPr>
          <w:lang w:val="pt-BR"/>
        </w:rPr>
        <w:t>onsiderações metodológicas e os c</w:t>
      </w:r>
      <w:r w:rsidRPr="006A0D1A">
        <w:rPr>
          <w:lang w:val="pt-BR"/>
        </w:rPr>
        <w:t>álculos dos seguintes fatores de conversão</w:t>
      </w:r>
      <w:r w:rsidR="00A26C4E" w:rsidRPr="006A0D1A">
        <w:rPr>
          <w:lang w:val="pt-BR"/>
        </w:rPr>
        <w:t xml:space="preserve"> utilizados na presente avaliação econômica</w:t>
      </w:r>
      <w:r w:rsidR="00040A92" w:rsidRPr="006A0D1A">
        <w:footnoteReference w:id="2"/>
      </w:r>
      <w:r w:rsidRPr="006A0D1A">
        <w:rPr>
          <w:lang w:val="pt-BR"/>
        </w:rPr>
        <w:t>:</w:t>
      </w:r>
    </w:p>
    <w:p w:rsidR="00A26C4E" w:rsidRPr="00804859" w:rsidRDefault="00A26C4E" w:rsidP="00804859">
      <w:pPr>
        <w:pStyle w:val="Heading2"/>
        <w:spacing w:before="120" w:after="120"/>
        <w:ind w:left="0" w:firstLine="0"/>
        <w:jc w:val="left"/>
        <w:rPr>
          <w:rFonts w:ascii="Times New Roman" w:hAnsi="Times New Roman"/>
          <w:sz w:val="24"/>
        </w:rPr>
      </w:pPr>
      <w:bookmarkStart w:id="3" w:name="_Toc320875534"/>
      <w:r w:rsidRPr="00804859">
        <w:rPr>
          <w:rFonts w:ascii="Times New Roman" w:hAnsi="Times New Roman"/>
          <w:sz w:val="24"/>
        </w:rPr>
        <w:t>Fator de conversão padrão (FCP)</w:t>
      </w:r>
      <w:bookmarkEnd w:id="3"/>
    </w:p>
    <w:p w:rsidR="00A26C4E" w:rsidRPr="00BA0A66" w:rsidRDefault="00A26C4E" w:rsidP="00804859">
      <w:pPr>
        <w:numPr>
          <w:ilvl w:val="0"/>
          <w:numId w:val="4"/>
        </w:numPr>
        <w:spacing w:before="120" w:after="120"/>
        <w:jc w:val="both"/>
        <w:rPr>
          <w:lang w:val="pt-BR"/>
        </w:rPr>
      </w:pPr>
      <w:r w:rsidRPr="00BA0A66">
        <w:rPr>
          <w:lang w:val="pt-BR"/>
        </w:rPr>
        <w:t>O FCP é aplicável a terrenos, equipamentos, materiais e produtos diversos componentes dos investimentos e custos de operação, a</w:t>
      </w:r>
      <w:r w:rsidR="00B06A9C" w:rsidRPr="00BA0A66">
        <w:rPr>
          <w:lang w:val="pt-BR"/>
        </w:rPr>
        <w:t>dministração e manutenção (OAM), bem como para os benefícios indiretos.</w:t>
      </w:r>
    </w:p>
    <w:p w:rsidR="00A26C4E" w:rsidRPr="00BA0A66" w:rsidRDefault="00A26C4E" w:rsidP="00804859">
      <w:pPr>
        <w:numPr>
          <w:ilvl w:val="0"/>
          <w:numId w:val="4"/>
        </w:numPr>
        <w:spacing w:before="120" w:after="120"/>
        <w:jc w:val="both"/>
        <w:rPr>
          <w:lang w:val="pt-BR"/>
        </w:rPr>
      </w:pPr>
      <w:r w:rsidRPr="00BA0A66">
        <w:rPr>
          <w:lang w:val="pt-BR"/>
        </w:rPr>
        <w:lastRenderedPageBreak/>
        <w:t>O FCP pode ser definido como o inverso do custo social da divisa, dado pela relação entre a taxa de câmbio de livre comércio e a taxa de câmbio praticada, sendo dado pela seguinte fórmula:</w:t>
      </w:r>
    </w:p>
    <w:p w:rsidR="00A26C4E" w:rsidRPr="00040A92" w:rsidRDefault="00A26C4E" w:rsidP="00A26C4E">
      <w:pPr>
        <w:tabs>
          <w:tab w:val="left" w:pos="7560"/>
        </w:tabs>
        <w:rPr>
          <w:rFonts w:eastAsia="Times New Roman"/>
          <w:lang w:val="pt-BR" w:eastAsia="en-US"/>
        </w:rPr>
      </w:pPr>
    </w:p>
    <w:p w:rsidR="00A26C4E" w:rsidRPr="00040A92" w:rsidRDefault="00A26C4E" w:rsidP="00A26C4E">
      <w:pPr>
        <w:tabs>
          <w:tab w:val="left" w:pos="7560"/>
        </w:tabs>
        <w:jc w:val="center"/>
        <w:rPr>
          <w:rFonts w:eastAsia="Times New Roman"/>
          <w:lang w:val="pt-BR" w:eastAsia="en-US"/>
        </w:rPr>
      </w:pPr>
      <w:r w:rsidRPr="00040A92">
        <w:rPr>
          <w:rFonts w:eastAsia="Times New Roman"/>
          <w:lang w:val="pt-BR" w:eastAsia="en-US"/>
        </w:rPr>
        <w:object w:dxaOrig="4360" w:dyaOrig="3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8.3pt;height:159.55pt" o:ole="" fillcolor="window">
            <v:imagedata r:id="rId9" o:title=""/>
          </v:shape>
          <o:OLEObject Type="Embed" ProgID="Equation.3" ShapeID="_x0000_i1025" DrawAspect="Content" ObjectID="_1394879655" r:id="rId10"/>
        </w:object>
      </w:r>
    </w:p>
    <w:p w:rsidR="00A26C4E" w:rsidRPr="00040A92" w:rsidRDefault="00A26C4E" w:rsidP="00A26C4E">
      <w:pPr>
        <w:tabs>
          <w:tab w:val="left" w:pos="7560"/>
        </w:tabs>
        <w:rPr>
          <w:rFonts w:eastAsia="Times New Roman"/>
          <w:lang w:val="pt-BR" w:eastAsia="en-US"/>
        </w:rPr>
      </w:pPr>
    </w:p>
    <w:p w:rsidR="00A26C4E" w:rsidRPr="00BA0A66" w:rsidRDefault="00A26C4E" w:rsidP="00804859">
      <w:pPr>
        <w:numPr>
          <w:ilvl w:val="0"/>
          <w:numId w:val="4"/>
        </w:numPr>
        <w:spacing w:before="120" w:after="120"/>
        <w:jc w:val="both"/>
        <w:rPr>
          <w:lang w:val="pt-BR"/>
        </w:rPr>
      </w:pPr>
      <w:r w:rsidRPr="00BA0A66">
        <w:rPr>
          <w:lang w:val="pt-BR"/>
        </w:rPr>
        <w:t>Supondo, na falta de informações sobre elasticidades, que as mesmas sejam idênticas, resulta que se cancelem, simplificando a aplicação da fórmula aos montantes de exportação e importação, respectivos impostos e subsídios, conforme apresentado a seguir para o período de 1995 a 1999:</w:t>
      </w:r>
    </w:p>
    <w:p w:rsidR="00A26C4E" w:rsidRPr="00804859" w:rsidRDefault="00A26C4E" w:rsidP="00804859">
      <w:pPr>
        <w:tabs>
          <w:tab w:val="left" w:pos="7560"/>
        </w:tabs>
        <w:jc w:val="center"/>
        <w:rPr>
          <w:rFonts w:eastAsia="Times New Roman"/>
          <w:b/>
          <w:sz w:val="20"/>
          <w:szCs w:val="20"/>
          <w:lang w:val="pt-BR"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917"/>
        <w:gridCol w:w="1260"/>
        <w:gridCol w:w="1620"/>
        <w:gridCol w:w="1260"/>
        <w:gridCol w:w="1260"/>
        <w:gridCol w:w="1440"/>
        <w:gridCol w:w="540"/>
      </w:tblGrid>
      <w:tr w:rsidR="00804859" w:rsidRPr="00040A92" w:rsidTr="00804859">
        <w:trPr>
          <w:trHeight w:val="510"/>
          <w:jc w:val="center"/>
        </w:trPr>
        <w:tc>
          <w:tcPr>
            <w:tcW w:w="8297" w:type="dxa"/>
            <w:gridSpan w:val="7"/>
            <w:tcBorders>
              <w:top w:val="nil"/>
              <w:left w:val="nil"/>
              <w:bottom w:val="single" w:sz="4" w:space="0" w:color="auto"/>
              <w:right w:val="nil"/>
            </w:tcBorders>
            <w:vAlign w:val="center"/>
          </w:tcPr>
          <w:p w:rsidR="00804859" w:rsidRPr="00804859" w:rsidRDefault="00804859" w:rsidP="00804859">
            <w:pPr>
              <w:pStyle w:val="BodyText"/>
              <w:spacing w:after="0"/>
              <w:jc w:val="center"/>
              <w:rPr>
                <w:b/>
                <w:sz w:val="20"/>
                <w:szCs w:val="20"/>
                <w:lang w:val="pt-BR" w:eastAsia="en-US"/>
              </w:rPr>
            </w:pPr>
            <w:r w:rsidRPr="00804859">
              <w:rPr>
                <w:b/>
                <w:sz w:val="20"/>
                <w:szCs w:val="20"/>
                <w:lang w:val="pt-BR" w:eastAsia="en-US"/>
              </w:rPr>
              <w:t>Tabela 1: Brasil – Exportações, Importações, Impostos e Subsídios – 1995/99</w:t>
            </w:r>
          </w:p>
          <w:p w:rsidR="00804859" w:rsidRPr="00040A92" w:rsidRDefault="00804859" w:rsidP="00804859">
            <w:pPr>
              <w:jc w:val="center"/>
              <w:rPr>
                <w:rFonts w:eastAsia="Times New Roman"/>
                <w:lang w:val="pt-BR" w:eastAsia="en-US"/>
              </w:rPr>
            </w:pPr>
            <w:r w:rsidRPr="00804859">
              <w:rPr>
                <w:rFonts w:eastAsia="Times New Roman"/>
                <w:b/>
                <w:sz w:val="20"/>
                <w:szCs w:val="20"/>
                <w:lang w:val="pt-BR" w:eastAsia="en-US"/>
              </w:rPr>
              <w:t>(valores em US$ mil)</w:t>
            </w:r>
          </w:p>
        </w:tc>
      </w:tr>
      <w:tr w:rsidR="00A26C4E" w:rsidRPr="00040A92" w:rsidTr="00804859">
        <w:trPr>
          <w:trHeight w:val="56"/>
          <w:jc w:val="center"/>
        </w:trPr>
        <w:tc>
          <w:tcPr>
            <w:tcW w:w="917" w:type="dxa"/>
            <w:shd w:val="clear" w:color="auto" w:fill="B6DDE8" w:themeFill="accent5" w:themeFillTint="66"/>
            <w:vAlign w:val="center"/>
          </w:tcPr>
          <w:p w:rsidR="00A26C4E" w:rsidRPr="00804859" w:rsidRDefault="00A26C4E" w:rsidP="0047679B">
            <w:pPr>
              <w:jc w:val="center"/>
              <w:rPr>
                <w:rFonts w:eastAsia="Times New Roman"/>
                <w:b/>
                <w:sz w:val="20"/>
                <w:szCs w:val="20"/>
                <w:lang w:val="pt-BR" w:eastAsia="en-US"/>
              </w:rPr>
            </w:pPr>
            <w:r w:rsidRPr="00804859">
              <w:rPr>
                <w:rFonts w:eastAsia="Times New Roman"/>
                <w:b/>
                <w:sz w:val="20"/>
                <w:szCs w:val="20"/>
                <w:lang w:val="pt-BR" w:eastAsia="en-US"/>
              </w:rPr>
              <w:t>Ano</w:t>
            </w:r>
          </w:p>
        </w:tc>
        <w:tc>
          <w:tcPr>
            <w:tcW w:w="1260" w:type="dxa"/>
            <w:shd w:val="clear" w:color="auto" w:fill="B6DDE8" w:themeFill="accent5" w:themeFillTint="66"/>
            <w:vAlign w:val="center"/>
          </w:tcPr>
          <w:p w:rsidR="00A26C4E" w:rsidRPr="00804859" w:rsidRDefault="00A26C4E" w:rsidP="0047679B">
            <w:pPr>
              <w:jc w:val="center"/>
              <w:rPr>
                <w:rFonts w:eastAsia="Times New Roman"/>
                <w:b/>
                <w:sz w:val="20"/>
                <w:szCs w:val="20"/>
                <w:lang w:val="pt-BR" w:eastAsia="en-US"/>
              </w:rPr>
            </w:pPr>
            <w:r w:rsidRPr="00804859">
              <w:rPr>
                <w:rFonts w:eastAsia="Times New Roman"/>
                <w:b/>
                <w:sz w:val="20"/>
                <w:szCs w:val="20"/>
                <w:lang w:val="pt-BR" w:eastAsia="en-US"/>
              </w:rPr>
              <w:t xml:space="preserve">Exportações FOB </w:t>
            </w:r>
          </w:p>
        </w:tc>
        <w:tc>
          <w:tcPr>
            <w:tcW w:w="1620" w:type="dxa"/>
            <w:shd w:val="clear" w:color="auto" w:fill="B6DDE8" w:themeFill="accent5" w:themeFillTint="66"/>
            <w:vAlign w:val="center"/>
          </w:tcPr>
          <w:p w:rsidR="00A26C4E" w:rsidRPr="00804859" w:rsidRDefault="00A26C4E" w:rsidP="0047679B">
            <w:pPr>
              <w:jc w:val="center"/>
              <w:rPr>
                <w:rFonts w:eastAsia="Times New Roman"/>
                <w:b/>
                <w:sz w:val="20"/>
                <w:szCs w:val="20"/>
                <w:lang w:val="pt-BR" w:eastAsia="en-US"/>
              </w:rPr>
            </w:pPr>
            <w:r w:rsidRPr="00804859">
              <w:rPr>
                <w:rFonts w:eastAsia="Times New Roman"/>
                <w:b/>
                <w:sz w:val="20"/>
                <w:szCs w:val="20"/>
                <w:lang w:val="pt-BR" w:eastAsia="en-US"/>
              </w:rPr>
              <w:t xml:space="preserve">Impostos sobre Exportações </w:t>
            </w:r>
          </w:p>
        </w:tc>
        <w:tc>
          <w:tcPr>
            <w:tcW w:w="1260" w:type="dxa"/>
            <w:shd w:val="clear" w:color="auto" w:fill="B6DDE8" w:themeFill="accent5" w:themeFillTint="66"/>
            <w:vAlign w:val="center"/>
          </w:tcPr>
          <w:p w:rsidR="00A26C4E" w:rsidRPr="00804859" w:rsidRDefault="00A26C4E" w:rsidP="0047679B">
            <w:pPr>
              <w:jc w:val="center"/>
              <w:rPr>
                <w:rFonts w:eastAsia="Times New Roman"/>
                <w:b/>
                <w:sz w:val="20"/>
                <w:szCs w:val="20"/>
                <w:lang w:val="pt-BR" w:eastAsia="en-US"/>
              </w:rPr>
            </w:pPr>
            <w:r w:rsidRPr="00804859">
              <w:rPr>
                <w:rFonts w:eastAsia="Times New Roman"/>
                <w:b/>
                <w:sz w:val="20"/>
                <w:szCs w:val="20"/>
                <w:lang w:val="pt-BR" w:eastAsia="en-US"/>
              </w:rPr>
              <w:t>Subsídios a Exportação</w:t>
            </w:r>
          </w:p>
        </w:tc>
        <w:tc>
          <w:tcPr>
            <w:tcW w:w="1260" w:type="dxa"/>
            <w:shd w:val="clear" w:color="auto" w:fill="B6DDE8" w:themeFill="accent5" w:themeFillTint="66"/>
            <w:vAlign w:val="center"/>
          </w:tcPr>
          <w:p w:rsidR="00A26C4E" w:rsidRPr="00804859" w:rsidRDefault="00A26C4E" w:rsidP="0047679B">
            <w:pPr>
              <w:jc w:val="center"/>
              <w:rPr>
                <w:rFonts w:eastAsia="Times New Roman"/>
                <w:b/>
                <w:sz w:val="20"/>
                <w:szCs w:val="20"/>
                <w:lang w:val="pt-BR" w:eastAsia="en-US"/>
              </w:rPr>
            </w:pPr>
            <w:r w:rsidRPr="00804859">
              <w:rPr>
                <w:rFonts w:eastAsia="Times New Roman"/>
                <w:b/>
                <w:sz w:val="20"/>
                <w:szCs w:val="20"/>
                <w:lang w:val="pt-BR" w:eastAsia="en-US"/>
              </w:rPr>
              <w:t>Importações CIF</w:t>
            </w:r>
          </w:p>
        </w:tc>
        <w:tc>
          <w:tcPr>
            <w:tcW w:w="1440" w:type="dxa"/>
            <w:shd w:val="clear" w:color="auto" w:fill="B6DDE8" w:themeFill="accent5" w:themeFillTint="66"/>
            <w:vAlign w:val="center"/>
          </w:tcPr>
          <w:p w:rsidR="00A26C4E" w:rsidRPr="00804859" w:rsidRDefault="00A26C4E" w:rsidP="0047679B">
            <w:pPr>
              <w:jc w:val="center"/>
              <w:rPr>
                <w:rFonts w:eastAsia="Times New Roman"/>
                <w:b/>
                <w:sz w:val="20"/>
                <w:szCs w:val="20"/>
                <w:lang w:val="pt-BR" w:eastAsia="en-US"/>
              </w:rPr>
            </w:pPr>
            <w:r w:rsidRPr="00804859">
              <w:rPr>
                <w:rFonts w:eastAsia="Times New Roman"/>
                <w:b/>
                <w:sz w:val="20"/>
                <w:szCs w:val="20"/>
                <w:lang w:val="pt-BR" w:eastAsia="en-US"/>
              </w:rPr>
              <w:t xml:space="preserve">Impostos sobre Importação </w:t>
            </w:r>
          </w:p>
        </w:tc>
        <w:tc>
          <w:tcPr>
            <w:tcW w:w="540" w:type="dxa"/>
            <w:shd w:val="clear" w:color="auto" w:fill="B6DDE8" w:themeFill="accent5" w:themeFillTint="66"/>
            <w:vAlign w:val="center"/>
          </w:tcPr>
          <w:p w:rsidR="00A26C4E" w:rsidRPr="00804859" w:rsidRDefault="00A26C4E" w:rsidP="0047679B">
            <w:pPr>
              <w:jc w:val="center"/>
              <w:rPr>
                <w:rFonts w:eastAsia="Times New Roman"/>
                <w:b/>
                <w:sz w:val="20"/>
                <w:szCs w:val="20"/>
                <w:lang w:val="pt-BR" w:eastAsia="en-US"/>
              </w:rPr>
            </w:pPr>
            <w:r w:rsidRPr="00804859">
              <w:rPr>
                <w:rFonts w:eastAsia="Times New Roman"/>
                <w:b/>
                <w:sz w:val="20"/>
                <w:szCs w:val="20"/>
                <w:lang w:val="pt-BR" w:eastAsia="en-US"/>
              </w:rPr>
              <w:t>FCP</w:t>
            </w:r>
          </w:p>
        </w:tc>
      </w:tr>
      <w:tr w:rsidR="00A26C4E" w:rsidRPr="00040A92" w:rsidTr="00804859">
        <w:trPr>
          <w:trHeight w:val="56"/>
          <w:jc w:val="center"/>
        </w:trPr>
        <w:tc>
          <w:tcPr>
            <w:tcW w:w="917" w:type="dxa"/>
            <w:vAlign w:val="bottom"/>
          </w:tcPr>
          <w:p w:rsidR="00A26C4E" w:rsidRPr="00804859" w:rsidRDefault="00A26C4E" w:rsidP="0047679B">
            <w:pPr>
              <w:jc w:val="center"/>
              <w:rPr>
                <w:rFonts w:eastAsia="Times New Roman"/>
                <w:sz w:val="20"/>
                <w:szCs w:val="20"/>
                <w:lang w:val="pt-BR" w:eastAsia="en-US"/>
              </w:rPr>
            </w:pPr>
            <w:r w:rsidRPr="00804859">
              <w:rPr>
                <w:rFonts w:eastAsia="Times New Roman"/>
                <w:sz w:val="20"/>
                <w:szCs w:val="20"/>
                <w:lang w:val="pt-BR" w:eastAsia="en-US"/>
              </w:rPr>
              <w:t>1995</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46.506.000</w:t>
            </w:r>
          </w:p>
        </w:tc>
        <w:tc>
          <w:tcPr>
            <w:tcW w:w="162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15.231</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475.661</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53.800.000</w:t>
            </w:r>
          </w:p>
        </w:tc>
        <w:tc>
          <w:tcPr>
            <w:tcW w:w="144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4.001.297</w:t>
            </w:r>
          </w:p>
        </w:tc>
        <w:tc>
          <w:tcPr>
            <w:tcW w:w="54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0,96</w:t>
            </w:r>
          </w:p>
        </w:tc>
      </w:tr>
      <w:tr w:rsidR="00A26C4E" w:rsidRPr="00040A92" w:rsidTr="00804859">
        <w:trPr>
          <w:trHeight w:val="56"/>
          <w:jc w:val="center"/>
        </w:trPr>
        <w:tc>
          <w:tcPr>
            <w:tcW w:w="917" w:type="dxa"/>
            <w:vAlign w:val="bottom"/>
          </w:tcPr>
          <w:p w:rsidR="00A26C4E" w:rsidRPr="00804859" w:rsidRDefault="00A26C4E" w:rsidP="0047679B">
            <w:pPr>
              <w:jc w:val="center"/>
              <w:rPr>
                <w:rFonts w:eastAsia="Times New Roman"/>
                <w:sz w:val="20"/>
                <w:szCs w:val="20"/>
                <w:lang w:val="pt-BR" w:eastAsia="en-US"/>
              </w:rPr>
            </w:pPr>
            <w:r w:rsidRPr="00804859">
              <w:rPr>
                <w:rFonts w:eastAsia="Times New Roman"/>
                <w:sz w:val="20"/>
                <w:szCs w:val="20"/>
                <w:lang w:val="pt-BR" w:eastAsia="en-US"/>
              </w:rPr>
              <w:t>1996</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47.747.000</w:t>
            </w:r>
          </w:p>
        </w:tc>
        <w:tc>
          <w:tcPr>
            <w:tcW w:w="162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1.572</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488.354</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56.800.000</w:t>
            </w:r>
          </w:p>
        </w:tc>
        <w:tc>
          <w:tcPr>
            <w:tcW w:w="144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3.088.390</w:t>
            </w:r>
          </w:p>
        </w:tc>
        <w:tc>
          <w:tcPr>
            <w:tcW w:w="54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0,97</w:t>
            </w:r>
          </w:p>
        </w:tc>
      </w:tr>
      <w:tr w:rsidR="00A26C4E" w:rsidRPr="00040A92" w:rsidTr="00804859">
        <w:trPr>
          <w:trHeight w:val="56"/>
          <w:jc w:val="center"/>
        </w:trPr>
        <w:tc>
          <w:tcPr>
            <w:tcW w:w="917" w:type="dxa"/>
            <w:vAlign w:val="bottom"/>
          </w:tcPr>
          <w:p w:rsidR="00A26C4E" w:rsidRPr="00804859" w:rsidRDefault="00A26C4E" w:rsidP="0047679B">
            <w:pPr>
              <w:jc w:val="center"/>
              <w:rPr>
                <w:rFonts w:eastAsia="Times New Roman"/>
                <w:sz w:val="20"/>
                <w:szCs w:val="20"/>
                <w:lang w:val="pt-BR" w:eastAsia="en-US"/>
              </w:rPr>
            </w:pPr>
            <w:r w:rsidRPr="00804859">
              <w:rPr>
                <w:rFonts w:eastAsia="Times New Roman"/>
                <w:sz w:val="20"/>
                <w:szCs w:val="20"/>
                <w:lang w:val="pt-BR" w:eastAsia="en-US"/>
              </w:rPr>
              <w:t>1997</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52.994.000</w:t>
            </w:r>
          </w:p>
        </w:tc>
        <w:tc>
          <w:tcPr>
            <w:tcW w:w="162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2.168</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542.020</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63.300.000</w:t>
            </w:r>
          </w:p>
        </w:tc>
        <w:tc>
          <w:tcPr>
            <w:tcW w:w="144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3.487.821</w:t>
            </w:r>
          </w:p>
        </w:tc>
        <w:tc>
          <w:tcPr>
            <w:tcW w:w="54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0,97</w:t>
            </w:r>
          </w:p>
        </w:tc>
      </w:tr>
      <w:tr w:rsidR="00A26C4E" w:rsidRPr="00040A92" w:rsidTr="00804859">
        <w:trPr>
          <w:trHeight w:val="56"/>
          <w:jc w:val="center"/>
        </w:trPr>
        <w:tc>
          <w:tcPr>
            <w:tcW w:w="917" w:type="dxa"/>
            <w:vAlign w:val="bottom"/>
          </w:tcPr>
          <w:p w:rsidR="00A26C4E" w:rsidRPr="00804859" w:rsidRDefault="00A26C4E" w:rsidP="0047679B">
            <w:pPr>
              <w:jc w:val="center"/>
              <w:rPr>
                <w:rFonts w:eastAsia="Times New Roman"/>
                <w:sz w:val="20"/>
                <w:szCs w:val="20"/>
                <w:lang w:val="pt-BR" w:eastAsia="en-US"/>
              </w:rPr>
            </w:pPr>
            <w:r w:rsidRPr="00804859">
              <w:rPr>
                <w:rFonts w:eastAsia="Times New Roman"/>
                <w:sz w:val="20"/>
                <w:szCs w:val="20"/>
                <w:lang w:val="pt-BR" w:eastAsia="en-US"/>
              </w:rPr>
              <w:t>1998</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51.140.000</w:t>
            </w:r>
          </w:p>
        </w:tc>
        <w:tc>
          <w:tcPr>
            <w:tcW w:w="162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1.084</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523.058</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61.000.000</w:t>
            </w:r>
          </w:p>
        </w:tc>
        <w:tc>
          <w:tcPr>
            <w:tcW w:w="144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4.282.562</w:t>
            </w:r>
          </w:p>
        </w:tc>
        <w:tc>
          <w:tcPr>
            <w:tcW w:w="54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0,96</w:t>
            </w:r>
          </w:p>
        </w:tc>
      </w:tr>
      <w:tr w:rsidR="00A26C4E" w:rsidRPr="00040A92" w:rsidTr="00804859">
        <w:trPr>
          <w:trHeight w:val="56"/>
          <w:jc w:val="center"/>
        </w:trPr>
        <w:tc>
          <w:tcPr>
            <w:tcW w:w="917" w:type="dxa"/>
            <w:vAlign w:val="bottom"/>
          </w:tcPr>
          <w:p w:rsidR="00A26C4E" w:rsidRPr="00804859" w:rsidRDefault="00A26C4E" w:rsidP="0047679B">
            <w:pPr>
              <w:jc w:val="center"/>
              <w:rPr>
                <w:rFonts w:eastAsia="Times New Roman"/>
                <w:sz w:val="20"/>
                <w:szCs w:val="20"/>
                <w:lang w:val="pt-BR" w:eastAsia="en-US"/>
              </w:rPr>
            </w:pPr>
            <w:r w:rsidRPr="00804859">
              <w:rPr>
                <w:rFonts w:eastAsia="Times New Roman"/>
                <w:sz w:val="20"/>
                <w:szCs w:val="20"/>
                <w:lang w:val="pt-BR" w:eastAsia="en-US"/>
              </w:rPr>
              <w:t>1999</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48.011.000</w:t>
            </w:r>
          </w:p>
        </w:tc>
        <w:tc>
          <w:tcPr>
            <w:tcW w:w="162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596</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491.054</w:t>
            </w:r>
          </w:p>
        </w:tc>
        <w:tc>
          <w:tcPr>
            <w:tcW w:w="126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51.809.000</w:t>
            </w:r>
          </w:p>
        </w:tc>
        <w:tc>
          <w:tcPr>
            <w:tcW w:w="144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4.636.678</w:t>
            </w:r>
          </w:p>
        </w:tc>
        <w:tc>
          <w:tcPr>
            <w:tcW w:w="540" w:type="dxa"/>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0,95</w:t>
            </w:r>
          </w:p>
        </w:tc>
      </w:tr>
      <w:tr w:rsidR="00A26C4E" w:rsidRPr="00040A92" w:rsidTr="00804859">
        <w:trPr>
          <w:trHeight w:val="56"/>
          <w:jc w:val="center"/>
        </w:trPr>
        <w:tc>
          <w:tcPr>
            <w:tcW w:w="917" w:type="dxa"/>
            <w:tcBorders>
              <w:bottom w:val="single" w:sz="4" w:space="0" w:color="auto"/>
            </w:tcBorders>
            <w:vAlign w:val="bottom"/>
          </w:tcPr>
          <w:p w:rsidR="00A26C4E" w:rsidRPr="00804859" w:rsidRDefault="00A26C4E" w:rsidP="0047679B">
            <w:pPr>
              <w:jc w:val="center"/>
              <w:rPr>
                <w:rFonts w:eastAsia="Times New Roman"/>
                <w:sz w:val="20"/>
                <w:szCs w:val="20"/>
                <w:lang w:val="pt-BR" w:eastAsia="en-US"/>
              </w:rPr>
            </w:pPr>
            <w:r w:rsidRPr="00804859">
              <w:rPr>
                <w:rFonts w:eastAsia="Times New Roman"/>
                <w:sz w:val="20"/>
                <w:szCs w:val="20"/>
                <w:lang w:val="pt-BR" w:eastAsia="en-US"/>
              </w:rPr>
              <w:t>1995/99</w:t>
            </w:r>
          </w:p>
        </w:tc>
        <w:tc>
          <w:tcPr>
            <w:tcW w:w="1260" w:type="dxa"/>
            <w:tcBorders>
              <w:bottom w:val="single" w:sz="4" w:space="0" w:color="auto"/>
            </w:tcBorders>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246.398.000</w:t>
            </w:r>
          </w:p>
        </w:tc>
        <w:tc>
          <w:tcPr>
            <w:tcW w:w="1620" w:type="dxa"/>
            <w:tcBorders>
              <w:bottom w:val="single" w:sz="4" w:space="0" w:color="auto"/>
            </w:tcBorders>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20.652</w:t>
            </w:r>
          </w:p>
        </w:tc>
        <w:tc>
          <w:tcPr>
            <w:tcW w:w="1260" w:type="dxa"/>
            <w:tcBorders>
              <w:bottom w:val="single" w:sz="4" w:space="0" w:color="auto"/>
            </w:tcBorders>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2.520.148</w:t>
            </w:r>
          </w:p>
        </w:tc>
        <w:tc>
          <w:tcPr>
            <w:tcW w:w="1260" w:type="dxa"/>
            <w:tcBorders>
              <w:bottom w:val="single" w:sz="4" w:space="0" w:color="auto"/>
            </w:tcBorders>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286.709.000</w:t>
            </w:r>
          </w:p>
        </w:tc>
        <w:tc>
          <w:tcPr>
            <w:tcW w:w="1440" w:type="dxa"/>
            <w:tcBorders>
              <w:bottom w:val="single" w:sz="4" w:space="0" w:color="auto"/>
            </w:tcBorders>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19.496.747</w:t>
            </w:r>
          </w:p>
        </w:tc>
        <w:tc>
          <w:tcPr>
            <w:tcW w:w="540" w:type="dxa"/>
            <w:tcBorders>
              <w:bottom w:val="single" w:sz="4" w:space="0" w:color="auto"/>
            </w:tcBorders>
            <w:vAlign w:val="bottom"/>
          </w:tcPr>
          <w:p w:rsidR="00A26C4E" w:rsidRPr="00804859" w:rsidRDefault="00A26C4E" w:rsidP="0047679B">
            <w:pPr>
              <w:jc w:val="right"/>
              <w:rPr>
                <w:rFonts w:eastAsia="Times New Roman"/>
                <w:sz w:val="20"/>
                <w:szCs w:val="20"/>
                <w:lang w:val="pt-BR" w:eastAsia="en-US"/>
              </w:rPr>
            </w:pPr>
            <w:r w:rsidRPr="00804859">
              <w:rPr>
                <w:rFonts w:eastAsia="Times New Roman"/>
                <w:sz w:val="20"/>
                <w:szCs w:val="20"/>
                <w:lang w:val="pt-BR" w:eastAsia="en-US"/>
              </w:rPr>
              <w:t>0,96</w:t>
            </w:r>
          </w:p>
        </w:tc>
      </w:tr>
      <w:tr w:rsidR="00804859" w:rsidRPr="00040A92" w:rsidTr="00804859">
        <w:trPr>
          <w:trHeight w:val="56"/>
          <w:jc w:val="center"/>
        </w:trPr>
        <w:tc>
          <w:tcPr>
            <w:tcW w:w="8297" w:type="dxa"/>
            <w:gridSpan w:val="7"/>
            <w:tcBorders>
              <w:left w:val="nil"/>
              <w:bottom w:val="nil"/>
              <w:right w:val="nil"/>
            </w:tcBorders>
            <w:vAlign w:val="bottom"/>
          </w:tcPr>
          <w:p w:rsidR="00804859" w:rsidRPr="00804859" w:rsidRDefault="00804859" w:rsidP="00804859">
            <w:pPr>
              <w:tabs>
                <w:tab w:val="left" w:pos="360"/>
                <w:tab w:val="left" w:pos="1080"/>
              </w:tabs>
              <w:rPr>
                <w:rFonts w:eastAsia="Times New Roman"/>
                <w:sz w:val="18"/>
                <w:szCs w:val="18"/>
                <w:lang w:val="pt-BR" w:eastAsia="en-US"/>
              </w:rPr>
            </w:pPr>
            <w:r w:rsidRPr="00804859">
              <w:rPr>
                <w:rFonts w:eastAsia="Times New Roman"/>
                <w:sz w:val="18"/>
                <w:szCs w:val="18"/>
                <w:lang w:val="pt-BR" w:eastAsia="en-US"/>
              </w:rPr>
              <w:t>Fontes:</w:t>
            </w:r>
            <w:r w:rsidRPr="00804859">
              <w:rPr>
                <w:rFonts w:eastAsia="Times New Roman"/>
                <w:sz w:val="18"/>
                <w:szCs w:val="18"/>
                <w:lang w:val="pt-BR" w:eastAsia="en-US"/>
              </w:rPr>
              <w:tab/>
              <w:t>Exportações e Importações – SECEX – Secretaria de Comércio Exterior</w:t>
            </w:r>
          </w:p>
          <w:p w:rsidR="00804859" w:rsidRPr="00804859" w:rsidRDefault="00804859" w:rsidP="00804859">
            <w:pPr>
              <w:tabs>
                <w:tab w:val="left" w:pos="360"/>
                <w:tab w:val="left" w:pos="1080"/>
              </w:tabs>
              <w:rPr>
                <w:rFonts w:eastAsia="Times New Roman"/>
                <w:sz w:val="18"/>
                <w:szCs w:val="18"/>
                <w:lang w:val="pt-BR" w:eastAsia="en-US"/>
              </w:rPr>
            </w:pPr>
            <w:r w:rsidRPr="00804859">
              <w:rPr>
                <w:rFonts w:eastAsia="Times New Roman"/>
                <w:sz w:val="18"/>
                <w:szCs w:val="18"/>
                <w:lang w:val="pt-BR" w:eastAsia="en-US"/>
              </w:rPr>
              <w:tab/>
            </w:r>
            <w:r w:rsidRPr="00804859">
              <w:rPr>
                <w:rFonts w:eastAsia="Times New Roman"/>
                <w:sz w:val="18"/>
                <w:szCs w:val="18"/>
                <w:lang w:val="pt-BR" w:eastAsia="en-US"/>
              </w:rPr>
              <w:tab/>
              <w:t>Impostos – SRF – Secretaria da Receita Federal</w:t>
            </w:r>
          </w:p>
          <w:p w:rsidR="00804859" w:rsidRPr="00804859" w:rsidRDefault="00804859" w:rsidP="00804859">
            <w:pPr>
              <w:tabs>
                <w:tab w:val="left" w:pos="360"/>
                <w:tab w:val="left" w:pos="1080"/>
              </w:tabs>
              <w:spacing w:after="120"/>
              <w:rPr>
                <w:rFonts w:eastAsia="Times New Roman"/>
                <w:sz w:val="20"/>
                <w:szCs w:val="20"/>
                <w:lang w:val="pt-BR" w:eastAsia="en-US"/>
              </w:rPr>
            </w:pPr>
            <w:r w:rsidRPr="00804859">
              <w:rPr>
                <w:rFonts w:eastAsia="Times New Roman"/>
                <w:sz w:val="18"/>
                <w:szCs w:val="18"/>
                <w:lang w:val="pt-BR" w:eastAsia="en-US"/>
              </w:rPr>
              <w:tab/>
            </w:r>
            <w:r w:rsidRPr="00804859">
              <w:rPr>
                <w:rFonts w:eastAsia="Times New Roman"/>
                <w:sz w:val="18"/>
                <w:szCs w:val="18"/>
                <w:lang w:val="pt-BR" w:eastAsia="en-US"/>
              </w:rPr>
              <w:tab/>
              <w:t>Subsídios – STN – Secretaria do Tesouro Nacional</w:t>
            </w:r>
          </w:p>
        </w:tc>
      </w:tr>
    </w:tbl>
    <w:p w:rsidR="00A26C4E" w:rsidRPr="00BA0A66" w:rsidRDefault="00A26C4E" w:rsidP="00804859">
      <w:pPr>
        <w:numPr>
          <w:ilvl w:val="0"/>
          <w:numId w:val="4"/>
        </w:numPr>
        <w:spacing w:before="120" w:after="120"/>
        <w:jc w:val="both"/>
        <w:rPr>
          <w:lang w:val="pt-BR"/>
        </w:rPr>
      </w:pPr>
      <w:r w:rsidRPr="00BA0A66">
        <w:rPr>
          <w:lang w:val="pt-BR"/>
        </w:rPr>
        <w:t>Verifica-se, portanto, que o FCP situa-se no período analisado em torno de 0,96, sendo este o índice adotado.</w:t>
      </w:r>
    </w:p>
    <w:p w:rsidR="00A26C4E" w:rsidRPr="00103CF4" w:rsidRDefault="00A26C4E" w:rsidP="00E021AB">
      <w:pPr>
        <w:pStyle w:val="Heading2"/>
        <w:jc w:val="left"/>
        <w:rPr>
          <w:rFonts w:ascii="Times New Roman" w:hAnsi="Times New Roman"/>
          <w:sz w:val="24"/>
        </w:rPr>
      </w:pPr>
      <w:bookmarkStart w:id="4" w:name="_Toc320875535"/>
      <w:r w:rsidRPr="00103CF4">
        <w:rPr>
          <w:rFonts w:ascii="Times New Roman" w:hAnsi="Times New Roman"/>
          <w:sz w:val="24"/>
        </w:rPr>
        <w:t>Fator de conversão da mão de obra não qualificada (FCMONQ)</w:t>
      </w:r>
      <w:bookmarkEnd w:id="4"/>
    </w:p>
    <w:p w:rsidR="00A26C4E" w:rsidRPr="00BA0A66" w:rsidRDefault="00A26C4E" w:rsidP="00103CF4">
      <w:pPr>
        <w:numPr>
          <w:ilvl w:val="0"/>
          <w:numId w:val="4"/>
        </w:numPr>
        <w:spacing w:before="120" w:after="120"/>
        <w:jc w:val="both"/>
        <w:rPr>
          <w:lang w:val="pt-BR"/>
        </w:rPr>
      </w:pPr>
      <w:r w:rsidRPr="00040A92">
        <w:rPr>
          <w:rFonts w:eastAsia="Times New Roman"/>
          <w:lang w:val="pt-BR" w:eastAsia="en-US"/>
        </w:rPr>
        <w:t xml:space="preserve">O produto que se deixa de obter pelo deslocamento de mão-de-obra em relação ao seu </w:t>
      </w:r>
      <w:r w:rsidRPr="00BA0A66">
        <w:rPr>
          <w:lang w:val="pt-BR"/>
        </w:rPr>
        <w:t>melhor uso alternativo é o custo social do emprego desta mão-de-obra no projeto. No caso da existência de um mercado de trabalho que funcione eficientemente, o salário praticado é um bom indicador do produto marginal desta mão-de-obra refletindo, portanto, o valor do produto renunciado pela sociedade ao alocar esta mão-de-obra ao projeto. Em economias em desenvolvimento o mercado de trabalho apresenta distorções exigindo o cálculo de fatores de conversão da mão-de-obra, especialmente no caso da mão-de-obra não qualificada.</w:t>
      </w:r>
    </w:p>
    <w:p w:rsidR="00A26C4E" w:rsidRPr="00BA0A66" w:rsidRDefault="00A26C4E" w:rsidP="00103CF4">
      <w:pPr>
        <w:numPr>
          <w:ilvl w:val="0"/>
          <w:numId w:val="4"/>
        </w:numPr>
        <w:spacing w:before="120" w:after="120"/>
        <w:jc w:val="both"/>
        <w:rPr>
          <w:lang w:val="pt-BR"/>
        </w:rPr>
      </w:pPr>
      <w:r w:rsidRPr="00BA0A66">
        <w:rPr>
          <w:lang w:val="pt-BR"/>
        </w:rPr>
        <w:t xml:space="preserve">Uma das maneiras convencionalmente utilizadas para calcular esse fator consiste em analisar a remuneração da mão-de-obra em um setor tradicional da </w:t>
      </w:r>
      <w:r w:rsidRPr="00BA0A66">
        <w:rPr>
          <w:lang w:val="pt-BR"/>
        </w:rPr>
        <w:lastRenderedPageBreak/>
        <w:t>economia, a agricultura, como sendo representativa do uso alternativo da mão-de-obra a ser empregada no projeto.</w:t>
      </w:r>
    </w:p>
    <w:p w:rsidR="00A26C4E" w:rsidRPr="00BA0A66" w:rsidRDefault="00A26C4E" w:rsidP="00103CF4">
      <w:pPr>
        <w:numPr>
          <w:ilvl w:val="0"/>
          <w:numId w:val="4"/>
        </w:numPr>
        <w:spacing w:before="120" w:after="120"/>
        <w:jc w:val="both"/>
        <w:rPr>
          <w:lang w:val="pt-BR"/>
        </w:rPr>
      </w:pPr>
      <w:r w:rsidRPr="00BA0A66">
        <w:rPr>
          <w:lang w:val="pt-BR"/>
        </w:rPr>
        <w:t>O FCMONQ foi calculado, portanto, pela seguinte formulação:</w:t>
      </w:r>
    </w:p>
    <w:p w:rsidR="00A26C4E" w:rsidRPr="00040A92" w:rsidRDefault="00A26C4E" w:rsidP="00A26C4E">
      <w:pPr>
        <w:tabs>
          <w:tab w:val="left" w:pos="7560"/>
        </w:tabs>
        <w:jc w:val="center"/>
        <w:rPr>
          <w:rFonts w:eastAsia="Times New Roman"/>
          <w:lang w:val="pt-BR" w:eastAsia="en-US"/>
        </w:rPr>
      </w:pPr>
      <w:r w:rsidRPr="00040A92">
        <w:rPr>
          <w:rFonts w:eastAsia="Times New Roman"/>
          <w:lang w:val="pt-BR" w:eastAsia="en-US"/>
        </w:rPr>
        <w:object w:dxaOrig="5920" w:dyaOrig="1719">
          <v:shape id="_x0000_i1026" type="#_x0000_t75" style="width:296.05pt;height:86.4pt" o:ole="" fillcolor="window">
            <v:imagedata r:id="rId11" o:title=""/>
          </v:shape>
          <o:OLEObject Type="Embed" ProgID="Equation.3" ShapeID="_x0000_i1026" DrawAspect="Content" ObjectID="_1394879656" r:id="rId12"/>
        </w:object>
      </w:r>
    </w:p>
    <w:p w:rsidR="00A26C4E" w:rsidRPr="00BA0A66" w:rsidRDefault="00A26C4E" w:rsidP="00103CF4">
      <w:pPr>
        <w:numPr>
          <w:ilvl w:val="0"/>
          <w:numId w:val="4"/>
        </w:numPr>
        <w:spacing w:before="120" w:after="120"/>
        <w:jc w:val="both"/>
        <w:rPr>
          <w:lang w:val="pt-BR"/>
        </w:rPr>
      </w:pPr>
      <w:r w:rsidRPr="00BA0A66">
        <w:rPr>
          <w:lang w:val="pt-BR"/>
        </w:rPr>
        <w:t>No presente caso utilizou-se como custo alternativo da mão-de-obra não qualificada o rendimento de trabalhadores empregados com 10 ou mais não enquadrados como assalariados ou funcionários públicos, equivalente a R$ 304,00 por mês, a preços de set/99. Atualizado para dezembro de 2001, esse montante passa para R$ 389,09.</w:t>
      </w:r>
    </w:p>
    <w:p w:rsidR="00A26C4E" w:rsidRPr="00BA0A66" w:rsidRDefault="00A26C4E" w:rsidP="00103CF4">
      <w:pPr>
        <w:numPr>
          <w:ilvl w:val="0"/>
          <w:numId w:val="4"/>
        </w:numPr>
        <w:spacing w:before="120" w:after="120"/>
        <w:jc w:val="both"/>
        <w:rPr>
          <w:lang w:val="pt-BR"/>
        </w:rPr>
      </w:pPr>
      <w:r w:rsidRPr="00BA0A66">
        <w:rPr>
          <w:lang w:val="pt-BR"/>
        </w:rPr>
        <w:t>De outra parte, o piso salarial da categoria servente negociado em junho de 2001 é equivalente a R$ 13,04/dia ou R$ 502,37/mês já atualizado para dez/2001. Incide sobre esse montante a taxa de encargos sociais de 72,22%.</w:t>
      </w:r>
    </w:p>
    <w:p w:rsidR="00A26C4E" w:rsidRPr="00BA0A66" w:rsidRDefault="00A26C4E" w:rsidP="00103CF4">
      <w:pPr>
        <w:numPr>
          <w:ilvl w:val="0"/>
          <w:numId w:val="4"/>
        </w:numPr>
        <w:spacing w:before="120" w:after="120"/>
        <w:jc w:val="both"/>
        <w:rPr>
          <w:lang w:val="pt-BR"/>
        </w:rPr>
      </w:pPr>
      <w:r w:rsidRPr="00BA0A66">
        <w:rPr>
          <w:lang w:val="pt-BR"/>
        </w:rPr>
        <w:t>Portanto, o fator de conversão da mão-de-obra não qualificada é dado por:</w:t>
      </w:r>
    </w:p>
    <w:p w:rsidR="00A26C4E" w:rsidRPr="00040A92" w:rsidRDefault="00A26C4E" w:rsidP="00A26C4E">
      <w:pPr>
        <w:tabs>
          <w:tab w:val="left" w:pos="7560"/>
        </w:tabs>
        <w:jc w:val="center"/>
        <w:rPr>
          <w:rFonts w:eastAsia="Times New Roman"/>
          <w:lang w:val="pt-BR" w:eastAsia="en-US"/>
        </w:rPr>
      </w:pPr>
      <w:r w:rsidRPr="00040A92">
        <w:rPr>
          <w:rFonts w:eastAsia="Times New Roman"/>
          <w:lang w:val="pt-BR" w:eastAsia="en-US"/>
        </w:rPr>
        <w:object w:dxaOrig="3500" w:dyaOrig="660">
          <v:shape id="_x0000_i1027" type="#_x0000_t75" style="width:175.1pt;height:32.85pt" o:ole="" fillcolor="window">
            <v:imagedata r:id="rId13" o:title=""/>
          </v:shape>
          <o:OLEObject Type="Embed" ProgID="Equation.3" ShapeID="_x0000_i1027" DrawAspect="Content" ObjectID="_1394879657" r:id="rId14"/>
        </w:object>
      </w:r>
    </w:p>
    <w:p w:rsidR="00A26C4E" w:rsidRPr="00103CF4" w:rsidRDefault="00A26C4E" w:rsidP="00A26C4E">
      <w:pPr>
        <w:tabs>
          <w:tab w:val="left" w:pos="7560"/>
        </w:tabs>
        <w:rPr>
          <w:rFonts w:eastAsia="Times New Roman"/>
          <w:lang w:val="pt-BR" w:eastAsia="en-US"/>
        </w:rPr>
      </w:pPr>
    </w:p>
    <w:p w:rsidR="00A26C4E" w:rsidRPr="00103CF4" w:rsidRDefault="00A26C4E" w:rsidP="00E021AB">
      <w:pPr>
        <w:pStyle w:val="Heading2"/>
        <w:jc w:val="left"/>
        <w:rPr>
          <w:rFonts w:ascii="Times New Roman" w:hAnsi="Times New Roman"/>
          <w:sz w:val="24"/>
        </w:rPr>
      </w:pPr>
      <w:bookmarkStart w:id="5" w:name="_Toc320875536"/>
      <w:r w:rsidRPr="00103CF4">
        <w:rPr>
          <w:rFonts w:ascii="Times New Roman" w:hAnsi="Times New Roman"/>
          <w:sz w:val="24"/>
        </w:rPr>
        <w:t>Fator de conversão da mão de obra qualificada (FCMOQ)</w:t>
      </w:r>
      <w:bookmarkEnd w:id="5"/>
    </w:p>
    <w:p w:rsidR="00BA0A66" w:rsidRDefault="00A26C4E" w:rsidP="00103CF4">
      <w:pPr>
        <w:numPr>
          <w:ilvl w:val="0"/>
          <w:numId w:val="4"/>
        </w:numPr>
        <w:spacing w:before="120" w:after="120"/>
        <w:jc w:val="both"/>
        <w:rPr>
          <w:rFonts w:eastAsia="Times New Roman"/>
          <w:lang w:val="pt-BR" w:eastAsia="en-US"/>
        </w:rPr>
      </w:pPr>
      <w:r w:rsidRPr="00BA0A66">
        <w:rPr>
          <w:rFonts w:eastAsia="Times New Roman"/>
          <w:lang w:val="pt-BR" w:eastAsia="en-US"/>
        </w:rPr>
        <w:t xml:space="preserve">Para o cálculo do custo social da mão-de-obra qualificada assumiu-se que o salário a preços de mercado é um bom indicador. Com efeito, em uma situação de concorrência, ou seja, com quantidades marginais de mão-de-obra afetada, o nível de salários praticado pelo mercado, referente à categoria de qualificação em pauta, é uma boa aproximação dos </w:t>
      </w:r>
      <w:r w:rsidR="00BA0A66" w:rsidRPr="00BA0A66">
        <w:rPr>
          <w:rFonts w:eastAsia="Times New Roman"/>
          <w:lang w:val="pt-BR" w:eastAsia="en-US"/>
        </w:rPr>
        <w:t>benefícios máximos sacrificados</w:t>
      </w:r>
      <w:r w:rsidR="00BA0A66">
        <w:rPr>
          <w:rFonts w:eastAsia="Times New Roman"/>
          <w:lang w:val="pt-BR" w:eastAsia="en-US"/>
        </w:rPr>
        <w:t>.</w:t>
      </w:r>
    </w:p>
    <w:p w:rsidR="00A26C4E" w:rsidRPr="00BA0A66" w:rsidRDefault="00A26C4E" w:rsidP="00103CF4">
      <w:pPr>
        <w:numPr>
          <w:ilvl w:val="0"/>
          <w:numId w:val="4"/>
        </w:numPr>
        <w:spacing w:before="120" w:after="120"/>
        <w:jc w:val="both"/>
        <w:rPr>
          <w:rFonts w:eastAsia="Times New Roman"/>
          <w:lang w:val="pt-BR" w:eastAsia="en-US"/>
        </w:rPr>
      </w:pPr>
      <w:r w:rsidRPr="00BA0A66">
        <w:rPr>
          <w:rFonts w:eastAsia="Times New Roman"/>
          <w:lang w:val="pt-BR" w:eastAsia="en-US"/>
        </w:rPr>
        <w:t>Assim sendo, para cálculo do FCMONQ foram apenas excluídas as transferências de recursos que estão embutidas na taxa de encargos sociais.  Assumindo um valor de salário igual à unidade o fator pode ser expresso por:</w:t>
      </w:r>
    </w:p>
    <w:p w:rsidR="00A26C4E" w:rsidRPr="00040A92" w:rsidRDefault="00A26C4E" w:rsidP="00A26C4E">
      <w:pPr>
        <w:tabs>
          <w:tab w:val="left" w:pos="7560"/>
        </w:tabs>
        <w:jc w:val="center"/>
        <w:rPr>
          <w:rFonts w:eastAsia="Times New Roman"/>
          <w:lang w:val="pt-BR" w:eastAsia="en-US"/>
        </w:rPr>
      </w:pPr>
      <w:r w:rsidRPr="00040A92">
        <w:rPr>
          <w:rFonts w:eastAsia="Times New Roman"/>
          <w:lang w:val="pt-BR" w:eastAsia="en-US"/>
        </w:rPr>
        <w:object w:dxaOrig="5500" w:dyaOrig="1760">
          <v:shape id="_x0000_i1028" type="#_x0000_t75" style="width:275.35pt;height:87.55pt" o:ole="" fillcolor="window">
            <v:imagedata r:id="rId15" o:title=""/>
          </v:shape>
          <o:OLEObject Type="Embed" ProgID="Equation.3" ShapeID="_x0000_i1028" DrawAspect="Content" ObjectID="_1394879658" r:id="rId16"/>
        </w:object>
      </w:r>
    </w:p>
    <w:p w:rsidR="00A26C4E" w:rsidRPr="00040A92" w:rsidRDefault="00A26C4E" w:rsidP="00103CF4">
      <w:pPr>
        <w:numPr>
          <w:ilvl w:val="0"/>
          <w:numId w:val="4"/>
        </w:numPr>
        <w:spacing w:before="120" w:after="120"/>
        <w:jc w:val="both"/>
        <w:rPr>
          <w:rFonts w:eastAsia="Times New Roman"/>
          <w:lang w:val="pt-BR" w:eastAsia="en-US"/>
        </w:rPr>
      </w:pPr>
      <w:r w:rsidRPr="00040A92">
        <w:rPr>
          <w:rFonts w:eastAsia="Times New Roman"/>
          <w:lang w:val="pt-BR" w:eastAsia="en-US"/>
        </w:rPr>
        <w:t>Com base na tabela de encargos sociais apresentada a seguir, verifica-se um montante de encargos equivalente a 101,2% no total e a 94,68% quando se exclui as transferências. Como resultante o FCMOQ é dado por:</w:t>
      </w:r>
    </w:p>
    <w:p w:rsidR="00A26C4E" w:rsidRPr="00040A92" w:rsidRDefault="00A26C4E" w:rsidP="00A26C4E">
      <w:pPr>
        <w:tabs>
          <w:tab w:val="left" w:pos="7560"/>
        </w:tabs>
        <w:jc w:val="center"/>
        <w:rPr>
          <w:rFonts w:eastAsia="Times New Roman"/>
          <w:lang w:val="pt-BR" w:eastAsia="en-US"/>
        </w:rPr>
      </w:pPr>
      <w:r w:rsidRPr="00040A92">
        <w:rPr>
          <w:rFonts w:eastAsia="Times New Roman"/>
          <w:lang w:val="pt-BR" w:eastAsia="en-US"/>
        </w:rPr>
        <w:object w:dxaOrig="3280" w:dyaOrig="680">
          <v:shape id="_x0000_i1029" type="#_x0000_t75" style="width:164.15pt;height:34pt" o:ole="" fillcolor="window">
            <v:imagedata r:id="rId17" o:title=""/>
          </v:shape>
          <o:OLEObject Type="Embed" ProgID="Equation.3" ShapeID="_x0000_i1029" DrawAspect="Content" ObjectID="_1394879659" r:id="rId18"/>
        </w:object>
      </w:r>
    </w:p>
    <w:p w:rsidR="00A26C4E" w:rsidRDefault="00A26C4E" w:rsidP="00A26C4E">
      <w:pPr>
        <w:tabs>
          <w:tab w:val="left" w:pos="7560"/>
        </w:tabs>
        <w:jc w:val="center"/>
        <w:rPr>
          <w:rFonts w:eastAsia="Times New Roman"/>
          <w:lang w:val="pt-BR" w:eastAsia="en-US"/>
        </w:rPr>
      </w:pPr>
    </w:p>
    <w:p w:rsidR="003F3AA3" w:rsidRPr="00040A92" w:rsidRDefault="003F3AA3" w:rsidP="00A26C4E">
      <w:pPr>
        <w:tabs>
          <w:tab w:val="left" w:pos="7560"/>
        </w:tabs>
        <w:jc w:val="center"/>
        <w:rPr>
          <w:rFonts w:eastAsia="Times New Roman"/>
          <w:lang w:val="pt-BR" w:eastAsia="en-US"/>
        </w:rPr>
      </w:pPr>
    </w:p>
    <w:p w:rsidR="00A26C4E" w:rsidRPr="00040A92" w:rsidRDefault="00A26C4E" w:rsidP="00E021AB">
      <w:pPr>
        <w:ind w:left="708" w:firstLine="708"/>
        <w:rPr>
          <w:lang w:eastAsia="en-US"/>
        </w:rPr>
      </w:pPr>
    </w:p>
    <w:tbl>
      <w:tblPr>
        <w:tblW w:w="0" w:type="auto"/>
        <w:jc w:val="center"/>
        <w:tblLayout w:type="fixed"/>
        <w:tblCellMar>
          <w:left w:w="0" w:type="dxa"/>
          <w:right w:w="0" w:type="dxa"/>
        </w:tblCellMar>
        <w:tblLook w:val="0000"/>
      </w:tblPr>
      <w:tblGrid>
        <w:gridCol w:w="137"/>
        <w:gridCol w:w="5063"/>
        <w:gridCol w:w="1140"/>
        <w:gridCol w:w="1480"/>
      </w:tblGrid>
      <w:tr w:rsidR="00103CF4" w:rsidRPr="00040A92" w:rsidTr="00103CF4">
        <w:trPr>
          <w:trHeight w:val="66"/>
          <w:jc w:val="center"/>
        </w:trPr>
        <w:tc>
          <w:tcPr>
            <w:tcW w:w="7820" w:type="dxa"/>
            <w:gridSpan w:val="4"/>
            <w:tcBorders>
              <w:bottom w:val="single" w:sz="4" w:space="0" w:color="auto"/>
            </w:tcBorders>
            <w:vAlign w:val="bottom"/>
          </w:tcPr>
          <w:p w:rsidR="00103CF4" w:rsidRPr="003E2EFB" w:rsidRDefault="00103CF4" w:rsidP="0047679B">
            <w:pPr>
              <w:jc w:val="center"/>
              <w:rPr>
                <w:rFonts w:eastAsia="Times New Roman"/>
                <w:b/>
                <w:sz w:val="20"/>
                <w:szCs w:val="20"/>
                <w:lang w:val="pt-BR" w:eastAsia="en-US"/>
              </w:rPr>
            </w:pPr>
            <w:r w:rsidRPr="003E2EFB">
              <w:rPr>
                <w:b/>
                <w:sz w:val="20"/>
                <w:szCs w:val="20"/>
                <w:lang w:eastAsia="en-US"/>
              </w:rPr>
              <w:lastRenderedPageBreak/>
              <w:t>Tabela 2: Encargos Sociais</w:t>
            </w:r>
          </w:p>
        </w:tc>
      </w:tr>
      <w:tr w:rsidR="00A26C4E" w:rsidRPr="00103CF4" w:rsidTr="00103CF4">
        <w:trPr>
          <w:trHeight w:val="121"/>
          <w:jc w:val="center"/>
        </w:trPr>
        <w:tc>
          <w:tcPr>
            <w:tcW w:w="5200" w:type="dxa"/>
            <w:gridSpan w:val="2"/>
            <w:tcBorders>
              <w:top w:val="single" w:sz="4" w:space="0" w:color="auto"/>
              <w:left w:val="single" w:sz="4" w:space="0" w:color="auto"/>
              <w:bottom w:val="nil"/>
              <w:right w:val="single" w:sz="4" w:space="0" w:color="000000"/>
            </w:tcBorders>
            <w:shd w:val="clear" w:color="auto" w:fill="B6DDE8" w:themeFill="accent5" w:themeFillTint="66"/>
            <w:vAlign w:val="center"/>
          </w:tcPr>
          <w:p w:rsidR="00A26C4E" w:rsidRPr="00103CF4" w:rsidRDefault="00A26C4E" w:rsidP="00103CF4">
            <w:pPr>
              <w:jc w:val="center"/>
              <w:rPr>
                <w:b/>
                <w:sz w:val="20"/>
                <w:szCs w:val="20"/>
                <w:lang w:eastAsia="en-US"/>
              </w:rPr>
            </w:pPr>
            <w:r w:rsidRPr="00103CF4">
              <w:rPr>
                <w:b/>
                <w:sz w:val="20"/>
                <w:szCs w:val="20"/>
                <w:lang w:eastAsia="en-US"/>
              </w:rPr>
              <w:t>DISCRIMINAÇÃO</w:t>
            </w:r>
          </w:p>
        </w:tc>
        <w:tc>
          <w:tcPr>
            <w:tcW w:w="1140" w:type="dxa"/>
            <w:tcBorders>
              <w:top w:val="single" w:sz="4" w:space="0" w:color="auto"/>
              <w:left w:val="nil"/>
              <w:bottom w:val="single" w:sz="4" w:space="0" w:color="auto"/>
              <w:right w:val="single" w:sz="4" w:space="0" w:color="auto"/>
            </w:tcBorders>
            <w:shd w:val="clear" w:color="auto" w:fill="B6DDE8" w:themeFill="accent5" w:themeFillTint="66"/>
            <w:vAlign w:val="center"/>
          </w:tcPr>
          <w:p w:rsidR="00A26C4E" w:rsidRPr="00103CF4" w:rsidRDefault="00A26C4E" w:rsidP="00103CF4">
            <w:pPr>
              <w:jc w:val="center"/>
              <w:rPr>
                <w:rFonts w:eastAsia="Times New Roman"/>
                <w:b/>
                <w:sz w:val="20"/>
                <w:szCs w:val="20"/>
                <w:lang w:val="pt-BR" w:eastAsia="en-US"/>
              </w:rPr>
            </w:pPr>
            <w:r w:rsidRPr="00103CF4">
              <w:rPr>
                <w:rFonts w:eastAsia="Times New Roman"/>
                <w:b/>
                <w:sz w:val="20"/>
                <w:szCs w:val="20"/>
                <w:lang w:val="pt-BR" w:eastAsia="en-US"/>
              </w:rPr>
              <w:t>TOTAL</w:t>
            </w:r>
          </w:p>
        </w:tc>
        <w:tc>
          <w:tcPr>
            <w:tcW w:w="1480" w:type="dxa"/>
            <w:tcBorders>
              <w:top w:val="single" w:sz="4" w:space="0" w:color="auto"/>
              <w:left w:val="nil"/>
              <w:bottom w:val="single" w:sz="4" w:space="0" w:color="auto"/>
              <w:right w:val="single" w:sz="4" w:space="0" w:color="auto"/>
            </w:tcBorders>
            <w:shd w:val="clear" w:color="auto" w:fill="B6DDE8" w:themeFill="accent5" w:themeFillTint="66"/>
            <w:vAlign w:val="center"/>
          </w:tcPr>
          <w:p w:rsidR="00A26C4E" w:rsidRPr="00103CF4" w:rsidRDefault="00A26C4E" w:rsidP="00103CF4">
            <w:pPr>
              <w:jc w:val="center"/>
              <w:rPr>
                <w:rFonts w:eastAsia="Times New Roman"/>
                <w:b/>
                <w:sz w:val="20"/>
                <w:szCs w:val="20"/>
                <w:lang w:val="pt-BR" w:eastAsia="en-US"/>
              </w:rPr>
            </w:pPr>
            <w:r w:rsidRPr="00103CF4">
              <w:rPr>
                <w:rFonts w:eastAsia="Times New Roman"/>
                <w:b/>
                <w:sz w:val="20"/>
                <w:szCs w:val="20"/>
                <w:lang w:val="pt-BR" w:eastAsia="en-US"/>
              </w:rPr>
              <w:t>Exclusive Transferências</w:t>
            </w:r>
          </w:p>
        </w:tc>
      </w:tr>
      <w:tr w:rsidR="00A26C4E" w:rsidRPr="00040A92" w:rsidTr="0047679B">
        <w:trPr>
          <w:trHeight w:val="255"/>
          <w:jc w:val="center"/>
        </w:trPr>
        <w:tc>
          <w:tcPr>
            <w:tcW w:w="5200" w:type="dxa"/>
            <w:gridSpan w:val="2"/>
            <w:tcBorders>
              <w:top w:val="single" w:sz="4" w:space="0" w:color="auto"/>
              <w:left w:val="single" w:sz="4" w:space="0" w:color="auto"/>
              <w:bottom w:val="single" w:sz="4" w:space="0" w:color="auto"/>
              <w:right w:val="single" w:sz="4" w:space="0" w:color="000000"/>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A - Encargos Socais Fundamentais</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INSS</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20,00%</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20,00%</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SENAI</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1,00%</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SESI</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1,50%</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Salário Educação</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2,50%</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2,50%</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Seguro de Acidentes</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2,00%</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FGTS</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8,00%</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8,00%</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TOTAL A</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35,00%</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30,50%</w:t>
            </w:r>
          </w:p>
        </w:tc>
      </w:tr>
      <w:tr w:rsidR="00A26C4E" w:rsidRPr="00040A92" w:rsidTr="0047679B">
        <w:trPr>
          <w:trHeight w:val="255"/>
          <w:jc w:val="center"/>
        </w:trPr>
        <w:tc>
          <w:tcPr>
            <w:tcW w:w="5200" w:type="dxa"/>
            <w:gridSpan w:val="2"/>
            <w:tcBorders>
              <w:top w:val="single" w:sz="4" w:space="0" w:color="auto"/>
              <w:left w:val="single" w:sz="4" w:space="0" w:color="auto"/>
              <w:bottom w:val="single" w:sz="4" w:space="0" w:color="auto"/>
              <w:right w:val="single" w:sz="4" w:space="0" w:color="000000"/>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B - Encargos Sociais Decorrentes</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Feriados</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3,71%</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3,71%</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Repouso Semanal Remunerado</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17,75%</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17,75%</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Férias</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11,11%</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11,11%</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Auxílio Doença</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0,61%</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0,61%</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Faltas Justificadas</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1,86%</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1,86%</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xml:space="preserve">Licença </w:t>
            </w:r>
            <w:r w:rsidR="00397E49" w:rsidRPr="00103CF4">
              <w:rPr>
                <w:rFonts w:eastAsia="Times New Roman"/>
                <w:sz w:val="20"/>
                <w:szCs w:val="20"/>
                <w:lang w:val="pt-BR" w:eastAsia="en-US"/>
              </w:rPr>
              <w:t>–</w:t>
            </w:r>
            <w:r w:rsidRPr="00103CF4">
              <w:rPr>
                <w:rFonts w:eastAsia="Times New Roman"/>
                <w:sz w:val="20"/>
                <w:szCs w:val="20"/>
                <w:lang w:val="pt-BR" w:eastAsia="en-US"/>
              </w:rPr>
              <w:t xml:space="preserve"> Paternidade</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0,10%</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0,10%</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Exames Médicos</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0,37%</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Aviso Prévio</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0,84%</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0,84%</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Décimo Terceiro Salário</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8,33%</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8,33%</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TOTAL B</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44,68%</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44,31%</w:t>
            </w:r>
          </w:p>
        </w:tc>
      </w:tr>
      <w:tr w:rsidR="00A26C4E" w:rsidRPr="00040A92" w:rsidTr="0047679B">
        <w:trPr>
          <w:trHeight w:val="255"/>
          <w:jc w:val="center"/>
        </w:trPr>
        <w:tc>
          <w:tcPr>
            <w:tcW w:w="5200" w:type="dxa"/>
            <w:gridSpan w:val="2"/>
            <w:tcBorders>
              <w:top w:val="single" w:sz="4" w:space="0" w:color="auto"/>
              <w:left w:val="single" w:sz="4" w:space="0" w:color="auto"/>
              <w:bottom w:val="single" w:sz="4" w:space="0" w:color="auto"/>
              <w:right w:val="single" w:sz="4" w:space="0" w:color="000000"/>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C - Incidência de A sobre B</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15,64%</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13,52%</w:t>
            </w:r>
          </w:p>
        </w:tc>
      </w:tr>
      <w:tr w:rsidR="00A26C4E" w:rsidRPr="00040A92" w:rsidTr="0047679B">
        <w:trPr>
          <w:trHeight w:val="255"/>
          <w:jc w:val="center"/>
        </w:trPr>
        <w:tc>
          <w:tcPr>
            <w:tcW w:w="5200" w:type="dxa"/>
            <w:gridSpan w:val="2"/>
            <w:tcBorders>
              <w:top w:val="single" w:sz="4" w:space="0" w:color="auto"/>
              <w:left w:val="single" w:sz="4" w:space="0" w:color="auto"/>
              <w:bottom w:val="single" w:sz="4" w:space="0" w:color="auto"/>
              <w:right w:val="single" w:sz="4" w:space="0" w:color="000000"/>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D - Outros Encargos</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Despedida sem justa causa</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4,84%</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4,84%</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Indenização antes de convenção</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0,74%</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0,74%</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Aviso prévio indenizado</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0,29%</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0,29%</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TOTAL D</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5,87%</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5,87%</w:t>
            </w:r>
          </w:p>
        </w:tc>
      </w:tr>
      <w:tr w:rsidR="00A26C4E" w:rsidRPr="00040A92" w:rsidTr="0047679B">
        <w:trPr>
          <w:trHeight w:val="255"/>
          <w:jc w:val="center"/>
        </w:trPr>
        <w:tc>
          <w:tcPr>
            <w:tcW w:w="137" w:type="dxa"/>
            <w:tcBorders>
              <w:top w:val="nil"/>
              <w:left w:val="single" w:sz="4" w:space="0" w:color="auto"/>
              <w:bottom w:val="single" w:sz="4" w:space="0" w:color="auto"/>
              <w:right w:val="nil"/>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 </w:t>
            </w:r>
          </w:p>
        </w:tc>
        <w:tc>
          <w:tcPr>
            <w:tcW w:w="5063" w:type="dxa"/>
            <w:tcBorders>
              <w:top w:val="nil"/>
              <w:left w:val="nil"/>
              <w:bottom w:val="single" w:sz="4" w:space="0" w:color="auto"/>
              <w:right w:val="single" w:sz="4" w:space="0" w:color="auto"/>
            </w:tcBorders>
            <w:vAlign w:val="bottom"/>
          </w:tcPr>
          <w:p w:rsidR="00A26C4E" w:rsidRPr="00103CF4" w:rsidRDefault="00A26C4E" w:rsidP="0047679B">
            <w:pPr>
              <w:rPr>
                <w:rFonts w:eastAsia="Times New Roman"/>
                <w:sz w:val="20"/>
                <w:szCs w:val="20"/>
                <w:lang w:val="pt-BR" w:eastAsia="en-US"/>
              </w:rPr>
            </w:pPr>
            <w:r w:rsidRPr="00103CF4">
              <w:rPr>
                <w:rFonts w:eastAsia="Times New Roman"/>
                <w:sz w:val="20"/>
                <w:szCs w:val="20"/>
                <w:lang w:val="pt-BR" w:eastAsia="en-US"/>
              </w:rPr>
              <w:t>TOTAL DE ENCARGOS A+B+C+D+E</w:t>
            </w:r>
          </w:p>
        </w:tc>
        <w:tc>
          <w:tcPr>
            <w:tcW w:w="114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101,20%</w:t>
            </w:r>
          </w:p>
        </w:tc>
        <w:tc>
          <w:tcPr>
            <w:tcW w:w="1480" w:type="dxa"/>
            <w:tcBorders>
              <w:top w:val="nil"/>
              <w:left w:val="nil"/>
              <w:bottom w:val="single" w:sz="4" w:space="0" w:color="auto"/>
              <w:right w:val="single" w:sz="4" w:space="0" w:color="auto"/>
            </w:tcBorders>
            <w:vAlign w:val="bottom"/>
          </w:tcPr>
          <w:p w:rsidR="00A26C4E" w:rsidRPr="00103CF4" w:rsidRDefault="00A26C4E" w:rsidP="0047679B">
            <w:pPr>
              <w:jc w:val="right"/>
              <w:rPr>
                <w:rFonts w:eastAsia="Times New Roman"/>
                <w:sz w:val="20"/>
                <w:szCs w:val="20"/>
                <w:lang w:val="pt-BR" w:eastAsia="en-US"/>
              </w:rPr>
            </w:pPr>
            <w:r w:rsidRPr="00103CF4">
              <w:rPr>
                <w:rFonts w:eastAsia="Times New Roman"/>
                <w:sz w:val="20"/>
                <w:szCs w:val="20"/>
                <w:lang w:val="pt-BR" w:eastAsia="en-US"/>
              </w:rPr>
              <w:t>94,20%</w:t>
            </w:r>
          </w:p>
        </w:tc>
      </w:tr>
    </w:tbl>
    <w:p w:rsidR="00B06A9C" w:rsidRPr="00822923" w:rsidRDefault="00B06A9C" w:rsidP="00103CF4">
      <w:pPr>
        <w:numPr>
          <w:ilvl w:val="0"/>
          <w:numId w:val="4"/>
        </w:numPr>
        <w:spacing w:before="120" w:after="120"/>
        <w:jc w:val="both"/>
        <w:rPr>
          <w:rFonts w:eastAsia="Times New Roman"/>
          <w:lang w:val="pt-BR" w:eastAsia="en-US"/>
        </w:rPr>
      </w:pPr>
      <w:r w:rsidRPr="00822923">
        <w:rPr>
          <w:rFonts w:eastAsia="Times New Roman"/>
          <w:lang w:val="pt-BR" w:eastAsia="en-US"/>
        </w:rPr>
        <w:t>Utilizaram</w:t>
      </w:r>
      <w:r w:rsidR="00040A92" w:rsidRPr="00822923">
        <w:rPr>
          <w:rFonts w:eastAsia="Times New Roman"/>
          <w:lang w:val="pt-BR" w:eastAsia="en-US"/>
        </w:rPr>
        <w:t>-se, também, para a análise de sensibilidade</w:t>
      </w:r>
      <w:r w:rsidRPr="00822923">
        <w:rPr>
          <w:rFonts w:eastAsia="Times New Roman"/>
          <w:lang w:val="pt-BR" w:eastAsia="en-US"/>
        </w:rPr>
        <w:t>, os Fatores de Conversão obtidos em Fontenele e Vasconcelos (2004), dados por: FCP = 0,94; FCMOQ = 0,81; e FCMONQ = 0,46.</w:t>
      </w:r>
    </w:p>
    <w:p w:rsidR="00E021AB" w:rsidRPr="00103CF4" w:rsidRDefault="00E021AB" w:rsidP="002468E3">
      <w:pPr>
        <w:pStyle w:val="Heading2"/>
        <w:jc w:val="left"/>
        <w:rPr>
          <w:rFonts w:ascii="Times New Roman" w:hAnsi="Times New Roman"/>
          <w:sz w:val="24"/>
        </w:rPr>
      </w:pPr>
      <w:bookmarkStart w:id="6" w:name="_Toc320875537"/>
      <w:r w:rsidRPr="00103CF4">
        <w:rPr>
          <w:rFonts w:ascii="Times New Roman" w:hAnsi="Times New Roman"/>
          <w:sz w:val="24"/>
        </w:rPr>
        <w:t>Critérios de análise e hipóteses gerais</w:t>
      </w:r>
      <w:bookmarkEnd w:id="6"/>
    </w:p>
    <w:p w:rsidR="00A26C4E" w:rsidRPr="00822923" w:rsidRDefault="00515338" w:rsidP="00103CF4">
      <w:pPr>
        <w:numPr>
          <w:ilvl w:val="0"/>
          <w:numId w:val="4"/>
        </w:numPr>
        <w:spacing w:before="120" w:after="120"/>
        <w:jc w:val="both"/>
        <w:rPr>
          <w:rFonts w:eastAsia="Times New Roman"/>
          <w:lang w:val="pt-BR" w:eastAsia="en-US"/>
        </w:rPr>
      </w:pPr>
      <w:r w:rsidRPr="00822923">
        <w:rPr>
          <w:rFonts w:eastAsia="Times New Roman"/>
          <w:lang w:val="pt-BR" w:eastAsia="en-US"/>
        </w:rPr>
        <w:t>Uma vez convertidos custos e benefícios a preços sociais, a metodologia consiste em calcular e avaliar o Valor Presente Líquido Social (VPLS) e a Taxa Interna de Retorno Social (TIRS) do projeto, considerando-o economicamente viável para resultados de VPLS positivos e/ou TIRS acima da taxa de desconto utilizada como custo de oportunidade.</w:t>
      </w:r>
    </w:p>
    <w:p w:rsidR="00515338" w:rsidRPr="00822923" w:rsidRDefault="00515338" w:rsidP="00103CF4">
      <w:pPr>
        <w:numPr>
          <w:ilvl w:val="0"/>
          <w:numId w:val="4"/>
        </w:numPr>
        <w:spacing w:before="120" w:after="120"/>
        <w:jc w:val="both"/>
        <w:rPr>
          <w:rFonts w:eastAsia="Times New Roman"/>
          <w:lang w:val="pt-BR" w:eastAsia="en-US"/>
        </w:rPr>
      </w:pPr>
      <w:r w:rsidRPr="00822923">
        <w:rPr>
          <w:rFonts w:eastAsia="Times New Roman"/>
          <w:lang w:val="pt-BR" w:eastAsia="en-US"/>
        </w:rPr>
        <w:t>As seguintes hipóteses gerais foram assumidas para a análise como um todo:</w:t>
      </w:r>
    </w:p>
    <w:p w:rsidR="00515338" w:rsidRPr="00822923" w:rsidRDefault="00515338" w:rsidP="00103CF4">
      <w:pPr>
        <w:numPr>
          <w:ilvl w:val="0"/>
          <w:numId w:val="4"/>
        </w:numPr>
        <w:spacing w:before="120" w:after="120"/>
        <w:jc w:val="both"/>
        <w:rPr>
          <w:rFonts w:eastAsia="Times New Roman"/>
          <w:lang w:val="pt-BR" w:eastAsia="en-US"/>
        </w:rPr>
      </w:pPr>
      <w:r w:rsidRPr="00FF24E1">
        <w:rPr>
          <w:rFonts w:eastAsia="Times New Roman"/>
          <w:b/>
          <w:lang w:val="pt-BR" w:eastAsia="en-US"/>
        </w:rPr>
        <w:t>Hipótese G1:</w:t>
      </w:r>
      <w:r w:rsidRPr="00822923">
        <w:rPr>
          <w:rFonts w:eastAsia="Times New Roman"/>
          <w:lang w:val="pt-BR" w:eastAsia="en-US"/>
        </w:rPr>
        <w:t xml:space="preserve"> Utilizou-se a taxa de desconto indicada pelo Banco Interamericano de Desenvolvimento de 12% como custo de oportunidade do projeto;</w:t>
      </w:r>
    </w:p>
    <w:p w:rsidR="00515338" w:rsidRPr="00822923" w:rsidRDefault="00515338" w:rsidP="00103CF4">
      <w:pPr>
        <w:pStyle w:val="ListParagraph"/>
        <w:numPr>
          <w:ilvl w:val="0"/>
          <w:numId w:val="4"/>
        </w:numPr>
        <w:spacing w:before="120" w:after="120" w:line="240" w:lineRule="auto"/>
        <w:contextualSpacing w:val="0"/>
        <w:jc w:val="both"/>
        <w:rPr>
          <w:rFonts w:ascii="Times New Roman" w:hAnsi="Times New Roman"/>
          <w:sz w:val="24"/>
          <w:szCs w:val="24"/>
          <w:lang w:val="pt-BR"/>
        </w:rPr>
      </w:pPr>
      <w:r w:rsidRPr="00FF24E1">
        <w:rPr>
          <w:rFonts w:ascii="Times New Roman" w:hAnsi="Times New Roman"/>
          <w:b/>
          <w:sz w:val="24"/>
          <w:szCs w:val="24"/>
          <w:lang w:val="pt-BR"/>
        </w:rPr>
        <w:t>Hipótese G2:</w:t>
      </w:r>
      <w:r w:rsidRPr="00822923">
        <w:rPr>
          <w:rFonts w:ascii="Times New Roman" w:hAnsi="Times New Roman"/>
          <w:sz w:val="24"/>
          <w:szCs w:val="24"/>
          <w:lang w:val="pt-BR"/>
        </w:rPr>
        <w:t xml:space="preserve"> Todos os valores nominais em reais a preços de 2011 foram convertidos para </w:t>
      </w:r>
      <w:r w:rsidR="009A3951">
        <w:rPr>
          <w:rFonts w:ascii="Times New Roman" w:hAnsi="Times New Roman"/>
          <w:sz w:val="24"/>
          <w:szCs w:val="24"/>
          <w:lang w:val="pt-BR"/>
        </w:rPr>
        <w:t>dólar à taxa de câmbio de R$ 1,8</w:t>
      </w:r>
      <w:r w:rsidRPr="00822923">
        <w:rPr>
          <w:rFonts w:ascii="Times New Roman" w:hAnsi="Times New Roman"/>
          <w:sz w:val="24"/>
          <w:szCs w:val="24"/>
          <w:lang w:val="pt-BR"/>
        </w:rPr>
        <w:t>0 por unidade de dólar. Desconsiderou-se a inflação em dólar.</w:t>
      </w:r>
    </w:p>
    <w:p w:rsidR="00410259" w:rsidRPr="00822923" w:rsidRDefault="00410259" w:rsidP="00103CF4">
      <w:pPr>
        <w:pStyle w:val="ListParagraph"/>
        <w:numPr>
          <w:ilvl w:val="0"/>
          <w:numId w:val="4"/>
        </w:numPr>
        <w:spacing w:before="120" w:after="120" w:line="240" w:lineRule="auto"/>
        <w:contextualSpacing w:val="0"/>
        <w:jc w:val="both"/>
        <w:rPr>
          <w:rFonts w:ascii="Times New Roman" w:hAnsi="Times New Roman"/>
          <w:sz w:val="24"/>
          <w:szCs w:val="24"/>
          <w:lang w:val="pt-BR"/>
        </w:rPr>
      </w:pPr>
      <w:r w:rsidRPr="00FF24E1">
        <w:rPr>
          <w:rFonts w:ascii="Times New Roman" w:hAnsi="Times New Roman"/>
          <w:b/>
          <w:sz w:val="24"/>
          <w:szCs w:val="24"/>
          <w:lang w:val="pt-BR"/>
        </w:rPr>
        <w:t>Hipótese G3</w:t>
      </w:r>
      <w:r w:rsidRPr="00822923">
        <w:rPr>
          <w:rFonts w:ascii="Times New Roman" w:hAnsi="Times New Roman"/>
          <w:sz w:val="24"/>
          <w:szCs w:val="24"/>
          <w:lang w:val="pt-BR"/>
        </w:rPr>
        <w:t>:</w:t>
      </w:r>
      <w:r w:rsidR="004D0F09" w:rsidRPr="00822923">
        <w:rPr>
          <w:rFonts w:ascii="Times New Roman" w:hAnsi="Times New Roman"/>
          <w:sz w:val="24"/>
          <w:szCs w:val="24"/>
          <w:lang w:val="pt-BR"/>
        </w:rPr>
        <w:t xml:space="preserve"> A vida útil do projeto é de 30 anos, padrão para estruturas físicas.</w:t>
      </w:r>
    </w:p>
    <w:p w:rsidR="00887646" w:rsidRPr="00822923" w:rsidRDefault="00887646" w:rsidP="00103CF4">
      <w:pPr>
        <w:pStyle w:val="ListParagraph"/>
        <w:numPr>
          <w:ilvl w:val="0"/>
          <w:numId w:val="4"/>
        </w:numPr>
        <w:spacing w:before="120" w:after="120" w:line="240" w:lineRule="auto"/>
        <w:contextualSpacing w:val="0"/>
        <w:jc w:val="both"/>
        <w:rPr>
          <w:rFonts w:ascii="Times New Roman" w:hAnsi="Times New Roman"/>
          <w:sz w:val="24"/>
          <w:szCs w:val="24"/>
          <w:lang w:val="pt-BR"/>
        </w:rPr>
      </w:pPr>
      <w:r w:rsidRPr="00FF24E1">
        <w:rPr>
          <w:rFonts w:ascii="Times New Roman" w:hAnsi="Times New Roman"/>
          <w:b/>
          <w:sz w:val="24"/>
          <w:szCs w:val="24"/>
          <w:lang w:val="pt-BR"/>
        </w:rPr>
        <w:lastRenderedPageBreak/>
        <w:t>Hipótese G4:</w:t>
      </w:r>
      <w:r w:rsidRPr="00822923">
        <w:rPr>
          <w:rFonts w:ascii="Times New Roman" w:hAnsi="Times New Roman"/>
          <w:sz w:val="24"/>
          <w:szCs w:val="24"/>
          <w:lang w:val="pt-BR"/>
        </w:rPr>
        <w:t xml:space="preserve"> Melhoria na qualidade do Ensino Básico propiciada pelo projeto construirá um elo estável entre o EF e o Ensino Médio</w:t>
      </w:r>
      <w:r w:rsidR="0087348C" w:rsidRPr="00822923">
        <w:rPr>
          <w:rFonts w:ascii="Times New Roman" w:hAnsi="Times New Roman"/>
          <w:sz w:val="24"/>
          <w:szCs w:val="24"/>
          <w:lang w:val="pt-BR"/>
        </w:rPr>
        <w:t xml:space="preserve"> (EM)</w:t>
      </w:r>
      <w:r w:rsidRPr="00822923">
        <w:rPr>
          <w:rFonts w:ascii="Times New Roman" w:hAnsi="Times New Roman"/>
          <w:sz w:val="24"/>
          <w:szCs w:val="24"/>
          <w:lang w:val="pt-BR"/>
        </w:rPr>
        <w:t xml:space="preserve">, resultando </w:t>
      </w:r>
      <w:r w:rsidR="008244C5">
        <w:rPr>
          <w:rFonts w:ascii="Times New Roman" w:hAnsi="Times New Roman"/>
          <w:sz w:val="24"/>
          <w:szCs w:val="24"/>
          <w:lang w:val="pt-BR"/>
        </w:rPr>
        <w:t>n</w:t>
      </w:r>
      <w:r w:rsidRPr="00822923">
        <w:rPr>
          <w:rFonts w:ascii="Times New Roman" w:hAnsi="Times New Roman"/>
          <w:sz w:val="24"/>
          <w:szCs w:val="24"/>
          <w:lang w:val="pt-BR"/>
        </w:rPr>
        <w:t>a formação de trabalhadores qualificados até este nível de ensino</w:t>
      </w:r>
      <w:r w:rsidR="008244C5">
        <w:rPr>
          <w:rFonts w:ascii="Times New Roman" w:hAnsi="Times New Roman"/>
          <w:sz w:val="24"/>
          <w:szCs w:val="24"/>
          <w:lang w:val="pt-BR"/>
        </w:rPr>
        <w:t xml:space="preserve"> (EM)</w:t>
      </w:r>
      <w:r w:rsidRPr="00822923">
        <w:rPr>
          <w:rFonts w:ascii="Times New Roman" w:hAnsi="Times New Roman"/>
          <w:sz w:val="24"/>
          <w:szCs w:val="24"/>
          <w:lang w:val="pt-BR"/>
        </w:rPr>
        <w:t>.</w:t>
      </w:r>
    </w:p>
    <w:p w:rsidR="00C85DA8" w:rsidRPr="00822923" w:rsidRDefault="00C85DA8" w:rsidP="00103CF4">
      <w:pPr>
        <w:pStyle w:val="ListParagraph"/>
        <w:numPr>
          <w:ilvl w:val="0"/>
          <w:numId w:val="4"/>
        </w:numPr>
        <w:spacing w:before="120" w:after="120" w:line="240" w:lineRule="auto"/>
        <w:contextualSpacing w:val="0"/>
        <w:jc w:val="both"/>
        <w:rPr>
          <w:rFonts w:ascii="Times New Roman" w:hAnsi="Times New Roman"/>
          <w:sz w:val="24"/>
          <w:szCs w:val="24"/>
          <w:lang w:val="pt-BR"/>
        </w:rPr>
      </w:pPr>
      <w:r w:rsidRPr="00822923">
        <w:rPr>
          <w:rFonts w:ascii="Times New Roman" w:hAnsi="Times New Roman"/>
          <w:sz w:val="24"/>
          <w:szCs w:val="24"/>
          <w:lang w:val="pt-BR"/>
        </w:rPr>
        <w:t xml:space="preserve">Das hipóteses gerais, apenas a G4 requer uma argumentação </w:t>
      </w:r>
      <w:r w:rsidR="00CF4AE8" w:rsidRPr="00822923">
        <w:rPr>
          <w:rFonts w:ascii="Times New Roman" w:hAnsi="Times New Roman"/>
          <w:sz w:val="24"/>
          <w:szCs w:val="24"/>
          <w:lang w:val="pt-BR"/>
        </w:rPr>
        <w:t xml:space="preserve">como base. Fato é que a REM já apresenta indicadores de oferta e qualidade acima da média nacional para o EB, </w:t>
      </w:r>
      <w:r w:rsidR="00EB1952" w:rsidRPr="00822923">
        <w:rPr>
          <w:rFonts w:ascii="Times New Roman" w:hAnsi="Times New Roman"/>
          <w:sz w:val="24"/>
          <w:szCs w:val="24"/>
          <w:lang w:val="pt-BR"/>
        </w:rPr>
        <w:t>embora os resultados estejam muito abaixo dos padrões internacionais. Há, assim, a possibilidade clara de que avanços</w:t>
      </w:r>
      <w:r w:rsidRPr="00822923">
        <w:rPr>
          <w:rFonts w:ascii="Times New Roman" w:hAnsi="Times New Roman"/>
          <w:sz w:val="24"/>
          <w:szCs w:val="24"/>
          <w:lang w:val="pt-BR"/>
        </w:rPr>
        <w:t xml:space="preserve"> </w:t>
      </w:r>
      <w:r w:rsidR="00EB1952" w:rsidRPr="00822923">
        <w:rPr>
          <w:rFonts w:ascii="Times New Roman" w:hAnsi="Times New Roman"/>
          <w:sz w:val="24"/>
          <w:szCs w:val="24"/>
          <w:lang w:val="pt-BR"/>
        </w:rPr>
        <w:t>na qualificação desse nível de ensino gere</w:t>
      </w:r>
      <w:r w:rsidR="00807F8C" w:rsidRPr="00822923">
        <w:rPr>
          <w:rFonts w:ascii="Times New Roman" w:hAnsi="Times New Roman"/>
          <w:sz w:val="24"/>
          <w:szCs w:val="24"/>
          <w:lang w:val="pt-BR"/>
        </w:rPr>
        <w:t>m</w:t>
      </w:r>
      <w:r w:rsidR="00EB1952" w:rsidRPr="00822923">
        <w:rPr>
          <w:rFonts w:ascii="Times New Roman" w:hAnsi="Times New Roman"/>
          <w:sz w:val="24"/>
          <w:szCs w:val="24"/>
          <w:lang w:val="pt-BR"/>
        </w:rPr>
        <w:t xml:space="preserve"> impactos relevantes para o desenvolvimento das crianças, bem como em seu desempenho nos níveis subsequentes de aprendizagem, propiciando uma maior probabilidade de sucesso para a conclusão do Ensino Médio. </w:t>
      </w:r>
    </w:p>
    <w:p w:rsidR="00E021AB" w:rsidRPr="00103CF4" w:rsidRDefault="00E021AB" w:rsidP="002A6E6E">
      <w:pPr>
        <w:pStyle w:val="Heading2"/>
        <w:jc w:val="left"/>
        <w:rPr>
          <w:rFonts w:ascii="Times New Roman" w:hAnsi="Times New Roman"/>
          <w:sz w:val="24"/>
        </w:rPr>
      </w:pPr>
      <w:bookmarkStart w:id="7" w:name="_Toc320875538"/>
      <w:r w:rsidRPr="00103CF4">
        <w:rPr>
          <w:rFonts w:ascii="Times New Roman" w:hAnsi="Times New Roman"/>
          <w:sz w:val="24"/>
        </w:rPr>
        <w:t>Benefícios: Aspectos teóricos</w:t>
      </w:r>
      <w:bookmarkEnd w:id="7"/>
    </w:p>
    <w:p w:rsidR="00E021AB" w:rsidRDefault="00E021AB" w:rsidP="00FF24E1">
      <w:pPr>
        <w:pStyle w:val="ListParagraph"/>
        <w:spacing w:before="120" w:after="0" w:line="240" w:lineRule="auto"/>
        <w:ind w:left="0"/>
        <w:jc w:val="both"/>
        <w:rPr>
          <w:rFonts w:ascii="Times New Roman" w:eastAsia="Calibri" w:hAnsi="Times New Roman"/>
          <w:sz w:val="24"/>
          <w:szCs w:val="24"/>
          <w:lang w:val="pt-BR" w:eastAsia="es-ES"/>
        </w:rPr>
      </w:pPr>
    </w:p>
    <w:p w:rsidR="002D1AFE" w:rsidRDefault="00B43772" w:rsidP="00103CF4">
      <w:pPr>
        <w:pStyle w:val="ListParagraph"/>
        <w:numPr>
          <w:ilvl w:val="0"/>
          <w:numId w:val="4"/>
        </w:numPr>
        <w:spacing w:before="120" w:after="120" w:line="240" w:lineRule="auto"/>
        <w:contextualSpacing w:val="0"/>
        <w:jc w:val="both"/>
        <w:rPr>
          <w:rFonts w:ascii="Times New Roman" w:eastAsia="Calibri" w:hAnsi="Times New Roman"/>
          <w:sz w:val="24"/>
          <w:szCs w:val="24"/>
          <w:lang w:val="pt-BR" w:eastAsia="es-ES"/>
        </w:rPr>
      </w:pPr>
      <w:r>
        <w:rPr>
          <w:rFonts w:ascii="Times New Roman" w:eastAsia="Calibri" w:hAnsi="Times New Roman"/>
          <w:sz w:val="24"/>
          <w:szCs w:val="24"/>
          <w:lang w:val="pt-BR" w:eastAsia="es-ES"/>
        </w:rPr>
        <w:t>A mensuração dos benefícios de um projeto com o escopo voltado para, principalmente, a melhoria da qualidade da educação</w:t>
      </w:r>
      <w:r w:rsidR="00F8440C">
        <w:rPr>
          <w:rFonts w:ascii="Times New Roman" w:eastAsia="Calibri" w:hAnsi="Times New Roman"/>
          <w:sz w:val="24"/>
          <w:szCs w:val="24"/>
          <w:lang w:val="pt-BR" w:eastAsia="es-ES"/>
        </w:rPr>
        <w:t xml:space="preserve"> enfrenta dificuldades adicionais, como foi apontado na introdução deste Relatório, que procuraremos explicitar com base numa breve revisão da literatura.</w:t>
      </w:r>
    </w:p>
    <w:p w:rsidR="00E3691D" w:rsidRDefault="00E74315" w:rsidP="00103CF4">
      <w:pPr>
        <w:pStyle w:val="ListParagraph"/>
        <w:numPr>
          <w:ilvl w:val="0"/>
          <w:numId w:val="4"/>
        </w:numPr>
        <w:spacing w:before="120" w:after="120" w:line="240" w:lineRule="auto"/>
        <w:contextualSpacing w:val="0"/>
        <w:jc w:val="both"/>
        <w:rPr>
          <w:rFonts w:ascii="Times New Roman" w:eastAsia="Calibri" w:hAnsi="Times New Roman"/>
          <w:sz w:val="24"/>
          <w:szCs w:val="24"/>
          <w:lang w:val="pt-BR" w:eastAsia="es-ES"/>
        </w:rPr>
      </w:pPr>
      <w:r>
        <w:rPr>
          <w:rFonts w:ascii="Times New Roman" w:eastAsia="Calibri" w:hAnsi="Times New Roman"/>
          <w:sz w:val="24"/>
          <w:szCs w:val="24"/>
          <w:lang w:val="pt-BR" w:eastAsia="es-ES"/>
        </w:rPr>
        <w:t>Vernez</w:t>
      </w:r>
      <w:r w:rsidR="00E175C0" w:rsidRPr="008C038B">
        <w:rPr>
          <w:rFonts w:ascii="Times New Roman" w:eastAsia="Calibri" w:hAnsi="Times New Roman"/>
          <w:sz w:val="24"/>
          <w:szCs w:val="24"/>
          <w:lang w:val="pt-BR" w:eastAsia="es-ES"/>
        </w:rPr>
        <w:t xml:space="preserve"> </w:t>
      </w:r>
      <w:r w:rsidR="00E175C0" w:rsidRPr="00B708CA">
        <w:rPr>
          <w:rFonts w:ascii="Times New Roman" w:eastAsia="Calibri" w:hAnsi="Times New Roman"/>
          <w:i/>
          <w:sz w:val="24"/>
          <w:szCs w:val="24"/>
          <w:lang w:val="pt-BR" w:eastAsia="es-ES"/>
        </w:rPr>
        <w:t>et all</w:t>
      </w:r>
      <w:r w:rsidR="00E175C0" w:rsidRPr="008C038B">
        <w:rPr>
          <w:rFonts w:ascii="Times New Roman" w:eastAsia="Calibri" w:hAnsi="Times New Roman"/>
          <w:sz w:val="24"/>
          <w:szCs w:val="24"/>
          <w:lang w:val="pt-BR" w:eastAsia="es-ES"/>
        </w:rPr>
        <w:t xml:space="preserve"> (1999) apresentam uma revisão bastante compreensiva sobre a literatura de crescimento econômico baseada em conhecimento, em que a educação tem um papel fundamental tanto na disseminação quanto no desenvolvimento da tecnologia. Tal literatura recebeu contribuições importantes </w:t>
      </w:r>
      <w:r w:rsidR="008C038B" w:rsidRPr="008C038B">
        <w:rPr>
          <w:rFonts w:ascii="Times New Roman" w:eastAsia="Calibri" w:hAnsi="Times New Roman"/>
          <w:sz w:val="24"/>
          <w:szCs w:val="24"/>
          <w:lang w:val="pt-BR" w:eastAsia="es-ES"/>
        </w:rPr>
        <w:t>da nova teoria de crescimento endógeno (p.e. Romer 1986, 1990; Lucas 1988) e dos modelos de Solow aumentados por capital humano (p.e.. Mankiw, Romer and Weil 1992), acompanhados por testes empíricos (p.e. Barro 1992, 1997; Kim and Lau 1996)</w:t>
      </w:r>
      <w:r>
        <w:rPr>
          <w:rFonts w:ascii="Times New Roman" w:eastAsia="Calibri" w:hAnsi="Times New Roman"/>
          <w:sz w:val="24"/>
          <w:szCs w:val="24"/>
          <w:lang w:val="pt-BR" w:eastAsia="es-ES"/>
        </w:rPr>
        <w:t xml:space="preserve"> (In VERNEZ et all, 1999, pg.12)</w:t>
      </w:r>
      <w:r w:rsidR="008C038B" w:rsidRPr="008C038B">
        <w:rPr>
          <w:rFonts w:ascii="Times New Roman" w:eastAsia="Calibri" w:hAnsi="Times New Roman"/>
          <w:sz w:val="24"/>
          <w:szCs w:val="24"/>
          <w:lang w:val="pt-BR" w:eastAsia="es-ES"/>
        </w:rPr>
        <w:t>.</w:t>
      </w:r>
      <w:r w:rsidR="00966234">
        <w:rPr>
          <w:rFonts w:ascii="Times New Roman" w:eastAsia="Calibri" w:hAnsi="Times New Roman"/>
          <w:sz w:val="24"/>
          <w:szCs w:val="24"/>
          <w:lang w:val="pt-BR" w:eastAsia="es-ES"/>
        </w:rPr>
        <w:t xml:space="preserve"> </w:t>
      </w:r>
    </w:p>
    <w:p w:rsidR="00E74315" w:rsidRDefault="00966234" w:rsidP="00103CF4">
      <w:pPr>
        <w:pStyle w:val="ListParagraph"/>
        <w:numPr>
          <w:ilvl w:val="0"/>
          <w:numId w:val="4"/>
        </w:numPr>
        <w:spacing w:before="120" w:after="120" w:line="240" w:lineRule="auto"/>
        <w:contextualSpacing w:val="0"/>
        <w:jc w:val="both"/>
        <w:rPr>
          <w:rFonts w:ascii="Times New Roman" w:eastAsia="Calibri" w:hAnsi="Times New Roman"/>
          <w:sz w:val="24"/>
          <w:szCs w:val="24"/>
          <w:lang w:val="pt-BR" w:eastAsia="es-ES"/>
        </w:rPr>
      </w:pPr>
      <w:r>
        <w:rPr>
          <w:rFonts w:ascii="Times New Roman" w:eastAsia="Calibri" w:hAnsi="Times New Roman"/>
          <w:sz w:val="24"/>
          <w:szCs w:val="24"/>
          <w:lang w:val="pt-BR" w:eastAsia="es-ES"/>
        </w:rPr>
        <w:t xml:space="preserve">A mensuração dos retornos privados da educação por meio de estimativas de renda futura ao longo da vida útil do trabalhador com mais anos de estudo (Equações Mincerianas) tem sido amplamente documentada. </w:t>
      </w:r>
      <w:r w:rsidR="00E3691D">
        <w:rPr>
          <w:rFonts w:ascii="Times New Roman" w:eastAsia="Calibri" w:hAnsi="Times New Roman"/>
          <w:sz w:val="24"/>
          <w:szCs w:val="24"/>
          <w:lang w:val="pt-BR" w:eastAsia="es-ES"/>
        </w:rPr>
        <w:t>No entanto, muito menos atenção tem sido dada aos benefícios públicos da educação, ou seja, ao fato de ser a educação um bem público</w:t>
      </w:r>
      <w:r w:rsidR="00E74315">
        <w:rPr>
          <w:rFonts w:ascii="Times New Roman" w:eastAsia="Calibri" w:hAnsi="Times New Roman"/>
          <w:sz w:val="24"/>
          <w:szCs w:val="24"/>
          <w:lang w:val="pt-BR" w:eastAsia="es-ES"/>
        </w:rPr>
        <w:t xml:space="preserve">, cujos benefícios são recebidos não apenas pelo indivíduo que usufrui da escolaridade, mas também para a sociedade como um todo. A Tabela </w:t>
      </w:r>
      <w:r w:rsidR="001325B8">
        <w:rPr>
          <w:rFonts w:ascii="Times New Roman" w:eastAsia="Calibri" w:hAnsi="Times New Roman"/>
          <w:sz w:val="24"/>
          <w:szCs w:val="24"/>
          <w:lang w:val="pt-BR" w:eastAsia="es-ES"/>
        </w:rPr>
        <w:t>3</w:t>
      </w:r>
      <w:r w:rsidR="006F2940">
        <w:rPr>
          <w:rFonts w:ascii="Times New Roman" w:eastAsia="Calibri" w:hAnsi="Times New Roman"/>
          <w:sz w:val="24"/>
          <w:szCs w:val="24"/>
          <w:lang w:val="pt-BR" w:eastAsia="es-ES"/>
        </w:rPr>
        <w:t xml:space="preserve"> sintetiza tais benefícios:</w:t>
      </w:r>
    </w:p>
    <w:tbl>
      <w:tblPr>
        <w:tblW w:w="8591" w:type="dxa"/>
        <w:tblBorders>
          <w:top w:val="single" w:sz="4" w:space="0" w:color="auto"/>
          <w:insideH w:val="single" w:sz="4" w:space="0" w:color="auto"/>
          <w:insideV w:val="single" w:sz="4" w:space="0" w:color="auto"/>
        </w:tblBorders>
        <w:tblCellMar>
          <w:left w:w="70" w:type="dxa"/>
          <w:right w:w="70" w:type="dxa"/>
        </w:tblCellMar>
        <w:tblLook w:val="0000"/>
      </w:tblPr>
      <w:tblGrid>
        <w:gridCol w:w="2831"/>
        <w:gridCol w:w="5760"/>
      </w:tblGrid>
      <w:tr w:rsidR="00103CF4" w:rsidRPr="00103CF4" w:rsidTr="003E2EFB">
        <w:trPr>
          <w:trHeight w:val="66"/>
        </w:trPr>
        <w:tc>
          <w:tcPr>
            <w:tcW w:w="8591" w:type="dxa"/>
            <w:gridSpan w:val="2"/>
            <w:tcBorders>
              <w:top w:val="nil"/>
              <w:bottom w:val="single" w:sz="4" w:space="0" w:color="auto"/>
            </w:tcBorders>
            <w:shd w:val="clear" w:color="auto" w:fill="auto"/>
            <w:noWrap/>
            <w:vAlign w:val="bottom"/>
          </w:tcPr>
          <w:p w:rsidR="00103CF4" w:rsidRPr="00103CF4" w:rsidRDefault="00103CF4" w:rsidP="006F2940">
            <w:pPr>
              <w:jc w:val="center"/>
              <w:rPr>
                <w:rFonts w:eastAsia="Times New Roman"/>
                <w:b/>
                <w:bCs/>
                <w:sz w:val="20"/>
                <w:szCs w:val="20"/>
                <w:lang w:val="pt-BR" w:eastAsia="pt-BR"/>
              </w:rPr>
            </w:pPr>
            <w:r w:rsidRPr="00103CF4">
              <w:rPr>
                <w:b/>
                <w:sz w:val="20"/>
                <w:szCs w:val="20"/>
                <w:lang w:val="pt-BR"/>
              </w:rPr>
              <w:t>Tabela 3: Benefícios externos e não-monetários da educação</w:t>
            </w:r>
          </w:p>
        </w:tc>
      </w:tr>
      <w:tr w:rsidR="006F2940" w:rsidRPr="006F2940" w:rsidTr="00103CF4">
        <w:trPr>
          <w:trHeight w:val="56"/>
        </w:trPr>
        <w:tc>
          <w:tcPr>
            <w:tcW w:w="2831" w:type="dxa"/>
            <w:tcBorders>
              <w:top w:val="single" w:sz="4" w:space="0" w:color="auto"/>
              <w:left w:val="single" w:sz="4" w:space="0" w:color="auto"/>
              <w:bottom w:val="single" w:sz="4" w:space="0" w:color="auto"/>
            </w:tcBorders>
            <w:shd w:val="clear" w:color="auto" w:fill="B6DDE8" w:themeFill="accent5" w:themeFillTint="66"/>
            <w:noWrap/>
            <w:vAlign w:val="bottom"/>
          </w:tcPr>
          <w:p w:rsidR="006F2940" w:rsidRPr="00103CF4" w:rsidRDefault="006F2940" w:rsidP="006F2940">
            <w:pPr>
              <w:jc w:val="center"/>
              <w:rPr>
                <w:rFonts w:eastAsia="Times New Roman"/>
                <w:b/>
                <w:bCs/>
                <w:sz w:val="20"/>
                <w:szCs w:val="20"/>
                <w:lang w:val="pt-BR" w:eastAsia="pt-BR"/>
              </w:rPr>
            </w:pPr>
            <w:r w:rsidRPr="00103CF4">
              <w:rPr>
                <w:rFonts w:eastAsia="Times New Roman"/>
                <w:b/>
                <w:bCs/>
                <w:sz w:val="20"/>
                <w:szCs w:val="20"/>
                <w:lang w:val="pt-BR" w:eastAsia="pt-BR"/>
              </w:rPr>
              <w:t>Tipo de Benefício</w:t>
            </w:r>
          </w:p>
        </w:tc>
        <w:tc>
          <w:tcPr>
            <w:tcW w:w="5760" w:type="dxa"/>
            <w:tcBorders>
              <w:top w:val="single" w:sz="4" w:space="0" w:color="auto"/>
              <w:bottom w:val="single" w:sz="4" w:space="0" w:color="auto"/>
              <w:right w:val="single" w:sz="4" w:space="0" w:color="auto"/>
            </w:tcBorders>
            <w:shd w:val="clear" w:color="auto" w:fill="B6DDE8" w:themeFill="accent5" w:themeFillTint="66"/>
            <w:noWrap/>
            <w:vAlign w:val="bottom"/>
          </w:tcPr>
          <w:p w:rsidR="006F2940" w:rsidRPr="00103CF4" w:rsidRDefault="006F2940" w:rsidP="006F2940">
            <w:pPr>
              <w:jc w:val="center"/>
              <w:rPr>
                <w:rFonts w:eastAsia="Times New Roman"/>
                <w:b/>
                <w:bCs/>
                <w:sz w:val="20"/>
                <w:szCs w:val="20"/>
                <w:lang w:val="pt-BR" w:eastAsia="pt-BR"/>
              </w:rPr>
            </w:pPr>
            <w:r w:rsidRPr="00103CF4">
              <w:rPr>
                <w:rFonts w:eastAsia="Times New Roman"/>
                <w:b/>
                <w:bCs/>
                <w:sz w:val="20"/>
                <w:szCs w:val="20"/>
                <w:lang w:val="pt-BR" w:eastAsia="pt-BR"/>
              </w:rPr>
              <w:t>Resultados</w:t>
            </w:r>
          </w:p>
        </w:tc>
      </w:tr>
      <w:tr w:rsidR="006F2940" w:rsidRPr="00804859" w:rsidTr="003E2EFB">
        <w:trPr>
          <w:trHeight w:val="56"/>
        </w:trPr>
        <w:tc>
          <w:tcPr>
            <w:tcW w:w="2831" w:type="dxa"/>
            <w:tcBorders>
              <w:top w:val="single" w:sz="4" w:space="0" w:color="auto"/>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Educação da criança</w:t>
            </w:r>
          </w:p>
        </w:tc>
        <w:tc>
          <w:tcPr>
            <w:tcW w:w="5760" w:type="dxa"/>
            <w:tcBorders>
              <w:top w:val="single" w:sz="4" w:space="0" w:color="auto"/>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A educação dos pais afeta o nível e o sucesso educacional da criança</w:t>
            </w:r>
          </w:p>
        </w:tc>
      </w:tr>
      <w:tr w:rsidR="006F2940" w:rsidRPr="00804859" w:rsidTr="003E2EFB">
        <w:trPr>
          <w:trHeight w:val="56"/>
        </w:trPr>
        <w:tc>
          <w:tcPr>
            <w:tcW w:w="2831"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Saúde da criança</w:t>
            </w:r>
          </w:p>
        </w:tc>
        <w:tc>
          <w:tcPr>
            <w:tcW w:w="5760"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A Saúde da criança é positivamente relacionada à educação dos pais</w:t>
            </w:r>
          </w:p>
        </w:tc>
      </w:tr>
      <w:tr w:rsidR="006F2940" w:rsidRPr="00804859" w:rsidTr="003E2EFB">
        <w:trPr>
          <w:trHeight w:val="56"/>
        </w:trPr>
        <w:tc>
          <w:tcPr>
            <w:tcW w:w="2831"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Fertilidade</w:t>
            </w:r>
          </w:p>
        </w:tc>
        <w:tc>
          <w:tcPr>
            <w:tcW w:w="5760"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A educação da mãe reduz a chance de gravidez da filha</w:t>
            </w:r>
          </w:p>
        </w:tc>
      </w:tr>
      <w:tr w:rsidR="006F2940" w:rsidRPr="00804859" w:rsidTr="003E2EFB">
        <w:trPr>
          <w:trHeight w:val="56"/>
        </w:trPr>
        <w:tc>
          <w:tcPr>
            <w:tcW w:w="2831"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Própria saúde</w:t>
            </w:r>
          </w:p>
        </w:tc>
        <w:tc>
          <w:tcPr>
            <w:tcW w:w="5760" w:type="dxa"/>
            <w:tcBorders>
              <w:left w:val="single" w:sz="4" w:space="0" w:color="auto"/>
              <w:bottom w:val="single" w:sz="4" w:space="0" w:color="auto"/>
              <w:right w:val="single" w:sz="4" w:space="0" w:color="auto"/>
            </w:tcBorders>
            <w:shd w:val="clear" w:color="auto" w:fill="auto"/>
            <w:noWrap/>
          </w:tcPr>
          <w:p w:rsidR="006F2940" w:rsidRPr="00103CF4" w:rsidRDefault="00D9153A" w:rsidP="003E2EFB">
            <w:pPr>
              <w:rPr>
                <w:rFonts w:eastAsia="Times New Roman"/>
                <w:sz w:val="20"/>
                <w:szCs w:val="20"/>
                <w:lang w:val="pt-BR" w:eastAsia="pt-BR"/>
              </w:rPr>
            </w:pPr>
            <w:r w:rsidRPr="00103CF4">
              <w:rPr>
                <w:rFonts w:eastAsia="Times New Roman"/>
                <w:sz w:val="20"/>
                <w:szCs w:val="20"/>
                <w:lang w:val="pt-BR" w:eastAsia="pt-BR"/>
              </w:rPr>
              <w:t>Mais educação aume</w:t>
            </w:r>
            <w:r w:rsidR="006F2940" w:rsidRPr="00103CF4">
              <w:rPr>
                <w:rFonts w:eastAsia="Times New Roman"/>
                <w:sz w:val="20"/>
                <w:szCs w:val="20"/>
                <w:lang w:val="pt-BR" w:eastAsia="pt-BR"/>
              </w:rPr>
              <w:t>nta a expectativa de vida</w:t>
            </w:r>
          </w:p>
        </w:tc>
      </w:tr>
      <w:tr w:rsidR="006F2940" w:rsidRPr="00804859" w:rsidTr="003E2EFB">
        <w:trPr>
          <w:trHeight w:val="56"/>
        </w:trPr>
        <w:tc>
          <w:tcPr>
            <w:tcW w:w="2831"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Saúde da esposa</w:t>
            </w:r>
          </w:p>
        </w:tc>
        <w:tc>
          <w:tcPr>
            <w:tcW w:w="5760"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Mais escolaridade melhora a saúde da esposa e diminui a mortalidade</w:t>
            </w:r>
          </w:p>
        </w:tc>
      </w:tr>
      <w:tr w:rsidR="006F2940" w:rsidRPr="00804859" w:rsidTr="003E2EFB">
        <w:trPr>
          <w:trHeight w:val="56"/>
        </w:trPr>
        <w:tc>
          <w:tcPr>
            <w:tcW w:w="2831"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Eficiência na procura por trabalho</w:t>
            </w:r>
          </w:p>
        </w:tc>
        <w:tc>
          <w:tcPr>
            <w:tcW w:w="5760"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Mais escolaridade diminui o custo de procura e aumenta a mobilidade</w:t>
            </w:r>
          </w:p>
        </w:tc>
      </w:tr>
      <w:tr w:rsidR="006F2940" w:rsidRPr="00804859" w:rsidTr="003E2EFB">
        <w:trPr>
          <w:trHeight w:val="56"/>
        </w:trPr>
        <w:tc>
          <w:tcPr>
            <w:tcW w:w="2831"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Tamanho da família desejado</w:t>
            </w:r>
          </w:p>
        </w:tc>
        <w:tc>
          <w:tcPr>
            <w:tcW w:w="5760"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Mais escolaridade melhora a eficiência contraceptiva</w:t>
            </w:r>
          </w:p>
        </w:tc>
      </w:tr>
      <w:tr w:rsidR="006F2940" w:rsidRPr="00804859" w:rsidTr="003E2EFB">
        <w:trPr>
          <w:trHeight w:val="56"/>
        </w:trPr>
        <w:tc>
          <w:tcPr>
            <w:tcW w:w="2831"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Mudança tecnológica</w:t>
            </w:r>
          </w:p>
        </w:tc>
        <w:tc>
          <w:tcPr>
            <w:tcW w:w="5760"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Escolaridade auxilia P&amp;D, e difusão</w:t>
            </w:r>
          </w:p>
        </w:tc>
      </w:tr>
      <w:tr w:rsidR="006F2940" w:rsidRPr="00804859" w:rsidTr="003E2EFB">
        <w:trPr>
          <w:trHeight w:val="56"/>
        </w:trPr>
        <w:tc>
          <w:tcPr>
            <w:tcW w:w="2831"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Coesão social</w:t>
            </w:r>
          </w:p>
        </w:tc>
        <w:tc>
          <w:tcPr>
            <w:tcW w:w="5760"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Escolaridade aumenta votação e diminui alienação</w:t>
            </w:r>
          </w:p>
        </w:tc>
      </w:tr>
      <w:tr w:rsidR="006F2940" w:rsidRPr="00804859" w:rsidTr="003E2EFB">
        <w:trPr>
          <w:trHeight w:val="56"/>
        </w:trPr>
        <w:tc>
          <w:tcPr>
            <w:tcW w:w="2831"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Crime</w:t>
            </w:r>
          </w:p>
        </w:tc>
        <w:tc>
          <w:tcPr>
            <w:tcW w:w="5760" w:type="dxa"/>
            <w:tcBorders>
              <w:left w:val="single" w:sz="4" w:space="0" w:color="auto"/>
              <w:bottom w:val="single" w:sz="4" w:space="0" w:color="auto"/>
              <w:right w:val="single" w:sz="4" w:space="0" w:color="auto"/>
            </w:tcBorders>
            <w:shd w:val="clear" w:color="auto" w:fill="auto"/>
            <w:noWrap/>
          </w:tcPr>
          <w:p w:rsidR="006F2940" w:rsidRPr="00103CF4" w:rsidRDefault="006F2940" w:rsidP="003E2EFB">
            <w:pPr>
              <w:rPr>
                <w:rFonts w:eastAsia="Times New Roman"/>
                <w:sz w:val="20"/>
                <w:szCs w:val="20"/>
                <w:lang w:val="pt-BR" w:eastAsia="pt-BR"/>
              </w:rPr>
            </w:pPr>
            <w:r w:rsidRPr="00103CF4">
              <w:rPr>
                <w:rFonts w:eastAsia="Times New Roman"/>
                <w:sz w:val="20"/>
                <w:szCs w:val="20"/>
                <w:lang w:val="pt-BR" w:eastAsia="pt-BR"/>
              </w:rPr>
              <w:t>Educação reduz a atividade criminosa</w:t>
            </w:r>
          </w:p>
        </w:tc>
      </w:tr>
      <w:tr w:rsidR="006F2940" w:rsidRPr="00804859" w:rsidTr="00103CF4">
        <w:trPr>
          <w:trHeight w:val="56"/>
        </w:trPr>
        <w:tc>
          <w:tcPr>
            <w:tcW w:w="8591" w:type="dxa"/>
            <w:gridSpan w:val="2"/>
            <w:tcBorders>
              <w:top w:val="single" w:sz="4" w:space="0" w:color="auto"/>
            </w:tcBorders>
            <w:shd w:val="clear" w:color="auto" w:fill="auto"/>
            <w:noWrap/>
            <w:vAlign w:val="bottom"/>
          </w:tcPr>
          <w:p w:rsidR="006F2940" w:rsidRPr="00103CF4" w:rsidRDefault="006F2940" w:rsidP="00103CF4">
            <w:pPr>
              <w:spacing w:after="120"/>
              <w:rPr>
                <w:rFonts w:eastAsia="Times New Roman"/>
                <w:sz w:val="18"/>
                <w:szCs w:val="18"/>
                <w:lang w:val="pt-BR" w:eastAsia="pt-BR"/>
              </w:rPr>
            </w:pPr>
            <w:r w:rsidRPr="00103CF4">
              <w:rPr>
                <w:rFonts w:eastAsia="Times New Roman"/>
                <w:sz w:val="18"/>
                <w:szCs w:val="18"/>
                <w:lang w:val="pt-BR" w:eastAsia="pt-BR"/>
              </w:rPr>
              <w:t>Fonte: Jimenez e Patrinos (2008), pg. 16</w:t>
            </w:r>
            <w:r w:rsidR="00103CF4">
              <w:rPr>
                <w:rFonts w:eastAsia="Times New Roman"/>
                <w:sz w:val="18"/>
                <w:szCs w:val="18"/>
                <w:lang w:val="pt-BR" w:eastAsia="pt-BR"/>
              </w:rPr>
              <w:t>.</w:t>
            </w:r>
          </w:p>
        </w:tc>
      </w:tr>
    </w:tbl>
    <w:p w:rsidR="008C038B" w:rsidRDefault="00146A42" w:rsidP="00103CF4">
      <w:pPr>
        <w:pStyle w:val="ListParagraph"/>
        <w:numPr>
          <w:ilvl w:val="0"/>
          <w:numId w:val="5"/>
        </w:numPr>
        <w:spacing w:before="120" w:after="120" w:line="240" w:lineRule="auto"/>
        <w:ind w:left="720" w:hanging="630"/>
        <w:contextualSpacing w:val="0"/>
        <w:jc w:val="both"/>
        <w:rPr>
          <w:rFonts w:ascii="Times New Roman" w:eastAsia="Calibri" w:hAnsi="Times New Roman"/>
          <w:sz w:val="24"/>
          <w:szCs w:val="24"/>
          <w:lang w:val="pt-BR" w:eastAsia="es-ES"/>
        </w:rPr>
      </w:pPr>
      <w:r>
        <w:rPr>
          <w:rFonts w:ascii="Times New Roman" w:eastAsia="Calibri" w:hAnsi="Times New Roman"/>
          <w:sz w:val="24"/>
          <w:szCs w:val="24"/>
          <w:lang w:val="pt-BR" w:eastAsia="es-ES"/>
        </w:rPr>
        <w:t>Os benefícios em nível ma</w:t>
      </w:r>
      <w:r w:rsidR="00D9153A">
        <w:rPr>
          <w:rFonts w:ascii="Times New Roman" w:eastAsia="Calibri" w:hAnsi="Times New Roman"/>
          <w:sz w:val="24"/>
          <w:szCs w:val="24"/>
          <w:lang w:val="pt-BR" w:eastAsia="es-ES"/>
        </w:rPr>
        <w:t>c</w:t>
      </w:r>
      <w:r>
        <w:rPr>
          <w:rFonts w:ascii="Times New Roman" w:eastAsia="Calibri" w:hAnsi="Times New Roman"/>
          <w:sz w:val="24"/>
          <w:szCs w:val="24"/>
          <w:lang w:val="pt-BR" w:eastAsia="es-ES"/>
        </w:rPr>
        <w:t>roeconômico</w:t>
      </w:r>
      <w:r w:rsidR="00D9153A">
        <w:rPr>
          <w:rFonts w:ascii="Times New Roman" w:eastAsia="Calibri" w:hAnsi="Times New Roman"/>
          <w:sz w:val="24"/>
          <w:szCs w:val="24"/>
          <w:lang w:val="pt-BR" w:eastAsia="es-ES"/>
        </w:rPr>
        <w:t xml:space="preserve"> são, em geral, associados </w:t>
      </w:r>
      <w:r w:rsidR="00D65466">
        <w:rPr>
          <w:rFonts w:ascii="Times New Roman" w:eastAsia="Calibri" w:hAnsi="Times New Roman"/>
          <w:sz w:val="24"/>
          <w:szCs w:val="24"/>
          <w:lang w:val="pt-BR" w:eastAsia="es-ES"/>
        </w:rPr>
        <w:t xml:space="preserve">ao papel da educação no crescimento econômico percápita de um país. </w:t>
      </w:r>
      <w:r w:rsidR="00C83728">
        <w:rPr>
          <w:rFonts w:ascii="Times New Roman" w:eastAsia="Calibri" w:hAnsi="Times New Roman"/>
          <w:sz w:val="24"/>
          <w:szCs w:val="24"/>
          <w:lang w:val="pt-BR" w:eastAsia="es-ES"/>
        </w:rPr>
        <w:t>O capital social</w:t>
      </w:r>
      <w:r w:rsidR="006D6F08">
        <w:rPr>
          <w:rFonts w:ascii="Times New Roman" w:eastAsia="Calibri" w:hAnsi="Times New Roman"/>
          <w:sz w:val="24"/>
          <w:szCs w:val="24"/>
          <w:lang w:val="pt-BR" w:eastAsia="es-ES"/>
        </w:rPr>
        <w:t xml:space="preserve"> é </w:t>
      </w:r>
      <w:r w:rsidR="006D6F08">
        <w:rPr>
          <w:rFonts w:ascii="Times New Roman" w:eastAsia="Calibri" w:hAnsi="Times New Roman"/>
          <w:sz w:val="24"/>
          <w:szCs w:val="24"/>
          <w:lang w:val="pt-BR" w:eastAsia="es-ES"/>
        </w:rPr>
        <w:lastRenderedPageBreak/>
        <w:t>produzido por meio da educação em três caminhos fundamentais: os estudantes praticam as habilidades sociais, como participação e reciprocidade; a escola propicia um fórum para as atividades comunitárias; e por meio da educação civil, os estudantes aprendem como participar responsavelmente em suas sociedades (MATZ, 2002)</w:t>
      </w:r>
    </w:p>
    <w:p w:rsidR="00B1385F" w:rsidRDefault="009C6A64" w:rsidP="00103CF4">
      <w:pPr>
        <w:pStyle w:val="ListParagraph"/>
        <w:numPr>
          <w:ilvl w:val="0"/>
          <w:numId w:val="5"/>
        </w:numPr>
        <w:spacing w:before="120" w:after="120" w:line="240" w:lineRule="auto"/>
        <w:ind w:left="720" w:hanging="720"/>
        <w:contextualSpacing w:val="0"/>
        <w:jc w:val="both"/>
        <w:rPr>
          <w:rFonts w:ascii="Times New Roman" w:eastAsia="Calibri" w:hAnsi="Times New Roman"/>
          <w:sz w:val="24"/>
          <w:szCs w:val="24"/>
          <w:lang w:val="pt-BR" w:eastAsia="es-ES"/>
        </w:rPr>
      </w:pPr>
      <w:r>
        <w:rPr>
          <w:rFonts w:ascii="Times New Roman" w:eastAsia="Calibri" w:hAnsi="Times New Roman"/>
          <w:sz w:val="24"/>
          <w:szCs w:val="24"/>
          <w:lang w:val="pt-BR" w:eastAsia="es-ES"/>
        </w:rPr>
        <w:t xml:space="preserve">Efeitos de retroalimentação de resultados sociais não-monetários (listados na Tabela 3) sobre o crescimento econômico são estimados em representar 40% do crescimento da renda percapita de países da OCDE, leste da Ásia e América Latina. Tais efeitos indiretos e de retroalimentação são obtidos por meio de simulação ao longo de um período de pelo menos 45 anos, numa estimativa conservadora. Além disso, numa primeira aproximação tentativa ao percentual de efeitos não-monetários que são externalidades as coloca no patamar de 75% dos efeitos totais da </w:t>
      </w:r>
      <w:r w:rsidR="00A1745B">
        <w:rPr>
          <w:rFonts w:ascii="Times New Roman" w:eastAsia="Calibri" w:hAnsi="Times New Roman"/>
          <w:sz w:val="24"/>
          <w:szCs w:val="24"/>
          <w:lang w:val="pt-BR" w:eastAsia="es-ES"/>
        </w:rPr>
        <w:t>educação sobre o capital social</w:t>
      </w:r>
      <w:r>
        <w:rPr>
          <w:rFonts w:ascii="Times New Roman" w:eastAsia="Calibri" w:hAnsi="Times New Roman"/>
          <w:sz w:val="24"/>
          <w:szCs w:val="24"/>
          <w:lang w:val="pt-BR" w:eastAsia="es-ES"/>
        </w:rPr>
        <w:t xml:space="preserve"> (McM</w:t>
      </w:r>
      <w:r w:rsidR="00A1745B">
        <w:rPr>
          <w:rFonts w:ascii="Times New Roman" w:eastAsia="Calibri" w:hAnsi="Times New Roman"/>
          <w:sz w:val="24"/>
          <w:szCs w:val="24"/>
          <w:lang w:val="pt-BR" w:eastAsia="es-ES"/>
        </w:rPr>
        <w:t>AHON</w:t>
      </w:r>
      <w:r>
        <w:rPr>
          <w:rFonts w:ascii="Times New Roman" w:eastAsia="Calibri" w:hAnsi="Times New Roman"/>
          <w:sz w:val="24"/>
          <w:szCs w:val="24"/>
          <w:lang w:val="pt-BR" w:eastAsia="es-ES"/>
        </w:rPr>
        <w:t>,</w:t>
      </w:r>
      <w:r w:rsidR="00A1745B">
        <w:rPr>
          <w:rFonts w:ascii="Times New Roman" w:eastAsia="Calibri" w:hAnsi="Times New Roman"/>
          <w:sz w:val="24"/>
          <w:szCs w:val="24"/>
          <w:lang w:val="pt-BR" w:eastAsia="es-ES"/>
        </w:rPr>
        <w:t xml:space="preserve"> 2001).</w:t>
      </w:r>
    </w:p>
    <w:p w:rsidR="00C0578C" w:rsidRPr="00103CF4" w:rsidRDefault="00E73F40" w:rsidP="00103CF4">
      <w:pPr>
        <w:pStyle w:val="Heading1"/>
        <w:spacing w:before="120" w:after="120"/>
        <w:jc w:val="left"/>
        <w:rPr>
          <w:rFonts w:ascii="Times New Roman" w:hAnsi="Times New Roman" w:cs="Times New Roman"/>
        </w:rPr>
      </w:pPr>
      <w:bookmarkStart w:id="8" w:name="_Toc320875539"/>
      <w:r w:rsidRPr="00103CF4">
        <w:rPr>
          <w:rFonts w:ascii="Times New Roman" w:hAnsi="Times New Roman" w:cs="Times New Roman"/>
        </w:rPr>
        <w:t>Benefícios</w:t>
      </w:r>
      <w:r w:rsidR="004343D6" w:rsidRPr="00103CF4">
        <w:rPr>
          <w:rFonts w:ascii="Times New Roman" w:hAnsi="Times New Roman" w:cs="Times New Roman"/>
        </w:rPr>
        <w:t xml:space="preserve"> econô</w:t>
      </w:r>
      <w:r w:rsidR="00C0578C" w:rsidRPr="00103CF4">
        <w:rPr>
          <w:rFonts w:ascii="Times New Roman" w:hAnsi="Times New Roman" w:cs="Times New Roman"/>
        </w:rPr>
        <w:t>micos</w:t>
      </w:r>
      <w:r w:rsidR="002468E3" w:rsidRPr="00103CF4">
        <w:rPr>
          <w:rFonts w:ascii="Times New Roman" w:hAnsi="Times New Roman" w:cs="Times New Roman"/>
        </w:rPr>
        <w:t xml:space="preserve">: </w:t>
      </w:r>
      <w:r w:rsidR="00DD1DFE" w:rsidRPr="00103CF4">
        <w:rPr>
          <w:rFonts w:ascii="Times New Roman" w:hAnsi="Times New Roman" w:cs="Times New Roman"/>
        </w:rPr>
        <w:t>aplicação</w:t>
      </w:r>
      <w:bookmarkEnd w:id="8"/>
    </w:p>
    <w:p w:rsidR="00B43772" w:rsidRDefault="0051024E" w:rsidP="00103CF4">
      <w:pPr>
        <w:numPr>
          <w:ilvl w:val="0"/>
          <w:numId w:val="6"/>
        </w:numPr>
        <w:spacing w:before="120" w:after="120"/>
        <w:jc w:val="both"/>
        <w:rPr>
          <w:lang w:val="pt-BR"/>
        </w:rPr>
      </w:pPr>
      <w:r w:rsidRPr="00D83CB6">
        <w:rPr>
          <w:lang w:val="pt-BR"/>
        </w:rPr>
        <w:t>O projeto em análise, em sua justificativa, indica claramente que cobertura já não é o principal problema a ser enfrentado, mas</w:t>
      </w:r>
      <w:r w:rsidR="00D65466">
        <w:rPr>
          <w:lang w:val="pt-BR"/>
        </w:rPr>
        <w:t>,</w:t>
      </w:r>
      <w:r w:rsidRPr="00D83CB6">
        <w:rPr>
          <w:lang w:val="pt-BR"/>
        </w:rPr>
        <w:t xml:space="preserve"> sim</w:t>
      </w:r>
      <w:r w:rsidR="00D65466">
        <w:rPr>
          <w:lang w:val="pt-BR"/>
        </w:rPr>
        <w:t>,</w:t>
      </w:r>
      <w:r w:rsidRPr="00D83CB6">
        <w:rPr>
          <w:lang w:val="pt-BR"/>
        </w:rPr>
        <w:t xml:space="preserve"> a qualidade do ensino básico, que se encontra muito abaixo dos padrões internacionais, e que pode ser transformado pelas ações propostas de preparação para a aprendizagem e articulação entre os níveis de ensino, da EI para o EF. </w:t>
      </w:r>
      <w:r w:rsidR="002F409E">
        <w:rPr>
          <w:lang w:val="pt-BR"/>
        </w:rPr>
        <w:t>Por outro lado, a revisão da literatura realizada na sessão anterior resumiu os principais efeitos não-monetários e externalidades da educação para a sociedade, destacando as dificuldades práticas de mensuração de tais benefícios indiretos.</w:t>
      </w:r>
    </w:p>
    <w:p w:rsidR="0051024E" w:rsidRPr="00D83CB6" w:rsidRDefault="0051024E" w:rsidP="00103CF4">
      <w:pPr>
        <w:numPr>
          <w:ilvl w:val="0"/>
          <w:numId w:val="6"/>
        </w:numPr>
        <w:spacing w:before="120" w:after="120"/>
        <w:jc w:val="both"/>
        <w:rPr>
          <w:lang w:val="pt-BR"/>
        </w:rPr>
      </w:pPr>
      <w:r w:rsidRPr="00D83CB6">
        <w:rPr>
          <w:lang w:val="pt-BR"/>
        </w:rPr>
        <w:t>Assim, adotaram-se três hipóteses fundamentais de trabalho para a avaliação dos benefícios sociais desse projeto:</w:t>
      </w:r>
    </w:p>
    <w:p w:rsidR="0051024E" w:rsidRPr="00D83CB6" w:rsidRDefault="0051024E" w:rsidP="00103CF4">
      <w:pPr>
        <w:numPr>
          <w:ilvl w:val="0"/>
          <w:numId w:val="6"/>
        </w:numPr>
        <w:spacing w:before="120" w:after="120"/>
        <w:jc w:val="both"/>
        <w:rPr>
          <w:lang w:val="pt-BR"/>
        </w:rPr>
      </w:pPr>
      <w:r w:rsidRPr="00D83CB6">
        <w:rPr>
          <w:b/>
          <w:lang w:val="pt-BR"/>
        </w:rPr>
        <w:t>Hipótese B1:</w:t>
      </w:r>
      <w:r w:rsidRPr="00D83CB6">
        <w:rPr>
          <w:lang w:val="pt-BR"/>
        </w:rPr>
        <w:t xml:space="preserve"> Os investimentos em qualificação de profissionais, políticas pedagógicas e infraestrutura no Ensino Infantil propiciam a articulação entre os níveis de educação básica, e seus benefícios podem sem ser identificados por meio da propensão a pagar por um ano de pré-escolar, para as novas vagas criadas, de acordo com as estimativas de Barros e Mendonça (2005).</w:t>
      </w:r>
    </w:p>
    <w:p w:rsidR="0051024E" w:rsidRPr="00D83CB6" w:rsidRDefault="0051024E" w:rsidP="00103CF4">
      <w:pPr>
        <w:numPr>
          <w:ilvl w:val="0"/>
          <w:numId w:val="6"/>
        </w:numPr>
        <w:spacing w:before="120" w:after="120"/>
        <w:jc w:val="both"/>
        <w:rPr>
          <w:lang w:val="pt-BR"/>
        </w:rPr>
      </w:pPr>
      <w:r w:rsidRPr="00D83CB6">
        <w:rPr>
          <w:b/>
          <w:lang w:val="pt-BR"/>
        </w:rPr>
        <w:t xml:space="preserve">Hipótese </w:t>
      </w:r>
      <w:r w:rsidR="00D83CB6">
        <w:rPr>
          <w:b/>
          <w:lang w:val="pt-BR"/>
        </w:rPr>
        <w:t>B</w:t>
      </w:r>
      <w:r w:rsidRPr="00D83CB6">
        <w:rPr>
          <w:b/>
          <w:lang w:val="pt-BR"/>
        </w:rPr>
        <w:t>2:</w:t>
      </w:r>
      <w:r w:rsidRPr="00D83CB6">
        <w:rPr>
          <w:lang w:val="pt-BR"/>
        </w:rPr>
        <w:t xml:space="preserve"> Os investimentos em qualificação de profissionais, políticas pedagógicas e infraestrutura no Ensino Fundamental propiciam a articulação entre os níveis de educação básica, a permanência e melhores resultados em termos de taxas de aprovação e de distorção idade-série e seus benefícios podem sem ser identificados como por meio dos efeitos sobre a renda futura dos trabalhadores que concluem o EF</w:t>
      </w:r>
      <w:r w:rsidR="0087348C">
        <w:rPr>
          <w:lang w:val="pt-BR"/>
        </w:rPr>
        <w:t xml:space="preserve"> e o EM (conforme hipótese G4)</w:t>
      </w:r>
      <w:r w:rsidRPr="00D83CB6">
        <w:rPr>
          <w:lang w:val="pt-BR"/>
        </w:rPr>
        <w:t xml:space="preserve"> com a idade ideal, além das vagas adicionais ofertadas. Tais benefícios serão mensurados pelo prêmio salarial de trabalhadores com </w:t>
      </w:r>
      <w:r w:rsidR="0087348C">
        <w:rPr>
          <w:lang w:val="pt-BR"/>
        </w:rPr>
        <w:t>EM</w:t>
      </w:r>
      <w:r w:rsidRPr="00D83CB6">
        <w:rPr>
          <w:lang w:val="pt-BR"/>
        </w:rPr>
        <w:t>, estimado por Neri (2009)</w:t>
      </w:r>
    </w:p>
    <w:p w:rsidR="0051024E" w:rsidRDefault="0051024E" w:rsidP="00103CF4">
      <w:pPr>
        <w:numPr>
          <w:ilvl w:val="0"/>
          <w:numId w:val="6"/>
        </w:numPr>
        <w:spacing w:before="120" w:after="120"/>
        <w:jc w:val="both"/>
        <w:rPr>
          <w:lang w:val="pt-BR"/>
        </w:rPr>
      </w:pPr>
      <w:r w:rsidRPr="00D83CB6">
        <w:rPr>
          <w:b/>
          <w:lang w:val="pt-BR"/>
        </w:rPr>
        <w:t xml:space="preserve">Hipótese </w:t>
      </w:r>
      <w:r w:rsidR="00D83CB6">
        <w:rPr>
          <w:b/>
          <w:lang w:val="pt-BR"/>
        </w:rPr>
        <w:t>B</w:t>
      </w:r>
      <w:r w:rsidRPr="00D83CB6">
        <w:rPr>
          <w:b/>
          <w:lang w:val="pt-BR"/>
        </w:rPr>
        <w:t>3:</w:t>
      </w:r>
      <w:r w:rsidRPr="00D83CB6">
        <w:rPr>
          <w:lang w:val="pt-BR"/>
        </w:rPr>
        <w:t xml:space="preserve"> Todos os estudantes da RME se beneficiarão da melhor qualidade de ensino, a partir da implementação do projeto, produzindo externalidades positivas para a economia do município. Com base em Neri (2009) e McMahon </w:t>
      </w:r>
      <w:r w:rsidR="00F541BE">
        <w:rPr>
          <w:lang w:val="pt-BR"/>
        </w:rPr>
        <w:t>(</w:t>
      </w:r>
      <w:r w:rsidRPr="00D83CB6">
        <w:rPr>
          <w:lang w:val="pt-BR"/>
        </w:rPr>
        <w:t>2001</w:t>
      </w:r>
      <w:r w:rsidR="00F541BE">
        <w:rPr>
          <w:lang w:val="pt-BR"/>
        </w:rPr>
        <w:t>)</w:t>
      </w:r>
      <w:r w:rsidRPr="00D83CB6">
        <w:rPr>
          <w:lang w:val="pt-BR"/>
        </w:rPr>
        <w:t>, sup</w:t>
      </w:r>
      <w:r w:rsidR="00E056DA">
        <w:rPr>
          <w:lang w:val="pt-BR"/>
        </w:rPr>
        <w:t>usemo</w:t>
      </w:r>
      <w:r w:rsidRPr="00D83CB6">
        <w:rPr>
          <w:lang w:val="pt-BR"/>
        </w:rPr>
        <w:t xml:space="preserve">s que 40% do prêmio salarial de trabalhadores com ensino fundamental completo expresse os efeitos indiretos da qualidade do ensino na formação do capital humano, a partir dos estudantes que completarem o ciclo completo na nova estrutura de ensino, ou seja, 09 anos </w:t>
      </w:r>
      <w:r w:rsidR="00D83CB6" w:rsidRPr="00D83CB6">
        <w:rPr>
          <w:lang w:val="pt-BR"/>
        </w:rPr>
        <w:t>à</w:t>
      </w:r>
      <w:r w:rsidRPr="00D83CB6">
        <w:rPr>
          <w:lang w:val="pt-BR"/>
        </w:rPr>
        <w:t xml:space="preserve"> frente</w:t>
      </w:r>
      <w:r w:rsidR="00E056DA">
        <w:rPr>
          <w:lang w:val="pt-BR"/>
        </w:rPr>
        <w:t xml:space="preserve"> até que as 22 turmas completas estejam fora do mercado de tr</w:t>
      </w:r>
      <w:r w:rsidR="00E9391F">
        <w:rPr>
          <w:lang w:val="pt-BR"/>
        </w:rPr>
        <w:t>abalho, considerando também a taxa de crescimento do PIB de Florianópolis</w:t>
      </w:r>
      <w:r w:rsidRPr="00D83CB6">
        <w:rPr>
          <w:lang w:val="pt-BR"/>
        </w:rPr>
        <w:t>.</w:t>
      </w:r>
    </w:p>
    <w:p w:rsidR="002C5342" w:rsidRPr="00103CF4" w:rsidRDefault="00E021AB" w:rsidP="00103CF4">
      <w:pPr>
        <w:pStyle w:val="Heading2"/>
        <w:spacing w:before="120" w:after="120"/>
        <w:jc w:val="left"/>
        <w:rPr>
          <w:rFonts w:ascii="Times New Roman" w:hAnsi="Times New Roman"/>
          <w:sz w:val="24"/>
        </w:rPr>
      </w:pPr>
      <w:bookmarkStart w:id="9" w:name="_Toc320875540"/>
      <w:r w:rsidRPr="00103CF4">
        <w:rPr>
          <w:rFonts w:ascii="Times New Roman" w:hAnsi="Times New Roman"/>
          <w:sz w:val="24"/>
        </w:rPr>
        <w:lastRenderedPageBreak/>
        <w:t>Monetização dos benefícios</w:t>
      </w:r>
      <w:bookmarkEnd w:id="9"/>
    </w:p>
    <w:p w:rsidR="00C432EE" w:rsidRDefault="00735799" w:rsidP="00103CF4">
      <w:pPr>
        <w:numPr>
          <w:ilvl w:val="0"/>
          <w:numId w:val="6"/>
        </w:numPr>
        <w:spacing w:before="120" w:after="120"/>
        <w:jc w:val="both"/>
        <w:rPr>
          <w:lang w:val="pt-BR"/>
        </w:rPr>
      </w:pPr>
      <w:r>
        <w:rPr>
          <w:lang w:val="pt-BR"/>
        </w:rPr>
        <w:t>Nesta seção</w:t>
      </w:r>
      <w:r w:rsidR="00FC7EA1">
        <w:rPr>
          <w:lang w:val="pt-BR"/>
        </w:rPr>
        <w:t>, descremos os procedimentos práticos e hipóteses adicionais a fim de monetizar os benefícios gerados pelos Componentes 1, 2 e 3, considerando que o propósito principal do projeto é a melhoria da qualidade de ensino na REM</w:t>
      </w:r>
      <w:r w:rsidR="00595572">
        <w:rPr>
          <w:lang w:val="pt-BR"/>
        </w:rPr>
        <w:t>. A lógica aqui adotada</w:t>
      </w:r>
      <w:r w:rsidR="00351730">
        <w:rPr>
          <w:lang w:val="pt-BR"/>
        </w:rPr>
        <w:t>, e explicitada no fluxograma da Figura 1</w:t>
      </w:r>
      <w:r w:rsidR="00C313A2">
        <w:rPr>
          <w:lang w:val="pt-BR"/>
        </w:rPr>
        <w:t xml:space="preserve">, é a de que os Componentes 2 e 3 terão efeitos diretos sobre a qualidade do processo de aprendizagem, tendo seus benefícios monetizados em conjunto com </w:t>
      </w:r>
      <w:r w:rsidR="006B4810">
        <w:rPr>
          <w:lang w:val="pt-BR"/>
        </w:rPr>
        <w:t>os do Componente 1, sobre o sistema educacional como um todo, conforme as hipóteses B1, B2 e B3.</w:t>
      </w:r>
    </w:p>
    <w:p w:rsidR="00B028FD" w:rsidRPr="00103CF4" w:rsidRDefault="00B028FD" w:rsidP="00103CF4">
      <w:pPr>
        <w:pStyle w:val="Heading3"/>
        <w:spacing w:before="120" w:after="120"/>
        <w:jc w:val="left"/>
        <w:rPr>
          <w:rFonts w:ascii="Times New Roman" w:hAnsi="Times New Roman" w:cs="Times New Roman"/>
          <w:sz w:val="24"/>
          <w:szCs w:val="24"/>
        </w:rPr>
      </w:pPr>
      <w:bookmarkStart w:id="10" w:name="_Toc320875541"/>
      <w:r w:rsidRPr="00103CF4">
        <w:rPr>
          <w:rFonts w:ascii="Times New Roman" w:hAnsi="Times New Roman" w:cs="Times New Roman"/>
          <w:sz w:val="24"/>
          <w:szCs w:val="24"/>
        </w:rPr>
        <w:t>Monetização da hipótese B1:</w:t>
      </w:r>
      <w:bookmarkEnd w:id="10"/>
    </w:p>
    <w:p w:rsidR="00B028FD" w:rsidRDefault="005526F5" w:rsidP="00103CF4">
      <w:pPr>
        <w:numPr>
          <w:ilvl w:val="0"/>
          <w:numId w:val="6"/>
        </w:numPr>
        <w:spacing w:before="120" w:after="120"/>
        <w:jc w:val="both"/>
        <w:rPr>
          <w:lang w:val="pt-BR"/>
        </w:rPr>
      </w:pPr>
      <w:r>
        <w:rPr>
          <w:lang w:val="pt-BR"/>
        </w:rPr>
        <w:t xml:space="preserve">Barros e Mendonça (2005) exploram </w:t>
      </w:r>
      <w:r w:rsidR="005C2643">
        <w:rPr>
          <w:lang w:val="pt-BR"/>
        </w:rPr>
        <w:t>diversos efeitos da educação pré-escolar sobre a saúde</w:t>
      </w:r>
      <w:r w:rsidR="002454AF">
        <w:rPr>
          <w:lang w:val="pt-BR"/>
        </w:rPr>
        <w:t xml:space="preserve"> (estado nutricional, mas não resultando em monetização)</w:t>
      </w:r>
      <w:r w:rsidR="005C2643">
        <w:rPr>
          <w:lang w:val="pt-BR"/>
        </w:rPr>
        <w:t xml:space="preserve">, o desempenho </w:t>
      </w:r>
      <w:r w:rsidR="002454AF">
        <w:rPr>
          <w:lang w:val="pt-BR"/>
        </w:rPr>
        <w:t>tanto educacional quanto no mercado de trabalho; estima custos e benefícios da pré-escola, obtendo a taxa interna de retorno e a propensão a pagar por esse serviço, com base em dados da Pesquisa sobre Padrões de Vida (PPV) de 1996/97 do Instituto Brasileiro de Geografia e Estatística (IBGE). Tendo em vista nossos objetivos, fazemos uso da propensão marginal a pagar por um ano de pré-escolar como medida direta dos benefícios da expansão de vagas no EI do Componente 1.</w:t>
      </w:r>
    </w:p>
    <w:p w:rsidR="002454AF" w:rsidRDefault="00DD458F" w:rsidP="00103CF4">
      <w:pPr>
        <w:numPr>
          <w:ilvl w:val="0"/>
          <w:numId w:val="6"/>
        </w:numPr>
        <w:spacing w:before="120" w:after="120"/>
        <w:jc w:val="both"/>
        <w:rPr>
          <w:lang w:val="pt-BR"/>
        </w:rPr>
      </w:pPr>
      <w:r>
        <w:rPr>
          <w:lang w:val="pt-BR"/>
        </w:rPr>
        <w:t>Para o cálculo da propensão a pagar, os autores estimam a diferença entre o valor presente da renda (descontados os custos educacionais diretos, exceto o custo do pré-escolar)</w:t>
      </w:r>
      <w:r w:rsidR="001B14ED">
        <w:rPr>
          <w:lang w:val="pt-BR"/>
        </w:rPr>
        <w:t>, considerando uma taxa de desconto de 10%</w:t>
      </w:r>
      <w:r w:rsidR="00405CA2">
        <w:rPr>
          <w:lang w:val="pt-BR"/>
        </w:rPr>
        <w:t>, obtendo um valor que varia de acordo com as variáveis de controle, conforme tabela abaixo reproduzida:</w:t>
      </w:r>
    </w:p>
    <w:p w:rsidR="00754621" w:rsidRPr="00754621" w:rsidRDefault="00405CA2" w:rsidP="00103CF4">
      <w:pPr>
        <w:jc w:val="center"/>
        <w:rPr>
          <w:lang w:val="pt-BR"/>
        </w:rPr>
      </w:pPr>
      <w:r w:rsidRPr="00103CF4">
        <w:rPr>
          <w:b/>
          <w:sz w:val="20"/>
          <w:szCs w:val="20"/>
          <w:lang w:val="pt-BR"/>
        </w:rPr>
        <w:t>Tabela 4: Propensão a pagar por um ano de educação pré</w:t>
      </w:r>
      <w:r w:rsidR="00103CF4">
        <w:rPr>
          <w:b/>
          <w:sz w:val="20"/>
          <w:szCs w:val="20"/>
          <w:lang w:val="pt-BR"/>
        </w:rPr>
        <w:t xml:space="preserve">-escolar </w:t>
      </w:r>
      <w:r w:rsidR="00804859" w:rsidRPr="00660D11">
        <w:rPr>
          <w:lang w:val="pt-BR"/>
        </w:rPr>
        <w:pict>
          <v:shape id="_x0000_i1030" type="#_x0000_t75" style="width:425.65pt;height:113.45pt">
            <v:imagedata r:id="rId19" o:title=""/>
          </v:shape>
        </w:pict>
      </w:r>
    </w:p>
    <w:p w:rsidR="00405CA2" w:rsidRPr="00103CF4" w:rsidRDefault="00405CA2" w:rsidP="00754621">
      <w:pPr>
        <w:ind w:left="360"/>
        <w:jc w:val="both"/>
        <w:rPr>
          <w:sz w:val="18"/>
          <w:szCs w:val="18"/>
          <w:lang w:val="pt-BR"/>
        </w:rPr>
      </w:pPr>
      <w:r w:rsidRPr="00103CF4">
        <w:rPr>
          <w:sz w:val="18"/>
          <w:szCs w:val="18"/>
          <w:lang w:val="pt-BR"/>
        </w:rPr>
        <w:t>Fonte: Barros e Mendonça (2005), pg.38</w:t>
      </w:r>
      <w:r w:rsidR="00077DBA" w:rsidRPr="00103CF4">
        <w:rPr>
          <w:sz w:val="18"/>
          <w:szCs w:val="18"/>
          <w:lang w:val="pt-BR"/>
        </w:rPr>
        <w:t xml:space="preserve"> (tabela 26 no artigo original)</w:t>
      </w:r>
    </w:p>
    <w:p w:rsidR="00C432EE" w:rsidRDefault="00FF02A9" w:rsidP="00103CF4">
      <w:pPr>
        <w:numPr>
          <w:ilvl w:val="0"/>
          <w:numId w:val="6"/>
        </w:numPr>
        <w:spacing w:before="120" w:after="120"/>
        <w:jc w:val="both"/>
        <w:rPr>
          <w:lang w:val="pt-BR"/>
        </w:rPr>
      </w:pPr>
      <w:r>
        <w:rPr>
          <w:lang w:val="pt-BR"/>
        </w:rPr>
        <w:t>Como estamos avaliando um projeto em município da região Sudeste, podemos considerar como hipótese conservadora</w:t>
      </w:r>
      <w:r w:rsidR="009D5722">
        <w:rPr>
          <w:lang w:val="pt-BR"/>
        </w:rPr>
        <w:t xml:space="preserve">, a propensão mínima estimada, de </w:t>
      </w:r>
      <w:r w:rsidR="00A1745B">
        <w:rPr>
          <w:lang w:val="pt-BR"/>
        </w:rPr>
        <w:t xml:space="preserve">US$ </w:t>
      </w:r>
      <w:r w:rsidR="00862F8B">
        <w:rPr>
          <w:lang w:val="pt-BR"/>
        </w:rPr>
        <w:t>1414, 41.</w:t>
      </w:r>
      <w:r w:rsidR="00A1745B">
        <w:rPr>
          <w:lang w:val="pt-BR"/>
        </w:rPr>
        <w:t>.</w:t>
      </w:r>
    </w:p>
    <w:p w:rsidR="00A1745B" w:rsidRDefault="00A1745B" w:rsidP="00103CF4">
      <w:pPr>
        <w:numPr>
          <w:ilvl w:val="0"/>
          <w:numId w:val="6"/>
        </w:numPr>
        <w:spacing w:before="120" w:after="120"/>
        <w:jc w:val="both"/>
        <w:rPr>
          <w:lang w:val="pt-BR"/>
        </w:rPr>
      </w:pPr>
      <w:r>
        <w:rPr>
          <w:lang w:val="pt-BR"/>
        </w:rPr>
        <w:t>O número total de novas vagas ofertas em creches</w:t>
      </w:r>
      <w:r w:rsidR="00200DE1">
        <w:rPr>
          <w:lang w:val="pt-BR"/>
        </w:rPr>
        <w:t xml:space="preserve"> será de 4660, para crianças de 0 a 3 anos. Assumindo que as famílias têm preferências por cuidar elas próprias das crianças entre o e 2 anos, distribuímos as novas vagas</w:t>
      </w:r>
      <w:r w:rsidR="00BB0FC7">
        <w:rPr>
          <w:lang w:val="pt-BR"/>
        </w:rPr>
        <w:t xml:space="preserve"> da seguinte forma:</w:t>
      </w:r>
    </w:p>
    <w:p w:rsidR="008317E2" w:rsidRDefault="008317E2" w:rsidP="00754621">
      <w:pPr>
        <w:ind w:left="360"/>
        <w:jc w:val="both"/>
        <w:rPr>
          <w:lang w:val="pt-BR"/>
        </w:rPr>
      </w:pPr>
    </w:p>
    <w:tbl>
      <w:tblPr>
        <w:tblW w:w="7203" w:type="dxa"/>
        <w:jc w:val="center"/>
        <w:tblInd w:w="55" w:type="dxa"/>
        <w:tblCellMar>
          <w:left w:w="70" w:type="dxa"/>
          <w:right w:w="70" w:type="dxa"/>
        </w:tblCellMar>
        <w:tblLook w:val="04A0"/>
      </w:tblPr>
      <w:tblGrid>
        <w:gridCol w:w="4155"/>
        <w:gridCol w:w="1170"/>
        <w:gridCol w:w="1878"/>
      </w:tblGrid>
      <w:tr w:rsidR="00835DCE" w:rsidRPr="008317E2" w:rsidTr="003E2EFB">
        <w:trPr>
          <w:trHeight w:val="66"/>
          <w:jc w:val="center"/>
        </w:trPr>
        <w:tc>
          <w:tcPr>
            <w:tcW w:w="7203" w:type="dxa"/>
            <w:gridSpan w:val="3"/>
            <w:tcBorders>
              <w:top w:val="nil"/>
              <w:left w:val="nil"/>
              <w:bottom w:val="single" w:sz="8" w:space="0" w:color="auto"/>
              <w:right w:val="single" w:sz="4" w:space="0" w:color="auto"/>
            </w:tcBorders>
            <w:shd w:val="clear" w:color="auto" w:fill="auto"/>
            <w:noWrap/>
            <w:vAlign w:val="bottom"/>
            <w:hideMark/>
          </w:tcPr>
          <w:p w:rsidR="00835DCE" w:rsidRPr="00835DCE" w:rsidRDefault="00835DCE" w:rsidP="00754621">
            <w:pPr>
              <w:ind w:left="360"/>
              <w:jc w:val="center"/>
              <w:rPr>
                <w:rFonts w:ascii="Arial" w:eastAsia="Times New Roman" w:hAnsi="Arial" w:cs="Arial"/>
                <w:b/>
                <w:sz w:val="20"/>
                <w:szCs w:val="20"/>
                <w:lang w:val="pt-BR" w:eastAsia="pt-BR"/>
              </w:rPr>
            </w:pPr>
            <w:r w:rsidRPr="00835DCE">
              <w:rPr>
                <w:b/>
                <w:sz w:val="20"/>
                <w:szCs w:val="20"/>
                <w:lang w:val="pt-BR"/>
              </w:rPr>
              <w:t>Tabela 5: Distribuição das novas vagas em creche por faixa etária</w:t>
            </w:r>
          </w:p>
        </w:tc>
      </w:tr>
      <w:tr w:rsidR="008317E2" w:rsidRPr="008317E2" w:rsidTr="003E2EFB">
        <w:trPr>
          <w:trHeight w:val="46"/>
          <w:jc w:val="center"/>
        </w:trPr>
        <w:tc>
          <w:tcPr>
            <w:tcW w:w="4155" w:type="dxa"/>
            <w:tcBorders>
              <w:top w:val="single" w:sz="8" w:space="0" w:color="auto"/>
              <w:left w:val="single" w:sz="8" w:space="0" w:color="auto"/>
              <w:bottom w:val="single" w:sz="8" w:space="0" w:color="auto"/>
              <w:right w:val="single" w:sz="8" w:space="0" w:color="auto"/>
            </w:tcBorders>
            <w:shd w:val="clear" w:color="auto" w:fill="B6DDE8" w:themeFill="accent5" w:themeFillTint="66"/>
            <w:noWrap/>
            <w:vAlign w:val="bottom"/>
            <w:hideMark/>
          </w:tcPr>
          <w:p w:rsidR="008317E2" w:rsidRPr="00835DCE" w:rsidRDefault="008317E2" w:rsidP="003E2EFB">
            <w:pPr>
              <w:jc w:val="center"/>
              <w:rPr>
                <w:rFonts w:eastAsia="Times New Roman"/>
                <w:b/>
                <w:bCs/>
                <w:sz w:val="20"/>
                <w:szCs w:val="20"/>
                <w:lang w:val="pt-BR" w:eastAsia="pt-BR"/>
              </w:rPr>
            </w:pPr>
            <w:r w:rsidRPr="00835DCE">
              <w:rPr>
                <w:rFonts w:eastAsia="Times New Roman"/>
                <w:b/>
                <w:bCs/>
                <w:sz w:val="20"/>
                <w:szCs w:val="20"/>
                <w:lang w:val="pt-BR" w:eastAsia="pt-BR"/>
              </w:rPr>
              <w:t>Total de vagas novas em creches</w:t>
            </w:r>
          </w:p>
        </w:tc>
        <w:tc>
          <w:tcPr>
            <w:tcW w:w="1170" w:type="dxa"/>
            <w:tcBorders>
              <w:top w:val="single" w:sz="8" w:space="0" w:color="auto"/>
              <w:left w:val="single" w:sz="8" w:space="0" w:color="auto"/>
              <w:bottom w:val="single" w:sz="8" w:space="0" w:color="auto"/>
              <w:right w:val="single" w:sz="8" w:space="0" w:color="auto"/>
            </w:tcBorders>
            <w:shd w:val="clear" w:color="auto" w:fill="B6DDE8" w:themeFill="accent5" w:themeFillTint="66"/>
            <w:noWrap/>
            <w:vAlign w:val="bottom"/>
            <w:hideMark/>
          </w:tcPr>
          <w:p w:rsidR="008317E2" w:rsidRPr="00835DCE" w:rsidRDefault="008317E2" w:rsidP="003E2EFB">
            <w:pPr>
              <w:ind w:left="-15"/>
              <w:jc w:val="center"/>
              <w:rPr>
                <w:rFonts w:eastAsia="Times New Roman"/>
                <w:b/>
                <w:sz w:val="20"/>
                <w:szCs w:val="20"/>
                <w:lang w:val="pt-BR" w:eastAsia="pt-BR"/>
              </w:rPr>
            </w:pPr>
            <w:r w:rsidRPr="00835DCE">
              <w:rPr>
                <w:rFonts w:eastAsia="Times New Roman"/>
                <w:b/>
                <w:sz w:val="20"/>
                <w:szCs w:val="20"/>
                <w:lang w:val="pt-BR" w:eastAsia="pt-BR"/>
              </w:rPr>
              <w:t>Vagas</w:t>
            </w:r>
          </w:p>
        </w:tc>
        <w:tc>
          <w:tcPr>
            <w:tcW w:w="1878" w:type="dxa"/>
            <w:tcBorders>
              <w:top w:val="single" w:sz="8" w:space="0" w:color="auto"/>
              <w:left w:val="single" w:sz="8" w:space="0" w:color="auto"/>
              <w:bottom w:val="single" w:sz="8" w:space="0" w:color="auto"/>
              <w:right w:val="single" w:sz="8" w:space="0" w:color="auto"/>
            </w:tcBorders>
            <w:shd w:val="clear" w:color="auto" w:fill="B6DDE8" w:themeFill="accent5" w:themeFillTint="66"/>
            <w:noWrap/>
            <w:vAlign w:val="bottom"/>
            <w:hideMark/>
          </w:tcPr>
          <w:p w:rsidR="008317E2" w:rsidRPr="00835DCE" w:rsidRDefault="008317E2" w:rsidP="003E2EFB">
            <w:pPr>
              <w:ind w:left="-105"/>
              <w:jc w:val="center"/>
              <w:rPr>
                <w:rFonts w:eastAsia="Times New Roman"/>
                <w:b/>
                <w:sz w:val="20"/>
                <w:szCs w:val="20"/>
                <w:lang w:val="pt-BR" w:eastAsia="pt-BR"/>
              </w:rPr>
            </w:pPr>
            <w:r w:rsidRPr="00835DCE">
              <w:rPr>
                <w:rFonts w:eastAsia="Times New Roman"/>
                <w:b/>
                <w:sz w:val="20"/>
                <w:szCs w:val="20"/>
                <w:lang w:val="pt-BR" w:eastAsia="pt-BR"/>
              </w:rPr>
              <w:t>Percentual</w:t>
            </w:r>
          </w:p>
        </w:tc>
      </w:tr>
      <w:tr w:rsidR="008317E2" w:rsidRPr="008317E2" w:rsidTr="003E2EFB">
        <w:trPr>
          <w:trHeight w:val="46"/>
          <w:jc w:val="center"/>
        </w:trPr>
        <w:tc>
          <w:tcPr>
            <w:tcW w:w="4155" w:type="dxa"/>
            <w:tcBorders>
              <w:top w:val="single" w:sz="8" w:space="0" w:color="auto"/>
              <w:left w:val="nil"/>
              <w:bottom w:val="nil"/>
              <w:right w:val="single" w:sz="4" w:space="0" w:color="auto"/>
            </w:tcBorders>
            <w:shd w:val="clear" w:color="auto" w:fill="auto"/>
            <w:noWrap/>
            <w:vAlign w:val="bottom"/>
            <w:hideMark/>
          </w:tcPr>
          <w:p w:rsidR="008317E2" w:rsidRPr="00835DCE" w:rsidRDefault="008317E2" w:rsidP="00754621">
            <w:pPr>
              <w:ind w:left="360"/>
              <w:rPr>
                <w:rFonts w:eastAsia="Times New Roman"/>
                <w:sz w:val="20"/>
                <w:szCs w:val="20"/>
                <w:lang w:val="pt-BR" w:eastAsia="pt-BR"/>
              </w:rPr>
            </w:pPr>
            <w:r w:rsidRPr="00835DCE">
              <w:rPr>
                <w:rFonts w:eastAsia="Times New Roman"/>
                <w:sz w:val="20"/>
                <w:szCs w:val="20"/>
                <w:lang w:val="pt-BR" w:eastAsia="pt-BR"/>
              </w:rPr>
              <w:t>0-11 meses</w:t>
            </w:r>
          </w:p>
        </w:tc>
        <w:tc>
          <w:tcPr>
            <w:tcW w:w="1170" w:type="dxa"/>
            <w:tcBorders>
              <w:top w:val="single" w:sz="8" w:space="0" w:color="auto"/>
              <w:left w:val="single" w:sz="4" w:space="0" w:color="auto"/>
              <w:bottom w:val="nil"/>
              <w:right w:val="single" w:sz="4" w:space="0" w:color="auto"/>
            </w:tcBorders>
            <w:shd w:val="clear" w:color="auto" w:fill="auto"/>
            <w:noWrap/>
            <w:vAlign w:val="bottom"/>
            <w:hideMark/>
          </w:tcPr>
          <w:p w:rsidR="008317E2" w:rsidRPr="00835DCE" w:rsidRDefault="008317E2" w:rsidP="00754621">
            <w:pPr>
              <w:ind w:left="360"/>
              <w:jc w:val="center"/>
              <w:rPr>
                <w:rFonts w:eastAsia="Times New Roman"/>
                <w:sz w:val="20"/>
                <w:szCs w:val="20"/>
                <w:lang w:val="pt-BR" w:eastAsia="pt-BR"/>
              </w:rPr>
            </w:pPr>
            <w:r w:rsidRPr="00835DCE">
              <w:rPr>
                <w:rFonts w:eastAsia="Times New Roman"/>
                <w:sz w:val="20"/>
                <w:szCs w:val="20"/>
                <w:lang w:val="pt-BR" w:eastAsia="pt-BR"/>
              </w:rPr>
              <w:t>466</w:t>
            </w:r>
          </w:p>
        </w:tc>
        <w:tc>
          <w:tcPr>
            <w:tcW w:w="1878" w:type="dxa"/>
            <w:tcBorders>
              <w:top w:val="single" w:sz="8" w:space="0" w:color="auto"/>
              <w:left w:val="single" w:sz="4" w:space="0" w:color="auto"/>
              <w:bottom w:val="nil"/>
              <w:right w:val="nil"/>
            </w:tcBorders>
            <w:shd w:val="clear" w:color="auto" w:fill="auto"/>
            <w:noWrap/>
            <w:vAlign w:val="bottom"/>
            <w:hideMark/>
          </w:tcPr>
          <w:p w:rsidR="008317E2" w:rsidRPr="00835DCE" w:rsidRDefault="008317E2" w:rsidP="00754621">
            <w:pPr>
              <w:ind w:left="360"/>
              <w:jc w:val="center"/>
              <w:rPr>
                <w:rFonts w:eastAsia="Times New Roman"/>
                <w:sz w:val="20"/>
                <w:szCs w:val="20"/>
                <w:lang w:val="pt-BR" w:eastAsia="pt-BR"/>
              </w:rPr>
            </w:pPr>
            <w:r w:rsidRPr="00835DCE">
              <w:rPr>
                <w:rFonts w:eastAsia="Times New Roman"/>
                <w:sz w:val="20"/>
                <w:szCs w:val="20"/>
                <w:lang w:val="pt-BR" w:eastAsia="pt-BR"/>
              </w:rPr>
              <w:t>0.1</w:t>
            </w:r>
          </w:p>
        </w:tc>
      </w:tr>
      <w:tr w:rsidR="008317E2" w:rsidRPr="008317E2" w:rsidTr="003E2EFB">
        <w:trPr>
          <w:trHeight w:val="66"/>
          <w:jc w:val="center"/>
        </w:trPr>
        <w:tc>
          <w:tcPr>
            <w:tcW w:w="4155" w:type="dxa"/>
            <w:tcBorders>
              <w:top w:val="nil"/>
              <w:left w:val="nil"/>
              <w:bottom w:val="nil"/>
              <w:right w:val="single" w:sz="4" w:space="0" w:color="auto"/>
            </w:tcBorders>
            <w:shd w:val="clear" w:color="auto" w:fill="auto"/>
            <w:noWrap/>
            <w:vAlign w:val="bottom"/>
            <w:hideMark/>
          </w:tcPr>
          <w:p w:rsidR="008317E2" w:rsidRPr="00835DCE" w:rsidRDefault="008317E2" w:rsidP="00754621">
            <w:pPr>
              <w:ind w:left="360"/>
              <w:rPr>
                <w:rFonts w:eastAsia="Times New Roman"/>
                <w:sz w:val="20"/>
                <w:szCs w:val="20"/>
                <w:lang w:val="pt-BR" w:eastAsia="pt-BR"/>
              </w:rPr>
            </w:pPr>
            <w:r w:rsidRPr="00835DCE">
              <w:rPr>
                <w:rFonts w:eastAsia="Times New Roman"/>
                <w:sz w:val="20"/>
                <w:szCs w:val="20"/>
                <w:lang w:val="pt-BR" w:eastAsia="pt-BR"/>
              </w:rPr>
              <w:t>1 ano - 1 ano e 11 meses</w:t>
            </w:r>
          </w:p>
        </w:tc>
        <w:tc>
          <w:tcPr>
            <w:tcW w:w="1170" w:type="dxa"/>
            <w:tcBorders>
              <w:top w:val="nil"/>
              <w:left w:val="single" w:sz="4" w:space="0" w:color="auto"/>
              <w:bottom w:val="nil"/>
              <w:right w:val="single" w:sz="4" w:space="0" w:color="auto"/>
            </w:tcBorders>
            <w:shd w:val="clear" w:color="auto" w:fill="auto"/>
            <w:noWrap/>
            <w:vAlign w:val="bottom"/>
            <w:hideMark/>
          </w:tcPr>
          <w:p w:rsidR="008317E2" w:rsidRPr="00835DCE" w:rsidRDefault="008317E2" w:rsidP="00754621">
            <w:pPr>
              <w:ind w:left="360"/>
              <w:jc w:val="center"/>
              <w:rPr>
                <w:rFonts w:eastAsia="Times New Roman"/>
                <w:sz w:val="20"/>
                <w:szCs w:val="20"/>
                <w:lang w:val="pt-BR" w:eastAsia="pt-BR"/>
              </w:rPr>
            </w:pPr>
            <w:r w:rsidRPr="00835DCE">
              <w:rPr>
                <w:rFonts w:eastAsia="Times New Roman"/>
                <w:sz w:val="20"/>
                <w:szCs w:val="20"/>
                <w:lang w:val="pt-BR" w:eastAsia="pt-BR"/>
              </w:rPr>
              <w:t>466</w:t>
            </w:r>
          </w:p>
        </w:tc>
        <w:tc>
          <w:tcPr>
            <w:tcW w:w="1878" w:type="dxa"/>
            <w:tcBorders>
              <w:top w:val="nil"/>
              <w:left w:val="single" w:sz="4" w:space="0" w:color="auto"/>
              <w:bottom w:val="nil"/>
              <w:right w:val="nil"/>
            </w:tcBorders>
            <w:shd w:val="clear" w:color="auto" w:fill="auto"/>
            <w:noWrap/>
            <w:vAlign w:val="bottom"/>
            <w:hideMark/>
          </w:tcPr>
          <w:p w:rsidR="008317E2" w:rsidRPr="00835DCE" w:rsidRDefault="008317E2" w:rsidP="00754621">
            <w:pPr>
              <w:ind w:left="360"/>
              <w:jc w:val="center"/>
              <w:rPr>
                <w:rFonts w:eastAsia="Times New Roman"/>
                <w:sz w:val="20"/>
                <w:szCs w:val="20"/>
                <w:lang w:val="pt-BR" w:eastAsia="pt-BR"/>
              </w:rPr>
            </w:pPr>
            <w:r w:rsidRPr="00835DCE">
              <w:rPr>
                <w:rFonts w:eastAsia="Times New Roman"/>
                <w:sz w:val="20"/>
                <w:szCs w:val="20"/>
                <w:lang w:val="pt-BR" w:eastAsia="pt-BR"/>
              </w:rPr>
              <w:t>0.1</w:t>
            </w:r>
          </w:p>
        </w:tc>
      </w:tr>
      <w:tr w:rsidR="008317E2" w:rsidRPr="008317E2" w:rsidTr="003E2EFB">
        <w:trPr>
          <w:trHeight w:val="66"/>
          <w:jc w:val="center"/>
        </w:trPr>
        <w:tc>
          <w:tcPr>
            <w:tcW w:w="4155" w:type="dxa"/>
            <w:tcBorders>
              <w:top w:val="nil"/>
              <w:left w:val="nil"/>
              <w:bottom w:val="nil"/>
              <w:right w:val="single" w:sz="4" w:space="0" w:color="auto"/>
            </w:tcBorders>
            <w:shd w:val="clear" w:color="auto" w:fill="auto"/>
            <w:noWrap/>
            <w:vAlign w:val="bottom"/>
            <w:hideMark/>
          </w:tcPr>
          <w:p w:rsidR="008317E2" w:rsidRPr="00835DCE" w:rsidRDefault="008317E2" w:rsidP="00754621">
            <w:pPr>
              <w:ind w:left="360"/>
              <w:rPr>
                <w:rFonts w:eastAsia="Times New Roman"/>
                <w:sz w:val="20"/>
                <w:szCs w:val="20"/>
                <w:lang w:val="pt-BR" w:eastAsia="pt-BR"/>
              </w:rPr>
            </w:pPr>
            <w:r w:rsidRPr="00835DCE">
              <w:rPr>
                <w:rFonts w:eastAsia="Times New Roman"/>
                <w:sz w:val="20"/>
                <w:szCs w:val="20"/>
                <w:lang w:val="pt-BR" w:eastAsia="pt-BR"/>
              </w:rPr>
              <w:t>2 anos - 2 anos e 11 meses</w:t>
            </w:r>
          </w:p>
        </w:tc>
        <w:tc>
          <w:tcPr>
            <w:tcW w:w="1170" w:type="dxa"/>
            <w:tcBorders>
              <w:top w:val="nil"/>
              <w:left w:val="single" w:sz="4" w:space="0" w:color="auto"/>
              <w:bottom w:val="nil"/>
              <w:right w:val="single" w:sz="4" w:space="0" w:color="auto"/>
            </w:tcBorders>
            <w:shd w:val="clear" w:color="auto" w:fill="auto"/>
            <w:noWrap/>
            <w:vAlign w:val="bottom"/>
            <w:hideMark/>
          </w:tcPr>
          <w:p w:rsidR="008317E2" w:rsidRPr="00835DCE" w:rsidRDefault="008317E2" w:rsidP="00754621">
            <w:pPr>
              <w:ind w:left="360"/>
              <w:jc w:val="center"/>
              <w:rPr>
                <w:rFonts w:eastAsia="Times New Roman"/>
                <w:sz w:val="20"/>
                <w:szCs w:val="20"/>
                <w:lang w:val="pt-BR" w:eastAsia="pt-BR"/>
              </w:rPr>
            </w:pPr>
            <w:r w:rsidRPr="00835DCE">
              <w:rPr>
                <w:rFonts w:eastAsia="Times New Roman"/>
                <w:sz w:val="20"/>
                <w:szCs w:val="20"/>
                <w:lang w:val="pt-BR" w:eastAsia="pt-BR"/>
              </w:rPr>
              <w:t>1398</w:t>
            </w:r>
          </w:p>
        </w:tc>
        <w:tc>
          <w:tcPr>
            <w:tcW w:w="1878" w:type="dxa"/>
            <w:tcBorders>
              <w:top w:val="nil"/>
              <w:left w:val="single" w:sz="4" w:space="0" w:color="auto"/>
              <w:bottom w:val="nil"/>
              <w:right w:val="nil"/>
            </w:tcBorders>
            <w:shd w:val="clear" w:color="auto" w:fill="auto"/>
            <w:noWrap/>
            <w:vAlign w:val="bottom"/>
            <w:hideMark/>
          </w:tcPr>
          <w:p w:rsidR="008317E2" w:rsidRPr="00835DCE" w:rsidRDefault="008317E2" w:rsidP="00754621">
            <w:pPr>
              <w:ind w:left="360"/>
              <w:jc w:val="center"/>
              <w:rPr>
                <w:rFonts w:eastAsia="Times New Roman"/>
                <w:sz w:val="20"/>
                <w:szCs w:val="20"/>
                <w:lang w:val="pt-BR" w:eastAsia="pt-BR"/>
              </w:rPr>
            </w:pPr>
            <w:r w:rsidRPr="00835DCE">
              <w:rPr>
                <w:rFonts w:eastAsia="Times New Roman"/>
                <w:sz w:val="20"/>
                <w:szCs w:val="20"/>
                <w:lang w:val="pt-BR" w:eastAsia="pt-BR"/>
              </w:rPr>
              <w:t>0.3</w:t>
            </w:r>
          </w:p>
        </w:tc>
      </w:tr>
      <w:tr w:rsidR="008317E2" w:rsidRPr="008317E2" w:rsidTr="003E2EFB">
        <w:trPr>
          <w:trHeight w:val="66"/>
          <w:jc w:val="center"/>
        </w:trPr>
        <w:tc>
          <w:tcPr>
            <w:tcW w:w="4155" w:type="dxa"/>
            <w:tcBorders>
              <w:top w:val="nil"/>
              <w:left w:val="nil"/>
              <w:bottom w:val="single" w:sz="4" w:space="0" w:color="auto"/>
              <w:right w:val="single" w:sz="4" w:space="0" w:color="auto"/>
            </w:tcBorders>
            <w:shd w:val="clear" w:color="auto" w:fill="auto"/>
            <w:noWrap/>
            <w:vAlign w:val="bottom"/>
            <w:hideMark/>
          </w:tcPr>
          <w:p w:rsidR="008317E2" w:rsidRPr="00835DCE" w:rsidRDefault="008317E2" w:rsidP="00754621">
            <w:pPr>
              <w:ind w:left="360"/>
              <w:rPr>
                <w:rFonts w:eastAsia="Times New Roman"/>
                <w:sz w:val="20"/>
                <w:szCs w:val="20"/>
                <w:lang w:val="pt-BR" w:eastAsia="pt-BR"/>
              </w:rPr>
            </w:pPr>
            <w:r w:rsidRPr="00835DCE">
              <w:rPr>
                <w:rFonts w:eastAsia="Times New Roman"/>
                <w:sz w:val="20"/>
                <w:szCs w:val="20"/>
                <w:lang w:val="pt-BR" w:eastAsia="pt-BR"/>
              </w:rPr>
              <w:t>3 anos - 3 anos e 11 meses</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rsidR="008317E2" w:rsidRPr="00835DCE" w:rsidRDefault="008317E2" w:rsidP="00754621">
            <w:pPr>
              <w:ind w:left="360"/>
              <w:jc w:val="center"/>
              <w:rPr>
                <w:rFonts w:eastAsia="Times New Roman"/>
                <w:sz w:val="20"/>
                <w:szCs w:val="20"/>
                <w:lang w:val="pt-BR" w:eastAsia="pt-BR"/>
              </w:rPr>
            </w:pPr>
            <w:r w:rsidRPr="00835DCE">
              <w:rPr>
                <w:rFonts w:eastAsia="Times New Roman"/>
                <w:sz w:val="20"/>
                <w:szCs w:val="20"/>
                <w:lang w:val="pt-BR" w:eastAsia="pt-BR"/>
              </w:rPr>
              <w:t>2330</w:t>
            </w:r>
          </w:p>
        </w:tc>
        <w:tc>
          <w:tcPr>
            <w:tcW w:w="1878" w:type="dxa"/>
            <w:tcBorders>
              <w:top w:val="nil"/>
              <w:left w:val="single" w:sz="4" w:space="0" w:color="auto"/>
              <w:bottom w:val="single" w:sz="4" w:space="0" w:color="auto"/>
              <w:right w:val="nil"/>
            </w:tcBorders>
            <w:shd w:val="clear" w:color="auto" w:fill="auto"/>
            <w:noWrap/>
            <w:vAlign w:val="bottom"/>
            <w:hideMark/>
          </w:tcPr>
          <w:p w:rsidR="008317E2" w:rsidRPr="00835DCE" w:rsidRDefault="008317E2" w:rsidP="00754621">
            <w:pPr>
              <w:ind w:left="360"/>
              <w:jc w:val="center"/>
              <w:rPr>
                <w:rFonts w:eastAsia="Times New Roman"/>
                <w:sz w:val="20"/>
                <w:szCs w:val="20"/>
                <w:lang w:val="pt-BR" w:eastAsia="pt-BR"/>
              </w:rPr>
            </w:pPr>
            <w:r w:rsidRPr="00835DCE">
              <w:rPr>
                <w:rFonts w:eastAsia="Times New Roman"/>
                <w:sz w:val="20"/>
                <w:szCs w:val="20"/>
                <w:lang w:val="pt-BR" w:eastAsia="pt-BR"/>
              </w:rPr>
              <w:t>0.5</w:t>
            </w:r>
          </w:p>
        </w:tc>
      </w:tr>
    </w:tbl>
    <w:p w:rsidR="008317E2" w:rsidRPr="00835DCE" w:rsidRDefault="00FF2BA4" w:rsidP="00754621">
      <w:pPr>
        <w:ind w:left="360"/>
        <w:jc w:val="both"/>
        <w:rPr>
          <w:sz w:val="18"/>
          <w:szCs w:val="18"/>
          <w:lang w:val="pt-BR"/>
        </w:rPr>
      </w:pPr>
      <w:r w:rsidRPr="00835DCE">
        <w:rPr>
          <w:sz w:val="18"/>
          <w:szCs w:val="18"/>
          <w:lang w:val="pt-BR"/>
        </w:rPr>
        <w:t>Fonte: Elaboração própria</w:t>
      </w:r>
    </w:p>
    <w:p w:rsidR="00130705" w:rsidRPr="00835DCE" w:rsidRDefault="00130705" w:rsidP="00835DCE">
      <w:pPr>
        <w:numPr>
          <w:ilvl w:val="0"/>
          <w:numId w:val="6"/>
        </w:numPr>
        <w:spacing w:before="120" w:after="120"/>
        <w:jc w:val="both"/>
        <w:rPr>
          <w:lang w:val="pt-BR"/>
        </w:rPr>
      </w:pPr>
      <w:r w:rsidRPr="00835DCE">
        <w:rPr>
          <w:lang w:val="pt-BR"/>
        </w:rPr>
        <w:lastRenderedPageBreak/>
        <w:t xml:space="preserve">Para efeito de cálculo dos benefícios, consideramos o fluxo das crianças no último período deste nível de educação infantil, somado às 300 novas vagas (50% para crianças de 4 anos e de 5 anos) no pré-escolar, multiplicado pela propensão a pagar por um ano desse nível de ensino, que resulta em um benefício anual de </w:t>
      </w:r>
      <w:r w:rsidR="00FE5DCC" w:rsidRPr="00835DCE">
        <w:rPr>
          <w:lang w:val="pt-BR"/>
        </w:rPr>
        <w:t>US$ 3,72 milhões</w:t>
      </w:r>
      <w:r w:rsidR="00537AA6" w:rsidRPr="00835DCE">
        <w:rPr>
          <w:lang w:val="pt-BR"/>
        </w:rPr>
        <w:t xml:space="preserve"> e num total de US$ 19,35 mi em valor presente.</w:t>
      </w:r>
      <w:r w:rsidR="00FE5DCC" w:rsidRPr="00835DCE">
        <w:rPr>
          <w:lang w:val="pt-BR"/>
        </w:rPr>
        <w:t xml:space="preserve"> Estes benefícios produzem um fluxo constante durante a </w:t>
      </w:r>
      <w:r w:rsidR="003E6C0F" w:rsidRPr="00835DCE">
        <w:rPr>
          <w:lang w:val="pt-BR"/>
        </w:rPr>
        <w:t>vida útil do projeto. N</w:t>
      </w:r>
      <w:r w:rsidR="00FE5DCC" w:rsidRPr="00835DCE">
        <w:rPr>
          <w:lang w:val="pt-BR"/>
        </w:rPr>
        <w:t>ão consideramos o e</w:t>
      </w:r>
      <w:r w:rsidR="00887646" w:rsidRPr="00835DCE">
        <w:rPr>
          <w:lang w:val="pt-BR"/>
        </w:rPr>
        <w:t>feito sobre o ciclo de vida da criança por considerar que não haverá trabalhadores que, beneficiários do projeto, não completem o ensino fundamental e o médio, conforme hipótese G4.</w:t>
      </w:r>
    </w:p>
    <w:p w:rsidR="000E68F0" w:rsidRPr="00835DCE" w:rsidRDefault="000E68F0" w:rsidP="00835DCE">
      <w:pPr>
        <w:pStyle w:val="Heading3"/>
        <w:spacing w:before="120" w:after="120"/>
        <w:jc w:val="left"/>
        <w:rPr>
          <w:rFonts w:ascii="Times New Roman" w:hAnsi="Times New Roman" w:cs="Times New Roman"/>
          <w:sz w:val="24"/>
          <w:szCs w:val="24"/>
        </w:rPr>
      </w:pPr>
      <w:bookmarkStart w:id="11" w:name="_Toc320875542"/>
      <w:r w:rsidRPr="00835DCE">
        <w:rPr>
          <w:rFonts w:ascii="Times New Roman" w:hAnsi="Times New Roman" w:cs="Times New Roman"/>
          <w:sz w:val="24"/>
          <w:szCs w:val="24"/>
        </w:rPr>
        <w:t>Monetização da Hip</w:t>
      </w:r>
      <w:r w:rsidR="00212BEF" w:rsidRPr="00835DCE">
        <w:rPr>
          <w:rFonts w:ascii="Times New Roman" w:hAnsi="Times New Roman" w:cs="Times New Roman"/>
          <w:sz w:val="24"/>
          <w:szCs w:val="24"/>
        </w:rPr>
        <w:t>ó</w:t>
      </w:r>
      <w:r w:rsidRPr="00835DCE">
        <w:rPr>
          <w:rFonts w:ascii="Times New Roman" w:hAnsi="Times New Roman" w:cs="Times New Roman"/>
          <w:sz w:val="24"/>
          <w:szCs w:val="24"/>
        </w:rPr>
        <w:t>tese B2:</w:t>
      </w:r>
      <w:bookmarkEnd w:id="11"/>
    </w:p>
    <w:p w:rsidR="002F409E" w:rsidRPr="00835DCE" w:rsidRDefault="0039011A" w:rsidP="00835DCE">
      <w:pPr>
        <w:numPr>
          <w:ilvl w:val="0"/>
          <w:numId w:val="6"/>
        </w:numPr>
        <w:spacing w:before="120" w:after="120"/>
        <w:jc w:val="both"/>
        <w:rPr>
          <w:lang w:val="pt-BR"/>
        </w:rPr>
      </w:pPr>
      <w:r w:rsidRPr="00835DCE">
        <w:rPr>
          <w:lang w:val="pt-BR"/>
        </w:rPr>
        <w:t xml:space="preserve">Sob esta hipótese, a melhoria na qualidade do EB deve propiciar um efeito positivo sobre a taxa de aprovação e de distorção idade-série no EF. </w:t>
      </w:r>
      <w:r w:rsidR="002F409E" w:rsidRPr="00835DCE">
        <w:rPr>
          <w:lang w:val="pt-BR"/>
        </w:rPr>
        <w:t xml:space="preserve">Em termos de indicadores objetivos, as taxas de aprovação (porcentagem de alunos que preencheram, em avaliação final, os requisitos mínimos em aproveitamento e frequência, em relação ao total de alunos matriculados no fim do ano letivo) nos anos finais do EF da REM, </w:t>
      </w:r>
      <w:r w:rsidR="00BA7671" w:rsidRPr="00835DCE">
        <w:rPr>
          <w:lang w:val="pt-BR"/>
        </w:rPr>
        <w:t xml:space="preserve">é </w:t>
      </w:r>
      <w:r w:rsidR="002F409E" w:rsidRPr="00835DCE">
        <w:rPr>
          <w:lang w:val="pt-BR"/>
        </w:rPr>
        <w:t xml:space="preserve">de 93% e a taxa de distorção (percentual de alunos que têm pelo menos </w:t>
      </w:r>
      <w:r w:rsidR="00BA7671" w:rsidRPr="00835DCE">
        <w:rPr>
          <w:lang w:val="pt-BR"/>
        </w:rPr>
        <w:t>um</w:t>
      </w:r>
      <w:r w:rsidR="002F409E" w:rsidRPr="00835DCE">
        <w:rPr>
          <w:lang w:val="pt-BR"/>
        </w:rPr>
        <w:t xml:space="preserve"> ano a mais que o adequado para a série) de 6,4% nos anos fina</w:t>
      </w:r>
      <w:r w:rsidR="00D3064F" w:rsidRPr="00835DCE">
        <w:rPr>
          <w:lang w:val="pt-BR"/>
        </w:rPr>
        <w:t>is do EF, ambos dados para 2010 (Conforme tabelas 03 e 04, da Carta Consulta). A taxa de abandono é negligenciável para o EF da REM, sendo de 0,6 para o EF (Tabela 5, da Carta Consulta).</w:t>
      </w:r>
    </w:p>
    <w:p w:rsidR="00430EA2" w:rsidRPr="00835DCE" w:rsidRDefault="00224EC7" w:rsidP="00835DCE">
      <w:pPr>
        <w:numPr>
          <w:ilvl w:val="0"/>
          <w:numId w:val="6"/>
        </w:numPr>
        <w:spacing w:before="120" w:after="120"/>
        <w:jc w:val="both"/>
        <w:rPr>
          <w:lang w:val="pt-BR"/>
        </w:rPr>
      </w:pPr>
      <w:r w:rsidRPr="00835DCE">
        <w:rPr>
          <w:lang w:val="pt-BR"/>
        </w:rPr>
        <w:t>Assim, considerando tais indicadores sob influência da melhoria d</w:t>
      </w:r>
      <w:r w:rsidR="0046563B" w:rsidRPr="00835DCE">
        <w:rPr>
          <w:lang w:val="pt-BR"/>
        </w:rPr>
        <w:t>e</w:t>
      </w:r>
      <w:r w:rsidRPr="00835DCE">
        <w:rPr>
          <w:lang w:val="pt-BR"/>
        </w:rPr>
        <w:t xml:space="preserve"> qualidade alcança-se, por suposto, uma taxa de aprovação de 100% e uma distorção idade-série de </w:t>
      </w:r>
      <w:r w:rsidR="009D738A" w:rsidRPr="00835DCE">
        <w:rPr>
          <w:lang w:val="pt-BR"/>
        </w:rPr>
        <w:t>zero (</w:t>
      </w:r>
      <w:r w:rsidRPr="00835DCE">
        <w:rPr>
          <w:lang w:val="pt-BR"/>
        </w:rPr>
        <w:t>0</w:t>
      </w:r>
      <w:r w:rsidR="009D738A" w:rsidRPr="00835DCE">
        <w:rPr>
          <w:lang w:val="pt-BR"/>
        </w:rPr>
        <w:t>)</w:t>
      </w:r>
      <w:r w:rsidR="00162FF7" w:rsidRPr="00835DCE">
        <w:rPr>
          <w:lang w:val="pt-BR"/>
        </w:rPr>
        <w:t xml:space="preserve">. Com sucesso absoluto na aprovação e as novas vagas em Tempo Integral contempladas no Componente 1, estima-se o acréscimo de </w:t>
      </w:r>
      <w:r w:rsidR="003A274F" w:rsidRPr="00835DCE">
        <w:rPr>
          <w:lang w:val="pt-BR"/>
        </w:rPr>
        <w:t>cerca de 430 estudantes concluintes do EF que têm alta probabilidade de prosseguir no EM e concluir tal n</w:t>
      </w:r>
      <w:r w:rsidR="0046563B" w:rsidRPr="00835DCE">
        <w:rPr>
          <w:lang w:val="pt-BR"/>
        </w:rPr>
        <w:t>íve</w:t>
      </w:r>
      <w:r w:rsidR="003A274F" w:rsidRPr="00835DCE">
        <w:rPr>
          <w:lang w:val="pt-BR"/>
        </w:rPr>
        <w:t xml:space="preserve">l educacional, antes de ingressar no mercado de trabalho. Sob essa lógica, os benefícios são monetizados considerando o prêmio de salário para o EM, estimado por Neri (2009), resultando num benefício anual de </w:t>
      </w:r>
      <w:r w:rsidR="00430EA2" w:rsidRPr="00835DCE">
        <w:rPr>
          <w:lang w:val="pt-BR"/>
        </w:rPr>
        <w:t>US$ 0,</w:t>
      </w:r>
      <w:r w:rsidR="0046563B" w:rsidRPr="00835DCE">
        <w:rPr>
          <w:lang w:val="pt-BR"/>
        </w:rPr>
        <w:t>53</w:t>
      </w:r>
      <w:r w:rsidR="00430EA2" w:rsidRPr="00835DCE">
        <w:rPr>
          <w:lang w:val="pt-BR"/>
        </w:rPr>
        <w:t xml:space="preserve"> mi, até a data final de maturidade do projeto.</w:t>
      </w:r>
    </w:p>
    <w:p w:rsidR="0046563B" w:rsidRPr="00835DCE" w:rsidRDefault="00430EA2" w:rsidP="00835DCE">
      <w:pPr>
        <w:numPr>
          <w:ilvl w:val="0"/>
          <w:numId w:val="6"/>
        </w:numPr>
        <w:spacing w:before="120" w:after="120"/>
        <w:jc w:val="both"/>
        <w:rPr>
          <w:lang w:val="pt-BR"/>
        </w:rPr>
      </w:pPr>
      <w:r w:rsidRPr="00835DCE">
        <w:rPr>
          <w:lang w:val="pt-BR"/>
        </w:rPr>
        <w:t>Para avaliar o efeito da distorção</w:t>
      </w:r>
      <w:r w:rsidR="00C00913" w:rsidRPr="00835DCE">
        <w:rPr>
          <w:lang w:val="pt-BR"/>
        </w:rPr>
        <w:t xml:space="preserve"> idade-série</w:t>
      </w:r>
      <w:r w:rsidRPr="00835DCE">
        <w:rPr>
          <w:lang w:val="pt-BR"/>
        </w:rPr>
        <w:t xml:space="preserve"> nula, resultado do sucesso do projeto, consideramos o custo de </w:t>
      </w:r>
      <w:r w:rsidR="0046563B" w:rsidRPr="00835DCE">
        <w:rPr>
          <w:lang w:val="pt-BR"/>
        </w:rPr>
        <w:t>um (1) ano de EF</w:t>
      </w:r>
      <w:r w:rsidRPr="00835DCE">
        <w:rPr>
          <w:lang w:val="pt-BR"/>
        </w:rPr>
        <w:t xml:space="preserve"> como a economia alcançada, e</w:t>
      </w:r>
      <w:r w:rsidR="0046563B" w:rsidRPr="00835DCE">
        <w:rPr>
          <w:lang w:val="pt-BR"/>
        </w:rPr>
        <w:t>,</w:t>
      </w:r>
      <w:r w:rsidRPr="00835DCE">
        <w:rPr>
          <w:lang w:val="pt-BR"/>
        </w:rPr>
        <w:t xml:space="preserve"> portanto, os benef</w:t>
      </w:r>
      <w:r w:rsidR="0046563B" w:rsidRPr="00835DCE">
        <w:rPr>
          <w:lang w:val="pt-BR"/>
        </w:rPr>
        <w:t>ícios</w:t>
      </w:r>
      <w:r w:rsidRPr="00835DCE">
        <w:rPr>
          <w:lang w:val="pt-BR"/>
        </w:rPr>
        <w:t xml:space="preserve"> produzidos por esse resultado. O número de beneficiados diretos é de </w:t>
      </w:r>
      <w:r w:rsidR="0046563B" w:rsidRPr="00835DCE">
        <w:rPr>
          <w:lang w:val="pt-BR"/>
        </w:rPr>
        <w:t>112 e o total anual de benefícios soma US$ 0,064 mi, também até a data final de maturidade do projeto</w:t>
      </w:r>
      <w:r w:rsidR="00537AA6" w:rsidRPr="00835DCE">
        <w:rPr>
          <w:lang w:val="pt-BR"/>
        </w:rPr>
        <w:t>, resultando em US$ 2,73 mi a valor presente total</w:t>
      </w:r>
      <w:r w:rsidR="0046563B" w:rsidRPr="00835DCE">
        <w:rPr>
          <w:lang w:val="pt-BR"/>
        </w:rPr>
        <w:t>.</w:t>
      </w:r>
    </w:p>
    <w:p w:rsidR="0046563B" w:rsidRPr="00835DCE" w:rsidRDefault="0046563B" w:rsidP="00835DCE">
      <w:pPr>
        <w:pStyle w:val="Heading3"/>
        <w:spacing w:before="120" w:after="120"/>
        <w:jc w:val="left"/>
        <w:rPr>
          <w:rFonts w:ascii="Times New Roman" w:hAnsi="Times New Roman" w:cs="Times New Roman"/>
          <w:sz w:val="24"/>
          <w:szCs w:val="24"/>
        </w:rPr>
      </w:pPr>
      <w:bookmarkStart w:id="12" w:name="_Toc320875543"/>
      <w:r w:rsidRPr="00835DCE">
        <w:rPr>
          <w:rFonts w:ascii="Times New Roman" w:hAnsi="Times New Roman" w:cs="Times New Roman"/>
          <w:sz w:val="24"/>
          <w:szCs w:val="24"/>
        </w:rPr>
        <w:t>Monetização da Hipó</w:t>
      </w:r>
      <w:r w:rsidR="00A87101" w:rsidRPr="00835DCE">
        <w:rPr>
          <w:rFonts w:ascii="Times New Roman" w:hAnsi="Times New Roman" w:cs="Times New Roman"/>
          <w:sz w:val="24"/>
          <w:szCs w:val="24"/>
        </w:rPr>
        <w:t>tese B3</w:t>
      </w:r>
      <w:r w:rsidRPr="00835DCE">
        <w:rPr>
          <w:rFonts w:ascii="Times New Roman" w:hAnsi="Times New Roman" w:cs="Times New Roman"/>
          <w:sz w:val="24"/>
          <w:szCs w:val="24"/>
        </w:rPr>
        <w:t>:</w:t>
      </w:r>
      <w:bookmarkEnd w:id="12"/>
    </w:p>
    <w:p w:rsidR="00E66917" w:rsidRPr="00835DCE" w:rsidRDefault="00A87101" w:rsidP="00835DCE">
      <w:pPr>
        <w:numPr>
          <w:ilvl w:val="0"/>
          <w:numId w:val="6"/>
        </w:numPr>
        <w:spacing w:before="120" w:after="120"/>
        <w:jc w:val="both"/>
        <w:rPr>
          <w:lang w:val="pt-BR"/>
        </w:rPr>
      </w:pPr>
      <w:r w:rsidRPr="00835DCE">
        <w:rPr>
          <w:lang w:val="pt-BR"/>
        </w:rPr>
        <w:t>A hipótese B3 traz para a análise deste projeto, cujos principais efeitos são qualitativos, como ressaltamos anteriormente,</w:t>
      </w:r>
      <w:r w:rsidR="00244AE0" w:rsidRPr="00835DCE">
        <w:rPr>
          <w:lang w:val="pt-BR"/>
        </w:rPr>
        <w:t xml:space="preserve"> uma proposta de mensuração dos benefícios não-monetários e das externalidades, apontados na subseção 2.5. Claro está também, a esta altura, que a hipótese G4 permeia toda nossa análise de benefícios at</w:t>
      </w:r>
      <w:r w:rsidR="00E66917" w:rsidRPr="00835DCE">
        <w:rPr>
          <w:lang w:val="pt-BR"/>
        </w:rPr>
        <w:t>é aqui e, dessa forma, requer que os benefícios sejam considerados após a primeira turma que conclua o EM, ou seja, em 12 anos após a finalização dos investimentos, produzindo 19 fluxos cumulativos (turmas diferentes) até o fim da vida útil do projeto.</w:t>
      </w:r>
    </w:p>
    <w:p w:rsidR="0046563B" w:rsidRPr="00835DCE" w:rsidRDefault="00E66917" w:rsidP="00835DCE">
      <w:pPr>
        <w:numPr>
          <w:ilvl w:val="0"/>
          <w:numId w:val="6"/>
        </w:numPr>
        <w:spacing w:before="120" w:after="120"/>
        <w:jc w:val="both"/>
        <w:rPr>
          <w:lang w:val="pt-BR"/>
        </w:rPr>
      </w:pPr>
      <w:r w:rsidRPr="00835DCE">
        <w:rPr>
          <w:lang w:val="pt-BR"/>
        </w:rPr>
        <w:t xml:space="preserve">Consideramos que a criança inicia o ensino fundamental aos seis (06) anos e cumpre 12 anos de estudos, </w:t>
      </w:r>
      <w:r w:rsidR="001576F5" w:rsidRPr="00835DCE">
        <w:rPr>
          <w:lang w:val="pt-BR"/>
        </w:rPr>
        <w:t xml:space="preserve">com taxa de aprovação de 100% e sem distorção </w:t>
      </w:r>
      <w:r w:rsidR="001576F5" w:rsidRPr="00835DCE">
        <w:rPr>
          <w:lang w:val="pt-BR"/>
        </w:rPr>
        <w:lastRenderedPageBreak/>
        <w:t>idade-série, ingressa no mercado de trabalho com 18 anos, trabalhando até os 65 anos, idade em que se aposenta.</w:t>
      </w:r>
    </w:p>
    <w:p w:rsidR="001576F5" w:rsidRPr="00835DCE" w:rsidRDefault="001576F5" w:rsidP="00835DCE">
      <w:pPr>
        <w:numPr>
          <w:ilvl w:val="0"/>
          <w:numId w:val="6"/>
        </w:numPr>
        <w:spacing w:before="120" w:after="120"/>
        <w:jc w:val="both"/>
        <w:rPr>
          <w:lang w:val="pt-BR"/>
        </w:rPr>
      </w:pPr>
      <w:r w:rsidRPr="00835DCE">
        <w:rPr>
          <w:lang w:val="pt-BR"/>
        </w:rPr>
        <w:t xml:space="preserve">Estamos também supondo que o prêmio salarial </w:t>
      </w:r>
      <w:r w:rsidR="00F24510" w:rsidRPr="00835DCE">
        <w:rPr>
          <w:lang w:val="pt-BR"/>
        </w:rPr>
        <w:t xml:space="preserve">calculado por Neri (2009) para o Ensino Médio represente o diferencial de produtividade que essa mão de obra melhor qualificada alcança no mercado de trabalho, </w:t>
      </w:r>
      <w:r w:rsidR="005C18F6" w:rsidRPr="00835DCE">
        <w:rPr>
          <w:lang w:val="pt-BR"/>
        </w:rPr>
        <w:t xml:space="preserve">ou seja, </w:t>
      </w:r>
      <w:r w:rsidR="00F24510" w:rsidRPr="00835DCE">
        <w:rPr>
          <w:lang w:val="pt-BR"/>
        </w:rPr>
        <w:t>o benefício individual e direto obtido pelo trabalhador. Para contabilizar os efeitos indiretos, aplicamos ao prêmio salarial a taxa média de crescimento do produto percapita de Florianópolis, entre 2004 e 2008, estimada em 5,8% e</w:t>
      </w:r>
      <w:r w:rsidR="005C18F6" w:rsidRPr="00835DCE">
        <w:rPr>
          <w:lang w:val="pt-BR"/>
        </w:rPr>
        <w:t>,</w:t>
      </w:r>
      <w:r w:rsidR="00F24510" w:rsidRPr="00835DCE">
        <w:rPr>
          <w:lang w:val="pt-BR"/>
        </w:rPr>
        <w:t xml:space="preserve"> desse montante</w:t>
      </w:r>
      <w:r w:rsidR="005C18F6" w:rsidRPr="00835DCE">
        <w:rPr>
          <w:lang w:val="pt-BR"/>
        </w:rPr>
        <w:t>,</w:t>
      </w:r>
      <w:r w:rsidR="00F24510" w:rsidRPr="00835DCE">
        <w:rPr>
          <w:lang w:val="pt-BR"/>
        </w:rPr>
        <w:t xml:space="preserve"> tomamos 40%, segundo estimativas de McMahon (2001)</w:t>
      </w:r>
      <w:r w:rsidR="005C18F6" w:rsidRPr="00835DCE">
        <w:rPr>
          <w:lang w:val="pt-BR"/>
        </w:rPr>
        <w:t xml:space="preserve">, multiplicado pelo número </w:t>
      </w:r>
      <w:r w:rsidR="000040D2" w:rsidRPr="00835DCE">
        <w:rPr>
          <w:lang w:val="pt-BR"/>
        </w:rPr>
        <w:t>de alunos da última série do EF e</w:t>
      </w:r>
      <w:r w:rsidR="005C18F6" w:rsidRPr="00835DCE">
        <w:rPr>
          <w:lang w:val="pt-BR"/>
        </w:rPr>
        <w:t xml:space="preserve"> pelo número de gerações concomitantes. Estes cálculos acompanham o ciclo de vida da última geração em idade ativa, num total de 82 anos.</w:t>
      </w:r>
    </w:p>
    <w:p w:rsidR="003D0B70" w:rsidRDefault="00660D11" w:rsidP="00FA6998">
      <w:pPr>
        <w:jc w:val="both"/>
        <w:rPr>
          <w:lang w:val="pt-BR"/>
        </w:rPr>
      </w:pPr>
      <w:r w:rsidRPr="00660D11">
        <w:rPr>
          <w:noProof/>
          <w:lang w:val="pt-BR" w:eastAsia="pt-BR"/>
        </w:rPr>
        <w:pict>
          <v:group id="_x0000_s1059" style="position:absolute;left:0;text-align:left;margin-left:-12.35pt;margin-top:5pt;width:463.05pt;height:285.45pt;z-index:251663360" coordorigin="1454,6209" coordsize="9261,5709">
            <v:group id="Grupo 18" o:spid="_x0000_s1046" style="position:absolute;left:1454;top:6209;width:9261;height:5709" coordsize="6691313,3762376" o:gfxdata="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">
              <v:shape id="Gráfico 2" o:spid="_x0000_s1047" type="#_x0000_t75" style="position:absolute;left:-6096;top:-6096;width:6705600;height:3773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">
                <v:imagedata r:id="rId20" o:title=""/>
                <o:lock v:ext="edit" aspectratio="f"/>
              </v:shape>
              <v:group id="Grupo 3" o:spid="_x0000_s1048" style="position:absolute;left:604839;top:142875;width:4391025;height:3095626" coordorigin="604839,142875" coordsize="4391025,30956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Conector reto 4" o:spid="_x0000_s1049" style="position:absolute;flip:y;visibility:visible" from="604839,400051" to="604839,3238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71nMUAAADaAAAADwAAAGRycy9kb3ducmV2LnhtbESPT2vCQBTE70K/w/IK3uombdE2dRUJ&#10;FQpe/NNLb4/sa5Im+zbZXTV+e1coeBxm5jfMfDmYVpzI+dqygnSSgCAurK65VPB9WD+9gfABWWNr&#10;mRRcyMNy8TCaY6btmXd02odSRAj7DBVUIXSZlL6oyKCf2I44er/WGQxRulJqh+cIN618TpKpNFhz&#10;XKiwo7yiotkfjYKw6vO+afOfv7Q/bjf2fXZ4+XRKjR+H1QeIQEO4h//bX1rBK9yuxBs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N71nMUAAADaAAAADwAAAAAAAAAA&#10;AAAAAAChAgAAZHJzL2Rvd25yZXYueG1sUEsFBgAAAAAEAAQA+QAAAJMDAAAAAA==&#10;" strokecolor="#4f81bd" strokeweight="2pt">
                  <v:shadow on="t" color="black" opacity="24903f" origin=",.5" offset="0,.55556mm"/>
                </v:line>
                <v:line id="Conector reto 5" o:spid="_x0000_s1050" style="position:absolute;flip:y;visibility:visible" from="1538289,390526" to="1538289,3228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JQB8UAAADaAAAADwAAAGRycy9kb3ducmV2LnhtbESPT2vCQBTE70K/w/IK3uomLdU2dRUJ&#10;FQpe/NNLb4/sa5Im+zbZXTV+e1coeBxm5jfMfDmYVpzI+dqygnSSgCAurK65VPB9WD+9gfABWWNr&#10;mRRcyMNy8TCaY6btmXd02odSRAj7DBVUIXSZlL6oyKCf2I44er/WGQxRulJqh+cIN618TpKpNFhz&#10;XKiwo7yiotkfjYKw6vO+afOfv7Q/bjf2fXZ4+XRKjR+H1QeIQEO4h//bX1rBK9yuxBs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5JQB8UAAADaAAAADwAAAAAAAAAA&#10;AAAAAAChAgAAZHJzL2Rvd25yZXYueG1sUEsFBgAAAAAEAAQA+QAAAJMDAAAAAA==&#10;" strokecolor="#4f81bd" strokeweight="2pt">
                  <v:shadow on="t" color="black" opacity="24903f" origin=",.5" offset="0,.55556mm"/>
                </v:line>
                <v:line id="Conector reto 6" o:spid="_x0000_s1051" style="position:absolute;flip:y;visibility:visible" from="2852739,352426" to="2852739,3190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NGb8MAAADaAAAADwAAAGRycy9kb3ducmV2LnhtbESPQWvCQBSE70L/w/IKvUjdGFBC6iYU&#10;wdajjUKvr9nXJDT7dpvdxvjv3YLgcZiZb5hNOZlejDT4zrKC5SIBQVxb3XGj4HTcPWcgfEDW2Fsm&#10;BRfyUBYPsw3m2p75g8YqNCJC2OeooA3B5VL6uiWDfmEdcfS+7WAwRDk0Ug94jnDTyzRJ1tJgx3Gh&#10;RUfbluqf6s8oeF+lLkvG6e3z90vP0+zSbF11UOrpcXp9ARFoCvfwrb3XCtbwfyXeAFl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TRm/DAAAA2gAAAA8AAAAAAAAAAAAA&#10;AAAAoQIAAGRycy9kb3ducmV2LnhtbFBLBQYAAAAABAAEAPkAAACRAwAAAAA=&#10;" strokecolor="#c0504d" strokeweight="2pt">
                  <v:shadow on="t" color="black" opacity="24903f" origin=",.5" offset="0,.55556mm"/>
                </v:line>
                <v:shape id="CaixaDeTexto 9" o:spid="_x0000_s1052" type="#_x0000_t202" style="position:absolute;left:3052764;top:2676525;width:1819275;height:4476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Bgn8IA&#10;AADaAAAADwAAAGRycy9kb3ducmV2LnhtbESPzWrDMBCE74G+g9hCb7HcHOrgRAnFkNBj8wPBt8Xa&#10;2KbWykiq7fbpo0Agx2FmvmHW28l0YiDnW8sK3pMUBHFldcu1gvNpN1+C8AFZY2eZFPyRh+3mZbbG&#10;XNuRDzQcQy0ihH2OCpoQ+lxKXzVk0Ce2J47e1TqDIUpXS+1wjHDTyUWafkiDLceFBnsqGqp+jr9G&#10;QbhI/+9cWe531XeZDVlRjNdWqbfX6XMFItAUnuFH+0sryOB+Jd4Aub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AGCfwgAAANoAAAAPAAAAAAAAAAAAAAAAAJgCAABkcnMvZG93&#10;bnJldi54bWxQSwUGAAAAAAQABAD1AAAAhwMAAAAA&#10;" strokecolor="#bcbcbc">
                  <v:textbox>
                    <w:txbxContent>
                      <w:p w:rsidR="00F85DEC" w:rsidRPr="00302257" w:rsidRDefault="00F85DEC" w:rsidP="003D0B70">
                        <w:pPr>
                          <w:pStyle w:val="NormalWeb"/>
                          <w:spacing w:before="0" w:beforeAutospacing="0" w:after="0" w:afterAutospacing="0"/>
                          <w:rPr>
                            <w:sz w:val="16"/>
                            <w:szCs w:val="16"/>
                          </w:rPr>
                        </w:pPr>
                        <w:r w:rsidRPr="00302257">
                          <w:rPr>
                            <w:rFonts w:ascii="Calibri" w:hAnsi="Calibri"/>
                            <w:b/>
                            <w:bCs/>
                            <w:color w:val="000000"/>
                            <w:sz w:val="16"/>
                            <w:szCs w:val="16"/>
                          </w:rPr>
                          <w:t>Fim da vida útil do projeto</w:t>
                        </w:r>
                      </w:p>
                      <w:p w:rsidR="00F85DEC" w:rsidRPr="00302257" w:rsidRDefault="00F85DEC" w:rsidP="003D0B70">
                        <w:pPr>
                          <w:pStyle w:val="NormalWeb"/>
                          <w:spacing w:before="0" w:beforeAutospacing="0" w:after="0" w:afterAutospacing="0"/>
                          <w:rPr>
                            <w:sz w:val="16"/>
                            <w:szCs w:val="16"/>
                          </w:rPr>
                        </w:pPr>
                        <w:r w:rsidRPr="00302257">
                          <w:rPr>
                            <w:rFonts w:ascii="Calibri" w:hAnsi="Calibri"/>
                            <w:b/>
                            <w:bCs/>
                            <w:color w:val="000000"/>
                            <w:sz w:val="16"/>
                            <w:szCs w:val="16"/>
                          </w:rPr>
                          <w:t>(19 gerações simultâneas)</w:t>
                        </w:r>
                      </w:p>
                    </w:txbxContent>
                  </v:textbox>
                </v:shape>
                <v:shapetype id="_x0000_t32" coordsize="21600,21600" o:spt="32" o:oned="t" path="m,l21600,21600e" filled="f">
                  <v:path arrowok="t" fillok="f" o:connecttype="none"/>
                  <o:lock v:ext="edit" shapetype="t"/>
                </v:shapetype>
                <v:shape id="Conector de seta reta 8" o:spid="_x0000_s1053" type="#_x0000_t32" style="position:absolute;left:2871789;top:2838451;width:171450;height:22860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kaFL4AAADaAAAADwAAAGRycy9kb3ducmV2LnhtbERPy4rCMBTdC/5DuIIbGVNlEOkYRUSx&#10;Ln0sdHdprm2xuSlJtPXvJwvB5eG8F6vO1OJFzleWFUzGCQji3OqKCwWX8+5nDsIHZI21ZVLwJg+r&#10;Zb+3wFTblo/0OoVCxBD2KSooQ2hSKX1ekkE/tg1x5O7WGQwRukJqh20MN7WcJslMGqw4NpTY0Kak&#10;/HF6GgXXvW54e/gdHW8mmx2qad1mbqfUcNCt/0AE6sJX/HFnWkHcGq/EGyC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BCRoUvgAAANoAAAAPAAAAAAAAAAAAAAAAAKEC&#10;AABkcnMvZG93bnJldi54bWxQSwUGAAAAAAQABAD5AAAAjAMAAAAA&#10;" strokeweight="1.25pt">
                  <v:stroke endarrow="open"/>
                </v:shape>
                <v:shape id="CaixaDeTexto 12" o:spid="_x0000_s1054" type="#_x0000_t202" style="position:absolute;left:2386014;top:142875;width:2028825;height:2381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NRdsIA&#10;AADaAAAADwAAAGRycy9kb3ducmV2LnhtbESPQWvCQBSE7wX/w/KE3upGD7VGN0ECisfWCpLbI/tM&#10;gtm3YXdN0v76bqHQ4zAz3zC7fDKdGMj51rKC5SIBQVxZ3XKt4PJ5eHkD4QOyxs4yKfgiD3k2e9ph&#10;qu3IHzScQy0ihH2KCpoQ+lRKXzVk0C9sTxy9m3UGQ5SultrhGOGmk6skeZUGW44LDfZUNFTdzw+j&#10;IFyl/3auLI+H6r1cD+uiGG+tUs/zab8FEWgK/+G/9kkr2MDvlXgDZP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01F2wgAAANoAAAAPAAAAAAAAAAAAAAAAAJgCAABkcnMvZG93&#10;bnJldi54bWxQSwUGAAAAAAQABAD1AAAAhwMAAAAA&#10;" strokecolor="#bcbcbc">
                  <v:textbox>
                    <w:txbxContent>
                      <w:p w:rsidR="00F85DEC" w:rsidRPr="00302257" w:rsidRDefault="00F85DEC" w:rsidP="003D0B70">
                        <w:pPr>
                          <w:pStyle w:val="NormalWeb"/>
                          <w:spacing w:before="0" w:beforeAutospacing="0" w:after="0" w:afterAutospacing="0"/>
                          <w:jc w:val="center"/>
                          <w:rPr>
                            <w:sz w:val="16"/>
                            <w:szCs w:val="16"/>
                          </w:rPr>
                        </w:pPr>
                        <w:r w:rsidRPr="00302257">
                          <w:rPr>
                            <w:rFonts w:ascii="Calibri" w:hAnsi="Calibri"/>
                            <w:b/>
                            <w:bCs/>
                            <w:color w:val="000000"/>
                            <w:sz w:val="16"/>
                            <w:szCs w:val="16"/>
                          </w:rPr>
                          <w:t>Vida  ativa da primeira geração</w:t>
                        </w:r>
                      </w:p>
                    </w:txbxContent>
                  </v:textbox>
                </v:shape>
                <v:shape id="Conector de seta reta 10" o:spid="_x0000_s1055" type="#_x0000_t32" style="position:absolute;left:1576389;top:304801;width:809625;height:39052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lhBMQAAADbAAAADwAAAGRycy9kb3ducmV2LnhtbESPT2vCQBDF74LfYZlCL1I3ShFJXaWI&#10;Yjz659Dehuw0Cc3Oht3VpN++cxC8zfDevPeb1WZwrbpTiI1nA7NpBoq49LbhysD1sn9bgooJ2WLr&#10;mQz8UYTNejxaYW59zye6n1OlJIRjjgbqlLpc61jW5DBOfUcs2o8PDpOsodI2YC/hrtXzLFtohw1L&#10;Q40dbWsqf883Z+DrYDveHd8np29XLI7NvO2LsDfm9WX4/ACVaEhP8+O6sIIv9PKLDKD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WEExAAAANsAAAAPAAAAAAAAAAAA&#10;AAAAAKECAABkcnMvZG93bnJldi54bWxQSwUGAAAAAAQABAD5AAAAkgMAAAAA&#10;" strokeweight="1.25pt">
                  <v:stroke endarrow="open"/>
                </v:shape>
                <v:shape id="Conector de seta reta 11" o:spid="_x0000_s1056" type="#_x0000_t32" style="position:absolute;left:4433890;top:266701;width:561974;height:1714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L3/sMAAADbAAAADwAAAGRycy9kb3ducmV2LnhtbERPS2vCQBC+F/wPywjemo0FpaSuoRRC&#10;60GkPnoes5OHyc6G7NbE/vpuoeBtPr7nrNLRtOJKvastK5hHMQji3OqaSwXHQ/b4DMJ5ZI2tZVJw&#10;IwfpevKwwkTbgT/puvelCCHsElRQed8lUrq8IoMush1x4ArbG/QB9qXUPQ4h3LTyKY6X0mDNoaHC&#10;jt4qypv9t1HwMxaXQ1NsN6evnc6GDXXv52yh1Gw6vr6A8DT6u/jf/aHD/Dn8/RIOk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y9/7DAAAA2wAAAA8AAAAAAAAAAAAA&#10;AAAAoQIAAGRycy9kb3ducmV2LnhtbFBLBQYAAAAABAAEAPkAAACRAwAAAAA=&#10;" strokeweight="1.25pt">
                  <v:stroke endarrow="open"/>
                </v:shape>
              </v:group>
            </v:group>
            <v:shape id="_x0000_s1058" type="#_x0000_t32" style="position:absolute;left:8369;top:6672;width:0;height:4379" o:connectortype="straight" strokecolor="#548dd4" strokeweight="2pt"/>
          </v:group>
        </w:pict>
      </w: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3D0B70" w:rsidRDefault="003D0B70" w:rsidP="00FA6998">
      <w:pPr>
        <w:jc w:val="both"/>
        <w:rPr>
          <w:lang w:val="pt-BR"/>
        </w:rPr>
      </w:pPr>
    </w:p>
    <w:p w:rsidR="00FA6998" w:rsidRPr="00835DCE" w:rsidRDefault="00FA6998" w:rsidP="00835DCE">
      <w:pPr>
        <w:spacing w:after="120"/>
        <w:jc w:val="both"/>
        <w:rPr>
          <w:sz w:val="18"/>
          <w:szCs w:val="18"/>
          <w:lang w:val="pt-BR"/>
        </w:rPr>
      </w:pPr>
      <w:r w:rsidRPr="00835DCE">
        <w:rPr>
          <w:b/>
          <w:sz w:val="18"/>
          <w:szCs w:val="18"/>
          <w:lang w:val="pt-BR"/>
        </w:rPr>
        <w:t>Figura 2:</w:t>
      </w:r>
      <w:r w:rsidRPr="00835DCE">
        <w:rPr>
          <w:sz w:val="18"/>
          <w:szCs w:val="18"/>
          <w:lang w:val="pt-BR"/>
        </w:rPr>
        <w:t xml:space="preserve"> Benefícios de B3</w:t>
      </w:r>
      <w:r w:rsidR="003D0B70" w:rsidRPr="00835DCE">
        <w:rPr>
          <w:sz w:val="18"/>
          <w:szCs w:val="18"/>
          <w:lang w:val="pt-BR"/>
        </w:rPr>
        <w:t xml:space="preserve"> a valores correntes e presentes</w:t>
      </w:r>
    </w:p>
    <w:p w:rsidR="00916F73" w:rsidRPr="00835DCE" w:rsidRDefault="00916F73" w:rsidP="00835DCE">
      <w:pPr>
        <w:numPr>
          <w:ilvl w:val="0"/>
          <w:numId w:val="6"/>
        </w:numPr>
        <w:spacing w:before="120" w:after="120"/>
        <w:jc w:val="both"/>
        <w:rPr>
          <w:lang w:val="pt-BR"/>
        </w:rPr>
      </w:pPr>
      <w:r w:rsidRPr="00835DCE">
        <w:rPr>
          <w:lang w:val="pt-BR"/>
        </w:rPr>
        <w:t>Como os efeitos indiretos são cumulativos entre gerações, os benefícios indiretos assim estimados crescem até que a primeira geração que usufruiu da oferta de um EB de melhor qualidade, propiciado pela execução do projeto, se aposente, e cai a partir daí até a última geração formada se aposentar, finalizando os benefícios futuros do projeto.</w:t>
      </w:r>
      <w:r w:rsidR="00537AA6" w:rsidRPr="00835DCE">
        <w:rPr>
          <w:lang w:val="pt-BR"/>
        </w:rPr>
        <w:t xml:space="preserve"> Esse fluxo, em valor presente, corresponde a US$ 65,92 mi total.</w:t>
      </w:r>
    </w:p>
    <w:p w:rsidR="00916F73" w:rsidRPr="00835DCE" w:rsidRDefault="005B0AD9" w:rsidP="00835DCE">
      <w:pPr>
        <w:numPr>
          <w:ilvl w:val="0"/>
          <w:numId w:val="6"/>
        </w:numPr>
        <w:spacing w:before="120" w:after="120"/>
        <w:jc w:val="both"/>
        <w:rPr>
          <w:lang w:val="pt-BR"/>
        </w:rPr>
      </w:pPr>
      <w:r w:rsidRPr="00835DCE">
        <w:rPr>
          <w:lang w:val="pt-BR"/>
        </w:rPr>
        <w:t xml:space="preserve">Há que se considerar que tais benefícios estão, ainda assim, subestimados, uma vez que não consideramos o efeito de </w:t>
      </w:r>
      <w:r w:rsidRPr="00835DCE">
        <w:rPr>
          <w:i/>
          <w:lang w:val="pt-BR"/>
        </w:rPr>
        <w:t>spillover</w:t>
      </w:r>
      <w:r w:rsidRPr="00835DCE">
        <w:rPr>
          <w:lang w:val="pt-BR"/>
        </w:rPr>
        <w:t xml:space="preserve"> entre estes trabalhadores mais bem qualificados e os demais integrantes do mercado de trabalho, contribuindo para elevar ainda mais o capital social dessa economia.</w:t>
      </w:r>
    </w:p>
    <w:p w:rsidR="00C0578C" w:rsidRPr="00835DCE" w:rsidRDefault="00C0578C" w:rsidP="00835DCE">
      <w:pPr>
        <w:pStyle w:val="Heading1"/>
        <w:spacing w:before="120" w:after="120"/>
        <w:jc w:val="left"/>
        <w:rPr>
          <w:rFonts w:ascii="Times New Roman" w:hAnsi="Times New Roman" w:cs="Times New Roman"/>
        </w:rPr>
      </w:pPr>
      <w:bookmarkStart w:id="13" w:name="_Toc320875544"/>
      <w:r w:rsidRPr="00835DCE">
        <w:rPr>
          <w:rFonts w:ascii="Times New Roman" w:hAnsi="Times New Roman" w:cs="Times New Roman"/>
        </w:rPr>
        <w:t>C</w:t>
      </w:r>
      <w:r w:rsidR="004343D6" w:rsidRPr="00835DCE">
        <w:rPr>
          <w:rFonts w:ascii="Times New Roman" w:hAnsi="Times New Roman" w:cs="Times New Roman"/>
        </w:rPr>
        <w:t>ustos econô</w:t>
      </w:r>
      <w:r w:rsidRPr="00835DCE">
        <w:rPr>
          <w:rFonts w:ascii="Times New Roman" w:hAnsi="Times New Roman" w:cs="Times New Roman"/>
        </w:rPr>
        <w:t>micos</w:t>
      </w:r>
      <w:r w:rsidR="00244AE0" w:rsidRPr="00835DCE">
        <w:rPr>
          <w:rFonts w:ascii="Times New Roman" w:hAnsi="Times New Roman" w:cs="Times New Roman"/>
        </w:rPr>
        <w:t>: aplicação</w:t>
      </w:r>
      <w:bookmarkEnd w:id="13"/>
      <w:r w:rsidRPr="00835DCE">
        <w:rPr>
          <w:rFonts w:ascii="Times New Roman" w:hAnsi="Times New Roman" w:cs="Times New Roman"/>
        </w:rPr>
        <w:t xml:space="preserve"> </w:t>
      </w:r>
    </w:p>
    <w:p w:rsidR="000849D9" w:rsidRDefault="00397E49" w:rsidP="00835DCE">
      <w:pPr>
        <w:numPr>
          <w:ilvl w:val="0"/>
          <w:numId w:val="7"/>
        </w:numPr>
        <w:spacing w:before="120" w:after="120"/>
        <w:jc w:val="both"/>
        <w:rPr>
          <w:lang w:val="pt-BR"/>
        </w:rPr>
      </w:pPr>
      <w:r w:rsidRPr="00F0223C">
        <w:rPr>
          <w:lang w:val="pt-BR"/>
        </w:rPr>
        <w:t>Para o cálculo dos custos econômicos</w:t>
      </w:r>
      <w:r w:rsidR="00F0223C">
        <w:rPr>
          <w:lang w:val="pt-BR"/>
        </w:rPr>
        <w:t xml:space="preserve">, partimos dos custos financeiros e os agregamos, para cada componente, de acordo com o </w:t>
      </w:r>
      <w:r w:rsidR="000849D9">
        <w:rPr>
          <w:lang w:val="pt-BR"/>
        </w:rPr>
        <w:t xml:space="preserve">tipo de conversão </w:t>
      </w:r>
      <w:r w:rsidR="004950D1">
        <w:rPr>
          <w:lang w:val="pt-BR"/>
        </w:rPr>
        <w:t>requerido, assumindo as seguintes hipóteses:</w:t>
      </w:r>
    </w:p>
    <w:p w:rsidR="004950D1" w:rsidRDefault="004950D1" w:rsidP="00835DCE">
      <w:pPr>
        <w:numPr>
          <w:ilvl w:val="0"/>
          <w:numId w:val="7"/>
        </w:numPr>
        <w:spacing w:before="120" w:after="120"/>
        <w:jc w:val="both"/>
        <w:rPr>
          <w:lang w:val="pt-BR"/>
        </w:rPr>
      </w:pPr>
      <w:r w:rsidRPr="004950D1">
        <w:rPr>
          <w:b/>
          <w:lang w:val="pt-BR"/>
        </w:rPr>
        <w:lastRenderedPageBreak/>
        <w:t>Hipótese C1:</w:t>
      </w:r>
      <w:r>
        <w:rPr>
          <w:lang w:val="pt-BR"/>
        </w:rPr>
        <w:t xml:space="preserve"> As atividades de </w:t>
      </w:r>
      <w:r w:rsidRPr="004950D1">
        <w:rPr>
          <w:lang w:val="pt-BR"/>
        </w:rPr>
        <w:t>construções, ampliações e reformas típicas de construção civil</w:t>
      </w:r>
      <w:r>
        <w:rPr>
          <w:lang w:val="pt-BR"/>
        </w:rPr>
        <w:t xml:space="preserve"> utilizam uma participação relativa padrão para edificações como unidades escolares: do total do custo financeiro, 60% destina-se a materiais e insumos</w:t>
      </w:r>
      <w:r w:rsidR="0099051B">
        <w:rPr>
          <w:lang w:val="pt-BR"/>
        </w:rPr>
        <w:t xml:space="preserve"> (FCP)</w:t>
      </w:r>
      <w:r>
        <w:rPr>
          <w:lang w:val="pt-BR"/>
        </w:rPr>
        <w:t>; 30% é a participação de mão de obra não qualificada</w:t>
      </w:r>
      <w:r w:rsidR="0099051B">
        <w:rPr>
          <w:lang w:val="pt-BR"/>
        </w:rPr>
        <w:t xml:space="preserve"> (FCMONQ)</w:t>
      </w:r>
      <w:r>
        <w:rPr>
          <w:lang w:val="pt-BR"/>
        </w:rPr>
        <w:t xml:space="preserve"> e 10% de mão de obra qualificada</w:t>
      </w:r>
      <w:r w:rsidR="0099051B">
        <w:rPr>
          <w:lang w:val="pt-BR"/>
        </w:rPr>
        <w:t xml:space="preserve"> (FCMQ)</w:t>
      </w:r>
      <w:r>
        <w:rPr>
          <w:lang w:val="pt-BR"/>
        </w:rPr>
        <w:t>.</w:t>
      </w:r>
    </w:p>
    <w:p w:rsidR="004950D1" w:rsidRDefault="004950D1" w:rsidP="00835DCE">
      <w:pPr>
        <w:numPr>
          <w:ilvl w:val="0"/>
          <w:numId w:val="7"/>
        </w:numPr>
        <w:spacing w:before="120" w:after="120"/>
        <w:jc w:val="both"/>
        <w:rPr>
          <w:lang w:val="pt-BR"/>
        </w:rPr>
      </w:pPr>
      <w:r w:rsidRPr="003F0CB2">
        <w:rPr>
          <w:b/>
          <w:lang w:val="pt-BR"/>
        </w:rPr>
        <w:t>Hipótese C2:</w:t>
      </w:r>
      <w:r>
        <w:rPr>
          <w:lang w:val="pt-BR"/>
        </w:rPr>
        <w:t xml:space="preserve"> As atividades de consultoria e treinamento, em geral, consistem do uso de serviços de profissionais qualificados em suas respectivas áreas, sendo os custos financeiros dessas atividades convertidos a custos sociais pela aplicação do fator de conversão de mão de obra qualificada (FCMQ).</w:t>
      </w:r>
    </w:p>
    <w:p w:rsidR="004950D1" w:rsidRDefault="004950D1" w:rsidP="00835DCE">
      <w:pPr>
        <w:numPr>
          <w:ilvl w:val="0"/>
          <w:numId w:val="7"/>
        </w:numPr>
        <w:spacing w:before="120" w:after="120"/>
        <w:jc w:val="both"/>
        <w:rPr>
          <w:lang w:val="pt-BR"/>
        </w:rPr>
      </w:pPr>
      <w:r w:rsidRPr="003F0CB2">
        <w:rPr>
          <w:b/>
          <w:lang w:val="pt-BR"/>
        </w:rPr>
        <w:t>Hipótese C3:</w:t>
      </w:r>
      <w:r>
        <w:rPr>
          <w:lang w:val="pt-BR"/>
        </w:rPr>
        <w:t xml:space="preserve"> Os demais custos financeiros (aquisição de terrenos, materiais, equipamentos, etc.) foram convertidos a custos econômicos pela aplicação do fator de conversão padrão (FCP)</w:t>
      </w:r>
      <w:r w:rsidR="003F0CB2">
        <w:rPr>
          <w:lang w:val="pt-BR"/>
        </w:rPr>
        <w:t>.</w:t>
      </w:r>
    </w:p>
    <w:p w:rsidR="00CD769A" w:rsidRDefault="003F0CB2" w:rsidP="00835DCE">
      <w:pPr>
        <w:numPr>
          <w:ilvl w:val="0"/>
          <w:numId w:val="7"/>
        </w:numPr>
        <w:spacing w:before="120" w:after="120"/>
        <w:jc w:val="both"/>
        <w:rPr>
          <w:lang w:val="pt-BR"/>
        </w:rPr>
      </w:pPr>
      <w:r w:rsidRPr="000B77FC">
        <w:rPr>
          <w:lang w:val="pt-BR"/>
        </w:rPr>
        <w:t xml:space="preserve">Sob tais hipóteses, os custos financeiros totais de US$ </w:t>
      </w:r>
      <w:r w:rsidR="000B77FC" w:rsidRPr="000B77FC">
        <w:rPr>
          <w:lang w:val="pt-BR"/>
        </w:rPr>
        <w:t>118,42 mi</w:t>
      </w:r>
      <w:r w:rsidRPr="000B77FC">
        <w:rPr>
          <w:lang w:val="pt-BR"/>
        </w:rPr>
        <w:t xml:space="preserve"> foram convertidos a custos sociais </w:t>
      </w:r>
      <w:r w:rsidR="000B77FC" w:rsidRPr="000B77FC">
        <w:rPr>
          <w:lang w:val="pt-BR"/>
        </w:rPr>
        <w:t>equivalentes a US$ 10</w:t>
      </w:r>
      <w:r w:rsidR="006B0922">
        <w:rPr>
          <w:lang w:val="pt-BR"/>
        </w:rPr>
        <w:t>3,81</w:t>
      </w:r>
      <w:r w:rsidR="000B77FC" w:rsidRPr="000B77FC">
        <w:rPr>
          <w:lang w:val="pt-BR"/>
        </w:rPr>
        <w:t xml:space="preserve">, </w:t>
      </w:r>
      <w:r w:rsidR="006B0922">
        <w:rPr>
          <w:lang w:val="pt-BR"/>
        </w:rPr>
        <w:t>ou seja, 12,3</w:t>
      </w:r>
      <w:r w:rsidR="009E6149">
        <w:rPr>
          <w:lang w:val="pt-BR"/>
        </w:rPr>
        <w:t xml:space="preserve">% menores. A tabela 6 sintetiza </w:t>
      </w:r>
      <w:r w:rsidR="009E2430">
        <w:rPr>
          <w:lang w:val="pt-BR"/>
        </w:rPr>
        <w:t xml:space="preserve">os </w:t>
      </w:r>
      <w:r w:rsidR="009E6149">
        <w:rPr>
          <w:lang w:val="pt-BR"/>
        </w:rPr>
        <w:t>custos</w:t>
      </w:r>
      <w:r w:rsidR="009E2430">
        <w:rPr>
          <w:lang w:val="pt-BR"/>
        </w:rPr>
        <w:t xml:space="preserve"> sociais</w:t>
      </w:r>
      <w:r w:rsidR="009E6149">
        <w:rPr>
          <w:lang w:val="pt-BR"/>
        </w:rPr>
        <w:t xml:space="preserve"> de acordo com os fatores de conversão adequados, descritos nas hipóteses C1 a C3:</w:t>
      </w:r>
    </w:p>
    <w:tbl>
      <w:tblPr>
        <w:tblW w:w="8140" w:type="dxa"/>
        <w:tblInd w:w="55" w:type="dxa"/>
        <w:tblCellMar>
          <w:left w:w="70" w:type="dxa"/>
          <w:right w:w="70" w:type="dxa"/>
        </w:tblCellMar>
        <w:tblLook w:val="04A0"/>
      </w:tblPr>
      <w:tblGrid>
        <w:gridCol w:w="4605"/>
        <w:gridCol w:w="745"/>
        <w:gridCol w:w="756"/>
        <w:gridCol w:w="756"/>
        <w:gridCol w:w="639"/>
        <w:gridCol w:w="639"/>
      </w:tblGrid>
      <w:tr w:rsidR="00835DCE" w:rsidRPr="00835DCE" w:rsidTr="00895497">
        <w:trPr>
          <w:trHeight w:val="66"/>
        </w:trPr>
        <w:tc>
          <w:tcPr>
            <w:tcW w:w="8140" w:type="dxa"/>
            <w:gridSpan w:val="6"/>
            <w:tcBorders>
              <w:bottom w:val="single" w:sz="4" w:space="0" w:color="auto"/>
            </w:tcBorders>
            <w:shd w:val="clear" w:color="000000" w:fill="FFFFFF"/>
            <w:vAlign w:val="bottom"/>
            <w:hideMark/>
          </w:tcPr>
          <w:p w:rsidR="00835DCE" w:rsidRPr="00835DCE" w:rsidRDefault="00835DCE" w:rsidP="00835DCE">
            <w:pPr>
              <w:jc w:val="center"/>
              <w:rPr>
                <w:b/>
                <w:sz w:val="20"/>
                <w:szCs w:val="20"/>
                <w:lang w:val="pt-BR"/>
              </w:rPr>
            </w:pPr>
            <w:r w:rsidRPr="00835DCE">
              <w:rPr>
                <w:b/>
                <w:sz w:val="20"/>
                <w:szCs w:val="20"/>
                <w:lang w:val="pt-BR"/>
              </w:rPr>
              <w:t>Tabela 6: Custos sociais por componentes e anos, em US$ mi</w:t>
            </w:r>
          </w:p>
        </w:tc>
      </w:tr>
      <w:tr w:rsidR="00CC2D16" w:rsidRPr="00835DCE" w:rsidTr="00895497">
        <w:trPr>
          <w:trHeight w:val="56"/>
        </w:trPr>
        <w:tc>
          <w:tcPr>
            <w:tcW w:w="8140"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rsidR="00CC2D16" w:rsidRPr="00835DCE" w:rsidRDefault="00CC2D16" w:rsidP="00895497">
            <w:pPr>
              <w:rPr>
                <w:rFonts w:eastAsia="Times New Roman"/>
                <w:b/>
                <w:bCs/>
                <w:sz w:val="20"/>
                <w:szCs w:val="20"/>
                <w:lang w:val="pt-BR" w:eastAsia="pt-BR"/>
              </w:rPr>
            </w:pPr>
            <w:r w:rsidRPr="00835DCE">
              <w:rPr>
                <w:rFonts w:eastAsia="Times New Roman"/>
                <w:b/>
                <w:bCs/>
                <w:sz w:val="20"/>
                <w:szCs w:val="20"/>
                <w:lang w:val="pt-BR" w:eastAsia="pt-BR"/>
              </w:rPr>
              <w:t xml:space="preserve">COMPONENTE 1 </w:t>
            </w:r>
          </w:p>
        </w:tc>
      </w:tr>
      <w:tr w:rsidR="00CC2D16" w:rsidRPr="00835DCE" w:rsidTr="00895497">
        <w:trPr>
          <w:trHeight w:val="56"/>
        </w:trPr>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CC2D16" w:rsidRPr="00835DCE" w:rsidRDefault="00CC2D16" w:rsidP="00CC2D16">
            <w:pPr>
              <w:rPr>
                <w:rFonts w:eastAsia="Times New Roman"/>
                <w:sz w:val="20"/>
                <w:szCs w:val="20"/>
                <w:lang w:val="pt-BR" w:eastAsia="pt-BR"/>
              </w:rPr>
            </w:pPr>
            <w:r w:rsidRPr="00835DCE">
              <w:rPr>
                <w:rFonts w:eastAsia="Times New Roman"/>
                <w:sz w:val="20"/>
                <w:szCs w:val="20"/>
                <w:lang w:val="pt-BR" w:eastAsia="pt-BR"/>
              </w:rPr>
              <w:t> </w:t>
            </w:r>
          </w:p>
        </w:tc>
        <w:tc>
          <w:tcPr>
            <w:tcW w:w="745" w:type="dxa"/>
            <w:tcBorders>
              <w:top w:val="nil"/>
              <w:left w:val="nil"/>
              <w:bottom w:val="single" w:sz="4" w:space="0" w:color="auto"/>
              <w:right w:val="single" w:sz="4" w:space="0" w:color="auto"/>
            </w:tcBorders>
            <w:shd w:val="clear" w:color="000000" w:fill="FFFFFF"/>
            <w:noWrap/>
            <w:vAlign w:val="bottom"/>
            <w:hideMark/>
          </w:tcPr>
          <w:p w:rsidR="00CC2D16" w:rsidRPr="00835DCE" w:rsidRDefault="00CC2D16" w:rsidP="00CC2D16">
            <w:pPr>
              <w:jc w:val="center"/>
              <w:rPr>
                <w:rFonts w:eastAsia="Times New Roman"/>
                <w:color w:val="000000"/>
                <w:sz w:val="20"/>
                <w:szCs w:val="20"/>
                <w:lang w:val="pt-BR" w:eastAsia="pt-BR"/>
              </w:rPr>
            </w:pPr>
            <w:r w:rsidRPr="00835DCE">
              <w:rPr>
                <w:rFonts w:eastAsia="Times New Roman"/>
                <w:color w:val="000000"/>
                <w:sz w:val="20"/>
                <w:szCs w:val="20"/>
                <w:lang w:val="pt-BR" w:eastAsia="pt-BR"/>
              </w:rPr>
              <w:t>Ano I</w:t>
            </w:r>
          </w:p>
        </w:tc>
        <w:tc>
          <w:tcPr>
            <w:tcW w:w="756" w:type="dxa"/>
            <w:tcBorders>
              <w:top w:val="nil"/>
              <w:left w:val="nil"/>
              <w:bottom w:val="single" w:sz="4" w:space="0" w:color="auto"/>
              <w:right w:val="single" w:sz="4" w:space="0" w:color="auto"/>
            </w:tcBorders>
            <w:shd w:val="clear" w:color="000000" w:fill="FFFFFF"/>
            <w:noWrap/>
            <w:vAlign w:val="bottom"/>
            <w:hideMark/>
          </w:tcPr>
          <w:p w:rsidR="00CC2D16" w:rsidRPr="00835DCE" w:rsidRDefault="00CC2D16" w:rsidP="00CC2D16">
            <w:pPr>
              <w:jc w:val="center"/>
              <w:rPr>
                <w:rFonts w:eastAsia="Times New Roman"/>
                <w:color w:val="000000"/>
                <w:sz w:val="20"/>
                <w:szCs w:val="20"/>
                <w:lang w:val="pt-BR" w:eastAsia="pt-BR"/>
              </w:rPr>
            </w:pPr>
            <w:r w:rsidRPr="00835DCE">
              <w:rPr>
                <w:rFonts w:eastAsia="Times New Roman"/>
                <w:color w:val="000000"/>
                <w:sz w:val="20"/>
                <w:szCs w:val="20"/>
                <w:lang w:val="pt-BR" w:eastAsia="pt-BR"/>
              </w:rPr>
              <w:t>Ano 2</w:t>
            </w:r>
          </w:p>
        </w:tc>
        <w:tc>
          <w:tcPr>
            <w:tcW w:w="756" w:type="dxa"/>
            <w:tcBorders>
              <w:top w:val="nil"/>
              <w:left w:val="nil"/>
              <w:bottom w:val="single" w:sz="4" w:space="0" w:color="auto"/>
              <w:right w:val="single" w:sz="4" w:space="0" w:color="auto"/>
            </w:tcBorders>
            <w:shd w:val="clear" w:color="000000" w:fill="FFFFFF"/>
            <w:noWrap/>
            <w:vAlign w:val="bottom"/>
            <w:hideMark/>
          </w:tcPr>
          <w:p w:rsidR="00CC2D16" w:rsidRPr="00835DCE" w:rsidRDefault="00CC2D16" w:rsidP="00CC2D16">
            <w:pPr>
              <w:jc w:val="center"/>
              <w:rPr>
                <w:rFonts w:eastAsia="Times New Roman"/>
                <w:color w:val="000000"/>
                <w:sz w:val="20"/>
                <w:szCs w:val="20"/>
                <w:lang w:val="pt-BR" w:eastAsia="pt-BR"/>
              </w:rPr>
            </w:pPr>
            <w:r w:rsidRPr="00835DCE">
              <w:rPr>
                <w:rFonts w:eastAsia="Times New Roman"/>
                <w:color w:val="000000"/>
                <w:sz w:val="20"/>
                <w:szCs w:val="20"/>
                <w:lang w:val="pt-BR" w:eastAsia="pt-BR"/>
              </w:rPr>
              <w:t>Ano 3</w:t>
            </w:r>
          </w:p>
        </w:tc>
        <w:tc>
          <w:tcPr>
            <w:tcW w:w="639" w:type="dxa"/>
            <w:tcBorders>
              <w:top w:val="nil"/>
              <w:left w:val="nil"/>
              <w:bottom w:val="single" w:sz="4" w:space="0" w:color="auto"/>
              <w:right w:val="single" w:sz="4" w:space="0" w:color="auto"/>
            </w:tcBorders>
            <w:shd w:val="clear" w:color="000000" w:fill="FFFFFF"/>
            <w:noWrap/>
            <w:vAlign w:val="bottom"/>
            <w:hideMark/>
          </w:tcPr>
          <w:p w:rsidR="00CC2D16" w:rsidRPr="00835DCE" w:rsidRDefault="00CC2D16" w:rsidP="00CC2D16">
            <w:pPr>
              <w:jc w:val="center"/>
              <w:rPr>
                <w:rFonts w:eastAsia="Times New Roman"/>
                <w:color w:val="000000"/>
                <w:sz w:val="20"/>
                <w:szCs w:val="20"/>
                <w:lang w:val="pt-BR" w:eastAsia="pt-BR"/>
              </w:rPr>
            </w:pPr>
            <w:r w:rsidRPr="00835DCE">
              <w:rPr>
                <w:rFonts w:eastAsia="Times New Roman"/>
                <w:color w:val="000000"/>
                <w:sz w:val="20"/>
                <w:szCs w:val="20"/>
                <w:lang w:val="pt-BR" w:eastAsia="pt-BR"/>
              </w:rPr>
              <w:t>Ano 4</w:t>
            </w:r>
          </w:p>
        </w:tc>
        <w:tc>
          <w:tcPr>
            <w:tcW w:w="639" w:type="dxa"/>
            <w:tcBorders>
              <w:top w:val="nil"/>
              <w:left w:val="nil"/>
              <w:bottom w:val="single" w:sz="4" w:space="0" w:color="auto"/>
              <w:right w:val="single" w:sz="4" w:space="0" w:color="auto"/>
            </w:tcBorders>
            <w:shd w:val="clear" w:color="000000" w:fill="FFFFFF"/>
            <w:noWrap/>
            <w:vAlign w:val="bottom"/>
            <w:hideMark/>
          </w:tcPr>
          <w:p w:rsidR="00CC2D16" w:rsidRPr="00835DCE" w:rsidRDefault="00CC2D16" w:rsidP="00CC2D16">
            <w:pPr>
              <w:rPr>
                <w:rFonts w:eastAsia="Times New Roman"/>
                <w:color w:val="000000"/>
                <w:sz w:val="20"/>
                <w:szCs w:val="20"/>
                <w:lang w:val="pt-BR" w:eastAsia="pt-BR"/>
              </w:rPr>
            </w:pPr>
            <w:r w:rsidRPr="00835DCE">
              <w:rPr>
                <w:rFonts w:eastAsia="Times New Roman"/>
                <w:color w:val="000000"/>
                <w:sz w:val="20"/>
                <w:szCs w:val="20"/>
                <w:lang w:val="pt-BR" w:eastAsia="pt-BR"/>
              </w:rPr>
              <w:t>Ano 5</w:t>
            </w:r>
          </w:p>
        </w:tc>
      </w:tr>
      <w:tr w:rsidR="00CC2D16" w:rsidRPr="00835DCE" w:rsidTr="00895497">
        <w:trPr>
          <w:trHeight w:val="56"/>
        </w:trPr>
        <w:tc>
          <w:tcPr>
            <w:tcW w:w="4605" w:type="dxa"/>
            <w:tcBorders>
              <w:top w:val="nil"/>
              <w:left w:val="single" w:sz="4" w:space="0" w:color="auto"/>
              <w:bottom w:val="single" w:sz="4" w:space="0" w:color="auto"/>
              <w:right w:val="single" w:sz="4" w:space="0" w:color="auto"/>
            </w:tcBorders>
            <w:shd w:val="clear" w:color="auto" w:fill="auto"/>
            <w:vAlign w:val="center"/>
            <w:hideMark/>
          </w:tcPr>
          <w:p w:rsidR="00CC2D16" w:rsidRPr="00835DCE" w:rsidRDefault="00CC2D16" w:rsidP="00895497">
            <w:pPr>
              <w:rPr>
                <w:rFonts w:eastAsia="Times New Roman"/>
                <w:sz w:val="20"/>
                <w:szCs w:val="20"/>
                <w:lang w:val="pt-BR" w:eastAsia="pt-BR"/>
              </w:rPr>
            </w:pPr>
            <w:r w:rsidRPr="00835DCE">
              <w:rPr>
                <w:rFonts w:eastAsia="Times New Roman"/>
                <w:sz w:val="20"/>
                <w:szCs w:val="20"/>
                <w:lang w:val="pt-BR" w:eastAsia="pt-BR"/>
              </w:rPr>
              <w:t>Construção e Ampliação de Unidades de Ensino</w:t>
            </w:r>
          </w:p>
        </w:tc>
        <w:tc>
          <w:tcPr>
            <w:tcW w:w="745"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6,79</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18,85</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22,28</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4,15</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0,00</w:t>
            </w:r>
          </w:p>
        </w:tc>
      </w:tr>
      <w:tr w:rsidR="00CC2D16" w:rsidRPr="00835DCE" w:rsidTr="00895497">
        <w:trPr>
          <w:trHeight w:val="56"/>
        </w:trPr>
        <w:tc>
          <w:tcPr>
            <w:tcW w:w="4605" w:type="dxa"/>
            <w:tcBorders>
              <w:top w:val="nil"/>
              <w:left w:val="single" w:sz="4" w:space="0" w:color="auto"/>
              <w:bottom w:val="single" w:sz="4" w:space="0" w:color="auto"/>
              <w:right w:val="single" w:sz="4" w:space="0" w:color="auto"/>
            </w:tcBorders>
            <w:shd w:val="clear" w:color="auto" w:fill="auto"/>
            <w:vAlign w:val="center"/>
            <w:hideMark/>
          </w:tcPr>
          <w:p w:rsidR="00CC2D16" w:rsidRPr="00835DCE" w:rsidRDefault="00CC2D16" w:rsidP="00895497">
            <w:pPr>
              <w:rPr>
                <w:rFonts w:eastAsia="Times New Roman"/>
                <w:sz w:val="20"/>
                <w:szCs w:val="20"/>
                <w:lang w:val="pt-BR" w:eastAsia="pt-BR"/>
              </w:rPr>
            </w:pPr>
            <w:r w:rsidRPr="00835DCE">
              <w:rPr>
                <w:rFonts w:eastAsia="Times New Roman"/>
                <w:sz w:val="20"/>
                <w:szCs w:val="20"/>
                <w:lang w:val="pt-BR" w:eastAsia="pt-BR"/>
              </w:rPr>
              <w:t>Aquisição de Terrenos, Equipamentos, Mobiliário</w:t>
            </w:r>
          </w:p>
        </w:tc>
        <w:tc>
          <w:tcPr>
            <w:tcW w:w="745"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5,04</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6,76</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5,52</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1,62</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0,00</w:t>
            </w:r>
          </w:p>
        </w:tc>
      </w:tr>
      <w:tr w:rsidR="00CC2D16" w:rsidRPr="00835DCE" w:rsidTr="00895497">
        <w:trPr>
          <w:trHeight w:val="56"/>
        </w:trPr>
        <w:tc>
          <w:tcPr>
            <w:tcW w:w="8140"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rsidR="00CC2D16" w:rsidRPr="00835DCE" w:rsidRDefault="00CC2D16" w:rsidP="00895497">
            <w:pPr>
              <w:rPr>
                <w:rFonts w:eastAsia="Times New Roman"/>
                <w:b/>
                <w:bCs/>
                <w:sz w:val="20"/>
                <w:szCs w:val="20"/>
                <w:lang w:val="pt-BR" w:eastAsia="pt-BR"/>
              </w:rPr>
            </w:pPr>
            <w:r w:rsidRPr="00835DCE">
              <w:rPr>
                <w:rFonts w:eastAsia="Times New Roman"/>
                <w:b/>
                <w:bCs/>
                <w:sz w:val="20"/>
                <w:szCs w:val="20"/>
                <w:lang w:val="pt-BR" w:eastAsia="pt-BR"/>
              </w:rPr>
              <w:t xml:space="preserve">COMPONENTE 2 </w:t>
            </w:r>
          </w:p>
        </w:tc>
      </w:tr>
      <w:tr w:rsidR="00CC2D16" w:rsidRPr="00835DCE" w:rsidTr="00895497">
        <w:trPr>
          <w:trHeight w:val="56"/>
        </w:trPr>
        <w:tc>
          <w:tcPr>
            <w:tcW w:w="4605" w:type="dxa"/>
            <w:tcBorders>
              <w:top w:val="nil"/>
              <w:left w:val="single" w:sz="4" w:space="0" w:color="auto"/>
              <w:bottom w:val="single" w:sz="4" w:space="0" w:color="auto"/>
              <w:right w:val="single" w:sz="4" w:space="0" w:color="auto"/>
            </w:tcBorders>
            <w:shd w:val="clear" w:color="auto" w:fill="auto"/>
            <w:vAlign w:val="center"/>
            <w:hideMark/>
          </w:tcPr>
          <w:p w:rsidR="00CC2D16" w:rsidRPr="00835DCE" w:rsidRDefault="00CC2D16" w:rsidP="00895497">
            <w:pPr>
              <w:rPr>
                <w:rFonts w:eastAsia="Times New Roman"/>
                <w:sz w:val="20"/>
                <w:szCs w:val="20"/>
                <w:lang w:val="pt-BR" w:eastAsia="pt-BR"/>
              </w:rPr>
            </w:pPr>
            <w:r w:rsidRPr="00835DCE">
              <w:rPr>
                <w:rFonts w:eastAsia="Times New Roman"/>
                <w:sz w:val="20"/>
                <w:szCs w:val="20"/>
                <w:lang w:val="pt-BR" w:eastAsia="pt-BR"/>
              </w:rPr>
              <w:t>Consultoria para desenvolvimento de projetos e capacitação de profissionais</w:t>
            </w:r>
          </w:p>
        </w:tc>
        <w:tc>
          <w:tcPr>
            <w:tcW w:w="745"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0,78</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1,31</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0,96</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2,60</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2,63</w:t>
            </w:r>
          </w:p>
        </w:tc>
      </w:tr>
      <w:tr w:rsidR="00CC2D16" w:rsidRPr="00835DCE" w:rsidTr="00895497">
        <w:trPr>
          <w:trHeight w:val="56"/>
        </w:trPr>
        <w:tc>
          <w:tcPr>
            <w:tcW w:w="4605" w:type="dxa"/>
            <w:tcBorders>
              <w:top w:val="nil"/>
              <w:left w:val="single" w:sz="4" w:space="0" w:color="auto"/>
              <w:bottom w:val="single" w:sz="4" w:space="0" w:color="auto"/>
              <w:right w:val="single" w:sz="4" w:space="0" w:color="auto"/>
            </w:tcBorders>
            <w:shd w:val="clear" w:color="auto" w:fill="auto"/>
            <w:vAlign w:val="center"/>
            <w:hideMark/>
          </w:tcPr>
          <w:p w:rsidR="00CC2D16" w:rsidRPr="00835DCE" w:rsidRDefault="00CC2D16" w:rsidP="00895497">
            <w:pPr>
              <w:rPr>
                <w:rFonts w:eastAsia="Times New Roman"/>
                <w:sz w:val="20"/>
                <w:szCs w:val="20"/>
                <w:lang w:val="pt-BR" w:eastAsia="pt-BR"/>
              </w:rPr>
            </w:pPr>
            <w:r w:rsidRPr="00835DCE">
              <w:rPr>
                <w:rFonts w:eastAsia="Times New Roman"/>
                <w:sz w:val="20"/>
                <w:szCs w:val="20"/>
                <w:lang w:val="pt-BR" w:eastAsia="pt-BR"/>
              </w:rPr>
              <w:t>Produção de kits multimidiáticos, implantação de laboratórios, aquisição de material pedagógico e de bens para laboratórios</w:t>
            </w:r>
          </w:p>
        </w:tc>
        <w:tc>
          <w:tcPr>
            <w:tcW w:w="745"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0,00</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2,28</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2,27</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4,76</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2,09</w:t>
            </w:r>
          </w:p>
        </w:tc>
      </w:tr>
      <w:tr w:rsidR="00CC2D16" w:rsidRPr="00835DCE" w:rsidTr="00895497">
        <w:trPr>
          <w:trHeight w:val="56"/>
        </w:trPr>
        <w:tc>
          <w:tcPr>
            <w:tcW w:w="8140"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rsidR="00CC2D16" w:rsidRPr="00835DCE" w:rsidRDefault="00CC2D16" w:rsidP="00895497">
            <w:pPr>
              <w:rPr>
                <w:rFonts w:eastAsia="Times New Roman"/>
                <w:b/>
                <w:bCs/>
                <w:sz w:val="20"/>
                <w:szCs w:val="20"/>
                <w:lang w:val="pt-BR" w:eastAsia="pt-BR"/>
              </w:rPr>
            </w:pPr>
            <w:r w:rsidRPr="00835DCE">
              <w:rPr>
                <w:rFonts w:eastAsia="Times New Roman"/>
                <w:b/>
                <w:bCs/>
                <w:sz w:val="20"/>
                <w:szCs w:val="20"/>
                <w:lang w:val="pt-BR" w:eastAsia="pt-BR"/>
              </w:rPr>
              <w:t xml:space="preserve">COMPONENTE 3 </w:t>
            </w:r>
          </w:p>
        </w:tc>
      </w:tr>
      <w:tr w:rsidR="00CC2D16" w:rsidRPr="00835DCE" w:rsidTr="00895497">
        <w:trPr>
          <w:trHeight w:val="56"/>
        </w:trPr>
        <w:tc>
          <w:tcPr>
            <w:tcW w:w="4605" w:type="dxa"/>
            <w:tcBorders>
              <w:top w:val="nil"/>
              <w:left w:val="single" w:sz="4" w:space="0" w:color="auto"/>
              <w:bottom w:val="single" w:sz="4" w:space="0" w:color="auto"/>
              <w:right w:val="single" w:sz="4" w:space="0" w:color="auto"/>
            </w:tcBorders>
            <w:shd w:val="clear" w:color="auto" w:fill="auto"/>
            <w:vAlign w:val="center"/>
            <w:hideMark/>
          </w:tcPr>
          <w:p w:rsidR="00CC2D16" w:rsidRPr="00835DCE" w:rsidRDefault="00CC2D16" w:rsidP="00895497">
            <w:pPr>
              <w:rPr>
                <w:rFonts w:eastAsia="Times New Roman"/>
                <w:sz w:val="20"/>
                <w:szCs w:val="20"/>
                <w:lang w:val="pt-BR" w:eastAsia="pt-BR"/>
              </w:rPr>
            </w:pPr>
            <w:r w:rsidRPr="00835DCE">
              <w:rPr>
                <w:rFonts w:eastAsia="Times New Roman"/>
                <w:sz w:val="20"/>
                <w:szCs w:val="20"/>
                <w:lang w:val="pt-BR" w:eastAsia="pt-BR"/>
              </w:rPr>
              <w:t>Consultoria, capacitação, avaliação e gestão</w:t>
            </w:r>
          </w:p>
        </w:tc>
        <w:tc>
          <w:tcPr>
            <w:tcW w:w="745"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1,06</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1,65</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1,13</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1,07</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2,34</w:t>
            </w:r>
          </w:p>
        </w:tc>
      </w:tr>
      <w:tr w:rsidR="00CC2D16" w:rsidRPr="00835DCE" w:rsidTr="00895497">
        <w:trPr>
          <w:trHeight w:val="56"/>
        </w:trPr>
        <w:tc>
          <w:tcPr>
            <w:tcW w:w="4605" w:type="dxa"/>
            <w:tcBorders>
              <w:top w:val="nil"/>
              <w:left w:val="single" w:sz="4" w:space="0" w:color="auto"/>
              <w:bottom w:val="single" w:sz="4" w:space="0" w:color="auto"/>
              <w:right w:val="single" w:sz="4" w:space="0" w:color="auto"/>
            </w:tcBorders>
            <w:shd w:val="clear" w:color="auto" w:fill="auto"/>
            <w:vAlign w:val="center"/>
            <w:hideMark/>
          </w:tcPr>
          <w:p w:rsidR="00CC2D16" w:rsidRPr="00835DCE" w:rsidRDefault="00CC2D16" w:rsidP="00895497">
            <w:pPr>
              <w:rPr>
                <w:rFonts w:eastAsia="Times New Roman"/>
                <w:sz w:val="20"/>
                <w:szCs w:val="20"/>
                <w:lang w:val="pt-BR" w:eastAsia="pt-BR"/>
              </w:rPr>
            </w:pPr>
            <w:r w:rsidRPr="00835DCE">
              <w:rPr>
                <w:rFonts w:eastAsia="Times New Roman"/>
                <w:sz w:val="20"/>
                <w:szCs w:val="20"/>
                <w:lang w:val="pt-BR" w:eastAsia="pt-BR"/>
              </w:rPr>
              <w:t>Aquisição de equipamentos</w:t>
            </w:r>
          </w:p>
        </w:tc>
        <w:tc>
          <w:tcPr>
            <w:tcW w:w="745"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0,00</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0,12</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0,00</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0,00</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0,00</w:t>
            </w:r>
          </w:p>
        </w:tc>
      </w:tr>
      <w:tr w:rsidR="00CC2D16" w:rsidRPr="00835DCE" w:rsidTr="00895497">
        <w:trPr>
          <w:trHeight w:val="56"/>
        </w:trPr>
        <w:tc>
          <w:tcPr>
            <w:tcW w:w="8140"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rsidR="00CC2D16" w:rsidRPr="00835DCE" w:rsidRDefault="00CC2D16" w:rsidP="00895497">
            <w:pPr>
              <w:rPr>
                <w:rFonts w:eastAsia="Times New Roman"/>
                <w:b/>
                <w:bCs/>
                <w:sz w:val="20"/>
                <w:szCs w:val="20"/>
                <w:lang w:val="pt-BR" w:eastAsia="pt-BR"/>
              </w:rPr>
            </w:pPr>
            <w:r w:rsidRPr="00835DCE">
              <w:rPr>
                <w:rFonts w:eastAsia="Times New Roman"/>
                <w:b/>
                <w:bCs/>
                <w:sz w:val="20"/>
                <w:szCs w:val="20"/>
                <w:lang w:val="pt-BR" w:eastAsia="pt-BR"/>
              </w:rPr>
              <w:t>COMPONENTE 4</w:t>
            </w:r>
          </w:p>
        </w:tc>
      </w:tr>
      <w:tr w:rsidR="00CC2D16" w:rsidRPr="00835DCE" w:rsidTr="00895497">
        <w:trPr>
          <w:trHeight w:val="56"/>
        </w:trPr>
        <w:tc>
          <w:tcPr>
            <w:tcW w:w="4605" w:type="dxa"/>
            <w:tcBorders>
              <w:top w:val="nil"/>
              <w:left w:val="single" w:sz="4" w:space="0" w:color="auto"/>
              <w:bottom w:val="single" w:sz="4" w:space="0" w:color="auto"/>
              <w:right w:val="single" w:sz="4" w:space="0" w:color="auto"/>
            </w:tcBorders>
            <w:shd w:val="clear" w:color="auto" w:fill="auto"/>
            <w:vAlign w:val="center"/>
            <w:hideMark/>
          </w:tcPr>
          <w:p w:rsidR="00CC2D16" w:rsidRPr="00835DCE" w:rsidRDefault="00CC2D16" w:rsidP="00895497">
            <w:pPr>
              <w:rPr>
                <w:rFonts w:eastAsia="Times New Roman"/>
                <w:sz w:val="20"/>
                <w:szCs w:val="20"/>
                <w:lang w:val="pt-BR" w:eastAsia="pt-BR"/>
              </w:rPr>
            </w:pPr>
            <w:r w:rsidRPr="00835DCE">
              <w:rPr>
                <w:rFonts w:eastAsia="Times New Roman"/>
                <w:sz w:val="20"/>
                <w:szCs w:val="20"/>
                <w:lang w:val="pt-BR" w:eastAsia="pt-BR"/>
              </w:rPr>
              <w:t>Consultoria, capacitação, avaliação e gestão</w:t>
            </w:r>
          </w:p>
        </w:tc>
        <w:tc>
          <w:tcPr>
            <w:tcW w:w="745"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0,59</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0,57</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0,57</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0,56</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0,50</w:t>
            </w:r>
          </w:p>
        </w:tc>
      </w:tr>
      <w:tr w:rsidR="00CC2D16" w:rsidRPr="00835DCE" w:rsidTr="00895497">
        <w:trPr>
          <w:trHeight w:val="56"/>
        </w:trPr>
        <w:tc>
          <w:tcPr>
            <w:tcW w:w="4605" w:type="dxa"/>
            <w:tcBorders>
              <w:top w:val="nil"/>
              <w:left w:val="single" w:sz="4" w:space="0" w:color="auto"/>
              <w:bottom w:val="single" w:sz="4" w:space="0" w:color="auto"/>
              <w:right w:val="single" w:sz="4" w:space="0" w:color="auto"/>
            </w:tcBorders>
            <w:shd w:val="clear" w:color="auto" w:fill="auto"/>
            <w:vAlign w:val="center"/>
            <w:hideMark/>
          </w:tcPr>
          <w:p w:rsidR="00CC2D16" w:rsidRPr="00835DCE" w:rsidRDefault="00CC2D16" w:rsidP="00895497">
            <w:pPr>
              <w:rPr>
                <w:rFonts w:eastAsia="Times New Roman"/>
                <w:sz w:val="20"/>
                <w:szCs w:val="20"/>
                <w:lang w:val="pt-BR" w:eastAsia="pt-BR"/>
              </w:rPr>
            </w:pPr>
            <w:r w:rsidRPr="00835DCE">
              <w:rPr>
                <w:rFonts w:eastAsia="Times New Roman"/>
                <w:sz w:val="20"/>
                <w:szCs w:val="20"/>
                <w:lang w:val="pt-BR" w:eastAsia="pt-BR"/>
              </w:rPr>
              <w:t>Aquisição de equipamentos</w:t>
            </w:r>
          </w:p>
        </w:tc>
        <w:tc>
          <w:tcPr>
            <w:tcW w:w="745"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0,07</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0,00</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0,00</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0,00</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0,00</w:t>
            </w:r>
          </w:p>
        </w:tc>
      </w:tr>
      <w:tr w:rsidR="00CC2D16" w:rsidRPr="00835DCE" w:rsidTr="00895497">
        <w:trPr>
          <w:trHeight w:val="56"/>
        </w:trPr>
        <w:tc>
          <w:tcPr>
            <w:tcW w:w="8140"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rsidR="00CC2D16" w:rsidRPr="00835DCE" w:rsidRDefault="00895497" w:rsidP="00895497">
            <w:pPr>
              <w:rPr>
                <w:rFonts w:eastAsia="Times New Roman"/>
                <w:b/>
                <w:bCs/>
                <w:sz w:val="20"/>
                <w:szCs w:val="20"/>
                <w:lang w:val="pt-BR" w:eastAsia="pt-BR"/>
              </w:rPr>
            </w:pPr>
            <w:r>
              <w:rPr>
                <w:rFonts w:eastAsia="Times New Roman"/>
                <w:b/>
                <w:bCs/>
                <w:sz w:val="20"/>
                <w:szCs w:val="20"/>
                <w:lang w:val="pt-BR" w:eastAsia="pt-BR"/>
              </w:rPr>
              <w:t>Contingência</w:t>
            </w:r>
          </w:p>
        </w:tc>
      </w:tr>
      <w:tr w:rsidR="00CC2D16" w:rsidRPr="00835DCE" w:rsidTr="00895497">
        <w:trPr>
          <w:trHeight w:val="56"/>
        </w:trPr>
        <w:tc>
          <w:tcPr>
            <w:tcW w:w="4605" w:type="dxa"/>
            <w:tcBorders>
              <w:top w:val="nil"/>
              <w:left w:val="single" w:sz="4" w:space="0" w:color="auto"/>
              <w:bottom w:val="single" w:sz="4" w:space="0" w:color="auto"/>
              <w:right w:val="single" w:sz="4" w:space="0" w:color="auto"/>
            </w:tcBorders>
            <w:shd w:val="clear" w:color="auto" w:fill="auto"/>
            <w:vAlign w:val="center"/>
            <w:hideMark/>
          </w:tcPr>
          <w:p w:rsidR="00CC2D16" w:rsidRPr="00835DCE" w:rsidRDefault="00CC2D16" w:rsidP="00895497">
            <w:pPr>
              <w:rPr>
                <w:rFonts w:eastAsia="Times New Roman"/>
                <w:sz w:val="20"/>
                <w:szCs w:val="20"/>
                <w:lang w:val="pt-BR" w:eastAsia="pt-BR"/>
              </w:rPr>
            </w:pPr>
            <w:r w:rsidRPr="00835DCE">
              <w:rPr>
                <w:rFonts w:eastAsia="Times New Roman"/>
                <w:sz w:val="20"/>
                <w:szCs w:val="20"/>
                <w:lang w:val="pt-BR" w:eastAsia="pt-BR"/>
              </w:rPr>
              <w:t>Contingência</w:t>
            </w:r>
          </w:p>
        </w:tc>
        <w:tc>
          <w:tcPr>
            <w:tcW w:w="745"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w:t>
            </w:r>
            <w:r w:rsidR="006B0922" w:rsidRPr="00835DCE">
              <w:rPr>
                <w:rFonts w:eastAsia="Times New Roman"/>
                <w:sz w:val="20"/>
                <w:szCs w:val="20"/>
                <w:lang w:val="pt-BR" w:eastAsia="pt-BR"/>
              </w:rPr>
              <w:t>00</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w:t>
            </w:r>
            <w:r w:rsidR="006B0922" w:rsidRPr="00835DCE">
              <w:rPr>
                <w:rFonts w:eastAsia="Times New Roman"/>
                <w:sz w:val="20"/>
                <w:szCs w:val="20"/>
                <w:lang w:val="pt-BR" w:eastAsia="pt-BR"/>
              </w:rPr>
              <w:t>00</w:t>
            </w:r>
          </w:p>
        </w:tc>
        <w:tc>
          <w:tcPr>
            <w:tcW w:w="756"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w:t>
            </w:r>
            <w:r w:rsidR="006B0922" w:rsidRPr="00835DCE">
              <w:rPr>
                <w:rFonts w:eastAsia="Times New Roman"/>
                <w:sz w:val="20"/>
                <w:szCs w:val="20"/>
                <w:lang w:val="pt-BR" w:eastAsia="pt-BR"/>
              </w:rPr>
              <w:t>00</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CC2D16" w:rsidP="00895497">
            <w:pPr>
              <w:jc w:val="right"/>
              <w:rPr>
                <w:rFonts w:eastAsia="Times New Roman"/>
                <w:sz w:val="20"/>
                <w:szCs w:val="20"/>
                <w:lang w:val="pt-BR" w:eastAsia="pt-BR"/>
              </w:rPr>
            </w:pPr>
            <w:r w:rsidRPr="00835DCE">
              <w:rPr>
                <w:rFonts w:eastAsia="Times New Roman"/>
                <w:sz w:val="20"/>
                <w:szCs w:val="20"/>
                <w:lang w:val="pt-BR" w:eastAsia="pt-BR"/>
              </w:rPr>
              <w:t>0,</w:t>
            </w:r>
            <w:r w:rsidR="006B0922" w:rsidRPr="00835DCE">
              <w:rPr>
                <w:rFonts w:eastAsia="Times New Roman"/>
                <w:sz w:val="20"/>
                <w:szCs w:val="20"/>
                <w:lang w:val="pt-BR" w:eastAsia="pt-BR"/>
              </w:rPr>
              <w:t>00</w:t>
            </w:r>
          </w:p>
        </w:tc>
        <w:tc>
          <w:tcPr>
            <w:tcW w:w="639" w:type="dxa"/>
            <w:tcBorders>
              <w:top w:val="nil"/>
              <w:left w:val="nil"/>
              <w:bottom w:val="single" w:sz="4" w:space="0" w:color="auto"/>
              <w:right w:val="single" w:sz="4" w:space="0" w:color="auto"/>
            </w:tcBorders>
            <w:shd w:val="clear" w:color="auto" w:fill="auto"/>
            <w:noWrap/>
            <w:vAlign w:val="center"/>
            <w:hideMark/>
          </w:tcPr>
          <w:p w:rsidR="00CC2D16" w:rsidRPr="00835DCE" w:rsidRDefault="006B0922" w:rsidP="00895497">
            <w:pPr>
              <w:jc w:val="right"/>
              <w:rPr>
                <w:rFonts w:eastAsia="Times New Roman"/>
                <w:sz w:val="20"/>
                <w:szCs w:val="20"/>
                <w:lang w:val="pt-BR" w:eastAsia="pt-BR"/>
              </w:rPr>
            </w:pPr>
            <w:r w:rsidRPr="00835DCE">
              <w:rPr>
                <w:rFonts w:eastAsia="Times New Roman"/>
                <w:sz w:val="20"/>
                <w:szCs w:val="20"/>
                <w:lang w:val="pt-BR" w:eastAsia="pt-BR"/>
              </w:rPr>
              <w:t>2,89</w:t>
            </w:r>
          </w:p>
        </w:tc>
      </w:tr>
      <w:tr w:rsidR="00835DCE" w:rsidRPr="00835DCE" w:rsidTr="00F85DEC">
        <w:trPr>
          <w:trHeight w:val="255"/>
        </w:trPr>
        <w:tc>
          <w:tcPr>
            <w:tcW w:w="8140" w:type="dxa"/>
            <w:gridSpan w:val="6"/>
            <w:tcBorders>
              <w:top w:val="nil"/>
              <w:left w:val="nil"/>
              <w:bottom w:val="nil"/>
              <w:right w:val="nil"/>
            </w:tcBorders>
            <w:shd w:val="clear" w:color="auto" w:fill="auto"/>
            <w:vAlign w:val="center"/>
            <w:hideMark/>
          </w:tcPr>
          <w:p w:rsidR="00835DCE" w:rsidRPr="00895497" w:rsidRDefault="00835DCE" w:rsidP="00CC2D16">
            <w:pPr>
              <w:rPr>
                <w:rFonts w:eastAsia="Times New Roman"/>
                <w:sz w:val="18"/>
                <w:szCs w:val="18"/>
                <w:lang w:val="pt-BR" w:eastAsia="pt-BR"/>
              </w:rPr>
            </w:pPr>
            <w:r w:rsidRPr="00895497">
              <w:rPr>
                <w:rFonts w:eastAsia="Times New Roman"/>
                <w:sz w:val="18"/>
                <w:szCs w:val="18"/>
                <w:lang w:val="pt-BR" w:eastAsia="pt-BR"/>
              </w:rPr>
              <w:t>Fonte: Elaboração própria</w:t>
            </w:r>
          </w:p>
        </w:tc>
      </w:tr>
    </w:tbl>
    <w:p w:rsidR="00C0578C" w:rsidRPr="00895497" w:rsidRDefault="00C0578C" w:rsidP="00895497">
      <w:pPr>
        <w:pStyle w:val="Heading1"/>
        <w:spacing w:before="120" w:after="120"/>
        <w:jc w:val="left"/>
        <w:rPr>
          <w:rFonts w:ascii="Times New Roman" w:hAnsi="Times New Roman" w:cs="Times New Roman"/>
        </w:rPr>
      </w:pPr>
      <w:bookmarkStart w:id="14" w:name="_Toc320875545"/>
      <w:r w:rsidRPr="00895497">
        <w:rPr>
          <w:rFonts w:ascii="Times New Roman" w:hAnsi="Times New Roman" w:cs="Times New Roman"/>
        </w:rPr>
        <w:t>Rentabilidad</w:t>
      </w:r>
      <w:r w:rsidR="004343D6" w:rsidRPr="00895497">
        <w:rPr>
          <w:rFonts w:ascii="Times New Roman" w:hAnsi="Times New Roman" w:cs="Times New Roman"/>
        </w:rPr>
        <w:t>e econô</w:t>
      </w:r>
      <w:r w:rsidRPr="00895497">
        <w:rPr>
          <w:rFonts w:ascii="Times New Roman" w:hAnsi="Times New Roman" w:cs="Times New Roman"/>
        </w:rPr>
        <w:t>mica</w:t>
      </w:r>
      <w:bookmarkEnd w:id="14"/>
    </w:p>
    <w:p w:rsidR="00210447" w:rsidRDefault="006E7DAE" w:rsidP="00895497">
      <w:pPr>
        <w:pStyle w:val="ListParagraph"/>
        <w:numPr>
          <w:ilvl w:val="0"/>
          <w:numId w:val="8"/>
        </w:numPr>
        <w:spacing w:before="120" w:after="120" w:line="240" w:lineRule="auto"/>
        <w:ind w:left="720" w:hanging="720"/>
        <w:contextualSpacing w:val="0"/>
        <w:jc w:val="both"/>
        <w:rPr>
          <w:rFonts w:ascii="Times New Roman" w:hAnsi="Times New Roman"/>
          <w:sz w:val="24"/>
          <w:szCs w:val="24"/>
          <w:lang w:val="pt-BR"/>
        </w:rPr>
      </w:pPr>
      <w:r>
        <w:rPr>
          <w:rFonts w:ascii="Times New Roman" w:hAnsi="Times New Roman"/>
          <w:sz w:val="24"/>
          <w:szCs w:val="24"/>
          <w:lang w:val="pt-BR"/>
        </w:rPr>
        <w:t xml:space="preserve">A análise de viabilidade econômica consiste, então, em contrapor </w:t>
      </w:r>
      <w:r w:rsidR="009A3951">
        <w:rPr>
          <w:rFonts w:ascii="Times New Roman" w:hAnsi="Times New Roman"/>
          <w:sz w:val="24"/>
          <w:szCs w:val="24"/>
          <w:lang w:val="pt-BR"/>
        </w:rPr>
        <w:t>custos e benefícios sociais, considerando o valor do dinheiro no tempo, utilizando a taxa de desconto de 12% (Hip</w:t>
      </w:r>
      <w:r w:rsidR="00512C6B">
        <w:rPr>
          <w:rFonts w:ascii="Times New Roman" w:hAnsi="Times New Roman"/>
          <w:sz w:val="24"/>
          <w:szCs w:val="24"/>
          <w:lang w:val="pt-BR"/>
        </w:rPr>
        <w:t>ó</w:t>
      </w:r>
      <w:r w:rsidR="009A3951">
        <w:rPr>
          <w:rFonts w:ascii="Times New Roman" w:hAnsi="Times New Roman"/>
          <w:sz w:val="24"/>
          <w:szCs w:val="24"/>
          <w:lang w:val="pt-BR"/>
        </w:rPr>
        <w:t xml:space="preserve">tese G1) e uma vida útil do projeto de 30 anos (Hipótese G3). </w:t>
      </w:r>
    </w:p>
    <w:p w:rsidR="00933098" w:rsidRDefault="00210447" w:rsidP="00895497">
      <w:pPr>
        <w:pStyle w:val="ListParagraph"/>
        <w:numPr>
          <w:ilvl w:val="0"/>
          <w:numId w:val="8"/>
        </w:numPr>
        <w:spacing w:before="120" w:after="120" w:line="240" w:lineRule="auto"/>
        <w:ind w:left="720" w:hanging="720"/>
        <w:contextualSpacing w:val="0"/>
        <w:jc w:val="both"/>
        <w:rPr>
          <w:rFonts w:ascii="Times New Roman" w:hAnsi="Times New Roman"/>
          <w:sz w:val="24"/>
          <w:szCs w:val="24"/>
          <w:lang w:val="pt-BR"/>
        </w:rPr>
      </w:pPr>
      <w:r>
        <w:rPr>
          <w:rFonts w:ascii="Times New Roman" w:hAnsi="Times New Roman"/>
          <w:sz w:val="24"/>
          <w:szCs w:val="24"/>
          <w:lang w:val="pt-BR"/>
        </w:rPr>
        <w:t>O</w:t>
      </w:r>
      <w:r w:rsidR="009A3951">
        <w:rPr>
          <w:rFonts w:ascii="Times New Roman" w:hAnsi="Times New Roman"/>
          <w:sz w:val="24"/>
          <w:szCs w:val="24"/>
          <w:lang w:val="pt-BR"/>
        </w:rPr>
        <w:t>s benefícios só começ</w:t>
      </w:r>
      <w:r w:rsidR="000F401E">
        <w:rPr>
          <w:rFonts w:ascii="Times New Roman" w:hAnsi="Times New Roman"/>
          <w:sz w:val="24"/>
          <w:szCs w:val="24"/>
          <w:lang w:val="pt-BR"/>
        </w:rPr>
        <w:t xml:space="preserve">arão a partir do quinto ano de implementação do projeto, </w:t>
      </w:r>
      <w:r>
        <w:rPr>
          <w:rFonts w:ascii="Times New Roman" w:hAnsi="Times New Roman"/>
          <w:sz w:val="24"/>
          <w:szCs w:val="24"/>
          <w:lang w:val="pt-BR"/>
        </w:rPr>
        <w:t>e são a soma dos bene</w:t>
      </w:r>
      <w:r w:rsidR="00933098">
        <w:rPr>
          <w:rFonts w:ascii="Times New Roman" w:hAnsi="Times New Roman"/>
          <w:sz w:val="24"/>
          <w:szCs w:val="24"/>
          <w:lang w:val="pt-BR"/>
        </w:rPr>
        <w:t>fícios identificados nas hipóteses B1 a B. De acordo com as metodologias propostas para monetização de tais benefícios, o f</w:t>
      </w:r>
      <w:r w:rsidR="00106A9F">
        <w:rPr>
          <w:rFonts w:ascii="Times New Roman" w:hAnsi="Times New Roman"/>
          <w:sz w:val="24"/>
          <w:szCs w:val="24"/>
          <w:lang w:val="pt-BR"/>
        </w:rPr>
        <w:t>luxo gerado pela hipótese B3, só</w:t>
      </w:r>
      <w:r w:rsidR="00933098">
        <w:rPr>
          <w:rFonts w:ascii="Times New Roman" w:hAnsi="Times New Roman"/>
          <w:sz w:val="24"/>
          <w:szCs w:val="24"/>
          <w:lang w:val="pt-BR"/>
        </w:rPr>
        <w:t xml:space="preserve"> a hipótese B4, se estende pelo ciclo de vida das gerações que usufruem do projeto, produzindo resultados ao longo de um período de 82 anos. A planilha a seguir mostra o valor presente dos fluxos restantes ao último ano de vida útil (o fluxo completo pode ser encontrado na planilha em anexo):</w:t>
      </w:r>
    </w:p>
    <w:p w:rsidR="00933098" w:rsidRDefault="00933098" w:rsidP="0031616F">
      <w:pPr>
        <w:pStyle w:val="ListParagraph"/>
        <w:spacing w:before="120" w:after="0" w:line="240" w:lineRule="auto"/>
        <w:ind w:left="0"/>
        <w:jc w:val="both"/>
        <w:rPr>
          <w:rFonts w:ascii="Times New Roman" w:hAnsi="Times New Roman"/>
          <w:sz w:val="24"/>
          <w:szCs w:val="24"/>
          <w:lang w:val="pt-BR"/>
        </w:rPr>
      </w:pPr>
    </w:p>
    <w:tbl>
      <w:tblPr>
        <w:tblW w:w="4695" w:type="dxa"/>
        <w:jc w:val="center"/>
        <w:tblInd w:w="55" w:type="dxa"/>
        <w:tblCellMar>
          <w:left w:w="70" w:type="dxa"/>
          <w:right w:w="70" w:type="dxa"/>
        </w:tblCellMar>
        <w:tblLook w:val="04A0"/>
      </w:tblPr>
      <w:tblGrid>
        <w:gridCol w:w="1005"/>
        <w:gridCol w:w="1890"/>
        <w:gridCol w:w="1800"/>
      </w:tblGrid>
      <w:tr w:rsidR="00895497" w:rsidRPr="00ED06C4" w:rsidTr="00ED06C4">
        <w:trPr>
          <w:trHeight w:val="270"/>
          <w:jc w:val="center"/>
        </w:trPr>
        <w:tc>
          <w:tcPr>
            <w:tcW w:w="4695" w:type="dxa"/>
            <w:gridSpan w:val="3"/>
            <w:tcBorders>
              <w:bottom w:val="single" w:sz="8" w:space="0" w:color="auto"/>
            </w:tcBorders>
            <w:shd w:val="clear" w:color="auto" w:fill="auto"/>
            <w:noWrap/>
            <w:vAlign w:val="bottom"/>
            <w:hideMark/>
          </w:tcPr>
          <w:p w:rsidR="00895497" w:rsidRPr="00ED06C4" w:rsidRDefault="00895497" w:rsidP="002E7587">
            <w:pPr>
              <w:jc w:val="center"/>
              <w:rPr>
                <w:rFonts w:eastAsia="Times New Roman"/>
                <w:b/>
                <w:bCs/>
                <w:sz w:val="20"/>
                <w:szCs w:val="20"/>
                <w:lang w:val="pt-BR" w:eastAsia="pt-BR"/>
              </w:rPr>
            </w:pPr>
            <w:r w:rsidRPr="00ED06C4">
              <w:rPr>
                <w:b/>
                <w:sz w:val="20"/>
                <w:szCs w:val="20"/>
                <w:lang w:val="pt-BR"/>
              </w:rPr>
              <w:lastRenderedPageBreak/>
              <w:t>Tabela 7: Benefícios e Custos a Valor Presente (Cenário-base)</w:t>
            </w:r>
          </w:p>
        </w:tc>
      </w:tr>
      <w:tr w:rsidR="002E7587" w:rsidRPr="00ED06C4" w:rsidTr="003E2EFB">
        <w:trPr>
          <w:trHeight w:val="46"/>
          <w:jc w:val="center"/>
        </w:trPr>
        <w:tc>
          <w:tcPr>
            <w:tcW w:w="2895" w:type="dxa"/>
            <w:gridSpan w:val="2"/>
            <w:tcBorders>
              <w:top w:val="single" w:sz="8" w:space="0" w:color="auto"/>
              <w:left w:val="single" w:sz="8" w:space="0" w:color="auto"/>
              <w:bottom w:val="single" w:sz="8" w:space="0" w:color="auto"/>
              <w:right w:val="nil"/>
            </w:tcBorders>
            <w:shd w:val="clear" w:color="auto" w:fill="B6DDE8" w:themeFill="accent5" w:themeFillTint="66"/>
            <w:noWrap/>
            <w:vAlign w:val="bottom"/>
            <w:hideMark/>
          </w:tcPr>
          <w:p w:rsidR="002E7587" w:rsidRPr="00ED06C4" w:rsidRDefault="002E7587" w:rsidP="002E7587">
            <w:pPr>
              <w:jc w:val="center"/>
              <w:rPr>
                <w:rFonts w:eastAsia="Times New Roman"/>
                <w:b/>
                <w:bCs/>
                <w:sz w:val="20"/>
                <w:szCs w:val="20"/>
                <w:lang w:val="pt-BR" w:eastAsia="pt-BR"/>
              </w:rPr>
            </w:pPr>
            <w:r w:rsidRPr="00ED06C4">
              <w:rPr>
                <w:rFonts w:eastAsia="Times New Roman"/>
                <w:b/>
                <w:bCs/>
                <w:sz w:val="20"/>
                <w:szCs w:val="20"/>
                <w:lang w:val="pt-BR" w:eastAsia="pt-BR"/>
              </w:rPr>
              <w:t>Benefícios</w:t>
            </w:r>
          </w:p>
        </w:tc>
        <w:tc>
          <w:tcPr>
            <w:tcW w:w="1800" w:type="dxa"/>
            <w:tcBorders>
              <w:top w:val="single" w:sz="8" w:space="0" w:color="auto"/>
              <w:left w:val="single" w:sz="8" w:space="0" w:color="auto"/>
              <w:bottom w:val="single" w:sz="8" w:space="0" w:color="auto"/>
              <w:right w:val="single" w:sz="8" w:space="0" w:color="auto"/>
            </w:tcBorders>
            <w:shd w:val="clear" w:color="auto" w:fill="B6DDE8" w:themeFill="accent5" w:themeFillTint="66"/>
            <w:noWrap/>
            <w:vAlign w:val="bottom"/>
            <w:hideMark/>
          </w:tcPr>
          <w:p w:rsidR="002E7587" w:rsidRPr="00ED06C4" w:rsidRDefault="002E7587" w:rsidP="002E7587">
            <w:pPr>
              <w:jc w:val="center"/>
              <w:rPr>
                <w:rFonts w:eastAsia="Times New Roman"/>
                <w:b/>
                <w:bCs/>
                <w:sz w:val="20"/>
                <w:szCs w:val="20"/>
                <w:lang w:val="pt-BR" w:eastAsia="pt-BR"/>
              </w:rPr>
            </w:pPr>
            <w:r w:rsidRPr="00ED06C4">
              <w:rPr>
                <w:rFonts w:eastAsia="Times New Roman"/>
                <w:b/>
                <w:bCs/>
                <w:sz w:val="20"/>
                <w:szCs w:val="20"/>
                <w:lang w:val="pt-BR" w:eastAsia="pt-BR"/>
              </w:rPr>
              <w:t>Custos</w:t>
            </w:r>
          </w:p>
        </w:tc>
      </w:tr>
      <w:tr w:rsidR="0086636F" w:rsidRPr="00ED06C4" w:rsidTr="00ED06C4">
        <w:trPr>
          <w:trHeight w:val="4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86636F" w:rsidRPr="00ED06C4" w:rsidRDefault="0086636F" w:rsidP="002E7587">
            <w:pPr>
              <w:rPr>
                <w:rFonts w:eastAsia="Times New Roman"/>
                <w:sz w:val="20"/>
                <w:szCs w:val="20"/>
                <w:lang w:val="pt-BR" w:eastAsia="pt-BR"/>
              </w:rPr>
            </w:pPr>
            <w:r w:rsidRPr="00ED06C4">
              <w:rPr>
                <w:rFonts w:eastAsia="Times New Roman"/>
                <w:sz w:val="20"/>
                <w:szCs w:val="20"/>
                <w:lang w:val="pt-BR" w:eastAsia="pt-BR"/>
              </w:rPr>
              <w:t>B1</w:t>
            </w:r>
          </w:p>
        </w:tc>
        <w:tc>
          <w:tcPr>
            <w:tcW w:w="1890" w:type="dxa"/>
            <w:tcBorders>
              <w:top w:val="nil"/>
              <w:left w:val="nil"/>
              <w:bottom w:val="single" w:sz="4" w:space="0" w:color="auto"/>
              <w:right w:val="single" w:sz="4" w:space="0" w:color="auto"/>
            </w:tcBorders>
            <w:shd w:val="clear" w:color="auto" w:fill="auto"/>
            <w:noWrap/>
            <w:vAlign w:val="bottom"/>
            <w:hideMark/>
          </w:tcPr>
          <w:p w:rsidR="0086636F" w:rsidRPr="00ED06C4" w:rsidRDefault="0086636F">
            <w:pPr>
              <w:jc w:val="center"/>
              <w:rPr>
                <w:sz w:val="20"/>
                <w:szCs w:val="20"/>
              </w:rPr>
            </w:pPr>
            <w:r w:rsidRPr="00ED06C4">
              <w:rPr>
                <w:sz w:val="20"/>
                <w:szCs w:val="20"/>
              </w:rPr>
              <w:t>19,35</w:t>
            </w:r>
          </w:p>
        </w:tc>
        <w:tc>
          <w:tcPr>
            <w:tcW w:w="1800" w:type="dxa"/>
            <w:tcBorders>
              <w:top w:val="nil"/>
              <w:left w:val="nil"/>
              <w:bottom w:val="single" w:sz="4" w:space="0" w:color="auto"/>
              <w:right w:val="single" w:sz="4" w:space="0" w:color="auto"/>
            </w:tcBorders>
            <w:shd w:val="clear" w:color="auto" w:fill="auto"/>
            <w:noWrap/>
            <w:vAlign w:val="bottom"/>
            <w:hideMark/>
          </w:tcPr>
          <w:p w:rsidR="0086636F" w:rsidRPr="00ED06C4" w:rsidRDefault="0086636F" w:rsidP="002E7587">
            <w:pPr>
              <w:jc w:val="center"/>
              <w:rPr>
                <w:rFonts w:eastAsia="Times New Roman"/>
                <w:sz w:val="20"/>
                <w:szCs w:val="20"/>
                <w:lang w:val="pt-BR" w:eastAsia="pt-BR"/>
              </w:rPr>
            </w:pPr>
            <w:r w:rsidRPr="00ED06C4">
              <w:rPr>
                <w:rFonts w:eastAsia="Times New Roman"/>
                <w:sz w:val="20"/>
                <w:szCs w:val="20"/>
                <w:lang w:val="pt-BR" w:eastAsia="pt-BR"/>
              </w:rPr>
              <w:t> </w:t>
            </w:r>
          </w:p>
        </w:tc>
      </w:tr>
      <w:tr w:rsidR="0086636F" w:rsidRPr="00ED06C4" w:rsidTr="00ED06C4">
        <w:trPr>
          <w:trHeight w:val="5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86636F" w:rsidRPr="00ED06C4" w:rsidRDefault="0086636F" w:rsidP="002E7587">
            <w:pPr>
              <w:rPr>
                <w:rFonts w:eastAsia="Times New Roman"/>
                <w:sz w:val="20"/>
                <w:szCs w:val="20"/>
                <w:lang w:val="pt-BR" w:eastAsia="pt-BR"/>
              </w:rPr>
            </w:pPr>
            <w:r w:rsidRPr="00ED06C4">
              <w:rPr>
                <w:rFonts w:eastAsia="Times New Roman"/>
                <w:sz w:val="20"/>
                <w:szCs w:val="20"/>
                <w:lang w:val="pt-BR" w:eastAsia="pt-BR"/>
              </w:rPr>
              <w:t>B2</w:t>
            </w:r>
          </w:p>
        </w:tc>
        <w:tc>
          <w:tcPr>
            <w:tcW w:w="1890" w:type="dxa"/>
            <w:tcBorders>
              <w:top w:val="nil"/>
              <w:left w:val="nil"/>
              <w:bottom w:val="single" w:sz="4" w:space="0" w:color="auto"/>
              <w:right w:val="single" w:sz="4" w:space="0" w:color="auto"/>
            </w:tcBorders>
            <w:shd w:val="clear" w:color="auto" w:fill="auto"/>
            <w:noWrap/>
            <w:vAlign w:val="bottom"/>
            <w:hideMark/>
          </w:tcPr>
          <w:p w:rsidR="0086636F" w:rsidRPr="00ED06C4" w:rsidRDefault="0086636F">
            <w:pPr>
              <w:jc w:val="center"/>
              <w:rPr>
                <w:sz w:val="20"/>
                <w:szCs w:val="20"/>
              </w:rPr>
            </w:pPr>
            <w:r w:rsidRPr="00ED06C4">
              <w:rPr>
                <w:sz w:val="20"/>
                <w:szCs w:val="20"/>
              </w:rPr>
              <w:t>2,73</w:t>
            </w:r>
          </w:p>
        </w:tc>
        <w:tc>
          <w:tcPr>
            <w:tcW w:w="1800" w:type="dxa"/>
            <w:tcBorders>
              <w:top w:val="nil"/>
              <w:left w:val="nil"/>
              <w:bottom w:val="single" w:sz="4" w:space="0" w:color="auto"/>
              <w:right w:val="single" w:sz="4" w:space="0" w:color="auto"/>
            </w:tcBorders>
            <w:shd w:val="clear" w:color="auto" w:fill="auto"/>
            <w:noWrap/>
            <w:vAlign w:val="bottom"/>
            <w:hideMark/>
          </w:tcPr>
          <w:p w:rsidR="0086636F" w:rsidRPr="00ED06C4" w:rsidRDefault="0086636F" w:rsidP="002E7587">
            <w:pPr>
              <w:jc w:val="center"/>
              <w:rPr>
                <w:rFonts w:eastAsia="Times New Roman"/>
                <w:sz w:val="20"/>
                <w:szCs w:val="20"/>
                <w:lang w:val="pt-BR" w:eastAsia="pt-BR"/>
              </w:rPr>
            </w:pPr>
            <w:r w:rsidRPr="00ED06C4">
              <w:rPr>
                <w:rFonts w:eastAsia="Times New Roman"/>
                <w:sz w:val="20"/>
                <w:szCs w:val="20"/>
                <w:lang w:val="pt-BR" w:eastAsia="pt-BR"/>
              </w:rPr>
              <w:t> </w:t>
            </w:r>
          </w:p>
        </w:tc>
      </w:tr>
      <w:tr w:rsidR="0086636F" w:rsidRPr="00ED06C4" w:rsidTr="00ED06C4">
        <w:trPr>
          <w:trHeight w:val="5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86636F" w:rsidRPr="00ED06C4" w:rsidRDefault="0086636F" w:rsidP="002E7587">
            <w:pPr>
              <w:rPr>
                <w:rFonts w:eastAsia="Times New Roman"/>
                <w:sz w:val="20"/>
                <w:szCs w:val="20"/>
                <w:lang w:val="pt-BR" w:eastAsia="pt-BR"/>
              </w:rPr>
            </w:pPr>
            <w:r w:rsidRPr="00ED06C4">
              <w:rPr>
                <w:rFonts w:eastAsia="Times New Roman"/>
                <w:sz w:val="20"/>
                <w:szCs w:val="20"/>
                <w:lang w:val="pt-BR" w:eastAsia="pt-BR"/>
              </w:rPr>
              <w:t>B3</w:t>
            </w:r>
          </w:p>
        </w:tc>
        <w:tc>
          <w:tcPr>
            <w:tcW w:w="1890" w:type="dxa"/>
            <w:tcBorders>
              <w:top w:val="nil"/>
              <w:left w:val="nil"/>
              <w:bottom w:val="single" w:sz="4" w:space="0" w:color="auto"/>
              <w:right w:val="single" w:sz="4" w:space="0" w:color="auto"/>
            </w:tcBorders>
            <w:shd w:val="clear" w:color="auto" w:fill="auto"/>
            <w:noWrap/>
            <w:vAlign w:val="bottom"/>
            <w:hideMark/>
          </w:tcPr>
          <w:p w:rsidR="0086636F" w:rsidRPr="00ED06C4" w:rsidRDefault="0086636F">
            <w:pPr>
              <w:jc w:val="center"/>
              <w:rPr>
                <w:sz w:val="20"/>
                <w:szCs w:val="20"/>
              </w:rPr>
            </w:pPr>
            <w:r w:rsidRPr="00ED06C4">
              <w:rPr>
                <w:sz w:val="20"/>
                <w:szCs w:val="20"/>
              </w:rPr>
              <w:t>65,92</w:t>
            </w:r>
          </w:p>
        </w:tc>
        <w:tc>
          <w:tcPr>
            <w:tcW w:w="1800" w:type="dxa"/>
            <w:tcBorders>
              <w:top w:val="nil"/>
              <w:left w:val="nil"/>
              <w:bottom w:val="single" w:sz="4" w:space="0" w:color="auto"/>
              <w:right w:val="single" w:sz="4" w:space="0" w:color="auto"/>
            </w:tcBorders>
            <w:shd w:val="clear" w:color="auto" w:fill="auto"/>
            <w:noWrap/>
            <w:vAlign w:val="bottom"/>
            <w:hideMark/>
          </w:tcPr>
          <w:p w:rsidR="0086636F" w:rsidRPr="00ED06C4" w:rsidRDefault="0086636F" w:rsidP="002E7587">
            <w:pPr>
              <w:jc w:val="center"/>
              <w:rPr>
                <w:rFonts w:eastAsia="Times New Roman"/>
                <w:sz w:val="20"/>
                <w:szCs w:val="20"/>
                <w:lang w:val="pt-BR" w:eastAsia="pt-BR"/>
              </w:rPr>
            </w:pPr>
            <w:r w:rsidRPr="00ED06C4">
              <w:rPr>
                <w:rFonts w:eastAsia="Times New Roman"/>
                <w:sz w:val="20"/>
                <w:szCs w:val="20"/>
                <w:lang w:val="pt-BR" w:eastAsia="pt-BR"/>
              </w:rPr>
              <w:t> </w:t>
            </w:r>
          </w:p>
        </w:tc>
      </w:tr>
      <w:tr w:rsidR="0086636F" w:rsidRPr="00ED06C4" w:rsidTr="00ED06C4">
        <w:trPr>
          <w:trHeight w:val="5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86636F" w:rsidRPr="00ED06C4" w:rsidRDefault="0086636F" w:rsidP="002E7587">
            <w:pPr>
              <w:rPr>
                <w:rFonts w:eastAsia="Times New Roman"/>
                <w:b/>
                <w:bCs/>
                <w:sz w:val="20"/>
                <w:szCs w:val="20"/>
                <w:lang w:val="pt-BR" w:eastAsia="pt-BR"/>
              </w:rPr>
            </w:pPr>
            <w:r w:rsidRPr="00ED06C4">
              <w:rPr>
                <w:rFonts w:eastAsia="Times New Roman"/>
                <w:b/>
                <w:bCs/>
                <w:sz w:val="20"/>
                <w:szCs w:val="20"/>
                <w:lang w:val="pt-BR" w:eastAsia="pt-BR"/>
              </w:rPr>
              <w:t>Total</w:t>
            </w:r>
          </w:p>
        </w:tc>
        <w:tc>
          <w:tcPr>
            <w:tcW w:w="1890" w:type="dxa"/>
            <w:tcBorders>
              <w:top w:val="nil"/>
              <w:left w:val="nil"/>
              <w:bottom w:val="single" w:sz="4" w:space="0" w:color="auto"/>
              <w:right w:val="single" w:sz="4" w:space="0" w:color="auto"/>
            </w:tcBorders>
            <w:shd w:val="clear" w:color="auto" w:fill="auto"/>
            <w:noWrap/>
            <w:vAlign w:val="bottom"/>
            <w:hideMark/>
          </w:tcPr>
          <w:p w:rsidR="0086636F" w:rsidRPr="00ED06C4" w:rsidRDefault="0086636F">
            <w:pPr>
              <w:jc w:val="center"/>
              <w:rPr>
                <w:b/>
                <w:bCs/>
                <w:sz w:val="20"/>
                <w:szCs w:val="20"/>
              </w:rPr>
            </w:pPr>
            <w:r w:rsidRPr="00ED06C4">
              <w:rPr>
                <w:b/>
                <w:bCs/>
                <w:sz w:val="20"/>
                <w:szCs w:val="20"/>
              </w:rPr>
              <w:t>88,01</w:t>
            </w:r>
          </w:p>
        </w:tc>
        <w:tc>
          <w:tcPr>
            <w:tcW w:w="1800" w:type="dxa"/>
            <w:tcBorders>
              <w:top w:val="nil"/>
              <w:left w:val="nil"/>
              <w:bottom w:val="single" w:sz="4" w:space="0" w:color="auto"/>
              <w:right w:val="single" w:sz="4" w:space="0" w:color="auto"/>
            </w:tcBorders>
            <w:shd w:val="clear" w:color="auto" w:fill="auto"/>
            <w:noWrap/>
            <w:vAlign w:val="bottom"/>
            <w:hideMark/>
          </w:tcPr>
          <w:p w:rsidR="0086636F" w:rsidRPr="00ED06C4" w:rsidRDefault="003D77F1" w:rsidP="002E7587">
            <w:pPr>
              <w:jc w:val="center"/>
              <w:rPr>
                <w:rFonts w:eastAsia="Times New Roman"/>
                <w:b/>
                <w:bCs/>
                <w:sz w:val="20"/>
                <w:szCs w:val="20"/>
                <w:lang w:val="pt-BR" w:eastAsia="pt-BR"/>
              </w:rPr>
            </w:pPr>
            <w:r w:rsidRPr="00ED06C4">
              <w:rPr>
                <w:rFonts w:eastAsia="Times New Roman"/>
                <w:b/>
                <w:bCs/>
                <w:sz w:val="20"/>
                <w:szCs w:val="20"/>
                <w:lang w:val="pt-BR" w:eastAsia="pt-BR"/>
              </w:rPr>
              <w:t>76,54</w:t>
            </w:r>
          </w:p>
        </w:tc>
      </w:tr>
      <w:tr w:rsidR="002E7587" w:rsidRPr="00ED06C4" w:rsidTr="00ED06C4">
        <w:trPr>
          <w:trHeight w:val="255"/>
          <w:jc w:val="center"/>
        </w:trPr>
        <w:tc>
          <w:tcPr>
            <w:tcW w:w="4695" w:type="dxa"/>
            <w:gridSpan w:val="3"/>
            <w:tcBorders>
              <w:top w:val="nil"/>
              <w:left w:val="nil"/>
              <w:bottom w:val="nil"/>
              <w:right w:val="nil"/>
            </w:tcBorders>
            <w:shd w:val="clear" w:color="auto" w:fill="auto"/>
            <w:noWrap/>
            <w:vAlign w:val="bottom"/>
            <w:hideMark/>
          </w:tcPr>
          <w:p w:rsidR="002E7587" w:rsidRPr="00ED06C4" w:rsidRDefault="002E7587" w:rsidP="002E7587">
            <w:pPr>
              <w:rPr>
                <w:rFonts w:eastAsia="Times New Roman"/>
                <w:sz w:val="18"/>
                <w:szCs w:val="18"/>
                <w:lang w:val="pt-BR" w:eastAsia="pt-BR"/>
              </w:rPr>
            </w:pPr>
            <w:r w:rsidRPr="00ED06C4">
              <w:rPr>
                <w:rFonts w:eastAsia="Times New Roman"/>
                <w:sz w:val="18"/>
                <w:szCs w:val="18"/>
                <w:lang w:val="pt-BR" w:eastAsia="pt-BR"/>
              </w:rPr>
              <w:t>Fonte: Elaboração própria</w:t>
            </w:r>
          </w:p>
        </w:tc>
      </w:tr>
    </w:tbl>
    <w:p w:rsidR="00581FE4" w:rsidRPr="00ED06C4" w:rsidRDefault="007977DC" w:rsidP="00ED06C4">
      <w:pPr>
        <w:pStyle w:val="ListParagraph"/>
        <w:numPr>
          <w:ilvl w:val="0"/>
          <w:numId w:val="8"/>
        </w:numPr>
        <w:spacing w:before="120" w:after="120" w:line="240" w:lineRule="auto"/>
        <w:ind w:left="720" w:hanging="720"/>
        <w:contextualSpacing w:val="0"/>
        <w:jc w:val="both"/>
        <w:rPr>
          <w:rFonts w:ascii="Times New Roman" w:hAnsi="Times New Roman"/>
          <w:sz w:val="24"/>
          <w:szCs w:val="24"/>
          <w:lang w:val="pt-BR"/>
        </w:rPr>
      </w:pPr>
      <w:r>
        <w:rPr>
          <w:rFonts w:ascii="Times New Roman" w:hAnsi="Times New Roman"/>
          <w:sz w:val="24"/>
          <w:szCs w:val="24"/>
          <w:lang w:val="pt-BR"/>
        </w:rPr>
        <w:t>Ob</w:t>
      </w:r>
      <w:r w:rsidRPr="00ED06C4">
        <w:rPr>
          <w:rFonts w:ascii="Times New Roman" w:hAnsi="Times New Roman"/>
          <w:sz w:val="24"/>
          <w:szCs w:val="24"/>
          <w:lang w:val="pt-BR"/>
        </w:rPr>
        <w:t>serva-se que os benefícios monetizados segundo a hipótese B3</w:t>
      </w:r>
      <w:r w:rsidR="00581FE4" w:rsidRPr="00ED06C4">
        <w:rPr>
          <w:rFonts w:ascii="Times New Roman" w:hAnsi="Times New Roman"/>
          <w:sz w:val="24"/>
          <w:szCs w:val="24"/>
          <w:lang w:val="pt-BR"/>
        </w:rPr>
        <w:t xml:space="preserve"> são a parcela mais importante dos benefícios totais (7</w:t>
      </w:r>
      <w:r w:rsidR="00A54D4C" w:rsidRPr="00ED06C4">
        <w:rPr>
          <w:rFonts w:ascii="Times New Roman" w:hAnsi="Times New Roman"/>
          <w:sz w:val="24"/>
          <w:szCs w:val="24"/>
          <w:lang w:val="pt-BR"/>
        </w:rPr>
        <w:t>3,3</w:t>
      </w:r>
      <w:r w:rsidR="00581FE4" w:rsidRPr="00ED06C4">
        <w:rPr>
          <w:rFonts w:ascii="Times New Roman" w:hAnsi="Times New Roman"/>
          <w:sz w:val="24"/>
          <w:szCs w:val="24"/>
          <w:lang w:val="pt-BR"/>
        </w:rPr>
        <w:t xml:space="preserve">%, precisamente). Não obstante, esta é </w:t>
      </w:r>
      <w:r w:rsidR="00A54D4C" w:rsidRPr="00ED06C4">
        <w:rPr>
          <w:rFonts w:ascii="Times New Roman" w:hAnsi="Times New Roman"/>
          <w:sz w:val="24"/>
          <w:szCs w:val="24"/>
          <w:lang w:val="pt-BR"/>
        </w:rPr>
        <w:t xml:space="preserve">aproximadamente </w:t>
      </w:r>
      <w:r w:rsidR="00581FE4" w:rsidRPr="00ED06C4">
        <w:rPr>
          <w:rFonts w:ascii="Times New Roman" w:hAnsi="Times New Roman"/>
          <w:sz w:val="24"/>
          <w:szCs w:val="24"/>
          <w:lang w:val="pt-BR"/>
        </w:rPr>
        <w:t xml:space="preserve">a parcela de benefícios externos e não-monetários associada a projetos de investimento em educação, </w:t>
      </w:r>
      <w:r w:rsidR="00A54D4C" w:rsidRPr="00ED06C4">
        <w:rPr>
          <w:rFonts w:ascii="Times New Roman" w:hAnsi="Times New Roman"/>
          <w:sz w:val="24"/>
          <w:szCs w:val="24"/>
          <w:lang w:val="pt-BR"/>
        </w:rPr>
        <w:t>estimado por</w:t>
      </w:r>
      <w:r w:rsidR="00581FE4" w:rsidRPr="00ED06C4">
        <w:rPr>
          <w:rFonts w:ascii="Times New Roman" w:hAnsi="Times New Roman"/>
          <w:sz w:val="24"/>
          <w:szCs w:val="24"/>
          <w:lang w:val="pt-BR"/>
        </w:rPr>
        <w:t xml:space="preserve"> McMAHON (2001)</w:t>
      </w:r>
      <w:r w:rsidR="00A54D4C" w:rsidRPr="00ED06C4">
        <w:rPr>
          <w:rFonts w:ascii="Times New Roman" w:hAnsi="Times New Roman"/>
          <w:sz w:val="24"/>
          <w:szCs w:val="24"/>
          <w:lang w:val="pt-BR"/>
        </w:rPr>
        <w:t xml:space="preserve"> em 75%</w:t>
      </w:r>
      <w:r w:rsidR="00581FE4" w:rsidRPr="00ED06C4">
        <w:rPr>
          <w:rFonts w:ascii="Times New Roman" w:hAnsi="Times New Roman"/>
          <w:sz w:val="24"/>
          <w:szCs w:val="24"/>
          <w:lang w:val="pt-BR"/>
        </w:rPr>
        <w:t>.</w:t>
      </w:r>
    </w:p>
    <w:p w:rsidR="00534AF3" w:rsidRPr="00ED06C4" w:rsidRDefault="0016781B" w:rsidP="00ED06C4">
      <w:pPr>
        <w:pStyle w:val="ListParagraph"/>
        <w:numPr>
          <w:ilvl w:val="0"/>
          <w:numId w:val="8"/>
        </w:numPr>
        <w:spacing w:before="120" w:after="120" w:line="240" w:lineRule="auto"/>
        <w:ind w:left="720" w:hanging="720"/>
        <w:contextualSpacing w:val="0"/>
        <w:jc w:val="both"/>
        <w:rPr>
          <w:rFonts w:ascii="Times New Roman" w:hAnsi="Times New Roman"/>
          <w:sz w:val="24"/>
          <w:szCs w:val="24"/>
          <w:lang w:val="pt-BR"/>
        </w:rPr>
      </w:pPr>
      <w:r w:rsidRPr="00ED06C4">
        <w:rPr>
          <w:rFonts w:ascii="Times New Roman" w:hAnsi="Times New Roman"/>
          <w:sz w:val="24"/>
          <w:szCs w:val="24"/>
          <w:lang w:val="pt-BR"/>
        </w:rPr>
        <w:t xml:space="preserve">O </w:t>
      </w:r>
      <w:r w:rsidRPr="00ED06C4">
        <w:rPr>
          <w:rFonts w:ascii="Times New Roman" w:hAnsi="Times New Roman"/>
          <w:b/>
          <w:sz w:val="24"/>
          <w:szCs w:val="24"/>
          <w:lang w:val="pt-BR"/>
        </w:rPr>
        <w:t xml:space="preserve">Valor Presente Líquido Social </w:t>
      </w:r>
      <w:r w:rsidR="00534AF3" w:rsidRPr="00ED06C4">
        <w:rPr>
          <w:rFonts w:ascii="Times New Roman" w:hAnsi="Times New Roman"/>
          <w:b/>
          <w:sz w:val="24"/>
          <w:szCs w:val="24"/>
          <w:lang w:val="pt-BR"/>
        </w:rPr>
        <w:t>(VPLS)</w:t>
      </w:r>
      <w:r w:rsidR="00534AF3" w:rsidRPr="00ED06C4">
        <w:rPr>
          <w:rFonts w:ascii="Times New Roman" w:hAnsi="Times New Roman"/>
          <w:sz w:val="24"/>
          <w:szCs w:val="24"/>
          <w:lang w:val="pt-BR"/>
        </w:rPr>
        <w:t xml:space="preserve"> </w:t>
      </w:r>
      <w:r w:rsidRPr="00ED06C4">
        <w:rPr>
          <w:rFonts w:ascii="Times New Roman" w:hAnsi="Times New Roman"/>
          <w:sz w:val="24"/>
          <w:szCs w:val="24"/>
          <w:lang w:val="pt-BR"/>
        </w:rPr>
        <w:t xml:space="preserve">é de US$ </w:t>
      </w:r>
      <w:r w:rsidR="003D77F1" w:rsidRPr="00ED06C4">
        <w:rPr>
          <w:rFonts w:ascii="Times New Roman" w:hAnsi="Times New Roman"/>
          <w:sz w:val="24"/>
          <w:szCs w:val="24"/>
          <w:lang w:val="pt-BR"/>
        </w:rPr>
        <w:t>11</w:t>
      </w:r>
      <w:r w:rsidRPr="00ED06C4">
        <w:rPr>
          <w:rFonts w:ascii="Times New Roman" w:hAnsi="Times New Roman"/>
          <w:sz w:val="24"/>
          <w:szCs w:val="24"/>
          <w:lang w:val="pt-BR"/>
        </w:rPr>
        <w:t>,</w:t>
      </w:r>
      <w:r w:rsidR="003D77F1" w:rsidRPr="00ED06C4">
        <w:rPr>
          <w:rFonts w:ascii="Times New Roman" w:hAnsi="Times New Roman"/>
          <w:sz w:val="24"/>
          <w:szCs w:val="24"/>
          <w:lang w:val="pt-BR"/>
        </w:rPr>
        <w:t>46</w:t>
      </w:r>
      <w:r w:rsidR="00443747" w:rsidRPr="00ED06C4">
        <w:rPr>
          <w:rFonts w:ascii="Times New Roman" w:hAnsi="Times New Roman"/>
          <w:sz w:val="24"/>
          <w:szCs w:val="24"/>
          <w:lang w:val="pt-BR"/>
        </w:rPr>
        <w:t xml:space="preserve">, positivo </w:t>
      </w:r>
      <w:r w:rsidRPr="00ED06C4">
        <w:rPr>
          <w:rFonts w:ascii="Times New Roman" w:hAnsi="Times New Roman"/>
          <w:sz w:val="24"/>
          <w:szCs w:val="24"/>
          <w:lang w:val="pt-BR"/>
        </w:rPr>
        <w:t xml:space="preserve">portanto, indicando a viabilidade do projeto. </w:t>
      </w:r>
    </w:p>
    <w:p w:rsidR="00CD769A" w:rsidRPr="00ED06C4" w:rsidRDefault="00534AF3" w:rsidP="00ED06C4">
      <w:pPr>
        <w:pStyle w:val="ListParagraph"/>
        <w:numPr>
          <w:ilvl w:val="0"/>
          <w:numId w:val="8"/>
        </w:numPr>
        <w:spacing w:before="120" w:after="120" w:line="240" w:lineRule="auto"/>
        <w:ind w:left="720" w:hanging="720"/>
        <w:contextualSpacing w:val="0"/>
        <w:jc w:val="both"/>
        <w:rPr>
          <w:rFonts w:ascii="Times New Roman" w:hAnsi="Times New Roman"/>
          <w:sz w:val="24"/>
          <w:szCs w:val="24"/>
          <w:lang w:val="pt-BR"/>
        </w:rPr>
      </w:pPr>
      <w:r w:rsidRPr="00ED06C4">
        <w:rPr>
          <w:rFonts w:ascii="Times New Roman" w:hAnsi="Times New Roman"/>
          <w:sz w:val="24"/>
          <w:szCs w:val="24"/>
          <w:lang w:val="pt-BR"/>
        </w:rPr>
        <w:t xml:space="preserve">A </w:t>
      </w:r>
      <w:r w:rsidR="0016781B" w:rsidRPr="00ED06C4">
        <w:rPr>
          <w:rFonts w:ascii="Times New Roman" w:hAnsi="Times New Roman"/>
          <w:b/>
          <w:sz w:val="24"/>
          <w:szCs w:val="24"/>
          <w:lang w:val="pt-BR"/>
        </w:rPr>
        <w:t xml:space="preserve">Taxa Interna de Retorno Social </w:t>
      </w:r>
      <w:r w:rsidRPr="00ED06C4">
        <w:rPr>
          <w:rFonts w:ascii="Times New Roman" w:hAnsi="Times New Roman"/>
          <w:b/>
          <w:sz w:val="24"/>
          <w:szCs w:val="24"/>
          <w:lang w:val="pt-BR"/>
        </w:rPr>
        <w:t>(TIRS)</w:t>
      </w:r>
      <w:r w:rsidRPr="00ED06C4">
        <w:rPr>
          <w:rFonts w:ascii="Times New Roman" w:hAnsi="Times New Roman"/>
          <w:sz w:val="24"/>
          <w:szCs w:val="24"/>
          <w:lang w:val="pt-BR"/>
        </w:rPr>
        <w:t xml:space="preserve"> </w:t>
      </w:r>
      <w:r w:rsidR="0016781B" w:rsidRPr="00ED06C4">
        <w:rPr>
          <w:rFonts w:ascii="Times New Roman" w:hAnsi="Times New Roman"/>
          <w:sz w:val="24"/>
          <w:szCs w:val="24"/>
          <w:lang w:val="pt-BR"/>
        </w:rPr>
        <w:t xml:space="preserve">é de </w:t>
      </w:r>
      <w:r w:rsidRPr="00ED06C4">
        <w:rPr>
          <w:rFonts w:ascii="Times New Roman" w:hAnsi="Times New Roman"/>
          <w:sz w:val="24"/>
          <w:szCs w:val="24"/>
          <w:lang w:val="pt-BR"/>
        </w:rPr>
        <w:t>12,</w:t>
      </w:r>
      <w:r w:rsidR="0086636F" w:rsidRPr="00ED06C4">
        <w:rPr>
          <w:rFonts w:ascii="Times New Roman" w:hAnsi="Times New Roman"/>
          <w:sz w:val="24"/>
          <w:szCs w:val="24"/>
          <w:lang w:val="pt-BR"/>
        </w:rPr>
        <w:t>5</w:t>
      </w:r>
      <w:r w:rsidR="00A54D4C" w:rsidRPr="00ED06C4">
        <w:rPr>
          <w:rFonts w:ascii="Times New Roman" w:hAnsi="Times New Roman"/>
          <w:sz w:val="24"/>
          <w:szCs w:val="24"/>
          <w:lang w:val="pt-BR"/>
        </w:rPr>
        <w:t>5</w:t>
      </w:r>
      <w:r w:rsidRPr="00ED06C4">
        <w:rPr>
          <w:rFonts w:ascii="Times New Roman" w:hAnsi="Times New Roman"/>
          <w:sz w:val="24"/>
          <w:szCs w:val="24"/>
          <w:lang w:val="pt-BR"/>
        </w:rPr>
        <w:t>%, ligeiramente maior que a taxa de desconto, que representa o custo de oportunidade do projeto, do ponto de vista social, também resultando em indicação de viabilidade.</w:t>
      </w:r>
    </w:p>
    <w:p w:rsidR="00DF5442" w:rsidRPr="00ED06C4" w:rsidRDefault="00DF5442" w:rsidP="00ED06C4">
      <w:pPr>
        <w:pStyle w:val="ListParagraph"/>
        <w:numPr>
          <w:ilvl w:val="0"/>
          <w:numId w:val="8"/>
        </w:numPr>
        <w:spacing w:before="120" w:after="120" w:line="240" w:lineRule="auto"/>
        <w:ind w:left="720" w:hanging="720"/>
        <w:contextualSpacing w:val="0"/>
        <w:jc w:val="both"/>
        <w:rPr>
          <w:rFonts w:ascii="Times New Roman" w:hAnsi="Times New Roman"/>
          <w:sz w:val="24"/>
          <w:szCs w:val="24"/>
          <w:lang w:val="pt-BR"/>
        </w:rPr>
      </w:pPr>
      <w:r w:rsidRPr="00ED06C4">
        <w:rPr>
          <w:rFonts w:ascii="Times New Roman" w:hAnsi="Times New Roman"/>
          <w:sz w:val="24"/>
          <w:szCs w:val="24"/>
          <w:lang w:val="pt-BR"/>
        </w:rPr>
        <w:t>Podemos também avaliar a relação Benefício/Custos, que é de</w:t>
      </w:r>
      <w:r w:rsidR="00F82B10" w:rsidRPr="00ED06C4">
        <w:rPr>
          <w:rFonts w:ascii="Times New Roman" w:hAnsi="Times New Roman"/>
          <w:sz w:val="24"/>
          <w:szCs w:val="24"/>
          <w:lang w:val="pt-BR"/>
        </w:rPr>
        <w:t xml:space="preserve"> 1,1</w:t>
      </w:r>
      <w:r w:rsidR="003D77F1" w:rsidRPr="00ED06C4">
        <w:rPr>
          <w:rFonts w:ascii="Times New Roman" w:hAnsi="Times New Roman"/>
          <w:sz w:val="24"/>
          <w:szCs w:val="24"/>
          <w:lang w:val="pt-BR"/>
        </w:rPr>
        <w:t>5</w:t>
      </w:r>
      <w:r w:rsidR="00F82B10" w:rsidRPr="00ED06C4">
        <w:rPr>
          <w:rFonts w:ascii="Times New Roman" w:hAnsi="Times New Roman"/>
          <w:sz w:val="24"/>
          <w:szCs w:val="24"/>
          <w:lang w:val="pt-BR"/>
        </w:rPr>
        <w:t>, o que significa que para cada unidade de custo social, o projeto gera</w:t>
      </w:r>
      <w:r w:rsidR="00E676FF" w:rsidRPr="00ED06C4">
        <w:rPr>
          <w:rFonts w:ascii="Times New Roman" w:hAnsi="Times New Roman"/>
          <w:sz w:val="24"/>
          <w:szCs w:val="24"/>
          <w:lang w:val="pt-BR"/>
        </w:rPr>
        <w:t xml:space="preserve"> um benefício social de 1,1</w:t>
      </w:r>
      <w:r w:rsidR="003D77F1" w:rsidRPr="00ED06C4">
        <w:rPr>
          <w:rFonts w:ascii="Times New Roman" w:hAnsi="Times New Roman"/>
          <w:sz w:val="24"/>
          <w:szCs w:val="24"/>
          <w:lang w:val="pt-BR"/>
        </w:rPr>
        <w:t>5</w:t>
      </w:r>
      <w:r w:rsidR="00E676FF" w:rsidRPr="00ED06C4">
        <w:rPr>
          <w:rFonts w:ascii="Times New Roman" w:hAnsi="Times New Roman"/>
          <w:sz w:val="24"/>
          <w:szCs w:val="24"/>
          <w:lang w:val="pt-BR"/>
        </w:rPr>
        <w:t xml:space="preserve"> e assim, também, indica a viabilidade do projeto.</w:t>
      </w:r>
    </w:p>
    <w:p w:rsidR="00534AF3" w:rsidRPr="00ED06C4" w:rsidRDefault="006E03A2" w:rsidP="00ED06C4">
      <w:pPr>
        <w:numPr>
          <w:ilvl w:val="0"/>
          <w:numId w:val="8"/>
        </w:numPr>
        <w:spacing w:before="120" w:after="120"/>
        <w:ind w:left="720" w:hanging="720"/>
        <w:jc w:val="both"/>
        <w:rPr>
          <w:lang w:val="pt-BR"/>
        </w:rPr>
      </w:pPr>
      <w:r w:rsidRPr="00ED06C4">
        <w:rPr>
          <w:lang w:val="pt-BR"/>
        </w:rPr>
        <w:t>Há que se observar que, ainda que tenhamos elaborado uma metodologia, baseada na literatura internacional, para a mensuração dos benefícios indiretos</w:t>
      </w:r>
      <w:r w:rsidR="00447ED6" w:rsidRPr="00ED06C4">
        <w:rPr>
          <w:lang w:val="pt-BR"/>
        </w:rPr>
        <w:t xml:space="preserve"> indicados na Tabela 3</w:t>
      </w:r>
      <w:r w:rsidRPr="00ED06C4">
        <w:rPr>
          <w:lang w:val="pt-BR"/>
        </w:rPr>
        <w:t xml:space="preserve">, </w:t>
      </w:r>
      <w:r w:rsidR="002C298F" w:rsidRPr="00ED06C4">
        <w:rPr>
          <w:lang w:val="pt-BR"/>
        </w:rPr>
        <w:t xml:space="preserve">esta medida é, ainda, bastante conservadora, uma vez que representa uma aproximação a tais efeitos, a partir de simulações para diversos países. </w:t>
      </w:r>
      <w:r w:rsidR="000040D2" w:rsidRPr="00ED06C4">
        <w:rPr>
          <w:lang w:val="pt-BR"/>
        </w:rPr>
        <w:t xml:space="preserve">Tais benefícios estão, ainda assim, subestimados, uma vez que não consideramos o efeito de </w:t>
      </w:r>
      <w:r w:rsidR="000040D2" w:rsidRPr="00ED06C4">
        <w:rPr>
          <w:i/>
          <w:lang w:val="pt-BR"/>
        </w:rPr>
        <w:t>spillover</w:t>
      </w:r>
      <w:r w:rsidR="000040D2" w:rsidRPr="00ED06C4">
        <w:rPr>
          <w:lang w:val="pt-BR"/>
        </w:rPr>
        <w:t xml:space="preserve"> entre estes trabalhadores mais bem qualificados e os demais integrantes do mercado de trabalho, contribuindo para elevar ainda mais o capital social dessa economia. </w:t>
      </w:r>
      <w:r w:rsidR="002C298F" w:rsidRPr="00ED06C4">
        <w:rPr>
          <w:lang w:val="pt-BR"/>
        </w:rPr>
        <w:t>Ainda, os benefícios de melhor qualidade de educação, foco principal do projeto em questão, são ainda pouco tratados na literatura empírica, que ainda se devota a analisar os efeitos da expansão e cobertura.</w:t>
      </w:r>
    </w:p>
    <w:p w:rsidR="00C0578C" w:rsidRPr="00ED06C4" w:rsidRDefault="004343D6" w:rsidP="00ED06C4">
      <w:pPr>
        <w:pStyle w:val="Heading1"/>
        <w:spacing w:before="120" w:after="120"/>
        <w:jc w:val="left"/>
        <w:rPr>
          <w:rFonts w:ascii="Times New Roman" w:hAnsi="Times New Roman" w:cs="Times New Roman"/>
        </w:rPr>
      </w:pPr>
      <w:bookmarkStart w:id="15" w:name="_Toc320875546"/>
      <w:r w:rsidRPr="00ED06C4">
        <w:rPr>
          <w:rFonts w:ascii="Times New Roman" w:hAnsi="Times New Roman" w:cs="Times New Roman"/>
        </w:rPr>
        <w:t>Análise</w:t>
      </w:r>
      <w:r w:rsidR="00C0578C" w:rsidRPr="00ED06C4">
        <w:rPr>
          <w:rFonts w:ascii="Times New Roman" w:hAnsi="Times New Roman" w:cs="Times New Roman"/>
        </w:rPr>
        <w:t xml:space="preserve"> de sensibilidad</w:t>
      </w:r>
      <w:r w:rsidRPr="00ED06C4">
        <w:rPr>
          <w:rFonts w:ascii="Times New Roman" w:hAnsi="Times New Roman" w:cs="Times New Roman"/>
        </w:rPr>
        <w:t>e</w:t>
      </w:r>
      <w:bookmarkEnd w:id="15"/>
    </w:p>
    <w:p w:rsidR="006840F1" w:rsidRPr="00ED06C4" w:rsidRDefault="00900454" w:rsidP="00ED06C4">
      <w:pPr>
        <w:pStyle w:val="ListParagraph"/>
        <w:numPr>
          <w:ilvl w:val="0"/>
          <w:numId w:val="9"/>
        </w:numPr>
        <w:tabs>
          <w:tab w:val="decimal" w:pos="720"/>
        </w:tabs>
        <w:spacing w:before="120" w:after="120" w:line="240" w:lineRule="auto"/>
        <w:ind w:left="720" w:hanging="720"/>
        <w:contextualSpacing w:val="0"/>
        <w:jc w:val="both"/>
        <w:rPr>
          <w:rFonts w:ascii="Times New Roman" w:hAnsi="Times New Roman"/>
          <w:sz w:val="24"/>
          <w:szCs w:val="24"/>
          <w:lang w:val="pt-BR"/>
        </w:rPr>
      </w:pPr>
      <w:r w:rsidRPr="00ED06C4">
        <w:rPr>
          <w:rFonts w:ascii="Times New Roman" w:hAnsi="Times New Roman"/>
          <w:sz w:val="24"/>
          <w:szCs w:val="24"/>
          <w:lang w:val="pt-BR"/>
        </w:rPr>
        <w:t xml:space="preserve">O próximo passo em nossa análise é considerar os efeitos sobre os resultados obtidos </w:t>
      </w:r>
      <w:r w:rsidR="00524EDE" w:rsidRPr="00ED06C4">
        <w:rPr>
          <w:rFonts w:ascii="Times New Roman" w:hAnsi="Times New Roman"/>
          <w:sz w:val="24"/>
          <w:szCs w:val="24"/>
          <w:lang w:val="pt-BR"/>
        </w:rPr>
        <w:t>a partir de</w:t>
      </w:r>
      <w:r w:rsidRPr="00ED06C4">
        <w:rPr>
          <w:rFonts w:ascii="Times New Roman" w:hAnsi="Times New Roman"/>
          <w:sz w:val="24"/>
          <w:szCs w:val="24"/>
          <w:lang w:val="pt-BR"/>
        </w:rPr>
        <w:t xml:space="preserve"> </w:t>
      </w:r>
      <w:r w:rsidR="00524EDE" w:rsidRPr="00ED06C4">
        <w:rPr>
          <w:rFonts w:ascii="Times New Roman" w:hAnsi="Times New Roman"/>
          <w:sz w:val="24"/>
          <w:szCs w:val="24"/>
          <w:lang w:val="pt-BR"/>
        </w:rPr>
        <w:t>mudanças nas variáveis tomadas como dadas, num típico exercício de análise de estática comparativa.</w:t>
      </w:r>
    </w:p>
    <w:p w:rsidR="00524EDE" w:rsidRPr="00ED06C4" w:rsidRDefault="00574AC6" w:rsidP="00ED06C4">
      <w:pPr>
        <w:pStyle w:val="ListParagraph"/>
        <w:numPr>
          <w:ilvl w:val="0"/>
          <w:numId w:val="9"/>
        </w:numPr>
        <w:tabs>
          <w:tab w:val="decimal" w:pos="720"/>
        </w:tabs>
        <w:spacing w:before="120" w:after="120" w:line="240" w:lineRule="auto"/>
        <w:ind w:left="720" w:hanging="720"/>
        <w:contextualSpacing w:val="0"/>
        <w:jc w:val="both"/>
        <w:rPr>
          <w:rFonts w:ascii="Times New Roman" w:hAnsi="Times New Roman"/>
          <w:sz w:val="24"/>
          <w:szCs w:val="24"/>
          <w:lang w:val="pt-BR"/>
        </w:rPr>
      </w:pPr>
      <w:r w:rsidRPr="00ED06C4">
        <w:rPr>
          <w:rFonts w:ascii="Times New Roman" w:hAnsi="Times New Roman"/>
          <w:b/>
          <w:sz w:val="24"/>
          <w:szCs w:val="24"/>
          <w:lang w:val="pt-BR"/>
        </w:rPr>
        <w:t>Impacto dos Fatores de Conversão.</w:t>
      </w:r>
      <w:r w:rsidRPr="00ED06C4">
        <w:rPr>
          <w:rFonts w:ascii="Times New Roman" w:hAnsi="Times New Roman"/>
          <w:sz w:val="24"/>
          <w:szCs w:val="24"/>
          <w:lang w:val="pt-BR"/>
        </w:rPr>
        <w:t xml:space="preserve"> </w:t>
      </w:r>
      <w:r w:rsidR="00524EDE" w:rsidRPr="00ED06C4">
        <w:rPr>
          <w:rFonts w:ascii="Times New Roman" w:hAnsi="Times New Roman"/>
          <w:sz w:val="24"/>
          <w:szCs w:val="24"/>
          <w:lang w:val="pt-BR"/>
        </w:rPr>
        <w:t>O primeiro exercício que fizemos foi o de considerar os fatores de conversão dos custos financeiros para sociais, de acordo com os utilizados em Fontenele e Vasconcelos (2004), em que FCMO</w:t>
      </w:r>
      <w:r w:rsidR="00213E52" w:rsidRPr="00ED06C4">
        <w:rPr>
          <w:rFonts w:ascii="Times New Roman" w:hAnsi="Times New Roman"/>
          <w:sz w:val="24"/>
          <w:szCs w:val="24"/>
          <w:lang w:val="pt-BR"/>
        </w:rPr>
        <w:t xml:space="preserve"> = 0,81; FCMNQ = 0,46 e FCP = 0,</w:t>
      </w:r>
      <w:r w:rsidR="00524EDE" w:rsidRPr="00ED06C4">
        <w:rPr>
          <w:rFonts w:ascii="Times New Roman" w:hAnsi="Times New Roman"/>
          <w:sz w:val="24"/>
          <w:szCs w:val="24"/>
          <w:lang w:val="pt-BR"/>
        </w:rPr>
        <w:t>94.</w:t>
      </w:r>
      <w:r w:rsidR="00213E52" w:rsidRPr="00ED06C4">
        <w:rPr>
          <w:rFonts w:ascii="Times New Roman" w:hAnsi="Times New Roman"/>
          <w:sz w:val="24"/>
          <w:szCs w:val="24"/>
          <w:lang w:val="pt-BR"/>
        </w:rPr>
        <w:t xml:space="preserve"> A diferença mais importante está no fator de conversão da mão de obra qualificada, que </w:t>
      </w:r>
      <w:r w:rsidR="00F26821" w:rsidRPr="00ED06C4">
        <w:rPr>
          <w:rFonts w:ascii="Times New Roman" w:hAnsi="Times New Roman"/>
          <w:sz w:val="24"/>
          <w:szCs w:val="24"/>
          <w:lang w:val="pt-BR"/>
        </w:rPr>
        <w:t xml:space="preserve">representa cerca de U$ 25,5 mi dos custos totais (21,5%), </w:t>
      </w:r>
      <w:r w:rsidR="005E4649" w:rsidRPr="00ED06C4">
        <w:rPr>
          <w:rFonts w:ascii="Times New Roman" w:hAnsi="Times New Roman"/>
          <w:sz w:val="24"/>
          <w:szCs w:val="24"/>
          <w:lang w:val="pt-BR"/>
        </w:rPr>
        <w:t xml:space="preserve">o </w:t>
      </w:r>
      <w:r w:rsidR="00F26821" w:rsidRPr="00ED06C4">
        <w:rPr>
          <w:rFonts w:ascii="Times New Roman" w:hAnsi="Times New Roman"/>
          <w:sz w:val="24"/>
          <w:szCs w:val="24"/>
          <w:lang w:val="pt-BR"/>
        </w:rPr>
        <w:t xml:space="preserve">que produz, em conjunto com os demais fatores, uma redução no custo social total US$ 98,7 mi. </w:t>
      </w:r>
      <w:r w:rsidR="005E4649" w:rsidRPr="00ED06C4">
        <w:rPr>
          <w:rFonts w:ascii="Times New Roman" w:hAnsi="Times New Roman"/>
          <w:sz w:val="24"/>
          <w:szCs w:val="24"/>
          <w:lang w:val="pt-BR"/>
        </w:rPr>
        <w:t>Um fator de conversão menor para mão de obra qualificada pode estar associado, por exemplo, uma situação de mercado de trabalho com escassez de oferta desse tido de trabalho, resultado em preços de mercado (salários</w:t>
      </w:r>
      <w:r w:rsidR="0010436F" w:rsidRPr="00ED06C4">
        <w:rPr>
          <w:rFonts w:ascii="Times New Roman" w:hAnsi="Times New Roman"/>
          <w:sz w:val="24"/>
          <w:szCs w:val="24"/>
          <w:lang w:val="pt-BR"/>
        </w:rPr>
        <w:t>)</w:t>
      </w:r>
      <w:r w:rsidR="005E4649" w:rsidRPr="00ED06C4">
        <w:rPr>
          <w:rFonts w:ascii="Times New Roman" w:hAnsi="Times New Roman"/>
          <w:sz w:val="24"/>
          <w:szCs w:val="24"/>
          <w:lang w:val="pt-BR"/>
        </w:rPr>
        <w:t xml:space="preserve"> mais elevados que a</w:t>
      </w:r>
      <w:r w:rsidR="0010436F" w:rsidRPr="00ED06C4">
        <w:rPr>
          <w:rFonts w:ascii="Times New Roman" w:hAnsi="Times New Roman"/>
          <w:sz w:val="24"/>
          <w:szCs w:val="24"/>
          <w:lang w:val="pt-BR"/>
        </w:rPr>
        <w:t xml:space="preserve"> produtividade marginal desse fator de produção, o que é uma hipótese bastante plausível para o cenário brasileiro recente e, mais ainda, para o município de Florianópolis, que vem se </w:t>
      </w:r>
      <w:r w:rsidR="0010436F" w:rsidRPr="00ED06C4">
        <w:rPr>
          <w:rFonts w:ascii="Times New Roman" w:hAnsi="Times New Roman"/>
          <w:sz w:val="24"/>
          <w:szCs w:val="24"/>
          <w:lang w:val="pt-BR"/>
        </w:rPr>
        <w:lastRenderedPageBreak/>
        <w:t>destacando pelo desenvolvimento do setor de alta tecnologia.</w:t>
      </w:r>
      <w:r w:rsidR="00213E52" w:rsidRPr="00ED06C4">
        <w:rPr>
          <w:rFonts w:ascii="Times New Roman" w:hAnsi="Times New Roman"/>
          <w:sz w:val="24"/>
          <w:szCs w:val="24"/>
          <w:lang w:val="pt-BR"/>
        </w:rPr>
        <w:t xml:space="preserve"> </w:t>
      </w:r>
      <w:r w:rsidR="00524EDE" w:rsidRPr="00ED06C4">
        <w:rPr>
          <w:rFonts w:ascii="Times New Roman" w:hAnsi="Times New Roman"/>
          <w:sz w:val="24"/>
          <w:szCs w:val="24"/>
          <w:lang w:val="pt-BR"/>
        </w:rPr>
        <w:t>N</w:t>
      </w:r>
      <w:r w:rsidR="008813AC" w:rsidRPr="00ED06C4">
        <w:rPr>
          <w:rFonts w:ascii="Times New Roman" w:hAnsi="Times New Roman"/>
          <w:sz w:val="24"/>
          <w:szCs w:val="24"/>
          <w:lang w:val="pt-BR"/>
        </w:rPr>
        <w:t>este caso, temos os mesmos benefícios do cen</w:t>
      </w:r>
      <w:r w:rsidR="00327B57" w:rsidRPr="00ED06C4">
        <w:rPr>
          <w:rFonts w:ascii="Times New Roman" w:hAnsi="Times New Roman"/>
          <w:sz w:val="24"/>
          <w:szCs w:val="24"/>
          <w:lang w:val="pt-BR"/>
        </w:rPr>
        <w:t>ário-</w:t>
      </w:r>
      <w:r w:rsidR="008813AC" w:rsidRPr="00ED06C4">
        <w:rPr>
          <w:rFonts w:ascii="Times New Roman" w:hAnsi="Times New Roman"/>
          <w:sz w:val="24"/>
          <w:szCs w:val="24"/>
          <w:lang w:val="pt-BR"/>
        </w:rPr>
        <w:t xml:space="preserve">base, mas um valor presente de custos totais de </w:t>
      </w:r>
      <w:r w:rsidR="003F46E8" w:rsidRPr="00ED06C4">
        <w:rPr>
          <w:rFonts w:ascii="Times New Roman" w:hAnsi="Times New Roman"/>
          <w:sz w:val="24"/>
          <w:szCs w:val="24"/>
          <w:lang w:val="pt-BR"/>
        </w:rPr>
        <w:t>US$ 7</w:t>
      </w:r>
      <w:r w:rsidR="006863BD" w:rsidRPr="00ED06C4">
        <w:rPr>
          <w:rFonts w:ascii="Times New Roman" w:hAnsi="Times New Roman"/>
          <w:sz w:val="24"/>
          <w:szCs w:val="24"/>
          <w:lang w:val="pt-BR"/>
        </w:rPr>
        <w:t>2</w:t>
      </w:r>
      <w:r w:rsidR="003F46E8" w:rsidRPr="00ED06C4">
        <w:rPr>
          <w:rFonts w:ascii="Times New Roman" w:hAnsi="Times New Roman"/>
          <w:sz w:val="24"/>
          <w:szCs w:val="24"/>
          <w:lang w:val="pt-BR"/>
        </w:rPr>
        <w:t>,</w:t>
      </w:r>
      <w:r w:rsidR="006863BD" w:rsidRPr="00ED06C4">
        <w:rPr>
          <w:rFonts w:ascii="Times New Roman" w:hAnsi="Times New Roman"/>
          <w:sz w:val="24"/>
          <w:szCs w:val="24"/>
          <w:lang w:val="pt-BR"/>
        </w:rPr>
        <w:t>88</w:t>
      </w:r>
      <w:r w:rsidR="003F46E8" w:rsidRPr="00ED06C4">
        <w:rPr>
          <w:rFonts w:ascii="Times New Roman" w:hAnsi="Times New Roman"/>
          <w:sz w:val="24"/>
          <w:szCs w:val="24"/>
          <w:lang w:val="pt-BR"/>
        </w:rPr>
        <w:t xml:space="preserve"> mi, gerando um VPLS de US$ 1</w:t>
      </w:r>
      <w:r w:rsidR="006863BD" w:rsidRPr="00ED06C4">
        <w:rPr>
          <w:rFonts w:ascii="Times New Roman" w:hAnsi="Times New Roman"/>
          <w:sz w:val="24"/>
          <w:szCs w:val="24"/>
          <w:lang w:val="pt-BR"/>
        </w:rPr>
        <w:t>5</w:t>
      </w:r>
      <w:r w:rsidR="003F46E8" w:rsidRPr="00ED06C4">
        <w:rPr>
          <w:rFonts w:ascii="Times New Roman" w:hAnsi="Times New Roman"/>
          <w:sz w:val="24"/>
          <w:szCs w:val="24"/>
          <w:lang w:val="pt-BR"/>
        </w:rPr>
        <w:t>,</w:t>
      </w:r>
      <w:r w:rsidR="006863BD" w:rsidRPr="00ED06C4">
        <w:rPr>
          <w:rFonts w:ascii="Times New Roman" w:hAnsi="Times New Roman"/>
          <w:sz w:val="24"/>
          <w:szCs w:val="24"/>
          <w:lang w:val="pt-BR"/>
        </w:rPr>
        <w:t>13</w:t>
      </w:r>
      <w:r w:rsidR="0036372D" w:rsidRPr="00ED06C4">
        <w:rPr>
          <w:rFonts w:ascii="Times New Roman" w:hAnsi="Times New Roman"/>
          <w:sz w:val="24"/>
          <w:szCs w:val="24"/>
          <w:lang w:val="pt-BR"/>
        </w:rPr>
        <w:t xml:space="preserve"> mi</w:t>
      </w:r>
      <w:r w:rsidR="003F46E8" w:rsidRPr="00ED06C4">
        <w:rPr>
          <w:rFonts w:ascii="Times New Roman" w:hAnsi="Times New Roman"/>
          <w:sz w:val="24"/>
          <w:szCs w:val="24"/>
          <w:lang w:val="pt-BR"/>
        </w:rPr>
        <w:t xml:space="preserve"> e uma TIRS de 12,</w:t>
      </w:r>
      <w:r w:rsidR="006863BD" w:rsidRPr="00ED06C4">
        <w:rPr>
          <w:rFonts w:ascii="Times New Roman" w:hAnsi="Times New Roman"/>
          <w:sz w:val="24"/>
          <w:szCs w:val="24"/>
          <w:lang w:val="pt-BR"/>
        </w:rPr>
        <w:t>7</w:t>
      </w:r>
      <w:r w:rsidR="00A85987" w:rsidRPr="00ED06C4">
        <w:rPr>
          <w:rFonts w:ascii="Times New Roman" w:hAnsi="Times New Roman"/>
          <w:sz w:val="24"/>
          <w:szCs w:val="24"/>
          <w:lang w:val="pt-BR"/>
        </w:rPr>
        <w:t>5</w:t>
      </w:r>
      <w:r w:rsidR="003F46E8" w:rsidRPr="00ED06C4">
        <w:rPr>
          <w:rFonts w:ascii="Times New Roman" w:hAnsi="Times New Roman"/>
          <w:sz w:val="24"/>
          <w:szCs w:val="24"/>
          <w:lang w:val="pt-BR"/>
        </w:rPr>
        <w:t>%</w:t>
      </w:r>
      <w:r w:rsidR="00F82B10" w:rsidRPr="00ED06C4">
        <w:rPr>
          <w:rFonts w:ascii="Times New Roman" w:hAnsi="Times New Roman"/>
          <w:sz w:val="24"/>
          <w:szCs w:val="24"/>
          <w:lang w:val="pt-BR"/>
        </w:rPr>
        <w:t>, melhorando os resultados anteriores.</w:t>
      </w:r>
    </w:p>
    <w:p w:rsidR="00442F1A" w:rsidRPr="00ED06C4" w:rsidRDefault="00574AC6" w:rsidP="00ED06C4">
      <w:pPr>
        <w:pStyle w:val="ListParagraph"/>
        <w:numPr>
          <w:ilvl w:val="0"/>
          <w:numId w:val="9"/>
        </w:numPr>
        <w:tabs>
          <w:tab w:val="decimal" w:pos="720"/>
        </w:tabs>
        <w:spacing w:before="120" w:after="120" w:line="240" w:lineRule="auto"/>
        <w:ind w:left="720" w:hanging="720"/>
        <w:contextualSpacing w:val="0"/>
        <w:jc w:val="both"/>
        <w:rPr>
          <w:rFonts w:ascii="Times New Roman" w:hAnsi="Times New Roman"/>
          <w:sz w:val="24"/>
          <w:szCs w:val="24"/>
          <w:lang w:val="pt-BR"/>
        </w:rPr>
      </w:pPr>
      <w:r w:rsidRPr="00ED06C4">
        <w:rPr>
          <w:rFonts w:ascii="Times New Roman" w:hAnsi="Times New Roman"/>
          <w:b/>
          <w:sz w:val="24"/>
          <w:szCs w:val="24"/>
          <w:lang w:val="pt-BR"/>
        </w:rPr>
        <w:t>Impacto da Taxa Nominal de Câmbio</w:t>
      </w:r>
      <w:r w:rsidRPr="00ED06C4">
        <w:rPr>
          <w:rFonts w:ascii="Times New Roman" w:hAnsi="Times New Roman"/>
          <w:sz w:val="24"/>
          <w:szCs w:val="24"/>
          <w:lang w:val="pt-BR"/>
        </w:rPr>
        <w:t xml:space="preserve">. </w:t>
      </w:r>
      <w:r w:rsidR="00B20D4F" w:rsidRPr="00ED06C4">
        <w:rPr>
          <w:rFonts w:ascii="Times New Roman" w:hAnsi="Times New Roman"/>
          <w:sz w:val="24"/>
          <w:szCs w:val="24"/>
          <w:lang w:val="pt-BR"/>
        </w:rPr>
        <w:t xml:space="preserve">Em relação ao cenário-base, outra variável com potencial de impactar nos resultados obtidos é a taxa nominal de câmbio assumida como R$ 1,8/US$ para todo o período de análise do projeto. </w:t>
      </w:r>
      <w:r w:rsidR="000D112A" w:rsidRPr="00ED06C4">
        <w:rPr>
          <w:rFonts w:ascii="Times New Roman" w:hAnsi="Times New Roman"/>
          <w:sz w:val="24"/>
          <w:szCs w:val="24"/>
          <w:lang w:val="pt-BR"/>
        </w:rPr>
        <w:t xml:space="preserve">Desde a adoção dos regimes de câmbio flutuante e de metas de inflação, a estrutura econômica vem se consolidando num ambiente de estabilidade e construção de credibilidade que produziu uma taxa média nominal de câmbio, entre 2000 e 2011, de RS$ 2,67, com desvio padrão de meio ponto percentual. Assim, parece-nos uma hipótese </w:t>
      </w:r>
      <w:r w:rsidR="006863BD" w:rsidRPr="00ED06C4">
        <w:rPr>
          <w:rFonts w:ascii="Times New Roman" w:hAnsi="Times New Roman"/>
          <w:sz w:val="24"/>
          <w:szCs w:val="24"/>
          <w:lang w:val="pt-BR"/>
        </w:rPr>
        <w:t>razoável</w:t>
      </w:r>
      <w:r w:rsidR="000D112A" w:rsidRPr="00ED06C4">
        <w:rPr>
          <w:rFonts w:ascii="Times New Roman" w:hAnsi="Times New Roman"/>
          <w:sz w:val="24"/>
          <w:szCs w:val="24"/>
          <w:lang w:val="pt-BR"/>
        </w:rPr>
        <w:t xml:space="preserve"> que o câmbio </w:t>
      </w:r>
      <w:r w:rsidR="006863BD" w:rsidRPr="00ED06C4">
        <w:rPr>
          <w:rFonts w:ascii="Times New Roman" w:hAnsi="Times New Roman"/>
          <w:sz w:val="24"/>
          <w:szCs w:val="24"/>
          <w:lang w:val="pt-BR"/>
        </w:rPr>
        <w:t>esteja mais próximo a</w:t>
      </w:r>
      <w:r w:rsidR="00442F1A" w:rsidRPr="00ED06C4">
        <w:rPr>
          <w:rFonts w:ascii="Times New Roman" w:hAnsi="Times New Roman"/>
          <w:sz w:val="24"/>
          <w:szCs w:val="24"/>
          <w:lang w:val="pt-BR"/>
        </w:rPr>
        <w:t xml:space="preserve"> R$ 2,50 du</w:t>
      </w:r>
      <w:r w:rsidR="006863BD" w:rsidRPr="00ED06C4">
        <w:rPr>
          <w:rFonts w:ascii="Times New Roman" w:hAnsi="Times New Roman"/>
          <w:sz w:val="24"/>
          <w:szCs w:val="24"/>
          <w:lang w:val="pt-BR"/>
        </w:rPr>
        <w:t>rante a vida útil do projeto, em se considerando</w:t>
      </w:r>
      <w:r w:rsidR="00442F1A" w:rsidRPr="00ED06C4">
        <w:rPr>
          <w:rFonts w:ascii="Times New Roman" w:hAnsi="Times New Roman"/>
          <w:sz w:val="24"/>
          <w:szCs w:val="24"/>
          <w:lang w:val="pt-BR"/>
        </w:rPr>
        <w:t xml:space="preserve"> que a estrutura macroeconômica mantenha a consistência da última década. Nessas circunst</w:t>
      </w:r>
      <w:r w:rsidR="00F17DBD" w:rsidRPr="00ED06C4">
        <w:rPr>
          <w:rFonts w:ascii="Times New Roman" w:hAnsi="Times New Roman"/>
          <w:sz w:val="24"/>
          <w:szCs w:val="24"/>
          <w:lang w:val="pt-BR"/>
        </w:rPr>
        <w:t xml:space="preserve">âncias, teríamos os resultados </w:t>
      </w:r>
      <w:r w:rsidR="00D86999" w:rsidRPr="00ED06C4">
        <w:rPr>
          <w:rFonts w:ascii="Times New Roman" w:hAnsi="Times New Roman"/>
          <w:sz w:val="24"/>
          <w:szCs w:val="24"/>
          <w:lang w:val="pt-BR"/>
        </w:rPr>
        <w:t xml:space="preserve">de </w:t>
      </w:r>
      <w:r w:rsidR="00F17DBD" w:rsidRPr="00ED06C4">
        <w:rPr>
          <w:rFonts w:ascii="Times New Roman" w:hAnsi="Times New Roman"/>
          <w:sz w:val="24"/>
          <w:szCs w:val="24"/>
          <w:lang w:val="pt-BR"/>
        </w:rPr>
        <w:t>um VPLS de US$ 3</w:t>
      </w:r>
      <w:r w:rsidR="00D86999" w:rsidRPr="00ED06C4">
        <w:rPr>
          <w:rFonts w:ascii="Times New Roman" w:hAnsi="Times New Roman"/>
          <w:sz w:val="24"/>
          <w:szCs w:val="24"/>
          <w:lang w:val="pt-BR"/>
        </w:rPr>
        <w:t>5</w:t>
      </w:r>
      <w:r w:rsidR="00F17DBD" w:rsidRPr="00ED06C4">
        <w:rPr>
          <w:rFonts w:ascii="Times New Roman" w:hAnsi="Times New Roman"/>
          <w:sz w:val="24"/>
          <w:szCs w:val="24"/>
          <w:lang w:val="pt-BR"/>
        </w:rPr>
        <w:t>,</w:t>
      </w:r>
      <w:r w:rsidR="00D86999" w:rsidRPr="00ED06C4">
        <w:rPr>
          <w:rFonts w:ascii="Times New Roman" w:hAnsi="Times New Roman"/>
          <w:sz w:val="24"/>
          <w:szCs w:val="24"/>
          <w:lang w:val="pt-BR"/>
        </w:rPr>
        <w:t>53</w:t>
      </w:r>
      <w:r w:rsidR="00F17DBD" w:rsidRPr="00ED06C4">
        <w:rPr>
          <w:rFonts w:ascii="Times New Roman" w:hAnsi="Times New Roman"/>
          <w:sz w:val="24"/>
          <w:szCs w:val="24"/>
          <w:lang w:val="pt-BR"/>
        </w:rPr>
        <w:t xml:space="preserve"> e uma TIRS de 1</w:t>
      </w:r>
      <w:r w:rsidR="00D86999" w:rsidRPr="00ED06C4">
        <w:rPr>
          <w:rFonts w:ascii="Times New Roman" w:hAnsi="Times New Roman"/>
          <w:sz w:val="24"/>
          <w:szCs w:val="24"/>
          <w:lang w:val="pt-BR"/>
        </w:rPr>
        <w:t>4</w:t>
      </w:r>
      <w:r w:rsidR="00F17DBD" w:rsidRPr="00ED06C4">
        <w:rPr>
          <w:rFonts w:ascii="Times New Roman" w:hAnsi="Times New Roman"/>
          <w:sz w:val="24"/>
          <w:szCs w:val="24"/>
          <w:lang w:val="pt-BR"/>
        </w:rPr>
        <w:t>,</w:t>
      </w:r>
      <w:r w:rsidR="00D86999" w:rsidRPr="00ED06C4">
        <w:rPr>
          <w:rFonts w:ascii="Times New Roman" w:hAnsi="Times New Roman"/>
          <w:sz w:val="24"/>
          <w:szCs w:val="24"/>
          <w:lang w:val="pt-BR"/>
        </w:rPr>
        <w:t>20</w:t>
      </w:r>
      <w:r w:rsidR="00F17DBD" w:rsidRPr="00ED06C4">
        <w:rPr>
          <w:rFonts w:ascii="Times New Roman" w:hAnsi="Times New Roman"/>
          <w:sz w:val="24"/>
          <w:szCs w:val="24"/>
          <w:lang w:val="pt-BR"/>
        </w:rPr>
        <w:t>%, indicando ainda mais fortemente a viabilidade econômica do projeto.</w:t>
      </w:r>
      <w:r w:rsidR="003D77F1" w:rsidRPr="00ED06C4">
        <w:rPr>
          <w:rFonts w:ascii="Times New Roman" w:hAnsi="Times New Roman"/>
          <w:sz w:val="24"/>
          <w:szCs w:val="24"/>
          <w:lang w:val="pt-BR"/>
        </w:rPr>
        <w:t xml:space="preserve"> Uma pergunta interessante, uma vez que há enormes riscos em se supor uma determinada taxa nominal como a média para a vida útil do projeto, é qual seria a taxa de câmbio que </w:t>
      </w:r>
      <w:r w:rsidR="00D86999" w:rsidRPr="00ED06C4">
        <w:rPr>
          <w:rFonts w:ascii="Times New Roman" w:hAnsi="Times New Roman"/>
          <w:sz w:val="24"/>
          <w:szCs w:val="24"/>
          <w:lang w:val="pt-BR"/>
        </w:rPr>
        <w:t>produziria um VPSL nulo.</w:t>
      </w:r>
      <w:r w:rsidR="008B4380" w:rsidRPr="00ED06C4">
        <w:rPr>
          <w:rFonts w:ascii="Times New Roman" w:hAnsi="Times New Roman"/>
          <w:sz w:val="24"/>
          <w:szCs w:val="24"/>
          <w:lang w:val="pt-BR"/>
        </w:rPr>
        <w:t xml:space="preserve"> Essa taxa é R$ 1,49 e representa o limite a partir do qual o projeto passa a apresentar VLPS negativo e TIRS inferior ao custo de oportunidade. Do pondo de vista do comportamento do câmbio na última década, essa taxa representaria uma valorização de quase 12% sobre a taxa anual mais baixa dos últimos doze anos, registrada em 2009, parecendo um cenário pouco provável.  </w:t>
      </w:r>
      <w:r w:rsidR="00D86999" w:rsidRPr="00ED06C4">
        <w:rPr>
          <w:rFonts w:ascii="Times New Roman" w:hAnsi="Times New Roman"/>
          <w:sz w:val="24"/>
          <w:szCs w:val="24"/>
          <w:lang w:val="pt-BR"/>
        </w:rPr>
        <w:t xml:space="preserve"> </w:t>
      </w:r>
    </w:p>
    <w:p w:rsidR="00862F8B" w:rsidRPr="00ED06C4" w:rsidRDefault="00574AC6" w:rsidP="00ED06C4">
      <w:pPr>
        <w:pStyle w:val="ListParagraph"/>
        <w:numPr>
          <w:ilvl w:val="0"/>
          <w:numId w:val="9"/>
        </w:numPr>
        <w:tabs>
          <w:tab w:val="decimal" w:pos="720"/>
        </w:tabs>
        <w:spacing w:before="120" w:after="120" w:line="240" w:lineRule="auto"/>
        <w:ind w:left="720" w:hanging="720"/>
        <w:contextualSpacing w:val="0"/>
        <w:jc w:val="both"/>
        <w:rPr>
          <w:rFonts w:ascii="Times New Roman" w:hAnsi="Times New Roman"/>
          <w:sz w:val="24"/>
          <w:szCs w:val="24"/>
          <w:lang w:val="pt-BR"/>
        </w:rPr>
      </w:pPr>
      <w:r w:rsidRPr="00ED06C4">
        <w:rPr>
          <w:rFonts w:ascii="Times New Roman" w:hAnsi="Times New Roman"/>
          <w:b/>
          <w:sz w:val="24"/>
          <w:szCs w:val="24"/>
          <w:lang w:val="pt-BR"/>
        </w:rPr>
        <w:t>Impacto da Disposição a Pagar por ano de Ensino Infantil.</w:t>
      </w:r>
      <w:r w:rsidRPr="00ED06C4">
        <w:rPr>
          <w:rFonts w:ascii="Times New Roman" w:hAnsi="Times New Roman"/>
          <w:sz w:val="24"/>
          <w:szCs w:val="24"/>
          <w:lang w:val="pt-BR"/>
        </w:rPr>
        <w:t xml:space="preserve"> </w:t>
      </w:r>
      <w:r w:rsidR="00862F8B" w:rsidRPr="00ED06C4">
        <w:rPr>
          <w:rFonts w:ascii="Times New Roman" w:hAnsi="Times New Roman"/>
          <w:sz w:val="24"/>
          <w:szCs w:val="24"/>
          <w:lang w:val="pt-BR"/>
        </w:rPr>
        <w:t xml:space="preserve">Outra mudança de cenário interessante é considerar os efeitos do uso da disposição a pagar máxima, estimada por Barros e Mendonça (2005) e apresentadas na tabela 4, correspondente a US$ 1811,00 por ano, sobre a monetização dos benefícios B1. Tais benefícios passariam a US 24,74 mi, em contraposição aos US$ 19,35 anteriores, resultando em </w:t>
      </w:r>
      <w:r w:rsidR="00443747" w:rsidRPr="00ED06C4">
        <w:rPr>
          <w:rFonts w:ascii="Times New Roman" w:hAnsi="Times New Roman"/>
          <w:sz w:val="24"/>
          <w:szCs w:val="24"/>
          <w:lang w:val="pt-BR"/>
        </w:rPr>
        <w:t xml:space="preserve">um VPLS de </w:t>
      </w:r>
      <w:r w:rsidR="00C35CF6" w:rsidRPr="00ED06C4">
        <w:rPr>
          <w:rFonts w:ascii="Times New Roman" w:hAnsi="Times New Roman"/>
          <w:sz w:val="24"/>
          <w:szCs w:val="24"/>
          <w:lang w:val="pt-BR"/>
        </w:rPr>
        <w:t>US$ 15,36 e uma TIRS de 12,83%, melhorando os resultados encontrados para o cenário-base.</w:t>
      </w:r>
    </w:p>
    <w:p w:rsidR="00862F8B" w:rsidRPr="00ED06C4" w:rsidRDefault="00574AC6" w:rsidP="00ED06C4">
      <w:pPr>
        <w:pStyle w:val="ListParagraph"/>
        <w:numPr>
          <w:ilvl w:val="0"/>
          <w:numId w:val="9"/>
        </w:numPr>
        <w:tabs>
          <w:tab w:val="decimal" w:pos="720"/>
        </w:tabs>
        <w:spacing w:before="120" w:after="120" w:line="240" w:lineRule="auto"/>
        <w:ind w:left="720" w:hanging="720"/>
        <w:contextualSpacing w:val="0"/>
        <w:jc w:val="both"/>
        <w:rPr>
          <w:rFonts w:ascii="Times New Roman" w:hAnsi="Times New Roman"/>
          <w:sz w:val="24"/>
          <w:szCs w:val="24"/>
          <w:lang w:val="pt-BR"/>
        </w:rPr>
      </w:pPr>
      <w:r w:rsidRPr="00ED06C4">
        <w:rPr>
          <w:rFonts w:ascii="Times New Roman" w:hAnsi="Times New Roman"/>
          <w:b/>
          <w:sz w:val="24"/>
          <w:szCs w:val="24"/>
          <w:lang w:val="pt-BR"/>
        </w:rPr>
        <w:t>Impacto dos Benefícios Indiretos.</w:t>
      </w:r>
      <w:r w:rsidRPr="00ED06C4">
        <w:rPr>
          <w:rFonts w:ascii="Times New Roman" w:hAnsi="Times New Roman"/>
          <w:sz w:val="24"/>
          <w:szCs w:val="24"/>
          <w:lang w:val="pt-BR"/>
        </w:rPr>
        <w:t xml:space="preserve"> </w:t>
      </w:r>
      <w:r w:rsidR="00C35CF6" w:rsidRPr="00ED06C4">
        <w:rPr>
          <w:rFonts w:ascii="Times New Roman" w:hAnsi="Times New Roman"/>
          <w:sz w:val="24"/>
          <w:szCs w:val="24"/>
          <w:lang w:val="pt-BR"/>
        </w:rPr>
        <w:t xml:space="preserve">Para a monetização dos efeitos externos da educação, consideramos os achados da literatura internacional e poderíamos nos perguntar, agora, como os resultados finais se alterariam com uma </w:t>
      </w:r>
      <w:r w:rsidR="000118C1" w:rsidRPr="00ED06C4">
        <w:rPr>
          <w:rFonts w:ascii="Times New Roman" w:hAnsi="Times New Roman"/>
          <w:sz w:val="24"/>
          <w:szCs w:val="24"/>
          <w:lang w:val="pt-BR"/>
        </w:rPr>
        <w:t>elevação</w:t>
      </w:r>
      <w:r w:rsidR="00C35CF6" w:rsidRPr="00ED06C4">
        <w:rPr>
          <w:rFonts w:ascii="Times New Roman" w:hAnsi="Times New Roman"/>
          <w:sz w:val="24"/>
          <w:szCs w:val="24"/>
          <w:lang w:val="pt-BR"/>
        </w:rPr>
        <w:t xml:space="preserve"> no percentual do crescimento do PIB percapita, </w:t>
      </w:r>
      <w:r w:rsidR="000118C1" w:rsidRPr="00ED06C4">
        <w:rPr>
          <w:rFonts w:ascii="Times New Roman" w:hAnsi="Times New Roman"/>
          <w:sz w:val="24"/>
          <w:szCs w:val="24"/>
          <w:lang w:val="pt-BR"/>
        </w:rPr>
        <w:t>de</w:t>
      </w:r>
      <w:r w:rsidR="00AE686B" w:rsidRPr="00ED06C4">
        <w:rPr>
          <w:rFonts w:ascii="Times New Roman" w:hAnsi="Times New Roman"/>
          <w:sz w:val="24"/>
          <w:szCs w:val="24"/>
          <w:lang w:val="pt-BR"/>
        </w:rPr>
        <w:t xml:space="preserve"> 40%, usado como </w:t>
      </w:r>
      <w:r w:rsidR="00AE686B" w:rsidRPr="00ED06C4">
        <w:rPr>
          <w:rFonts w:ascii="Times New Roman" w:hAnsi="Times New Roman"/>
          <w:i/>
          <w:sz w:val="24"/>
          <w:szCs w:val="24"/>
          <w:lang w:val="pt-BR"/>
        </w:rPr>
        <w:t>proxy</w:t>
      </w:r>
      <w:r w:rsidR="00C35CF6" w:rsidRPr="00ED06C4">
        <w:rPr>
          <w:rFonts w:ascii="Times New Roman" w:hAnsi="Times New Roman"/>
          <w:sz w:val="24"/>
          <w:szCs w:val="24"/>
          <w:lang w:val="pt-BR"/>
        </w:rPr>
        <w:t xml:space="preserve"> para a monetização dos efeitos externos em B3. Tomando, como exerc</w:t>
      </w:r>
      <w:r w:rsidR="000118C1" w:rsidRPr="00ED06C4">
        <w:rPr>
          <w:rFonts w:ascii="Times New Roman" w:hAnsi="Times New Roman"/>
          <w:sz w:val="24"/>
          <w:szCs w:val="24"/>
          <w:lang w:val="pt-BR"/>
        </w:rPr>
        <w:t>ício, um percentual de 50</w:t>
      </w:r>
      <w:r w:rsidR="00C35CF6" w:rsidRPr="00ED06C4">
        <w:rPr>
          <w:rFonts w:ascii="Times New Roman" w:hAnsi="Times New Roman"/>
          <w:sz w:val="24"/>
          <w:szCs w:val="24"/>
          <w:lang w:val="pt-BR"/>
        </w:rPr>
        <w:t>%</w:t>
      </w:r>
      <w:r w:rsidR="000118C1" w:rsidRPr="00ED06C4">
        <w:rPr>
          <w:rFonts w:ascii="Times New Roman" w:hAnsi="Times New Roman"/>
          <w:sz w:val="24"/>
          <w:szCs w:val="24"/>
          <w:lang w:val="pt-BR"/>
        </w:rPr>
        <w:t xml:space="preserve"> o valor presente dos benef</w:t>
      </w:r>
      <w:r w:rsidR="001E00E3" w:rsidRPr="00ED06C4">
        <w:rPr>
          <w:rFonts w:ascii="Times New Roman" w:hAnsi="Times New Roman"/>
          <w:sz w:val="24"/>
          <w:szCs w:val="24"/>
          <w:lang w:val="pt-BR"/>
        </w:rPr>
        <w:t>ícios B3 somaria</w:t>
      </w:r>
      <w:r w:rsidR="000118C1" w:rsidRPr="00ED06C4">
        <w:rPr>
          <w:rFonts w:ascii="Times New Roman" w:hAnsi="Times New Roman"/>
          <w:sz w:val="24"/>
          <w:szCs w:val="24"/>
          <w:lang w:val="pt-BR"/>
        </w:rPr>
        <w:t xml:space="preserve"> US$ 82,40, em contraposição aos 65,92 do cenário-base, resultando num VPLS de US$ 26,41 e uma TIRS de 13,22%, também contribuindo para uma viabilidade econômica do projeto com maior folga.</w:t>
      </w:r>
    </w:p>
    <w:p w:rsidR="00C0578C" w:rsidRPr="00ED06C4" w:rsidRDefault="00C0578C" w:rsidP="00ED06C4">
      <w:pPr>
        <w:pStyle w:val="Heading1"/>
        <w:spacing w:before="120" w:after="120"/>
        <w:jc w:val="left"/>
        <w:rPr>
          <w:rFonts w:ascii="Times New Roman" w:hAnsi="Times New Roman" w:cs="Times New Roman"/>
        </w:rPr>
      </w:pPr>
      <w:bookmarkStart w:id="16" w:name="_Toc320875547"/>
      <w:r w:rsidRPr="00ED06C4">
        <w:rPr>
          <w:rFonts w:ascii="Times New Roman" w:hAnsi="Times New Roman" w:cs="Times New Roman"/>
        </w:rPr>
        <w:t>Conclus</w:t>
      </w:r>
      <w:r w:rsidR="004343D6" w:rsidRPr="00ED06C4">
        <w:rPr>
          <w:rFonts w:ascii="Times New Roman" w:hAnsi="Times New Roman" w:cs="Times New Roman"/>
        </w:rPr>
        <w:t>ões</w:t>
      </w:r>
      <w:bookmarkEnd w:id="16"/>
    </w:p>
    <w:p w:rsidR="00DB3F99" w:rsidRPr="00ED06C4" w:rsidRDefault="00DB3F99" w:rsidP="00ED06C4">
      <w:pPr>
        <w:pStyle w:val="ListParagraph"/>
        <w:numPr>
          <w:ilvl w:val="0"/>
          <w:numId w:val="10"/>
        </w:numPr>
        <w:tabs>
          <w:tab w:val="decimal" w:pos="720"/>
        </w:tabs>
        <w:spacing w:before="120" w:after="120" w:line="240" w:lineRule="auto"/>
        <w:ind w:left="709" w:hanging="709"/>
        <w:contextualSpacing w:val="0"/>
        <w:jc w:val="both"/>
        <w:rPr>
          <w:rFonts w:ascii="Times New Roman" w:hAnsi="Times New Roman"/>
          <w:sz w:val="24"/>
          <w:szCs w:val="24"/>
          <w:lang w:val="pt-BR"/>
        </w:rPr>
      </w:pPr>
      <w:r w:rsidRPr="00ED06C4">
        <w:rPr>
          <w:rFonts w:ascii="Times New Roman" w:hAnsi="Times New Roman"/>
          <w:sz w:val="24"/>
          <w:szCs w:val="24"/>
          <w:lang w:val="pt-BR"/>
        </w:rPr>
        <w:t>O projeto de investimento educacional em análise busca expandir a oferta de Ensino Infantil e de oportunidades de Ensino Fundamental em tempo integral, com foco claro no objetivo de melhorar a qualidade da educação oferta pela Rede Municipal de Ensino do município de Florianópolis.</w:t>
      </w:r>
      <w:r w:rsidR="00593B6B" w:rsidRPr="00ED06C4">
        <w:rPr>
          <w:rFonts w:ascii="Times New Roman" w:hAnsi="Times New Roman"/>
          <w:sz w:val="24"/>
          <w:szCs w:val="24"/>
          <w:lang w:val="pt-BR"/>
        </w:rPr>
        <w:t xml:space="preserve"> Tal projeto divide-se em 4 componentes, conforme ilustrado na Figura 1, e soma US$ 118,42 mi distribuídos ao longo de cinco anos de execução.</w:t>
      </w:r>
    </w:p>
    <w:p w:rsidR="00A9027F" w:rsidRPr="00ED06C4" w:rsidRDefault="00A9027F" w:rsidP="00ED06C4">
      <w:pPr>
        <w:pStyle w:val="ListParagraph"/>
        <w:tabs>
          <w:tab w:val="decimal" w:pos="720"/>
        </w:tabs>
        <w:spacing w:before="120" w:after="120" w:line="240" w:lineRule="auto"/>
        <w:ind w:left="709"/>
        <w:contextualSpacing w:val="0"/>
        <w:jc w:val="both"/>
        <w:rPr>
          <w:rFonts w:ascii="Times New Roman" w:hAnsi="Times New Roman"/>
          <w:sz w:val="24"/>
          <w:szCs w:val="24"/>
          <w:lang w:val="pt-BR"/>
        </w:rPr>
      </w:pPr>
    </w:p>
    <w:p w:rsidR="008476FA" w:rsidRPr="00ED06C4" w:rsidRDefault="00593B6B" w:rsidP="00ED06C4">
      <w:pPr>
        <w:pStyle w:val="ListParagraph"/>
        <w:numPr>
          <w:ilvl w:val="0"/>
          <w:numId w:val="10"/>
        </w:numPr>
        <w:tabs>
          <w:tab w:val="decimal" w:pos="720"/>
        </w:tabs>
        <w:spacing w:before="120" w:after="120" w:line="240" w:lineRule="auto"/>
        <w:ind w:left="709" w:hanging="709"/>
        <w:contextualSpacing w:val="0"/>
        <w:jc w:val="both"/>
        <w:rPr>
          <w:rFonts w:ascii="Times New Roman" w:hAnsi="Times New Roman"/>
          <w:sz w:val="24"/>
          <w:szCs w:val="24"/>
          <w:lang w:val="pt-BR"/>
        </w:rPr>
      </w:pPr>
      <w:r w:rsidRPr="00ED06C4">
        <w:rPr>
          <w:rFonts w:ascii="Times New Roman" w:hAnsi="Times New Roman"/>
          <w:sz w:val="24"/>
          <w:szCs w:val="24"/>
          <w:lang w:val="pt-BR"/>
        </w:rPr>
        <w:lastRenderedPageBreak/>
        <w:t>Já apontamos</w:t>
      </w:r>
      <w:r w:rsidR="008E37C2" w:rsidRPr="00ED06C4">
        <w:rPr>
          <w:rFonts w:ascii="Times New Roman" w:hAnsi="Times New Roman"/>
          <w:sz w:val="24"/>
          <w:szCs w:val="24"/>
          <w:lang w:val="pt-BR"/>
        </w:rPr>
        <w:t>,</w:t>
      </w:r>
      <w:r w:rsidRPr="00ED06C4">
        <w:rPr>
          <w:rFonts w:ascii="Times New Roman" w:hAnsi="Times New Roman"/>
          <w:sz w:val="24"/>
          <w:szCs w:val="24"/>
          <w:lang w:val="pt-BR"/>
        </w:rPr>
        <w:t xml:space="preserve"> na seção</w:t>
      </w:r>
      <w:r w:rsidR="008E37C2" w:rsidRPr="00ED06C4">
        <w:rPr>
          <w:rFonts w:ascii="Times New Roman" w:hAnsi="Times New Roman"/>
          <w:sz w:val="24"/>
          <w:szCs w:val="24"/>
          <w:lang w:val="pt-BR"/>
        </w:rPr>
        <w:t xml:space="preserve"> 3 deste Relatório, as dificuldades advindas da necessidade de mensuração dos benefícios, principalmente os indiretos e não-monetizáveis,</w:t>
      </w:r>
      <w:r w:rsidR="00875FCD" w:rsidRPr="00ED06C4">
        <w:rPr>
          <w:rFonts w:ascii="Times New Roman" w:hAnsi="Times New Roman"/>
          <w:sz w:val="24"/>
          <w:szCs w:val="24"/>
          <w:lang w:val="pt-BR"/>
        </w:rPr>
        <w:t xml:space="preserve"> e estabelecemos procedimentos metodológicos bastante conservadores para monetizar os benefícios diretos e indiretos, estabelecidos nas hipóteses B1, B2 e B3</w:t>
      </w:r>
      <w:r w:rsidR="008476FA" w:rsidRPr="00ED06C4">
        <w:rPr>
          <w:rFonts w:ascii="Times New Roman" w:hAnsi="Times New Roman"/>
          <w:sz w:val="24"/>
          <w:szCs w:val="24"/>
          <w:lang w:val="pt-BR"/>
        </w:rPr>
        <w:t>.</w:t>
      </w:r>
    </w:p>
    <w:p w:rsidR="00593B6B" w:rsidRPr="00ED06C4" w:rsidRDefault="008476FA" w:rsidP="00ED06C4">
      <w:pPr>
        <w:pStyle w:val="ListParagraph"/>
        <w:numPr>
          <w:ilvl w:val="0"/>
          <w:numId w:val="10"/>
        </w:numPr>
        <w:tabs>
          <w:tab w:val="decimal" w:pos="720"/>
        </w:tabs>
        <w:spacing w:before="120" w:after="120" w:line="240" w:lineRule="auto"/>
        <w:ind w:left="709" w:hanging="709"/>
        <w:contextualSpacing w:val="0"/>
        <w:jc w:val="both"/>
        <w:rPr>
          <w:rFonts w:ascii="Times New Roman" w:hAnsi="Times New Roman"/>
          <w:sz w:val="24"/>
          <w:szCs w:val="24"/>
          <w:lang w:val="pt-BR"/>
        </w:rPr>
      </w:pPr>
      <w:r w:rsidRPr="00ED06C4">
        <w:rPr>
          <w:rFonts w:ascii="Times New Roman" w:hAnsi="Times New Roman"/>
          <w:sz w:val="24"/>
          <w:szCs w:val="24"/>
          <w:lang w:val="pt-BR"/>
        </w:rPr>
        <w:t>Ainda que num cenário-base conservador, o projeto revelou fluxos líquidos em valor presente positivos e uma taxa interna de retorno social acima do cu</w:t>
      </w:r>
      <w:r w:rsidR="00A9027F" w:rsidRPr="00ED06C4">
        <w:rPr>
          <w:rFonts w:ascii="Times New Roman" w:hAnsi="Times New Roman"/>
          <w:sz w:val="24"/>
          <w:szCs w:val="24"/>
          <w:lang w:val="pt-BR"/>
        </w:rPr>
        <w:t>sto de oportunidade considerado, já sendo suficiente para a indicação da viabilidade econômica e apoio à decisão de realização do projeto, como uma decisão racional, que agregará valor para a sociedade como um todo, em que o projeto está inserido.</w:t>
      </w:r>
    </w:p>
    <w:p w:rsidR="00DB3F99" w:rsidRDefault="00A9027F" w:rsidP="00ED06C4">
      <w:pPr>
        <w:pStyle w:val="ListParagraph"/>
        <w:numPr>
          <w:ilvl w:val="0"/>
          <w:numId w:val="10"/>
        </w:numPr>
        <w:tabs>
          <w:tab w:val="decimal" w:pos="720"/>
        </w:tabs>
        <w:spacing w:before="120" w:after="120" w:line="240" w:lineRule="auto"/>
        <w:ind w:left="709" w:hanging="709"/>
        <w:contextualSpacing w:val="0"/>
        <w:jc w:val="both"/>
        <w:rPr>
          <w:rFonts w:ascii="Times New Roman" w:hAnsi="Times New Roman"/>
          <w:sz w:val="24"/>
          <w:szCs w:val="24"/>
          <w:lang w:val="pt-BR"/>
        </w:rPr>
      </w:pPr>
      <w:r w:rsidRPr="00ED06C4">
        <w:rPr>
          <w:rFonts w:ascii="Times New Roman" w:hAnsi="Times New Roman"/>
          <w:sz w:val="24"/>
          <w:szCs w:val="24"/>
          <w:lang w:val="pt-BR"/>
        </w:rPr>
        <w:t xml:space="preserve">Não obstante, ao realizarmos as análises de sensibilidade, constatamos que </w:t>
      </w:r>
      <w:r w:rsidR="003A7FB2" w:rsidRPr="00ED06C4">
        <w:rPr>
          <w:rFonts w:ascii="Times New Roman" w:hAnsi="Times New Roman"/>
          <w:sz w:val="24"/>
          <w:szCs w:val="24"/>
          <w:lang w:val="pt-BR"/>
        </w:rPr>
        <w:t>o uso de hipóteses mais otimistas, porém já previstas dentro do próprio desenvolvimento do trabalho de avaliação econômica, e, portanto, igualmente prováveis quando comparadas às hipóteses do cenário-base produziram resultados mais satisfatórios em termos dos critérios objetivos utilizados. Tais hipóteses são: o uso dos fatores de conversão alternati</w:t>
      </w:r>
      <w:r w:rsidR="00BF06F7" w:rsidRPr="00ED06C4">
        <w:rPr>
          <w:rFonts w:ascii="Times New Roman" w:hAnsi="Times New Roman"/>
          <w:sz w:val="24"/>
          <w:szCs w:val="24"/>
          <w:lang w:val="pt-BR"/>
        </w:rPr>
        <w:t>vos e</w:t>
      </w:r>
      <w:r w:rsidR="003A7FB2" w:rsidRPr="00ED06C4">
        <w:rPr>
          <w:rFonts w:ascii="Times New Roman" w:hAnsi="Times New Roman"/>
          <w:sz w:val="24"/>
          <w:szCs w:val="24"/>
          <w:lang w:val="pt-BR"/>
        </w:rPr>
        <w:t xml:space="preserve"> a consideração da disposição a pagar mais elevada por um ano adicional de Ensino Infantil</w:t>
      </w:r>
      <w:r w:rsidR="00BF06F7" w:rsidRPr="00ED06C4">
        <w:rPr>
          <w:rFonts w:ascii="Times New Roman" w:hAnsi="Times New Roman"/>
          <w:sz w:val="24"/>
          <w:szCs w:val="24"/>
          <w:lang w:val="pt-BR"/>
        </w:rPr>
        <w:t xml:space="preserve">. Além delas, a hipótese sobre a taxa nominal de câmbio média mais elevada ao longo da vida útil do projeto parece também bastante plausível, observando o histórico da última década. </w:t>
      </w:r>
      <w:r w:rsidR="00062D9B" w:rsidRPr="00ED06C4">
        <w:rPr>
          <w:rFonts w:ascii="Times New Roman" w:hAnsi="Times New Roman"/>
          <w:sz w:val="24"/>
          <w:szCs w:val="24"/>
          <w:lang w:val="pt-BR"/>
        </w:rPr>
        <w:t xml:space="preserve">Se compusermos esses </w:t>
      </w:r>
      <w:r w:rsidR="00993DF6" w:rsidRPr="00ED06C4">
        <w:rPr>
          <w:rFonts w:ascii="Times New Roman" w:hAnsi="Times New Roman"/>
          <w:sz w:val="24"/>
          <w:szCs w:val="24"/>
          <w:lang w:val="pt-BR"/>
        </w:rPr>
        <w:t>três</w:t>
      </w:r>
      <w:r w:rsidR="00062D9B" w:rsidRPr="00ED06C4">
        <w:rPr>
          <w:rFonts w:ascii="Times New Roman" w:hAnsi="Times New Roman"/>
          <w:sz w:val="24"/>
          <w:szCs w:val="24"/>
          <w:lang w:val="pt-BR"/>
        </w:rPr>
        <w:t xml:space="preserve"> efeitos, teremos um cenário menos conservador, mas igualmente provável, que resulta em VPLS de US$ </w:t>
      </w:r>
      <w:r w:rsidR="00993DF6" w:rsidRPr="00ED06C4">
        <w:rPr>
          <w:rFonts w:ascii="Times New Roman" w:hAnsi="Times New Roman"/>
          <w:sz w:val="24"/>
          <w:szCs w:val="24"/>
          <w:lang w:val="pt-BR"/>
        </w:rPr>
        <w:t xml:space="preserve">39,92 </w:t>
      </w:r>
      <w:r w:rsidR="00062D9B" w:rsidRPr="00ED06C4">
        <w:rPr>
          <w:rFonts w:ascii="Times New Roman" w:hAnsi="Times New Roman"/>
          <w:sz w:val="24"/>
          <w:szCs w:val="24"/>
          <w:lang w:val="pt-BR"/>
        </w:rPr>
        <w:t xml:space="preserve">mi e TIRS de </w:t>
      </w:r>
      <w:r w:rsidR="00993DF6" w:rsidRPr="00ED06C4">
        <w:rPr>
          <w:rFonts w:ascii="Times New Roman" w:hAnsi="Times New Roman"/>
          <w:sz w:val="24"/>
          <w:szCs w:val="24"/>
          <w:lang w:val="pt-BR"/>
        </w:rPr>
        <w:t>14</w:t>
      </w:r>
      <w:r w:rsidR="00062D9B" w:rsidRPr="00ED06C4">
        <w:rPr>
          <w:rFonts w:ascii="Times New Roman" w:hAnsi="Times New Roman"/>
          <w:sz w:val="24"/>
          <w:szCs w:val="24"/>
          <w:lang w:val="pt-BR"/>
        </w:rPr>
        <w:t>,</w:t>
      </w:r>
      <w:r w:rsidR="00993DF6" w:rsidRPr="00ED06C4">
        <w:rPr>
          <w:rFonts w:ascii="Times New Roman" w:hAnsi="Times New Roman"/>
          <w:sz w:val="24"/>
          <w:szCs w:val="24"/>
          <w:lang w:val="pt-BR"/>
        </w:rPr>
        <w:t>62</w:t>
      </w:r>
      <w:r w:rsidR="00062D9B" w:rsidRPr="00ED06C4">
        <w:rPr>
          <w:rFonts w:ascii="Times New Roman" w:hAnsi="Times New Roman"/>
          <w:sz w:val="24"/>
          <w:szCs w:val="24"/>
          <w:lang w:val="pt-BR"/>
        </w:rPr>
        <w:t xml:space="preserve">%, </w:t>
      </w:r>
      <w:r w:rsidR="00993DF6" w:rsidRPr="00ED06C4">
        <w:rPr>
          <w:rFonts w:ascii="Times New Roman" w:hAnsi="Times New Roman"/>
          <w:sz w:val="24"/>
          <w:szCs w:val="24"/>
          <w:lang w:val="pt-BR"/>
        </w:rPr>
        <w:t>bastante</w:t>
      </w:r>
      <w:r w:rsidR="00062D9B" w:rsidRPr="00ED06C4">
        <w:rPr>
          <w:rFonts w:ascii="Times New Roman" w:hAnsi="Times New Roman"/>
          <w:sz w:val="24"/>
          <w:szCs w:val="24"/>
          <w:lang w:val="pt-BR"/>
        </w:rPr>
        <w:t xml:space="preserve"> </w:t>
      </w:r>
      <w:r w:rsidR="00993DF6" w:rsidRPr="00ED06C4">
        <w:rPr>
          <w:rFonts w:ascii="Times New Roman" w:hAnsi="Times New Roman"/>
          <w:sz w:val="24"/>
          <w:szCs w:val="24"/>
          <w:lang w:val="pt-BR"/>
        </w:rPr>
        <w:t>próxima dos 15% encontrado</w:t>
      </w:r>
      <w:r w:rsidR="00062D9B" w:rsidRPr="00ED06C4">
        <w:rPr>
          <w:rFonts w:ascii="Times New Roman" w:hAnsi="Times New Roman"/>
          <w:sz w:val="24"/>
          <w:szCs w:val="24"/>
          <w:lang w:val="pt-BR"/>
        </w:rPr>
        <w:t>s em estudos sobre viabilidade econômica para projetos de educação no Brasil (NERI (2009); BARBOSA e PESSOA (2008)).</w:t>
      </w:r>
      <w:r w:rsidRPr="00ED06C4">
        <w:rPr>
          <w:rFonts w:ascii="Times New Roman" w:hAnsi="Times New Roman"/>
          <w:sz w:val="24"/>
          <w:szCs w:val="24"/>
          <w:lang w:val="pt-BR"/>
        </w:rPr>
        <w:t xml:space="preserve">  </w:t>
      </w:r>
      <w:r w:rsidR="00DB3F99" w:rsidRPr="00ED06C4">
        <w:rPr>
          <w:rFonts w:ascii="Times New Roman" w:hAnsi="Times New Roman"/>
          <w:sz w:val="24"/>
          <w:szCs w:val="24"/>
          <w:lang w:val="pt-BR"/>
        </w:rPr>
        <w:t xml:space="preserve"> </w:t>
      </w:r>
    </w:p>
    <w:p w:rsidR="00ED06C4" w:rsidRDefault="00ED06C4" w:rsidP="00ED06C4">
      <w:pPr>
        <w:pStyle w:val="ListParagraph"/>
        <w:tabs>
          <w:tab w:val="decimal" w:pos="720"/>
        </w:tabs>
        <w:spacing w:before="120" w:after="120" w:line="240" w:lineRule="auto"/>
        <w:ind w:left="709"/>
        <w:contextualSpacing w:val="0"/>
        <w:jc w:val="both"/>
        <w:rPr>
          <w:rFonts w:ascii="Times New Roman" w:hAnsi="Times New Roman"/>
          <w:sz w:val="24"/>
          <w:szCs w:val="24"/>
          <w:lang w:val="pt-BR"/>
        </w:rPr>
        <w:sectPr w:rsidR="00ED06C4" w:rsidSect="00CE24B2">
          <w:footerReference w:type="default" r:id="rId21"/>
          <w:pgSz w:w="11906" w:h="16838"/>
          <w:pgMar w:top="1417" w:right="1701" w:bottom="1417" w:left="1701" w:header="708" w:footer="708" w:gutter="0"/>
          <w:pgNumType w:start="1"/>
          <w:cols w:space="708"/>
          <w:docGrid w:linePitch="360"/>
        </w:sectPr>
      </w:pPr>
    </w:p>
    <w:p w:rsidR="00D86028" w:rsidRPr="00ED06C4" w:rsidRDefault="00D86028" w:rsidP="00ED06C4">
      <w:pPr>
        <w:pStyle w:val="Heading1"/>
        <w:spacing w:before="120" w:after="120"/>
        <w:jc w:val="left"/>
        <w:rPr>
          <w:rFonts w:ascii="Times New Roman" w:hAnsi="Times New Roman" w:cs="Times New Roman"/>
        </w:rPr>
      </w:pPr>
      <w:bookmarkStart w:id="17" w:name="_Toc320875548"/>
      <w:r w:rsidRPr="00ED06C4">
        <w:rPr>
          <w:rFonts w:ascii="Times New Roman" w:hAnsi="Times New Roman" w:cs="Times New Roman"/>
        </w:rPr>
        <w:lastRenderedPageBreak/>
        <w:t>Referências Bibliográficas</w:t>
      </w:r>
      <w:bookmarkEnd w:id="17"/>
    </w:p>
    <w:p w:rsidR="00E15B01" w:rsidRDefault="00E15B01" w:rsidP="00E15B01">
      <w:pPr>
        <w:pStyle w:val="ListParagraph"/>
        <w:spacing w:before="120" w:after="0" w:line="240" w:lineRule="auto"/>
        <w:ind w:left="0"/>
        <w:jc w:val="both"/>
        <w:rPr>
          <w:rFonts w:ascii="Times New Roman" w:hAnsi="Times New Roman"/>
          <w:sz w:val="24"/>
          <w:szCs w:val="24"/>
          <w:lang w:val="pt-BR"/>
        </w:rPr>
      </w:pPr>
      <w:r>
        <w:rPr>
          <w:rFonts w:ascii="Times New Roman" w:hAnsi="Times New Roman"/>
          <w:sz w:val="24"/>
          <w:szCs w:val="24"/>
          <w:lang w:val="pt-BR"/>
        </w:rPr>
        <w:t xml:space="preserve">BARBOSA, F. H.; </w:t>
      </w:r>
      <w:r w:rsidRPr="00E15B01">
        <w:rPr>
          <w:rFonts w:ascii="Times New Roman" w:hAnsi="Times New Roman"/>
          <w:sz w:val="24"/>
          <w:szCs w:val="24"/>
          <w:lang w:val="pt-BR"/>
        </w:rPr>
        <w:t xml:space="preserve">PESSOA, S.; </w:t>
      </w:r>
      <w:r w:rsidR="005363CE">
        <w:rPr>
          <w:rFonts w:ascii="Times New Roman" w:hAnsi="Times New Roman"/>
          <w:sz w:val="24"/>
          <w:szCs w:val="24"/>
          <w:lang w:val="pt-BR"/>
        </w:rPr>
        <w:t>“</w:t>
      </w:r>
      <w:r w:rsidR="005363CE" w:rsidRPr="005363CE">
        <w:rPr>
          <w:rFonts w:ascii="Times New Roman" w:hAnsi="Times New Roman"/>
          <w:i/>
          <w:sz w:val="24"/>
          <w:szCs w:val="24"/>
          <w:lang w:val="pt-BR"/>
        </w:rPr>
        <w:t>Retorno da Educação no Brasil</w:t>
      </w:r>
      <w:r w:rsidR="005363CE">
        <w:rPr>
          <w:rFonts w:ascii="Times New Roman" w:hAnsi="Times New Roman"/>
          <w:sz w:val="24"/>
          <w:szCs w:val="24"/>
          <w:lang w:val="pt-BR"/>
        </w:rPr>
        <w:t>”. Pesquisa e Planejamento E</w:t>
      </w:r>
      <w:r w:rsidR="005363CE" w:rsidRPr="005363CE">
        <w:rPr>
          <w:rFonts w:ascii="Times New Roman" w:hAnsi="Times New Roman"/>
          <w:sz w:val="24"/>
          <w:szCs w:val="24"/>
          <w:lang w:val="pt-BR"/>
        </w:rPr>
        <w:t>conômico</w:t>
      </w:r>
      <w:r w:rsidR="0036372D">
        <w:rPr>
          <w:rFonts w:ascii="Times New Roman" w:hAnsi="Times New Roman"/>
          <w:sz w:val="24"/>
          <w:szCs w:val="24"/>
          <w:lang w:val="pt-BR"/>
        </w:rPr>
        <w:t xml:space="preserve">, </w:t>
      </w:r>
      <w:r w:rsidR="005363CE" w:rsidRPr="005363CE">
        <w:rPr>
          <w:rFonts w:ascii="Times New Roman" w:hAnsi="Times New Roman"/>
          <w:sz w:val="24"/>
          <w:szCs w:val="24"/>
          <w:lang w:val="pt-BR"/>
        </w:rPr>
        <w:t>v. 38</w:t>
      </w:r>
      <w:r w:rsidR="005363CE">
        <w:rPr>
          <w:rFonts w:ascii="Times New Roman" w:hAnsi="Times New Roman"/>
          <w:sz w:val="24"/>
          <w:szCs w:val="24"/>
          <w:lang w:val="pt-BR"/>
        </w:rPr>
        <w:t xml:space="preserve">, </w:t>
      </w:r>
      <w:r w:rsidR="005363CE" w:rsidRPr="005363CE">
        <w:rPr>
          <w:rFonts w:ascii="Times New Roman" w:hAnsi="Times New Roman"/>
          <w:sz w:val="24"/>
          <w:szCs w:val="24"/>
          <w:lang w:val="pt-BR"/>
        </w:rPr>
        <w:t xml:space="preserve"> n. 1</w:t>
      </w:r>
      <w:r w:rsidR="005363CE">
        <w:rPr>
          <w:rFonts w:ascii="Times New Roman" w:hAnsi="Times New Roman"/>
          <w:sz w:val="24"/>
          <w:szCs w:val="24"/>
          <w:lang w:val="pt-BR"/>
        </w:rPr>
        <w:t xml:space="preserve">, </w:t>
      </w:r>
      <w:r w:rsidR="005363CE" w:rsidRPr="005363CE">
        <w:rPr>
          <w:rFonts w:ascii="Times New Roman" w:hAnsi="Times New Roman"/>
          <w:sz w:val="24"/>
          <w:szCs w:val="24"/>
          <w:lang w:val="pt-BR"/>
        </w:rPr>
        <w:t xml:space="preserve"> abr. 2008</w:t>
      </w:r>
      <w:r w:rsidR="005363CE">
        <w:rPr>
          <w:rFonts w:ascii="Times New Roman" w:hAnsi="Times New Roman"/>
          <w:sz w:val="24"/>
          <w:szCs w:val="24"/>
          <w:lang w:val="pt-BR"/>
        </w:rPr>
        <w:t>.</w:t>
      </w:r>
    </w:p>
    <w:p w:rsidR="00E15B01" w:rsidRPr="00E15B01" w:rsidRDefault="00E15B01" w:rsidP="00E15B01">
      <w:pPr>
        <w:pStyle w:val="ListParagraph"/>
        <w:spacing w:before="120" w:after="0" w:line="240" w:lineRule="auto"/>
        <w:ind w:left="0"/>
        <w:jc w:val="both"/>
        <w:rPr>
          <w:rFonts w:ascii="Times New Roman" w:hAnsi="Times New Roman"/>
          <w:sz w:val="24"/>
          <w:szCs w:val="24"/>
          <w:lang w:val="pt-BR"/>
        </w:rPr>
      </w:pPr>
    </w:p>
    <w:p w:rsidR="006F674C" w:rsidRDefault="00CF2442" w:rsidP="00C0578C">
      <w:pPr>
        <w:pStyle w:val="ListParagraph"/>
        <w:spacing w:before="120" w:after="0" w:line="240" w:lineRule="auto"/>
        <w:ind w:left="0"/>
        <w:jc w:val="both"/>
        <w:rPr>
          <w:rFonts w:ascii="Times New Roman" w:hAnsi="Times New Roman"/>
          <w:sz w:val="24"/>
          <w:szCs w:val="24"/>
          <w:lang w:val="pt-BR"/>
        </w:rPr>
      </w:pPr>
      <w:r>
        <w:rPr>
          <w:rFonts w:ascii="Times New Roman" w:hAnsi="Times New Roman"/>
          <w:sz w:val="24"/>
          <w:szCs w:val="24"/>
          <w:lang w:val="pt-BR"/>
        </w:rPr>
        <w:t>BARROS, R.; MENDONÇA, R.</w:t>
      </w:r>
      <w:r w:rsidR="00D70DD7">
        <w:rPr>
          <w:rFonts w:ascii="Times New Roman" w:hAnsi="Times New Roman"/>
          <w:sz w:val="24"/>
          <w:szCs w:val="24"/>
          <w:lang w:val="pt-BR"/>
        </w:rPr>
        <w:t xml:space="preserve"> “Uma avaliação dos benefícios e custos da educação pré-escolar no Brasil”. Universidade Federal Fluminense, Textos para Discussão TD 183, Nov. </w:t>
      </w:r>
      <w:r>
        <w:rPr>
          <w:rFonts w:ascii="Times New Roman" w:hAnsi="Times New Roman"/>
          <w:sz w:val="24"/>
          <w:szCs w:val="24"/>
          <w:lang w:val="pt-BR"/>
        </w:rPr>
        <w:t>2005</w:t>
      </w:r>
      <w:r w:rsidR="00D70DD7">
        <w:rPr>
          <w:rFonts w:ascii="Times New Roman" w:hAnsi="Times New Roman"/>
          <w:sz w:val="24"/>
          <w:szCs w:val="24"/>
          <w:lang w:val="pt-BR"/>
        </w:rPr>
        <w:t>.</w:t>
      </w:r>
    </w:p>
    <w:p w:rsidR="006F674C" w:rsidRDefault="006F674C" w:rsidP="00C0578C">
      <w:pPr>
        <w:pStyle w:val="ListParagraph"/>
        <w:spacing w:before="120" w:after="0" w:line="240" w:lineRule="auto"/>
        <w:ind w:left="0"/>
        <w:jc w:val="both"/>
        <w:rPr>
          <w:rFonts w:ascii="Times New Roman" w:hAnsi="Times New Roman"/>
          <w:sz w:val="24"/>
          <w:szCs w:val="24"/>
          <w:lang w:val="pt-BR"/>
        </w:rPr>
      </w:pPr>
    </w:p>
    <w:p w:rsidR="006F674C" w:rsidRPr="00804859" w:rsidRDefault="006F674C" w:rsidP="006F674C">
      <w:pPr>
        <w:pStyle w:val="ListParagraph"/>
        <w:spacing w:before="120" w:after="0" w:line="240" w:lineRule="auto"/>
        <w:ind w:left="0"/>
        <w:jc w:val="both"/>
        <w:rPr>
          <w:rFonts w:ascii="Times New Roman" w:hAnsi="Times New Roman"/>
          <w:sz w:val="24"/>
          <w:szCs w:val="24"/>
          <w:lang w:val="en-US"/>
        </w:rPr>
      </w:pPr>
      <w:r w:rsidRPr="006F674C">
        <w:rPr>
          <w:rFonts w:ascii="Times New Roman" w:hAnsi="Times New Roman"/>
          <w:sz w:val="24"/>
          <w:szCs w:val="24"/>
          <w:lang w:val="pt-BR"/>
        </w:rPr>
        <w:t>FONTENELE</w:t>
      </w:r>
      <w:r>
        <w:rPr>
          <w:rFonts w:ascii="Times New Roman" w:hAnsi="Times New Roman"/>
          <w:sz w:val="24"/>
          <w:szCs w:val="24"/>
          <w:lang w:val="pt-BR"/>
        </w:rPr>
        <w:t>, R. E. S. ; VASCONCELOS, O. N.</w:t>
      </w:r>
      <w:r w:rsidRPr="006F674C">
        <w:rPr>
          <w:rFonts w:ascii="Times New Roman" w:hAnsi="Times New Roman"/>
          <w:sz w:val="24"/>
          <w:szCs w:val="24"/>
          <w:lang w:val="pt-BR"/>
        </w:rPr>
        <w:t xml:space="preserve">. </w:t>
      </w:r>
      <w:r>
        <w:rPr>
          <w:rFonts w:ascii="Times New Roman" w:hAnsi="Times New Roman"/>
          <w:sz w:val="24"/>
          <w:szCs w:val="24"/>
          <w:lang w:val="pt-BR"/>
        </w:rPr>
        <w:t>“</w:t>
      </w:r>
      <w:r w:rsidRPr="00495EB6">
        <w:rPr>
          <w:rFonts w:ascii="Times New Roman" w:hAnsi="Times New Roman"/>
          <w:i/>
          <w:sz w:val="24"/>
          <w:szCs w:val="24"/>
          <w:lang w:val="pt-BR"/>
        </w:rPr>
        <w:t>Análise da Viabilidade Econômico-Financeira de Projetos de Abastecimento d´água: O Caso do Sistema de Abastecimento da Cidade de Milhã no Estado do Ceará</w:t>
      </w:r>
      <w:r>
        <w:rPr>
          <w:rFonts w:ascii="Times New Roman" w:hAnsi="Times New Roman"/>
          <w:sz w:val="24"/>
          <w:szCs w:val="24"/>
          <w:lang w:val="pt-BR"/>
        </w:rPr>
        <w:t>”</w:t>
      </w:r>
      <w:r w:rsidRPr="006F674C">
        <w:rPr>
          <w:rFonts w:ascii="Times New Roman" w:hAnsi="Times New Roman"/>
          <w:sz w:val="24"/>
          <w:szCs w:val="24"/>
          <w:lang w:val="pt-BR"/>
        </w:rPr>
        <w:t xml:space="preserve">.. In: XLII Congresso da Sociedade Brasileira de Economia e Sociologia RUral - SOBER, 2004, Cuiabá - MT. </w:t>
      </w:r>
      <w:r w:rsidRPr="00804859">
        <w:rPr>
          <w:rFonts w:ascii="Times New Roman" w:hAnsi="Times New Roman"/>
          <w:sz w:val="24"/>
          <w:szCs w:val="24"/>
          <w:lang w:val="en-US"/>
        </w:rPr>
        <w:t>Dinâmicas Setoriais e Desenvolvimento Regional, 2004.</w:t>
      </w:r>
    </w:p>
    <w:p w:rsidR="00BF6007" w:rsidRPr="00804859" w:rsidRDefault="00BF6007" w:rsidP="00C0578C">
      <w:pPr>
        <w:pStyle w:val="ListParagraph"/>
        <w:spacing w:before="120" w:after="0" w:line="240" w:lineRule="auto"/>
        <w:ind w:left="0"/>
        <w:jc w:val="both"/>
        <w:rPr>
          <w:rFonts w:ascii="Times New Roman" w:hAnsi="Times New Roman"/>
          <w:sz w:val="24"/>
          <w:szCs w:val="24"/>
          <w:lang w:val="en-US"/>
        </w:rPr>
      </w:pPr>
    </w:p>
    <w:p w:rsidR="00BF6007" w:rsidRPr="001325B8" w:rsidRDefault="001325B8" w:rsidP="00C0578C">
      <w:pPr>
        <w:pStyle w:val="ListParagraph"/>
        <w:spacing w:before="120" w:after="0" w:line="240" w:lineRule="auto"/>
        <w:ind w:left="0"/>
        <w:jc w:val="both"/>
        <w:rPr>
          <w:rFonts w:ascii="Times New Roman" w:hAnsi="Times New Roman"/>
          <w:sz w:val="24"/>
          <w:szCs w:val="24"/>
          <w:lang w:val="en-US"/>
        </w:rPr>
      </w:pPr>
      <w:r w:rsidRPr="001325B8">
        <w:rPr>
          <w:rFonts w:ascii="Times New Roman" w:hAnsi="Times New Roman"/>
          <w:sz w:val="24"/>
          <w:szCs w:val="24"/>
          <w:lang w:val="en-US"/>
        </w:rPr>
        <w:t>JIMENEZ, E.; PATRINOS, H. A. “</w:t>
      </w:r>
      <w:r w:rsidRPr="00495EB6">
        <w:rPr>
          <w:rFonts w:ascii="Times New Roman" w:hAnsi="Times New Roman"/>
          <w:i/>
          <w:sz w:val="24"/>
          <w:szCs w:val="24"/>
          <w:lang w:val="en-US"/>
        </w:rPr>
        <w:t>Can Cost-Benefit Analysis Guide Education Policy in Developing Countries?</w:t>
      </w:r>
      <w:r>
        <w:rPr>
          <w:rFonts w:ascii="Times New Roman" w:hAnsi="Times New Roman"/>
          <w:sz w:val="24"/>
          <w:szCs w:val="24"/>
          <w:lang w:val="en-US"/>
        </w:rPr>
        <w:t>”. Policy Research Working Paper 4568, The World Bank, 2008.</w:t>
      </w:r>
    </w:p>
    <w:p w:rsidR="00BF6007" w:rsidRPr="001325B8" w:rsidRDefault="00BF6007" w:rsidP="00C0578C">
      <w:pPr>
        <w:pStyle w:val="ListParagraph"/>
        <w:spacing w:before="120" w:after="0" w:line="240" w:lineRule="auto"/>
        <w:ind w:left="0"/>
        <w:jc w:val="both"/>
        <w:rPr>
          <w:rFonts w:ascii="Times New Roman" w:hAnsi="Times New Roman"/>
          <w:sz w:val="24"/>
          <w:szCs w:val="24"/>
          <w:lang w:val="en-US"/>
        </w:rPr>
      </w:pPr>
    </w:p>
    <w:p w:rsidR="00BF6007" w:rsidRDefault="00315C1D" w:rsidP="00C0578C">
      <w:pPr>
        <w:pStyle w:val="ListParagraph"/>
        <w:spacing w:before="120" w:after="0" w:line="240" w:lineRule="auto"/>
        <w:ind w:left="0"/>
        <w:jc w:val="both"/>
        <w:rPr>
          <w:rFonts w:ascii="Times New Roman" w:hAnsi="Times New Roman"/>
          <w:sz w:val="24"/>
          <w:szCs w:val="24"/>
          <w:lang w:val="en-US"/>
        </w:rPr>
      </w:pPr>
      <w:r>
        <w:rPr>
          <w:rFonts w:ascii="Times New Roman" w:hAnsi="Times New Roman"/>
          <w:sz w:val="24"/>
          <w:szCs w:val="24"/>
          <w:lang w:val="en-US"/>
        </w:rPr>
        <w:t>MATZ, P. “</w:t>
      </w:r>
      <w:r w:rsidRPr="00495EB6">
        <w:rPr>
          <w:rFonts w:ascii="Times New Roman" w:hAnsi="Times New Roman"/>
          <w:i/>
          <w:sz w:val="24"/>
          <w:szCs w:val="24"/>
          <w:lang w:val="en-US"/>
        </w:rPr>
        <w:t>Costs and Benefits of education to replace child labour</w:t>
      </w:r>
      <w:r>
        <w:rPr>
          <w:rFonts w:ascii="Times New Roman" w:hAnsi="Times New Roman"/>
          <w:sz w:val="24"/>
          <w:szCs w:val="24"/>
          <w:lang w:val="en-US"/>
        </w:rPr>
        <w:t>” ILO/IPEC Working Paper, 2002.</w:t>
      </w:r>
    </w:p>
    <w:p w:rsidR="00315C1D" w:rsidRDefault="00315C1D" w:rsidP="00C0578C">
      <w:pPr>
        <w:pStyle w:val="ListParagraph"/>
        <w:spacing w:before="120" w:after="0" w:line="240" w:lineRule="auto"/>
        <w:ind w:left="0"/>
        <w:jc w:val="both"/>
        <w:rPr>
          <w:rFonts w:ascii="Times New Roman" w:hAnsi="Times New Roman"/>
          <w:sz w:val="24"/>
          <w:szCs w:val="24"/>
          <w:lang w:val="en-US"/>
        </w:rPr>
      </w:pPr>
    </w:p>
    <w:p w:rsidR="00315C1D" w:rsidRPr="00804859" w:rsidRDefault="00495EB6" w:rsidP="00495EB6">
      <w:pPr>
        <w:autoSpaceDE w:val="0"/>
        <w:autoSpaceDN w:val="0"/>
        <w:adjustRightInd w:val="0"/>
        <w:rPr>
          <w:lang w:val="pt-BR" w:eastAsia="pt-BR"/>
        </w:rPr>
      </w:pPr>
      <w:r w:rsidRPr="00495EB6">
        <w:rPr>
          <w:caps/>
          <w:lang w:val="en-US" w:eastAsia="pt-BR"/>
        </w:rPr>
        <w:t>McMahon</w:t>
      </w:r>
      <w:r>
        <w:rPr>
          <w:lang w:val="en-US" w:eastAsia="pt-BR"/>
        </w:rPr>
        <w:t>, W.</w:t>
      </w:r>
      <w:r w:rsidRPr="00495EB6">
        <w:rPr>
          <w:lang w:val="en-US" w:eastAsia="pt-BR"/>
        </w:rPr>
        <w:t xml:space="preserve"> W., </w:t>
      </w:r>
      <w:r w:rsidRPr="00495EB6">
        <w:rPr>
          <w:i/>
          <w:lang w:val="en-US" w:eastAsia="pt-BR"/>
        </w:rPr>
        <w:t>The impact of human capital on non-market outcomes and</w:t>
      </w:r>
      <w:r w:rsidR="00D70DD7">
        <w:rPr>
          <w:i/>
          <w:lang w:val="en-US" w:eastAsia="pt-BR"/>
        </w:rPr>
        <w:t xml:space="preserve"> </w:t>
      </w:r>
      <w:r w:rsidRPr="00495EB6">
        <w:rPr>
          <w:i/>
          <w:lang w:val="en-US" w:eastAsia="pt-BR"/>
        </w:rPr>
        <w:t>feedbacks on economic development</w:t>
      </w:r>
      <w:r w:rsidRPr="00495EB6">
        <w:rPr>
          <w:lang w:val="en-US" w:eastAsia="pt-BR"/>
        </w:rPr>
        <w:t xml:space="preserve">. </w:t>
      </w:r>
      <w:r w:rsidRPr="00804859">
        <w:rPr>
          <w:lang w:val="pt-BR" w:eastAsia="pt-BR"/>
        </w:rPr>
        <w:t>OECD: Paris, 2001</w:t>
      </w:r>
    </w:p>
    <w:p w:rsidR="00495EB6" w:rsidRPr="00804859" w:rsidRDefault="00495EB6" w:rsidP="00495EB6">
      <w:pPr>
        <w:pStyle w:val="ListParagraph"/>
        <w:spacing w:before="120" w:after="0" w:line="240" w:lineRule="auto"/>
        <w:ind w:left="0"/>
        <w:jc w:val="both"/>
        <w:rPr>
          <w:rFonts w:ascii="Times New Roman" w:hAnsi="Times New Roman"/>
          <w:sz w:val="24"/>
          <w:szCs w:val="24"/>
          <w:lang w:val="pt-BR"/>
        </w:rPr>
      </w:pPr>
    </w:p>
    <w:p w:rsidR="00CF2442" w:rsidRPr="0041512C" w:rsidRDefault="00D70DD7" w:rsidP="00495EB6">
      <w:pPr>
        <w:pStyle w:val="ListParagraph"/>
        <w:spacing w:before="120" w:after="0" w:line="240" w:lineRule="auto"/>
        <w:ind w:left="0"/>
        <w:jc w:val="both"/>
        <w:rPr>
          <w:rFonts w:ascii="Times New Roman" w:hAnsi="Times New Roman"/>
          <w:sz w:val="24"/>
          <w:szCs w:val="24"/>
          <w:lang w:val="en-US"/>
        </w:rPr>
      </w:pPr>
      <w:r>
        <w:rPr>
          <w:rFonts w:ascii="Times New Roman" w:hAnsi="Times New Roman"/>
          <w:sz w:val="24"/>
          <w:szCs w:val="24"/>
          <w:lang w:val="pt-BR"/>
        </w:rPr>
        <w:t xml:space="preserve">NERI, M. </w:t>
      </w:r>
      <w:r w:rsidRPr="00D70DD7">
        <w:rPr>
          <w:rFonts w:ascii="Times New Roman" w:hAnsi="Times New Roman"/>
          <w:i/>
          <w:sz w:val="24"/>
          <w:szCs w:val="24"/>
          <w:lang w:val="pt-BR"/>
        </w:rPr>
        <w:t>"O paradoxo da Evasão e os motivos dos sem Escola”.</w:t>
      </w:r>
      <w:r>
        <w:rPr>
          <w:rFonts w:ascii="Times New Roman" w:hAnsi="Times New Roman"/>
          <w:sz w:val="24"/>
          <w:szCs w:val="24"/>
          <w:lang w:val="pt-BR"/>
        </w:rPr>
        <w:t xml:space="preserve"> In: Educação Básica no Brasil: construindo um país do futuro. </w:t>
      </w:r>
      <w:r w:rsidRPr="0041512C">
        <w:rPr>
          <w:rFonts w:ascii="Times New Roman" w:hAnsi="Times New Roman"/>
          <w:sz w:val="24"/>
          <w:szCs w:val="24"/>
          <w:lang w:val="en-US"/>
        </w:rPr>
        <w:t>Velloso et al (orgs). Campus-Elsevier, 2009.</w:t>
      </w:r>
    </w:p>
    <w:p w:rsidR="00CF2442" w:rsidRPr="0041512C" w:rsidRDefault="00CF2442" w:rsidP="00495EB6">
      <w:pPr>
        <w:pStyle w:val="ListParagraph"/>
        <w:spacing w:before="120" w:after="0" w:line="240" w:lineRule="auto"/>
        <w:ind w:left="0"/>
        <w:jc w:val="both"/>
        <w:rPr>
          <w:rFonts w:ascii="Times New Roman" w:hAnsi="Times New Roman"/>
          <w:sz w:val="24"/>
          <w:szCs w:val="24"/>
          <w:lang w:val="en-US"/>
        </w:rPr>
      </w:pPr>
    </w:p>
    <w:p w:rsidR="00BF6007" w:rsidRDefault="00BF6007" w:rsidP="00C0578C">
      <w:pPr>
        <w:pStyle w:val="ListParagraph"/>
        <w:spacing w:before="120" w:after="0" w:line="240" w:lineRule="auto"/>
        <w:ind w:left="0"/>
        <w:jc w:val="both"/>
        <w:rPr>
          <w:rFonts w:ascii="Times New Roman" w:hAnsi="Times New Roman"/>
          <w:sz w:val="24"/>
          <w:szCs w:val="24"/>
          <w:lang w:val="en-US"/>
        </w:rPr>
      </w:pPr>
      <w:r w:rsidRPr="00BF6007">
        <w:rPr>
          <w:rFonts w:ascii="Times New Roman" w:hAnsi="Times New Roman"/>
          <w:sz w:val="24"/>
          <w:szCs w:val="24"/>
          <w:lang w:val="en-US"/>
        </w:rPr>
        <w:t>VERNE</w:t>
      </w:r>
      <w:r w:rsidR="001325B8">
        <w:rPr>
          <w:rFonts w:ascii="Times New Roman" w:hAnsi="Times New Roman"/>
          <w:sz w:val="24"/>
          <w:szCs w:val="24"/>
          <w:lang w:val="en-US"/>
        </w:rPr>
        <w:t>Z</w:t>
      </w:r>
      <w:r w:rsidRPr="00BF6007">
        <w:rPr>
          <w:rFonts w:ascii="Times New Roman" w:hAnsi="Times New Roman"/>
          <w:sz w:val="24"/>
          <w:szCs w:val="24"/>
          <w:lang w:val="en-US"/>
        </w:rPr>
        <w:t>, G.; KROP, R. A.</w:t>
      </w:r>
      <w:r>
        <w:rPr>
          <w:rFonts w:ascii="Times New Roman" w:hAnsi="Times New Roman"/>
          <w:sz w:val="24"/>
          <w:szCs w:val="24"/>
          <w:lang w:val="en-US"/>
        </w:rPr>
        <w:t xml:space="preserve">; RYDELL, C.P; </w:t>
      </w:r>
      <w:r w:rsidR="0041512C">
        <w:rPr>
          <w:rFonts w:ascii="Times New Roman" w:hAnsi="Times New Roman"/>
          <w:sz w:val="24"/>
          <w:szCs w:val="24"/>
          <w:lang w:val="en-US"/>
        </w:rPr>
        <w:t>“</w:t>
      </w:r>
      <w:r w:rsidRPr="0041512C">
        <w:rPr>
          <w:rFonts w:ascii="Times New Roman" w:hAnsi="Times New Roman"/>
          <w:i/>
          <w:sz w:val="24"/>
          <w:szCs w:val="24"/>
          <w:lang w:val="en-US"/>
        </w:rPr>
        <w:t>Closing the education gap: benefits and costs</w:t>
      </w:r>
      <w:r w:rsidR="0041512C">
        <w:rPr>
          <w:rFonts w:ascii="Times New Roman" w:hAnsi="Times New Roman"/>
          <w:i/>
          <w:sz w:val="24"/>
          <w:szCs w:val="24"/>
          <w:lang w:val="en-US"/>
        </w:rPr>
        <w:t>”</w:t>
      </w:r>
      <w:r>
        <w:rPr>
          <w:rFonts w:ascii="Times New Roman" w:hAnsi="Times New Roman"/>
          <w:sz w:val="24"/>
          <w:szCs w:val="24"/>
          <w:lang w:val="en-US"/>
        </w:rPr>
        <w:t xml:space="preserve">. Centre for Research </w:t>
      </w:r>
      <w:r w:rsidR="00E175C0">
        <w:rPr>
          <w:rFonts w:ascii="Times New Roman" w:hAnsi="Times New Roman"/>
          <w:sz w:val="24"/>
          <w:szCs w:val="24"/>
          <w:lang w:val="en-US"/>
        </w:rPr>
        <w:t>o</w:t>
      </w:r>
      <w:r>
        <w:rPr>
          <w:rFonts w:ascii="Times New Roman" w:hAnsi="Times New Roman"/>
          <w:sz w:val="24"/>
          <w:szCs w:val="24"/>
          <w:lang w:val="en-US"/>
        </w:rPr>
        <w:t xml:space="preserve">n Immigration Policy; RAND Education, 1999. </w:t>
      </w:r>
    </w:p>
    <w:p w:rsidR="00E175C0" w:rsidRDefault="00E175C0" w:rsidP="00C0578C">
      <w:pPr>
        <w:pStyle w:val="ListParagraph"/>
        <w:spacing w:before="120" w:after="0" w:line="240" w:lineRule="auto"/>
        <w:ind w:left="0"/>
        <w:jc w:val="both"/>
        <w:rPr>
          <w:rFonts w:ascii="Times New Roman" w:hAnsi="Times New Roman"/>
          <w:sz w:val="24"/>
          <w:szCs w:val="24"/>
          <w:lang w:val="en-US"/>
        </w:rPr>
      </w:pPr>
    </w:p>
    <w:p w:rsidR="00497105" w:rsidRDefault="0041512C" w:rsidP="00C0578C">
      <w:pPr>
        <w:pStyle w:val="ListParagraph"/>
        <w:spacing w:before="120" w:after="0" w:line="240" w:lineRule="auto"/>
        <w:ind w:left="0"/>
        <w:jc w:val="both"/>
        <w:rPr>
          <w:rFonts w:ascii="Times New Roman" w:hAnsi="Times New Roman"/>
          <w:sz w:val="24"/>
          <w:szCs w:val="24"/>
          <w:lang w:val="en-US"/>
        </w:rPr>
      </w:pPr>
      <w:r w:rsidRPr="0041512C">
        <w:rPr>
          <w:rFonts w:ascii="Times New Roman" w:hAnsi="Times New Roman"/>
          <w:sz w:val="24"/>
          <w:szCs w:val="24"/>
          <w:lang w:val="en-US"/>
        </w:rPr>
        <w:t>WOODHALL,</w:t>
      </w:r>
      <w:r w:rsidR="00777EB8">
        <w:rPr>
          <w:rFonts w:ascii="Times New Roman" w:hAnsi="Times New Roman"/>
          <w:sz w:val="24"/>
          <w:szCs w:val="24"/>
          <w:lang w:val="en-US"/>
        </w:rPr>
        <w:t xml:space="preserve"> </w:t>
      </w:r>
      <w:r w:rsidRPr="0041512C">
        <w:rPr>
          <w:rFonts w:ascii="Times New Roman" w:hAnsi="Times New Roman"/>
          <w:sz w:val="24"/>
          <w:szCs w:val="24"/>
          <w:lang w:val="en-US"/>
        </w:rPr>
        <w:t>M</w:t>
      </w:r>
      <w:r w:rsidR="00777EB8">
        <w:rPr>
          <w:rFonts w:ascii="Times New Roman" w:hAnsi="Times New Roman"/>
          <w:sz w:val="24"/>
          <w:szCs w:val="24"/>
          <w:lang w:val="en-US"/>
        </w:rPr>
        <w:t xml:space="preserve">. </w:t>
      </w:r>
      <w:r w:rsidRPr="0041512C">
        <w:rPr>
          <w:rFonts w:ascii="Times New Roman" w:hAnsi="Times New Roman"/>
          <w:sz w:val="24"/>
          <w:szCs w:val="24"/>
          <w:lang w:val="en-US"/>
        </w:rPr>
        <w:t>“</w:t>
      </w:r>
      <w:r w:rsidRPr="0041512C">
        <w:rPr>
          <w:rFonts w:ascii="Times New Roman" w:hAnsi="Times New Roman"/>
          <w:i/>
          <w:sz w:val="24"/>
          <w:szCs w:val="24"/>
          <w:lang w:val="en-US"/>
        </w:rPr>
        <w:t>Cost-benefit analysis in educational plannin</w:t>
      </w:r>
      <w:r w:rsidRPr="0041512C">
        <w:rPr>
          <w:rFonts w:ascii="Times New Roman" w:hAnsi="Times New Roman"/>
          <w:sz w:val="24"/>
          <w:szCs w:val="24"/>
          <w:lang w:val="en-US"/>
        </w:rPr>
        <w:t>g”</w:t>
      </w:r>
      <w:r>
        <w:rPr>
          <w:rFonts w:ascii="Times New Roman" w:hAnsi="Times New Roman"/>
          <w:sz w:val="24"/>
          <w:szCs w:val="24"/>
          <w:lang w:val="en-US"/>
        </w:rPr>
        <w:t>. UNESCO: International Institute for Educational Planning, Paris, 2004</w:t>
      </w:r>
    </w:p>
    <w:p w:rsidR="00497105" w:rsidRPr="00ED06C4" w:rsidRDefault="00497105" w:rsidP="00ED06C4">
      <w:pPr>
        <w:pStyle w:val="Heading1"/>
        <w:spacing w:before="120" w:after="120"/>
        <w:jc w:val="left"/>
        <w:rPr>
          <w:rFonts w:ascii="Times New Roman" w:hAnsi="Times New Roman" w:cs="Times New Roman"/>
        </w:rPr>
      </w:pPr>
      <w:r>
        <w:rPr>
          <w:rFonts w:ascii="Times New Roman" w:hAnsi="Times New Roman"/>
          <w:lang w:val="en-US"/>
        </w:rPr>
        <w:br w:type="page"/>
      </w:r>
      <w:bookmarkStart w:id="18" w:name="_Toc320875549"/>
      <w:r w:rsidRPr="00ED06C4">
        <w:rPr>
          <w:rFonts w:ascii="Times New Roman" w:hAnsi="Times New Roman" w:cs="Times New Roman"/>
        </w:rPr>
        <w:lastRenderedPageBreak/>
        <w:t>Anexos</w:t>
      </w:r>
      <w:bookmarkEnd w:id="18"/>
    </w:p>
    <w:tbl>
      <w:tblPr>
        <w:tblW w:w="6290" w:type="dxa"/>
        <w:jc w:val="center"/>
        <w:tblInd w:w="55" w:type="dxa"/>
        <w:tblCellMar>
          <w:left w:w="70" w:type="dxa"/>
          <w:right w:w="70" w:type="dxa"/>
        </w:tblCellMar>
        <w:tblLook w:val="04A0"/>
      </w:tblPr>
      <w:tblGrid>
        <w:gridCol w:w="960"/>
        <w:gridCol w:w="860"/>
        <w:gridCol w:w="1180"/>
        <w:gridCol w:w="1180"/>
        <w:gridCol w:w="1090"/>
        <w:gridCol w:w="1020"/>
      </w:tblGrid>
      <w:tr w:rsidR="00ED06C4" w:rsidRPr="00ED06C4" w:rsidTr="00E5200B">
        <w:trPr>
          <w:trHeight w:val="66"/>
          <w:jc w:val="center"/>
        </w:trPr>
        <w:tc>
          <w:tcPr>
            <w:tcW w:w="6290" w:type="dxa"/>
            <w:gridSpan w:val="6"/>
            <w:tcBorders>
              <w:bottom w:val="single" w:sz="8" w:space="0" w:color="auto"/>
            </w:tcBorders>
            <w:shd w:val="clear" w:color="auto" w:fill="auto"/>
            <w:noWrap/>
            <w:vAlign w:val="center"/>
            <w:hideMark/>
          </w:tcPr>
          <w:p w:rsidR="00ED06C4" w:rsidRPr="00ED06C4" w:rsidRDefault="00ED06C4" w:rsidP="00ED06C4">
            <w:pPr>
              <w:jc w:val="center"/>
              <w:rPr>
                <w:rFonts w:eastAsia="Times New Roman"/>
                <w:b/>
                <w:bCs/>
                <w:sz w:val="20"/>
                <w:szCs w:val="20"/>
                <w:lang w:val="pt-BR" w:eastAsia="pt-BR"/>
              </w:rPr>
            </w:pPr>
            <w:r w:rsidRPr="00ED06C4">
              <w:rPr>
                <w:b/>
                <w:sz w:val="20"/>
                <w:szCs w:val="20"/>
                <w:lang w:val="pt-BR" w:eastAsia="pt-BR"/>
              </w:rPr>
              <w:t>Tabela A1: Fluxos de custos e benefícios sociais, cenário-base</w:t>
            </w:r>
          </w:p>
        </w:tc>
      </w:tr>
      <w:tr w:rsidR="006863BD" w:rsidRPr="00ED06C4" w:rsidTr="00E5200B">
        <w:trPr>
          <w:trHeight w:val="46"/>
          <w:jc w:val="center"/>
        </w:trPr>
        <w:tc>
          <w:tcPr>
            <w:tcW w:w="960" w:type="dxa"/>
            <w:tcBorders>
              <w:top w:val="single" w:sz="8" w:space="0" w:color="auto"/>
              <w:left w:val="single" w:sz="8" w:space="0" w:color="auto"/>
              <w:bottom w:val="single" w:sz="8" w:space="0" w:color="auto"/>
              <w:right w:val="single" w:sz="8" w:space="0" w:color="auto"/>
            </w:tcBorders>
            <w:shd w:val="clear" w:color="auto" w:fill="B6DDE8" w:themeFill="accent5" w:themeFillTint="66"/>
            <w:noWrap/>
            <w:vAlign w:val="center"/>
            <w:hideMark/>
          </w:tcPr>
          <w:p w:rsidR="006863BD" w:rsidRPr="00ED06C4" w:rsidRDefault="006863BD" w:rsidP="006863BD">
            <w:pPr>
              <w:jc w:val="center"/>
              <w:rPr>
                <w:rFonts w:eastAsia="Times New Roman"/>
                <w:b/>
                <w:bCs/>
                <w:sz w:val="20"/>
                <w:szCs w:val="20"/>
                <w:lang w:val="pt-BR" w:eastAsia="pt-BR"/>
              </w:rPr>
            </w:pPr>
            <w:r w:rsidRPr="00ED06C4">
              <w:rPr>
                <w:rFonts w:eastAsia="Times New Roman"/>
                <w:b/>
                <w:bCs/>
                <w:sz w:val="20"/>
                <w:szCs w:val="20"/>
                <w:lang w:val="pt-BR" w:eastAsia="pt-BR"/>
              </w:rPr>
              <w:t>Ano</w:t>
            </w:r>
          </w:p>
        </w:tc>
        <w:tc>
          <w:tcPr>
            <w:tcW w:w="860" w:type="dxa"/>
            <w:tcBorders>
              <w:top w:val="single" w:sz="8" w:space="0" w:color="auto"/>
              <w:left w:val="single" w:sz="8" w:space="0" w:color="auto"/>
              <w:bottom w:val="single" w:sz="8" w:space="0" w:color="auto"/>
              <w:right w:val="single" w:sz="8" w:space="0" w:color="auto"/>
            </w:tcBorders>
            <w:shd w:val="clear" w:color="auto" w:fill="B6DDE8" w:themeFill="accent5" w:themeFillTint="66"/>
            <w:vAlign w:val="center"/>
            <w:hideMark/>
          </w:tcPr>
          <w:p w:rsidR="006863BD" w:rsidRPr="00ED06C4" w:rsidRDefault="006863BD" w:rsidP="006863BD">
            <w:pPr>
              <w:jc w:val="center"/>
              <w:rPr>
                <w:rFonts w:eastAsia="Times New Roman"/>
                <w:b/>
                <w:bCs/>
                <w:sz w:val="20"/>
                <w:szCs w:val="20"/>
                <w:lang w:val="pt-BR" w:eastAsia="pt-BR"/>
              </w:rPr>
            </w:pPr>
            <w:r w:rsidRPr="00ED06C4">
              <w:rPr>
                <w:rFonts w:eastAsia="Times New Roman"/>
                <w:b/>
                <w:bCs/>
                <w:sz w:val="20"/>
                <w:szCs w:val="20"/>
                <w:lang w:val="pt-BR" w:eastAsia="pt-BR"/>
              </w:rPr>
              <w:t>Custos Sociais</w:t>
            </w:r>
          </w:p>
        </w:tc>
        <w:tc>
          <w:tcPr>
            <w:tcW w:w="1180" w:type="dxa"/>
            <w:tcBorders>
              <w:top w:val="single" w:sz="8" w:space="0" w:color="auto"/>
              <w:left w:val="single" w:sz="8" w:space="0" w:color="auto"/>
              <w:bottom w:val="single" w:sz="8" w:space="0" w:color="auto"/>
              <w:right w:val="single" w:sz="8" w:space="0" w:color="auto"/>
            </w:tcBorders>
            <w:shd w:val="clear" w:color="auto" w:fill="B6DDE8" w:themeFill="accent5" w:themeFillTint="66"/>
            <w:vAlign w:val="center"/>
            <w:hideMark/>
          </w:tcPr>
          <w:p w:rsidR="006863BD" w:rsidRPr="00ED06C4" w:rsidRDefault="006863BD" w:rsidP="006863BD">
            <w:pPr>
              <w:jc w:val="center"/>
              <w:rPr>
                <w:rFonts w:eastAsia="Times New Roman"/>
                <w:b/>
                <w:bCs/>
                <w:sz w:val="20"/>
                <w:szCs w:val="20"/>
                <w:lang w:val="pt-BR" w:eastAsia="pt-BR"/>
              </w:rPr>
            </w:pPr>
            <w:r w:rsidRPr="00ED06C4">
              <w:rPr>
                <w:rFonts w:eastAsia="Times New Roman"/>
                <w:b/>
                <w:bCs/>
                <w:sz w:val="20"/>
                <w:szCs w:val="20"/>
                <w:lang w:val="pt-BR" w:eastAsia="pt-BR"/>
              </w:rPr>
              <w:t>Benefícios sociais</w:t>
            </w:r>
          </w:p>
        </w:tc>
        <w:tc>
          <w:tcPr>
            <w:tcW w:w="1180" w:type="dxa"/>
            <w:tcBorders>
              <w:top w:val="single" w:sz="8" w:space="0" w:color="auto"/>
              <w:left w:val="single" w:sz="8" w:space="0" w:color="auto"/>
              <w:bottom w:val="single" w:sz="8" w:space="0" w:color="auto"/>
              <w:right w:val="single" w:sz="8" w:space="0" w:color="auto"/>
            </w:tcBorders>
            <w:shd w:val="clear" w:color="auto" w:fill="B6DDE8" w:themeFill="accent5" w:themeFillTint="66"/>
            <w:vAlign w:val="center"/>
            <w:hideMark/>
          </w:tcPr>
          <w:p w:rsidR="006863BD" w:rsidRPr="00ED06C4" w:rsidRDefault="006863BD" w:rsidP="006863BD">
            <w:pPr>
              <w:jc w:val="center"/>
              <w:rPr>
                <w:rFonts w:eastAsia="Times New Roman"/>
                <w:b/>
                <w:bCs/>
                <w:sz w:val="20"/>
                <w:szCs w:val="20"/>
                <w:lang w:val="pt-BR" w:eastAsia="pt-BR"/>
              </w:rPr>
            </w:pPr>
            <w:r w:rsidRPr="00ED06C4">
              <w:rPr>
                <w:rFonts w:eastAsia="Times New Roman"/>
                <w:b/>
                <w:bCs/>
                <w:sz w:val="20"/>
                <w:szCs w:val="20"/>
                <w:lang w:val="pt-BR" w:eastAsia="pt-BR"/>
              </w:rPr>
              <w:t>Benefícios líquidos</w:t>
            </w:r>
          </w:p>
        </w:tc>
        <w:tc>
          <w:tcPr>
            <w:tcW w:w="1090" w:type="dxa"/>
            <w:tcBorders>
              <w:top w:val="single" w:sz="8" w:space="0" w:color="auto"/>
              <w:left w:val="single" w:sz="8" w:space="0" w:color="auto"/>
              <w:bottom w:val="single" w:sz="8" w:space="0" w:color="auto"/>
              <w:right w:val="single" w:sz="8" w:space="0" w:color="auto"/>
            </w:tcBorders>
            <w:shd w:val="clear" w:color="auto" w:fill="B6DDE8" w:themeFill="accent5" w:themeFillTint="66"/>
            <w:vAlign w:val="center"/>
            <w:hideMark/>
          </w:tcPr>
          <w:p w:rsidR="006863BD" w:rsidRPr="00ED06C4" w:rsidRDefault="006863BD" w:rsidP="006863BD">
            <w:pPr>
              <w:jc w:val="center"/>
              <w:rPr>
                <w:rFonts w:eastAsia="Times New Roman"/>
                <w:b/>
                <w:bCs/>
                <w:sz w:val="20"/>
                <w:szCs w:val="20"/>
                <w:lang w:val="pt-BR" w:eastAsia="pt-BR"/>
              </w:rPr>
            </w:pPr>
            <w:r w:rsidRPr="00ED06C4">
              <w:rPr>
                <w:rFonts w:eastAsia="Times New Roman"/>
                <w:b/>
                <w:bCs/>
                <w:sz w:val="20"/>
                <w:szCs w:val="20"/>
                <w:lang w:val="pt-BR" w:eastAsia="pt-BR"/>
              </w:rPr>
              <w:t>Fator</w:t>
            </w:r>
          </w:p>
        </w:tc>
        <w:tc>
          <w:tcPr>
            <w:tcW w:w="1020" w:type="dxa"/>
            <w:tcBorders>
              <w:top w:val="single" w:sz="8" w:space="0" w:color="auto"/>
              <w:left w:val="single" w:sz="8" w:space="0" w:color="auto"/>
              <w:bottom w:val="single" w:sz="8" w:space="0" w:color="auto"/>
              <w:right w:val="single" w:sz="8" w:space="0" w:color="auto"/>
            </w:tcBorders>
            <w:shd w:val="clear" w:color="auto" w:fill="B6DDE8" w:themeFill="accent5" w:themeFillTint="66"/>
            <w:noWrap/>
            <w:vAlign w:val="center"/>
            <w:hideMark/>
          </w:tcPr>
          <w:p w:rsidR="006863BD" w:rsidRPr="00ED06C4" w:rsidRDefault="006863BD" w:rsidP="006863BD">
            <w:pPr>
              <w:jc w:val="center"/>
              <w:rPr>
                <w:rFonts w:eastAsia="Times New Roman"/>
                <w:b/>
                <w:bCs/>
                <w:sz w:val="20"/>
                <w:szCs w:val="20"/>
                <w:lang w:val="pt-BR" w:eastAsia="pt-BR"/>
              </w:rPr>
            </w:pPr>
            <w:r w:rsidRPr="00ED06C4">
              <w:rPr>
                <w:rFonts w:eastAsia="Times New Roman"/>
                <w:b/>
                <w:bCs/>
                <w:sz w:val="20"/>
                <w:szCs w:val="20"/>
                <w:lang w:val="pt-BR" w:eastAsia="pt-BR"/>
              </w:rPr>
              <w:t>BLVP</w:t>
            </w:r>
          </w:p>
        </w:tc>
      </w:tr>
      <w:tr w:rsidR="00F85DEC"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85DEC" w:rsidRPr="00ED06C4" w:rsidRDefault="00F85DEC" w:rsidP="009E1D82">
            <w:pPr>
              <w:rPr>
                <w:rFonts w:eastAsia="Times New Roman"/>
                <w:sz w:val="20"/>
                <w:szCs w:val="20"/>
                <w:lang w:val="pt-BR" w:eastAsia="pt-BR"/>
              </w:rPr>
            </w:pPr>
            <w:r w:rsidRPr="00ED06C4">
              <w:rPr>
                <w:rFonts w:eastAsia="Times New Roman"/>
                <w:sz w:val="20"/>
                <w:szCs w:val="20"/>
                <w:lang w:val="pt-BR" w:eastAsia="pt-BR"/>
              </w:rPr>
              <w:t>1</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ED06C4" w:rsidRDefault="00F85DEC" w:rsidP="009E1D82">
            <w:pPr>
              <w:jc w:val="right"/>
              <w:rPr>
                <w:rFonts w:eastAsia="Times New Roman"/>
                <w:sz w:val="20"/>
                <w:szCs w:val="20"/>
                <w:lang w:val="pt-BR" w:eastAsia="pt-BR"/>
              </w:rPr>
            </w:pPr>
            <w:r w:rsidRPr="00ED06C4">
              <w:rPr>
                <w:rFonts w:eastAsia="Times New Roman"/>
                <w:sz w:val="20"/>
                <w:szCs w:val="20"/>
                <w:lang w:val="pt-BR" w:eastAsia="pt-BR"/>
              </w:rPr>
              <w:t xml:space="preserve">14,32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ED06C4" w:rsidRDefault="00F85DEC" w:rsidP="00F85DEC">
            <w:pPr>
              <w:jc w:val="center"/>
              <w:rPr>
                <w:rFonts w:eastAsia="Times New Roman"/>
                <w:sz w:val="20"/>
                <w:szCs w:val="20"/>
                <w:lang w:val="pt-BR" w:eastAsia="pt-BR"/>
              </w:rPr>
            </w:pPr>
            <w:r w:rsidRPr="00ED06C4">
              <w:rPr>
                <w:rFonts w:eastAsia="Times New Roman"/>
                <w:sz w:val="20"/>
                <w:szCs w:val="20"/>
                <w:lang w:val="pt-BR" w:eastAsia="pt-BR"/>
              </w:rPr>
              <w:t>-</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F85DEC">
            <w:pPr>
              <w:jc w:val="right"/>
              <w:rPr>
                <w:rFonts w:eastAsia="Times New Roman"/>
                <w:sz w:val="20"/>
                <w:szCs w:val="20"/>
                <w:lang w:val="pt-BR" w:eastAsia="pt-BR"/>
              </w:rPr>
            </w:pPr>
            <w:r>
              <w:rPr>
                <w:rFonts w:eastAsia="Times New Roman"/>
                <w:sz w:val="20"/>
                <w:szCs w:val="20"/>
                <w:lang w:val="pt-BR" w:eastAsia="pt-BR"/>
              </w:rPr>
              <w:t>-</w:t>
            </w:r>
            <w:r w:rsidRPr="00F85DEC">
              <w:rPr>
                <w:rFonts w:eastAsia="Times New Roman"/>
                <w:sz w:val="20"/>
                <w:szCs w:val="20"/>
                <w:lang w:val="pt-BR" w:eastAsia="pt-BR"/>
              </w:rPr>
              <w:t xml:space="preserve">14,32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F85DEC">
            <w:pPr>
              <w:jc w:val="right"/>
              <w:rPr>
                <w:rFonts w:eastAsia="Times New Roman"/>
                <w:sz w:val="20"/>
                <w:szCs w:val="20"/>
                <w:lang w:val="pt-BR" w:eastAsia="pt-BR"/>
              </w:rPr>
            </w:pPr>
            <w:r w:rsidRPr="00F85DEC">
              <w:rPr>
                <w:rFonts w:eastAsia="Times New Roman"/>
                <w:sz w:val="20"/>
                <w:szCs w:val="20"/>
                <w:lang w:val="pt-BR" w:eastAsia="pt-BR"/>
              </w:rPr>
              <w:t xml:space="preserve">1,12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E5200B">
            <w:pPr>
              <w:jc w:val="right"/>
              <w:rPr>
                <w:rFonts w:eastAsia="Times New Roman"/>
                <w:sz w:val="20"/>
                <w:szCs w:val="20"/>
                <w:lang w:val="pt-BR" w:eastAsia="pt-BR"/>
              </w:rPr>
            </w:pPr>
            <w:r w:rsidRPr="00F85DEC">
              <w:rPr>
                <w:rFonts w:eastAsia="Times New Roman"/>
                <w:sz w:val="20"/>
                <w:szCs w:val="20"/>
                <w:lang w:val="pt-BR" w:eastAsia="pt-BR"/>
              </w:rPr>
              <w:t xml:space="preserve">-12,78406 </w:t>
            </w:r>
          </w:p>
        </w:tc>
      </w:tr>
      <w:tr w:rsidR="00F85DEC"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85DEC" w:rsidRPr="00ED06C4" w:rsidRDefault="00F85DEC" w:rsidP="009E1D82">
            <w:pPr>
              <w:rPr>
                <w:rFonts w:eastAsia="Times New Roman"/>
                <w:sz w:val="20"/>
                <w:szCs w:val="20"/>
                <w:lang w:val="pt-BR" w:eastAsia="pt-BR"/>
              </w:rPr>
            </w:pPr>
            <w:r w:rsidRPr="00ED06C4">
              <w:rPr>
                <w:rFonts w:eastAsia="Times New Roman"/>
                <w:sz w:val="20"/>
                <w:szCs w:val="20"/>
                <w:lang w:val="pt-BR" w:eastAsia="pt-BR"/>
              </w:rPr>
              <w:t>2</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ED06C4" w:rsidRDefault="00F85DEC" w:rsidP="009E1D82">
            <w:pPr>
              <w:jc w:val="right"/>
              <w:rPr>
                <w:rFonts w:eastAsia="Times New Roman"/>
                <w:sz w:val="20"/>
                <w:szCs w:val="20"/>
                <w:lang w:val="pt-BR" w:eastAsia="pt-BR"/>
              </w:rPr>
            </w:pPr>
            <w:r w:rsidRPr="00ED06C4">
              <w:rPr>
                <w:rFonts w:eastAsia="Times New Roman"/>
                <w:sz w:val="20"/>
                <w:szCs w:val="20"/>
                <w:lang w:val="pt-BR" w:eastAsia="pt-BR"/>
              </w:rPr>
              <w:t xml:space="preserve">31,54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ED06C4" w:rsidRDefault="00F85DEC" w:rsidP="00F85DEC">
            <w:pPr>
              <w:jc w:val="center"/>
              <w:rPr>
                <w:rFonts w:eastAsia="Times New Roman"/>
                <w:sz w:val="20"/>
                <w:szCs w:val="20"/>
                <w:lang w:val="pt-BR" w:eastAsia="pt-BR"/>
              </w:rPr>
            </w:pPr>
            <w:r w:rsidRPr="00ED06C4">
              <w:rPr>
                <w:rFonts w:eastAsia="Times New Roman"/>
                <w:sz w:val="20"/>
                <w:szCs w:val="20"/>
                <w:lang w:val="pt-BR" w:eastAsia="pt-BR"/>
              </w:rPr>
              <w:t>-</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F85DEC">
            <w:pPr>
              <w:jc w:val="right"/>
              <w:rPr>
                <w:rFonts w:eastAsia="Times New Roman"/>
                <w:sz w:val="20"/>
                <w:szCs w:val="20"/>
                <w:lang w:val="pt-BR" w:eastAsia="pt-BR"/>
              </w:rPr>
            </w:pPr>
            <w:r>
              <w:rPr>
                <w:rFonts w:eastAsia="Times New Roman"/>
                <w:sz w:val="20"/>
                <w:szCs w:val="20"/>
                <w:lang w:val="pt-BR" w:eastAsia="pt-BR"/>
              </w:rPr>
              <w:t>-</w:t>
            </w:r>
            <w:r w:rsidRPr="00F85DEC">
              <w:rPr>
                <w:rFonts w:eastAsia="Times New Roman"/>
                <w:sz w:val="20"/>
                <w:szCs w:val="20"/>
                <w:lang w:val="pt-BR" w:eastAsia="pt-BR"/>
              </w:rPr>
              <w:t xml:space="preserve">31,54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F85DEC">
            <w:pPr>
              <w:jc w:val="right"/>
              <w:rPr>
                <w:rFonts w:eastAsia="Times New Roman"/>
                <w:sz w:val="20"/>
                <w:szCs w:val="20"/>
                <w:lang w:val="pt-BR" w:eastAsia="pt-BR"/>
              </w:rPr>
            </w:pPr>
            <w:r w:rsidRPr="00F85DEC">
              <w:rPr>
                <w:rFonts w:eastAsia="Times New Roman"/>
                <w:sz w:val="20"/>
                <w:szCs w:val="20"/>
                <w:lang w:val="pt-BR" w:eastAsia="pt-BR"/>
              </w:rPr>
              <w:t xml:space="preserve">1,25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E5200B">
            <w:pPr>
              <w:jc w:val="right"/>
              <w:rPr>
                <w:rFonts w:eastAsia="Times New Roman"/>
                <w:sz w:val="20"/>
                <w:szCs w:val="20"/>
                <w:lang w:val="pt-BR" w:eastAsia="pt-BR"/>
              </w:rPr>
            </w:pPr>
            <w:r w:rsidRPr="00F85DEC">
              <w:rPr>
                <w:rFonts w:eastAsia="Times New Roman"/>
                <w:sz w:val="20"/>
                <w:szCs w:val="20"/>
                <w:lang w:val="pt-BR" w:eastAsia="pt-BR"/>
              </w:rPr>
              <w:t xml:space="preserve">-25,14634 </w:t>
            </w:r>
          </w:p>
        </w:tc>
      </w:tr>
      <w:tr w:rsidR="00F85DEC"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85DEC" w:rsidRPr="00ED06C4" w:rsidRDefault="00F85DEC" w:rsidP="009E1D82">
            <w:pPr>
              <w:rPr>
                <w:rFonts w:eastAsia="Times New Roman"/>
                <w:sz w:val="20"/>
                <w:szCs w:val="20"/>
                <w:lang w:val="pt-BR" w:eastAsia="pt-BR"/>
              </w:rPr>
            </w:pPr>
            <w:r w:rsidRPr="00ED06C4">
              <w:rPr>
                <w:rFonts w:eastAsia="Times New Roman"/>
                <w:sz w:val="20"/>
                <w:szCs w:val="20"/>
                <w:lang w:val="pt-BR" w:eastAsia="pt-BR"/>
              </w:rPr>
              <w:t>3</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ED06C4" w:rsidRDefault="00F85DEC" w:rsidP="009E1D82">
            <w:pPr>
              <w:jc w:val="right"/>
              <w:rPr>
                <w:rFonts w:eastAsia="Times New Roman"/>
                <w:sz w:val="20"/>
                <w:szCs w:val="20"/>
                <w:lang w:val="pt-BR" w:eastAsia="pt-BR"/>
              </w:rPr>
            </w:pPr>
            <w:r w:rsidRPr="00ED06C4">
              <w:rPr>
                <w:rFonts w:eastAsia="Times New Roman"/>
                <w:sz w:val="20"/>
                <w:szCs w:val="20"/>
                <w:lang w:val="pt-BR" w:eastAsia="pt-BR"/>
              </w:rPr>
              <w:t xml:space="preserve">32,73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ED06C4" w:rsidRDefault="00F85DEC" w:rsidP="00F85DEC">
            <w:pPr>
              <w:jc w:val="center"/>
              <w:rPr>
                <w:rFonts w:eastAsia="Times New Roman"/>
                <w:sz w:val="20"/>
                <w:szCs w:val="20"/>
                <w:lang w:val="pt-BR" w:eastAsia="pt-BR"/>
              </w:rPr>
            </w:pPr>
            <w:r w:rsidRPr="00ED06C4">
              <w:rPr>
                <w:rFonts w:eastAsia="Times New Roman"/>
                <w:sz w:val="20"/>
                <w:szCs w:val="20"/>
                <w:lang w:val="pt-BR" w:eastAsia="pt-BR"/>
              </w:rPr>
              <w:t>-</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F85DEC">
            <w:pPr>
              <w:jc w:val="right"/>
              <w:rPr>
                <w:rFonts w:eastAsia="Times New Roman"/>
                <w:sz w:val="20"/>
                <w:szCs w:val="20"/>
                <w:lang w:val="pt-BR" w:eastAsia="pt-BR"/>
              </w:rPr>
            </w:pPr>
            <w:r>
              <w:rPr>
                <w:rFonts w:eastAsia="Times New Roman"/>
                <w:sz w:val="20"/>
                <w:szCs w:val="20"/>
                <w:lang w:val="pt-BR" w:eastAsia="pt-BR"/>
              </w:rPr>
              <w:t>-</w:t>
            </w:r>
            <w:r w:rsidRPr="00F85DEC">
              <w:rPr>
                <w:rFonts w:eastAsia="Times New Roman"/>
                <w:sz w:val="20"/>
                <w:szCs w:val="20"/>
                <w:lang w:val="pt-BR" w:eastAsia="pt-BR"/>
              </w:rPr>
              <w:t xml:space="preserve">32,73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F85DEC">
            <w:pPr>
              <w:jc w:val="right"/>
              <w:rPr>
                <w:rFonts w:eastAsia="Times New Roman"/>
                <w:sz w:val="20"/>
                <w:szCs w:val="20"/>
                <w:lang w:val="pt-BR" w:eastAsia="pt-BR"/>
              </w:rPr>
            </w:pPr>
            <w:r w:rsidRPr="00F85DEC">
              <w:rPr>
                <w:rFonts w:eastAsia="Times New Roman"/>
                <w:sz w:val="20"/>
                <w:szCs w:val="20"/>
                <w:lang w:val="pt-BR" w:eastAsia="pt-BR"/>
              </w:rPr>
              <w:t xml:space="preserve">1,40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E5200B">
            <w:pPr>
              <w:jc w:val="right"/>
              <w:rPr>
                <w:rFonts w:eastAsia="Times New Roman"/>
                <w:sz w:val="20"/>
                <w:szCs w:val="20"/>
                <w:lang w:val="pt-BR" w:eastAsia="pt-BR"/>
              </w:rPr>
            </w:pPr>
            <w:r w:rsidRPr="00F85DEC">
              <w:rPr>
                <w:rFonts w:eastAsia="Times New Roman"/>
                <w:sz w:val="20"/>
                <w:szCs w:val="20"/>
                <w:lang w:val="pt-BR" w:eastAsia="pt-BR"/>
              </w:rPr>
              <w:t xml:space="preserve">-23,29611 </w:t>
            </w:r>
          </w:p>
        </w:tc>
      </w:tr>
      <w:tr w:rsidR="00F85DEC"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85DEC" w:rsidRPr="00ED06C4" w:rsidRDefault="00F85DEC" w:rsidP="009E1D82">
            <w:pPr>
              <w:rPr>
                <w:rFonts w:eastAsia="Times New Roman"/>
                <w:sz w:val="20"/>
                <w:szCs w:val="20"/>
                <w:lang w:val="pt-BR" w:eastAsia="pt-BR"/>
              </w:rPr>
            </w:pPr>
            <w:r w:rsidRPr="00ED06C4">
              <w:rPr>
                <w:rFonts w:eastAsia="Times New Roman"/>
                <w:sz w:val="20"/>
                <w:szCs w:val="20"/>
                <w:lang w:val="pt-BR" w:eastAsia="pt-BR"/>
              </w:rPr>
              <w:t>4</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ED06C4" w:rsidRDefault="00F85DEC" w:rsidP="009E1D82">
            <w:pPr>
              <w:jc w:val="right"/>
              <w:rPr>
                <w:rFonts w:eastAsia="Times New Roman"/>
                <w:sz w:val="20"/>
                <w:szCs w:val="20"/>
                <w:lang w:val="pt-BR" w:eastAsia="pt-BR"/>
              </w:rPr>
            </w:pPr>
            <w:r w:rsidRPr="00ED06C4">
              <w:rPr>
                <w:rFonts w:eastAsia="Times New Roman"/>
                <w:sz w:val="20"/>
                <w:szCs w:val="20"/>
                <w:lang w:val="pt-BR" w:eastAsia="pt-BR"/>
              </w:rPr>
              <w:t xml:space="preserve">14,77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ED06C4" w:rsidRDefault="00F85DEC" w:rsidP="00F85DEC">
            <w:pPr>
              <w:jc w:val="center"/>
              <w:rPr>
                <w:rFonts w:eastAsia="Times New Roman"/>
                <w:sz w:val="20"/>
                <w:szCs w:val="20"/>
                <w:lang w:val="pt-BR" w:eastAsia="pt-BR"/>
              </w:rPr>
            </w:pPr>
            <w:r w:rsidRPr="00ED06C4">
              <w:rPr>
                <w:rFonts w:eastAsia="Times New Roman"/>
                <w:sz w:val="20"/>
                <w:szCs w:val="20"/>
                <w:lang w:val="pt-BR" w:eastAsia="pt-BR"/>
              </w:rPr>
              <w:t>-</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F85DEC">
            <w:pPr>
              <w:jc w:val="right"/>
              <w:rPr>
                <w:rFonts w:eastAsia="Times New Roman"/>
                <w:sz w:val="20"/>
                <w:szCs w:val="20"/>
                <w:lang w:val="pt-BR" w:eastAsia="pt-BR"/>
              </w:rPr>
            </w:pPr>
            <w:r w:rsidRPr="00F85DEC">
              <w:rPr>
                <w:rFonts w:eastAsia="Times New Roman"/>
                <w:sz w:val="20"/>
                <w:szCs w:val="20"/>
                <w:lang w:val="pt-BR" w:eastAsia="pt-BR"/>
              </w:rPr>
              <w:t xml:space="preserve">-14,77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F85DEC">
            <w:pPr>
              <w:jc w:val="right"/>
              <w:rPr>
                <w:rFonts w:eastAsia="Times New Roman"/>
                <w:sz w:val="20"/>
                <w:szCs w:val="20"/>
                <w:lang w:val="pt-BR" w:eastAsia="pt-BR"/>
              </w:rPr>
            </w:pPr>
            <w:r w:rsidRPr="00F85DEC">
              <w:rPr>
                <w:rFonts w:eastAsia="Times New Roman"/>
                <w:sz w:val="20"/>
                <w:szCs w:val="20"/>
                <w:lang w:val="pt-BR" w:eastAsia="pt-BR"/>
              </w:rPr>
              <w:t xml:space="preserve">1,57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E5200B">
            <w:pPr>
              <w:jc w:val="right"/>
              <w:rPr>
                <w:rFonts w:eastAsia="Times New Roman"/>
                <w:sz w:val="20"/>
                <w:szCs w:val="20"/>
                <w:lang w:val="pt-BR" w:eastAsia="pt-BR"/>
              </w:rPr>
            </w:pPr>
            <w:r w:rsidRPr="00F85DEC">
              <w:rPr>
                <w:rFonts w:eastAsia="Times New Roman"/>
                <w:sz w:val="20"/>
                <w:szCs w:val="20"/>
                <w:lang w:val="pt-BR" w:eastAsia="pt-BR"/>
              </w:rPr>
              <w:t xml:space="preserve">-9,38585 </w:t>
            </w:r>
          </w:p>
        </w:tc>
      </w:tr>
      <w:tr w:rsidR="00F85DEC"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85DEC" w:rsidRPr="00ED06C4" w:rsidRDefault="00F85DEC" w:rsidP="009E1D82">
            <w:pPr>
              <w:rPr>
                <w:rFonts w:eastAsia="Times New Roman"/>
                <w:sz w:val="20"/>
                <w:szCs w:val="20"/>
                <w:lang w:val="pt-BR" w:eastAsia="pt-BR"/>
              </w:rPr>
            </w:pPr>
            <w:r w:rsidRPr="00ED06C4">
              <w:rPr>
                <w:rFonts w:eastAsia="Times New Roman"/>
                <w:sz w:val="20"/>
                <w:szCs w:val="20"/>
                <w:lang w:val="pt-BR" w:eastAsia="pt-BR"/>
              </w:rPr>
              <w:t>5</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ED06C4" w:rsidRDefault="00F85DEC" w:rsidP="009E1D82">
            <w:pPr>
              <w:jc w:val="right"/>
              <w:rPr>
                <w:rFonts w:eastAsia="Times New Roman"/>
                <w:sz w:val="20"/>
                <w:szCs w:val="20"/>
                <w:lang w:val="pt-BR" w:eastAsia="pt-BR"/>
              </w:rPr>
            </w:pPr>
            <w:r w:rsidRPr="00ED06C4">
              <w:rPr>
                <w:rFonts w:eastAsia="Times New Roman"/>
                <w:sz w:val="20"/>
                <w:szCs w:val="20"/>
                <w:lang w:val="pt-BR" w:eastAsia="pt-BR"/>
              </w:rPr>
              <w:t xml:space="preserve">10,45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ED06C4" w:rsidRDefault="00F85DEC" w:rsidP="009E1D82">
            <w:pPr>
              <w:jc w:val="right"/>
              <w:rPr>
                <w:rFonts w:eastAsia="Times New Roman"/>
                <w:sz w:val="20"/>
                <w:szCs w:val="20"/>
                <w:lang w:val="pt-BR" w:eastAsia="pt-BR"/>
              </w:rPr>
            </w:pPr>
            <w:r w:rsidRPr="00ED06C4">
              <w:rPr>
                <w:rFonts w:eastAsia="Times New Roman"/>
                <w:sz w:val="20"/>
                <w:szCs w:val="20"/>
                <w:lang w:val="pt-BR" w:eastAsia="pt-BR"/>
              </w:rPr>
              <w:t xml:space="preserve">4,14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F85DEC">
            <w:pPr>
              <w:jc w:val="right"/>
              <w:rPr>
                <w:rFonts w:eastAsia="Times New Roman"/>
                <w:sz w:val="20"/>
                <w:szCs w:val="20"/>
                <w:lang w:val="pt-BR" w:eastAsia="pt-BR"/>
              </w:rPr>
            </w:pPr>
            <w:r w:rsidRPr="00F85DEC">
              <w:rPr>
                <w:rFonts w:eastAsia="Times New Roman"/>
                <w:sz w:val="20"/>
                <w:szCs w:val="20"/>
                <w:lang w:val="pt-BR" w:eastAsia="pt-BR"/>
              </w:rPr>
              <w:t xml:space="preserve">-6,31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F85DEC">
            <w:pPr>
              <w:jc w:val="right"/>
              <w:rPr>
                <w:rFonts w:eastAsia="Times New Roman"/>
                <w:sz w:val="20"/>
                <w:szCs w:val="20"/>
                <w:lang w:val="pt-BR" w:eastAsia="pt-BR"/>
              </w:rPr>
            </w:pPr>
            <w:r w:rsidRPr="00F85DEC">
              <w:rPr>
                <w:rFonts w:eastAsia="Times New Roman"/>
                <w:sz w:val="20"/>
                <w:szCs w:val="20"/>
                <w:lang w:val="pt-BR" w:eastAsia="pt-BR"/>
              </w:rPr>
              <w:t xml:space="preserve">1,76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F85DEC" w:rsidRPr="00F85DEC" w:rsidRDefault="00F85DEC" w:rsidP="00E5200B">
            <w:pPr>
              <w:jc w:val="right"/>
              <w:rPr>
                <w:rFonts w:eastAsia="Times New Roman"/>
                <w:sz w:val="20"/>
                <w:szCs w:val="20"/>
                <w:lang w:val="pt-BR" w:eastAsia="pt-BR"/>
              </w:rPr>
            </w:pPr>
            <w:r w:rsidRPr="00F85DEC">
              <w:rPr>
                <w:rFonts w:eastAsia="Times New Roman"/>
                <w:sz w:val="20"/>
                <w:szCs w:val="20"/>
                <w:lang w:val="pt-BR" w:eastAsia="pt-BR"/>
              </w:rPr>
              <w:t xml:space="preserve">-3,57855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6</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1,97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2,18698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7</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2,21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1,95266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8</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2,48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1,74344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9</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2,77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1,55665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10</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3,11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1,38986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11</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3,48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1,24095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12</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3,90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1,10799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13</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4,36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0,98928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14</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4,89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0,88328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15</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5,47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0,78865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16</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6,13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0,70415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17</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6,56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6,56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6,87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0,95553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18</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9,06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9,06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7,69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1,17881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19</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11,85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11,85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8,61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1,37613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20</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14,95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14,95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9,65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1,54949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21</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18,38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18,38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10,80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1,70079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22</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22,17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22,17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12,10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1,83179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23</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26,35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26,35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13,55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1,94414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24</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30,96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30,96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15,18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2,03940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25</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36,02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36,02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17,00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2,11901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26</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41,59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41,59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19,04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2,18432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27</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47,69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47,69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21,32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2,23658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28</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54,38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54,38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23,88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2,27698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29</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61,70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61,70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26,75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2,30659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30</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69,70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69,70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29,96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2,32643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31</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78,43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78,43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33,56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2,33743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32</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87,96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87,96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37,58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2,34048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33</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98,34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98,34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42,09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2,33637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34</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109,65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109,65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47,14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2,32585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35</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121,95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121,95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52,80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2,30961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36</w:t>
            </w:r>
          </w:p>
        </w:tc>
        <w:tc>
          <w:tcPr>
            <w:tcW w:w="86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124,45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124,45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59,14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2,10453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37</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131,67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131,67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66,23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1,98803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38</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139,31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139,31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74,18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1,87798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39</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147,39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147,39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83,08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1,77402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40</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155,94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155,94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93,05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1,67581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41</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164,98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164,98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104,22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1,58304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42</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174,55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174,55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116,72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1,49541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43</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184,67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184,67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130,73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1,41263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44</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195,38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195,38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146,42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1,33443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45</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206,72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206,72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163,99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1,26056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46</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218,71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218,71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183,67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1,19078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lastRenderedPageBreak/>
              <w:t>47</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231,39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231,39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205,71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1,12486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48</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244,81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244,81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230,39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1,06259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49</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259,01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259,01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258,04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1,00377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50</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274,03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274,03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289,00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0,94820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51</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289,93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289,93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323,68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0,89571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52</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306,74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306,74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362,52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0,84613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53</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324,53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324,53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406,03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0,79929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54</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343,36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343,36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454,75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0,75504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55</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363,27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363,27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509,32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0,71325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56</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384,34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384,34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570,44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0,67376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57</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406,63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406,63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638,89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0,63647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58</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430,22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430,22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715,56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0,60123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59</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455,17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455,17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801,43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0,56795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60</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481,57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481,57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897,60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0,53651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61</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509,50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509,50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1.005,31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0,50681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62</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539,05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539,05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1.125,95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0,47876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63</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570,32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570,32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1.261,06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0,45225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64</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603,40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603,40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1.412,39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0,42722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65</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604,79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604,79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1.581,87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0,38233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66</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604,32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604,32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1.771,70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0,34110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67</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601,76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601,76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1.984,30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0,30326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68</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596,87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596,87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2.222,42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0,26857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69</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589,39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589,39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2.489,11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0,23679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70</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579,04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579,04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2.787,80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0,20770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71</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565,50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565,50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3.122,34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0,18111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72</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548,44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548,44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3.497,02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0,15683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73</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527,50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527,50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3.916,66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0,13468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74</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502,28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502,28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4.386,66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0,11450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75</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472,37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472,37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4.913,06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0,09615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76</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437,30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437,30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5.502,62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0,07947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77</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396,56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396,56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6.162,94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0,06435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78</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349,64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349,64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6.902,49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0,05065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79</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295,93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295,93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7.730,79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0,03828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80</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234,82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234,82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8.658,48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0,02712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81</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165,63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165,63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9.697,50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0,01708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82</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87,62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87,62 </w:t>
            </w:r>
          </w:p>
        </w:tc>
        <w:tc>
          <w:tcPr>
            <w:tcW w:w="109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10.861,20 </w:t>
            </w:r>
          </w:p>
        </w:tc>
        <w:tc>
          <w:tcPr>
            <w:tcW w:w="102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9E1D82">
            <w:pPr>
              <w:jc w:val="right"/>
              <w:rPr>
                <w:rFonts w:eastAsia="Times New Roman"/>
                <w:sz w:val="20"/>
                <w:szCs w:val="20"/>
                <w:lang w:val="pt-BR" w:eastAsia="pt-BR"/>
              </w:rPr>
            </w:pPr>
            <w:r w:rsidRPr="00ED06C4">
              <w:rPr>
                <w:rFonts w:eastAsia="Times New Roman"/>
                <w:sz w:val="20"/>
                <w:szCs w:val="20"/>
                <w:lang w:val="pt-BR" w:eastAsia="pt-BR"/>
              </w:rPr>
              <w:t xml:space="preserve">0,00807 </w:t>
            </w:r>
          </w:p>
        </w:tc>
      </w:tr>
      <w:tr w:rsidR="006863BD" w:rsidRPr="00ED06C4" w:rsidTr="00ED06C4">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 </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6863BD">
            <w:pPr>
              <w:rPr>
                <w:rFonts w:eastAsia="Times New Roman"/>
                <w:sz w:val="20"/>
                <w:szCs w:val="20"/>
                <w:lang w:val="pt-BR" w:eastAsia="pt-BR"/>
              </w:rPr>
            </w:pPr>
            <w:r w:rsidRPr="00ED06C4">
              <w:rPr>
                <w:rFonts w:eastAsia="Times New Roman"/>
                <w:sz w:val="20"/>
                <w:szCs w:val="20"/>
                <w:lang w:val="pt-BR" w:eastAsia="pt-BR"/>
              </w:rPr>
              <w:t>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6863BD">
            <w:pPr>
              <w:rPr>
                <w:rFonts w:eastAsia="Times New Roman"/>
                <w:sz w:val="20"/>
                <w:szCs w:val="20"/>
                <w:lang w:val="pt-BR" w:eastAsia="pt-BR"/>
              </w:rPr>
            </w:pPr>
            <w:r w:rsidRPr="00ED06C4">
              <w:rPr>
                <w:rFonts w:eastAsia="Times New Roman"/>
                <w:sz w:val="20"/>
                <w:szCs w:val="20"/>
                <w:lang w:val="pt-BR" w:eastAsia="pt-BR"/>
              </w:rPr>
              <w:t>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6863BD">
            <w:pPr>
              <w:rPr>
                <w:rFonts w:eastAsia="Times New Roman"/>
                <w:sz w:val="20"/>
                <w:szCs w:val="20"/>
                <w:lang w:val="pt-BR" w:eastAsia="pt-BR"/>
              </w:rPr>
            </w:pPr>
            <w:r w:rsidRPr="00ED06C4">
              <w:rPr>
                <w:rFonts w:eastAsia="Times New Roman"/>
                <w:sz w:val="20"/>
                <w:szCs w:val="20"/>
                <w:lang w:val="pt-BR" w:eastAsia="pt-BR"/>
              </w:rPr>
              <w:t> </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6863BD">
            <w:pPr>
              <w:rPr>
                <w:rFonts w:eastAsia="Times New Roman"/>
                <w:b/>
                <w:bCs/>
                <w:sz w:val="20"/>
                <w:szCs w:val="20"/>
                <w:lang w:val="pt-BR" w:eastAsia="pt-BR"/>
              </w:rPr>
            </w:pPr>
            <w:r w:rsidRPr="00ED06C4">
              <w:rPr>
                <w:rFonts w:eastAsia="Times New Roman"/>
                <w:b/>
                <w:bCs/>
                <w:sz w:val="20"/>
                <w:szCs w:val="20"/>
                <w:lang w:val="pt-BR" w:eastAsia="pt-BR"/>
              </w:rPr>
              <w:t xml:space="preserve">VPLS </w:t>
            </w:r>
          </w:p>
        </w:tc>
        <w:tc>
          <w:tcPr>
            <w:tcW w:w="10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6863BD">
            <w:pPr>
              <w:rPr>
                <w:rFonts w:eastAsia="Times New Roman"/>
                <w:sz w:val="20"/>
                <w:szCs w:val="20"/>
                <w:lang w:val="pt-BR" w:eastAsia="pt-BR"/>
              </w:rPr>
            </w:pPr>
            <w:r w:rsidRPr="00ED06C4">
              <w:rPr>
                <w:rFonts w:eastAsia="Times New Roman"/>
                <w:sz w:val="20"/>
                <w:szCs w:val="20"/>
                <w:lang w:val="pt-BR" w:eastAsia="pt-BR"/>
              </w:rPr>
              <w:t xml:space="preserve">      11,46 </w:t>
            </w:r>
          </w:p>
        </w:tc>
      </w:tr>
      <w:tr w:rsidR="006863BD" w:rsidRPr="00ED06C4" w:rsidTr="009E1D82">
        <w:trPr>
          <w:trHeight w:val="255"/>
          <w:jc w:val="center"/>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9E1D82">
            <w:pPr>
              <w:rPr>
                <w:rFonts w:eastAsia="Times New Roman"/>
                <w:sz w:val="20"/>
                <w:szCs w:val="20"/>
                <w:lang w:val="pt-BR" w:eastAsia="pt-BR"/>
              </w:rPr>
            </w:pPr>
            <w:r w:rsidRPr="00ED06C4">
              <w:rPr>
                <w:rFonts w:eastAsia="Times New Roman"/>
                <w:sz w:val="20"/>
                <w:szCs w:val="20"/>
                <w:lang w:val="pt-BR" w:eastAsia="pt-BR"/>
              </w:rPr>
              <w:t> </w:t>
            </w:r>
          </w:p>
        </w:tc>
        <w:tc>
          <w:tcPr>
            <w:tcW w:w="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6863BD">
            <w:pPr>
              <w:rPr>
                <w:rFonts w:eastAsia="Times New Roman"/>
                <w:sz w:val="20"/>
                <w:szCs w:val="20"/>
                <w:lang w:val="pt-BR" w:eastAsia="pt-BR"/>
              </w:rPr>
            </w:pPr>
            <w:r w:rsidRPr="00ED06C4">
              <w:rPr>
                <w:rFonts w:eastAsia="Times New Roman"/>
                <w:sz w:val="20"/>
                <w:szCs w:val="20"/>
                <w:lang w:val="pt-BR" w:eastAsia="pt-BR"/>
              </w:rPr>
              <w:t>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6863BD">
            <w:pPr>
              <w:rPr>
                <w:rFonts w:eastAsia="Times New Roman"/>
                <w:sz w:val="20"/>
                <w:szCs w:val="20"/>
                <w:lang w:val="pt-BR" w:eastAsia="pt-BR"/>
              </w:rPr>
            </w:pPr>
            <w:r w:rsidRPr="00ED06C4">
              <w:rPr>
                <w:rFonts w:eastAsia="Times New Roman"/>
                <w:sz w:val="20"/>
                <w:szCs w:val="20"/>
                <w:lang w:val="pt-BR" w:eastAsia="pt-BR"/>
              </w:rPr>
              <w:t> </w:t>
            </w:r>
          </w:p>
        </w:tc>
        <w:tc>
          <w:tcPr>
            <w:tcW w:w="1180" w:type="dxa"/>
            <w:tcBorders>
              <w:top w:val="single" w:sz="8" w:space="0" w:color="auto"/>
              <w:left w:val="single" w:sz="8" w:space="0" w:color="auto"/>
              <w:bottom w:val="single" w:sz="8" w:space="0" w:color="auto"/>
              <w:right w:val="single" w:sz="8" w:space="0" w:color="auto"/>
            </w:tcBorders>
            <w:shd w:val="clear" w:color="auto" w:fill="auto"/>
            <w:noWrap/>
            <w:hideMark/>
          </w:tcPr>
          <w:p w:rsidR="006863BD" w:rsidRPr="00ED06C4" w:rsidRDefault="006863BD" w:rsidP="006863BD">
            <w:pPr>
              <w:rPr>
                <w:rFonts w:eastAsia="Times New Roman"/>
                <w:sz w:val="20"/>
                <w:szCs w:val="20"/>
                <w:lang w:val="pt-BR" w:eastAsia="pt-BR"/>
              </w:rPr>
            </w:pPr>
            <w:r w:rsidRPr="00ED06C4">
              <w:rPr>
                <w:rFonts w:eastAsia="Times New Roman"/>
                <w:sz w:val="20"/>
                <w:szCs w:val="20"/>
                <w:lang w:val="pt-BR" w:eastAsia="pt-BR"/>
              </w:rPr>
              <w:t> </w:t>
            </w:r>
          </w:p>
        </w:tc>
        <w:tc>
          <w:tcPr>
            <w:tcW w:w="109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6863BD">
            <w:pPr>
              <w:rPr>
                <w:rFonts w:eastAsia="Times New Roman"/>
                <w:b/>
                <w:bCs/>
                <w:sz w:val="20"/>
                <w:szCs w:val="20"/>
                <w:lang w:val="pt-BR" w:eastAsia="pt-BR"/>
              </w:rPr>
            </w:pPr>
            <w:r w:rsidRPr="00ED06C4">
              <w:rPr>
                <w:rFonts w:eastAsia="Times New Roman"/>
                <w:b/>
                <w:bCs/>
                <w:sz w:val="20"/>
                <w:szCs w:val="20"/>
                <w:lang w:val="pt-BR" w:eastAsia="pt-BR"/>
              </w:rPr>
              <w:t xml:space="preserve">TIRS </w:t>
            </w:r>
          </w:p>
        </w:tc>
        <w:tc>
          <w:tcPr>
            <w:tcW w:w="10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3BD" w:rsidRPr="00ED06C4" w:rsidRDefault="006863BD" w:rsidP="006863BD">
            <w:pPr>
              <w:jc w:val="right"/>
              <w:rPr>
                <w:rFonts w:eastAsia="Times New Roman"/>
                <w:sz w:val="20"/>
                <w:szCs w:val="20"/>
                <w:lang w:val="pt-BR" w:eastAsia="pt-BR"/>
              </w:rPr>
            </w:pPr>
            <w:r w:rsidRPr="00ED06C4">
              <w:rPr>
                <w:rFonts w:eastAsia="Times New Roman"/>
                <w:sz w:val="20"/>
                <w:szCs w:val="20"/>
                <w:lang w:val="pt-BR" w:eastAsia="pt-BR"/>
              </w:rPr>
              <w:t>12,55%</w:t>
            </w:r>
          </w:p>
        </w:tc>
      </w:tr>
      <w:tr w:rsidR="009E1D82" w:rsidRPr="00ED06C4" w:rsidTr="00E5200B">
        <w:trPr>
          <w:trHeight w:val="46"/>
          <w:jc w:val="center"/>
        </w:trPr>
        <w:tc>
          <w:tcPr>
            <w:tcW w:w="6290" w:type="dxa"/>
            <w:gridSpan w:val="6"/>
            <w:tcBorders>
              <w:top w:val="single" w:sz="8" w:space="0" w:color="auto"/>
            </w:tcBorders>
            <w:shd w:val="clear" w:color="auto" w:fill="auto"/>
            <w:noWrap/>
            <w:vAlign w:val="bottom"/>
            <w:hideMark/>
          </w:tcPr>
          <w:p w:rsidR="009E1D82" w:rsidRPr="009E1D82" w:rsidRDefault="009E1D82" w:rsidP="006863BD">
            <w:pPr>
              <w:rPr>
                <w:rFonts w:eastAsia="Times New Roman"/>
                <w:sz w:val="18"/>
                <w:szCs w:val="18"/>
                <w:lang w:val="pt-BR" w:eastAsia="pt-BR"/>
              </w:rPr>
            </w:pPr>
            <w:r w:rsidRPr="009E1D82">
              <w:rPr>
                <w:rFonts w:eastAsia="Times New Roman"/>
                <w:sz w:val="18"/>
                <w:szCs w:val="18"/>
                <w:lang w:val="pt-BR" w:eastAsia="pt-BR"/>
              </w:rPr>
              <w:t>Fonte: Elaboração própria</w:t>
            </w:r>
          </w:p>
        </w:tc>
      </w:tr>
    </w:tbl>
    <w:p w:rsidR="006863BD" w:rsidRDefault="006863BD" w:rsidP="00497105">
      <w:pPr>
        <w:rPr>
          <w:lang w:val="pt-BR" w:eastAsia="pt-BR"/>
        </w:rPr>
      </w:pPr>
    </w:p>
    <w:p w:rsidR="006863BD" w:rsidRDefault="006863BD" w:rsidP="00497105">
      <w:pPr>
        <w:rPr>
          <w:lang w:val="pt-BR" w:eastAsia="pt-BR"/>
        </w:rPr>
      </w:pPr>
    </w:p>
    <w:p w:rsidR="006863BD" w:rsidRDefault="006863BD" w:rsidP="00497105">
      <w:pPr>
        <w:rPr>
          <w:lang w:val="pt-BR" w:eastAsia="pt-BR"/>
        </w:rPr>
      </w:pPr>
    </w:p>
    <w:p w:rsidR="006863BD" w:rsidRDefault="006863BD" w:rsidP="00497105">
      <w:pPr>
        <w:rPr>
          <w:lang w:val="pt-BR" w:eastAsia="pt-BR"/>
        </w:rPr>
      </w:pPr>
    </w:p>
    <w:sectPr w:rsidR="006863BD" w:rsidSect="00F85DEC">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DEC" w:rsidRDefault="00F85DEC">
      <w:r>
        <w:separator/>
      </w:r>
    </w:p>
  </w:endnote>
  <w:endnote w:type="continuationSeparator" w:id="0">
    <w:p w:rsidR="00F85DEC" w:rsidRDefault="00F85D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DEC" w:rsidRDefault="00F85DEC">
    <w:pPr>
      <w:pStyle w:val="Footer"/>
      <w:jc w:val="right"/>
    </w:pPr>
  </w:p>
  <w:p w:rsidR="00F85DEC" w:rsidRDefault="00F85D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DEC" w:rsidRDefault="00F85DEC">
    <w:pPr>
      <w:pStyle w:val="Footer"/>
      <w:jc w:val="right"/>
    </w:pPr>
    <w:fldSimple w:instr=" PAGE   \* MERGEFORMAT ">
      <w:r w:rsidR="003E2EFB">
        <w:rPr>
          <w:noProof/>
        </w:rPr>
        <w:t>16</w:t>
      </w:r>
    </w:fldSimple>
  </w:p>
  <w:p w:rsidR="00F85DEC" w:rsidRDefault="00F85D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DEC" w:rsidRDefault="00F85DEC">
      <w:r>
        <w:separator/>
      </w:r>
    </w:p>
  </w:footnote>
  <w:footnote w:type="continuationSeparator" w:id="0">
    <w:p w:rsidR="00F85DEC" w:rsidRDefault="00F85DEC">
      <w:r>
        <w:continuationSeparator/>
      </w:r>
    </w:p>
  </w:footnote>
  <w:footnote w:id="1">
    <w:p w:rsidR="00F85DEC" w:rsidRPr="00A9578A" w:rsidRDefault="00F85DEC" w:rsidP="00804859">
      <w:pPr>
        <w:pStyle w:val="FootnoteText"/>
        <w:ind w:left="720" w:hanging="720"/>
        <w:jc w:val="both"/>
      </w:pPr>
      <w:r>
        <w:rPr>
          <w:rStyle w:val="FootnoteReference"/>
        </w:rPr>
        <w:footnoteRef/>
      </w:r>
      <w:r>
        <w:t xml:space="preserve"> </w:t>
      </w:r>
      <w:r>
        <w:tab/>
        <w:t xml:space="preserve">Uma descrição detalhada de todos os componentes pode ser encontrada </w:t>
      </w:r>
      <w:r w:rsidRPr="00A9578A">
        <w:t xml:space="preserve">no </w:t>
      </w:r>
      <w:r>
        <w:t>Project Operation Design (POD) do Projeto em análise.</w:t>
      </w:r>
    </w:p>
  </w:footnote>
  <w:footnote w:id="2">
    <w:p w:rsidR="00F85DEC" w:rsidRPr="00040A92" w:rsidRDefault="00F85DEC" w:rsidP="003E2EFB">
      <w:pPr>
        <w:pStyle w:val="FootnoteText"/>
        <w:ind w:left="720" w:hanging="720"/>
        <w:jc w:val="both"/>
      </w:pPr>
      <w:r>
        <w:rPr>
          <w:rStyle w:val="FootnoteReference"/>
        </w:rPr>
        <w:footnoteRef/>
      </w:r>
      <w:r>
        <w:t xml:space="preserve"> </w:t>
      </w:r>
      <w:r w:rsidR="003E2EFB">
        <w:tab/>
      </w:r>
      <w:r w:rsidRPr="00040A92">
        <w:t>Cá</w:t>
      </w:r>
      <w:r>
        <w:t>l</w:t>
      </w:r>
      <w:r w:rsidRPr="00040A92">
        <w:t>culos realizados</w:t>
      </w:r>
      <w:r>
        <w:t xml:space="preserve"> pela equipe  da Fundação de Pesquisas Econômicas (FIPE), da qual a autora participou, </w:t>
      </w:r>
      <w:r w:rsidRPr="00040A92">
        <w:t xml:space="preserve">para a análise de </w:t>
      </w:r>
      <w:r>
        <w:t>viabilidade econômica do Projeto de Requalificação do Centro de São Paulo (2003).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65AD"/>
    <w:multiLevelType w:val="hybridMultilevel"/>
    <w:tmpl w:val="DFECED2C"/>
    <w:lvl w:ilvl="0" w:tplc="AE080090">
      <w:start w:val="1"/>
      <w:numFmt w:val="decimal"/>
      <w:lvlText w:val="5.%1"/>
      <w:lvlJc w:val="left"/>
      <w:pPr>
        <w:ind w:left="36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
    <w:nsid w:val="039C3406"/>
    <w:multiLevelType w:val="hybridMultilevel"/>
    <w:tmpl w:val="E7F8B23C"/>
    <w:lvl w:ilvl="0" w:tplc="9D2A0054">
      <w:start w:val="1"/>
      <w:numFmt w:val="decimal"/>
      <w:lvlText w:val="7.%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B9B71C0"/>
    <w:multiLevelType w:val="multilevel"/>
    <w:tmpl w:val="0416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0EAB7815"/>
    <w:multiLevelType w:val="hybridMultilevel"/>
    <w:tmpl w:val="BC441026"/>
    <w:lvl w:ilvl="0" w:tplc="51581CF8">
      <w:start w:val="1"/>
      <w:numFmt w:val="decimal"/>
      <w:lvlText w:val="6.%1"/>
      <w:lvlJc w:val="left"/>
      <w:pPr>
        <w:ind w:left="360" w:hanging="360"/>
      </w:pPr>
      <w:rPr>
        <w:rFonts w:hint="default"/>
      </w:r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
    <w:nsid w:val="16BD7970"/>
    <w:multiLevelType w:val="hybridMultilevel"/>
    <w:tmpl w:val="1C6CCF26"/>
    <w:lvl w:ilvl="0" w:tplc="784C8A82">
      <w:start w:val="29"/>
      <w:numFmt w:val="decimal"/>
      <w:lvlText w:val="2.%1"/>
      <w:lvlJc w:val="left"/>
      <w:pPr>
        <w:ind w:left="36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1A12D88"/>
    <w:multiLevelType w:val="hybridMultilevel"/>
    <w:tmpl w:val="871A8F94"/>
    <w:lvl w:ilvl="0" w:tplc="4CA81726">
      <w:start w:val="1"/>
      <w:numFmt w:val="decimal"/>
      <w:lvlText w:val="4.%1"/>
      <w:lvlJc w:val="left"/>
      <w:pPr>
        <w:ind w:left="72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87A680B"/>
    <w:multiLevelType w:val="hybridMultilevel"/>
    <w:tmpl w:val="3DD696AE"/>
    <w:lvl w:ilvl="0" w:tplc="90069EBC">
      <w:start w:val="1"/>
      <w:numFmt w:val="decimal"/>
      <w:lvlText w:val="2.%1"/>
      <w:lvlJc w:val="left"/>
      <w:pPr>
        <w:ind w:left="72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96A18A3"/>
    <w:multiLevelType w:val="hybridMultilevel"/>
    <w:tmpl w:val="00147A8A"/>
    <w:lvl w:ilvl="0" w:tplc="ED9073F6">
      <w:start w:val="1"/>
      <w:numFmt w:val="decimal"/>
      <w:lvlText w:val="3.%1"/>
      <w:lvlJc w:val="left"/>
      <w:pPr>
        <w:ind w:left="72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56EB39E2"/>
    <w:multiLevelType w:val="multilevel"/>
    <w:tmpl w:val="EF4E1510"/>
    <w:lvl w:ilvl="0">
      <w:start w:val="1"/>
      <w:numFmt w:val="decimal"/>
      <w:lvlText w:val="1.%1"/>
      <w:lvlJc w:val="left"/>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9">
    <w:nsid w:val="7E431613"/>
    <w:multiLevelType w:val="hybridMultilevel"/>
    <w:tmpl w:val="E25C7948"/>
    <w:lvl w:ilvl="0" w:tplc="269481AA">
      <w:start w:val="1"/>
      <w:numFmt w:val="decimal"/>
      <w:lvlText w:val="1.%1"/>
      <w:lvlJc w:val="left"/>
      <w:pPr>
        <w:ind w:left="72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9"/>
  </w:num>
  <w:num w:numId="3">
    <w:abstractNumId w:val="8"/>
  </w:num>
  <w:num w:numId="4">
    <w:abstractNumId w:val="6"/>
  </w:num>
  <w:num w:numId="5">
    <w:abstractNumId w:val="4"/>
  </w:num>
  <w:num w:numId="6">
    <w:abstractNumId w:val="7"/>
  </w:num>
  <w:num w:numId="7">
    <w:abstractNumId w:val="5"/>
  </w:num>
  <w:num w:numId="8">
    <w:abstractNumId w:val="0"/>
  </w:num>
  <w:num w:numId="9">
    <w:abstractNumId w:val="3"/>
  </w:num>
  <w:num w:numId="10">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578C"/>
    <w:rsid w:val="000040D2"/>
    <w:rsid w:val="000118C1"/>
    <w:rsid w:val="00040A92"/>
    <w:rsid w:val="0005097B"/>
    <w:rsid w:val="0005374E"/>
    <w:rsid w:val="00053A76"/>
    <w:rsid w:val="00057CA8"/>
    <w:rsid w:val="00060ACD"/>
    <w:rsid w:val="00062D9B"/>
    <w:rsid w:val="00077B71"/>
    <w:rsid w:val="00077DBA"/>
    <w:rsid w:val="0008141C"/>
    <w:rsid w:val="000849D9"/>
    <w:rsid w:val="000B4BC9"/>
    <w:rsid w:val="000B77FC"/>
    <w:rsid w:val="000D112A"/>
    <w:rsid w:val="000D3F2D"/>
    <w:rsid w:val="000E1434"/>
    <w:rsid w:val="000E68F0"/>
    <w:rsid w:val="000F2C9A"/>
    <w:rsid w:val="000F401E"/>
    <w:rsid w:val="00103CF4"/>
    <w:rsid w:val="0010436F"/>
    <w:rsid w:val="00106A9F"/>
    <w:rsid w:val="001137D5"/>
    <w:rsid w:val="0013016C"/>
    <w:rsid w:val="00130705"/>
    <w:rsid w:val="001325B8"/>
    <w:rsid w:val="001341B3"/>
    <w:rsid w:val="001343D4"/>
    <w:rsid w:val="00146A42"/>
    <w:rsid w:val="001576F5"/>
    <w:rsid w:val="00162FF7"/>
    <w:rsid w:val="0016781B"/>
    <w:rsid w:val="00175CE0"/>
    <w:rsid w:val="001878FC"/>
    <w:rsid w:val="00193851"/>
    <w:rsid w:val="001B14ED"/>
    <w:rsid w:val="001C5A27"/>
    <w:rsid w:val="001E00E3"/>
    <w:rsid w:val="001E36B8"/>
    <w:rsid w:val="001F3B63"/>
    <w:rsid w:val="00200DE1"/>
    <w:rsid w:val="00210447"/>
    <w:rsid w:val="00212BEF"/>
    <w:rsid w:val="00213E52"/>
    <w:rsid w:val="00217AF9"/>
    <w:rsid w:val="00224EC7"/>
    <w:rsid w:val="00227436"/>
    <w:rsid w:val="00244AE0"/>
    <w:rsid w:val="002454AF"/>
    <w:rsid w:val="002468E3"/>
    <w:rsid w:val="00250B66"/>
    <w:rsid w:val="0025298A"/>
    <w:rsid w:val="00261386"/>
    <w:rsid w:val="002631D6"/>
    <w:rsid w:val="00266EB2"/>
    <w:rsid w:val="00272CFD"/>
    <w:rsid w:val="00284DBF"/>
    <w:rsid w:val="002949BF"/>
    <w:rsid w:val="002A4207"/>
    <w:rsid w:val="002A4BE3"/>
    <w:rsid w:val="002A6E6E"/>
    <w:rsid w:val="002B1CE6"/>
    <w:rsid w:val="002B4081"/>
    <w:rsid w:val="002C298F"/>
    <w:rsid w:val="002C3783"/>
    <w:rsid w:val="002C5342"/>
    <w:rsid w:val="002D1AFE"/>
    <w:rsid w:val="002D4141"/>
    <w:rsid w:val="002E7587"/>
    <w:rsid w:val="002F409E"/>
    <w:rsid w:val="00302257"/>
    <w:rsid w:val="00315C1D"/>
    <w:rsid w:val="0031616F"/>
    <w:rsid w:val="00327B57"/>
    <w:rsid w:val="00337D85"/>
    <w:rsid w:val="00351730"/>
    <w:rsid w:val="00353303"/>
    <w:rsid w:val="003612DD"/>
    <w:rsid w:val="0036372D"/>
    <w:rsid w:val="00380E3F"/>
    <w:rsid w:val="00381B4F"/>
    <w:rsid w:val="00382D44"/>
    <w:rsid w:val="00383267"/>
    <w:rsid w:val="0039011A"/>
    <w:rsid w:val="00397E49"/>
    <w:rsid w:val="003A1E2D"/>
    <w:rsid w:val="003A2096"/>
    <w:rsid w:val="003A274F"/>
    <w:rsid w:val="003A7FB2"/>
    <w:rsid w:val="003C7614"/>
    <w:rsid w:val="003D0B70"/>
    <w:rsid w:val="003D59A2"/>
    <w:rsid w:val="003D77F1"/>
    <w:rsid w:val="003E2EFB"/>
    <w:rsid w:val="003E6C0F"/>
    <w:rsid w:val="003F0CB2"/>
    <w:rsid w:val="003F3AA3"/>
    <w:rsid w:val="003F46E8"/>
    <w:rsid w:val="004029AC"/>
    <w:rsid w:val="00405CA2"/>
    <w:rsid w:val="00410259"/>
    <w:rsid w:val="0041191F"/>
    <w:rsid w:val="0041512C"/>
    <w:rsid w:val="00430EA2"/>
    <w:rsid w:val="004343D6"/>
    <w:rsid w:val="00442F1A"/>
    <w:rsid w:val="00443747"/>
    <w:rsid w:val="00447ED6"/>
    <w:rsid w:val="0046563B"/>
    <w:rsid w:val="00471067"/>
    <w:rsid w:val="0047679B"/>
    <w:rsid w:val="00483A88"/>
    <w:rsid w:val="00485D6C"/>
    <w:rsid w:val="00493936"/>
    <w:rsid w:val="004950D1"/>
    <w:rsid w:val="00495EB6"/>
    <w:rsid w:val="00497105"/>
    <w:rsid w:val="004B39E0"/>
    <w:rsid w:val="004D0F09"/>
    <w:rsid w:val="004D641D"/>
    <w:rsid w:val="004D7BA6"/>
    <w:rsid w:val="00500B09"/>
    <w:rsid w:val="0051024E"/>
    <w:rsid w:val="00512555"/>
    <w:rsid w:val="00512C6B"/>
    <w:rsid w:val="00513BD4"/>
    <w:rsid w:val="00515338"/>
    <w:rsid w:val="00524EDE"/>
    <w:rsid w:val="00534AF3"/>
    <w:rsid w:val="005363CE"/>
    <w:rsid w:val="00537AA6"/>
    <w:rsid w:val="005412BA"/>
    <w:rsid w:val="005446D2"/>
    <w:rsid w:val="00547E7F"/>
    <w:rsid w:val="005526F5"/>
    <w:rsid w:val="005539AF"/>
    <w:rsid w:val="005656D8"/>
    <w:rsid w:val="00574AC6"/>
    <w:rsid w:val="00581FE4"/>
    <w:rsid w:val="00593B6B"/>
    <w:rsid w:val="00595572"/>
    <w:rsid w:val="00597995"/>
    <w:rsid w:val="005B0AD9"/>
    <w:rsid w:val="005C18F6"/>
    <w:rsid w:val="005C2643"/>
    <w:rsid w:val="005D5712"/>
    <w:rsid w:val="005E4649"/>
    <w:rsid w:val="00612A42"/>
    <w:rsid w:val="00615749"/>
    <w:rsid w:val="0064412E"/>
    <w:rsid w:val="00660D11"/>
    <w:rsid w:val="006840F1"/>
    <w:rsid w:val="006863BD"/>
    <w:rsid w:val="00693543"/>
    <w:rsid w:val="006951A0"/>
    <w:rsid w:val="00697566"/>
    <w:rsid w:val="006A0D1A"/>
    <w:rsid w:val="006B0922"/>
    <w:rsid w:val="006B4810"/>
    <w:rsid w:val="006D48D9"/>
    <w:rsid w:val="006D5F42"/>
    <w:rsid w:val="006D6F08"/>
    <w:rsid w:val="006E03A2"/>
    <w:rsid w:val="006E7DAE"/>
    <w:rsid w:val="006F247F"/>
    <w:rsid w:val="006F2940"/>
    <w:rsid w:val="006F674C"/>
    <w:rsid w:val="00731A73"/>
    <w:rsid w:val="00735799"/>
    <w:rsid w:val="00754621"/>
    <w:rsid w:val="007625F9"/>
    <w:rsid w:val="00777EB8"/>
    <w:rsid w:val="00781C34"/>
    <w:rsid w:val="0078467D"/>
    <w:rsid w:val="007977DC"/>
    <w:rsid w:val="007B24A1"/>
    <w:rsid w:val="007B6032"/>
    <w:rsid w:val="007C3103"/>
    <w:rsid w:val="007C708B"/>
    <w:rsid w:val="007F2E1C"/>
    <w:rsid w:val="007F5722"/>
    <w:rsid w:val="00804859"/>
    <w:rsid w:val="00807F8C"/>
    <w:rsid w:val="00822923"/>
    <w:rsid w:val="008244C5"/>
    <w:rsid w:val="008317E2"/>
    <w:rsid w:val="00835DCE"/>
    <w:rsid w:val="008368B9"/>
    <w:rsid w:val="008476FA"/>
    <w:rsid w:val="00854B55"/>
    <w:rsid w:val="00862F8B"/>
    <w:rsid w:val="00863BB1"/>
    <w:rsid w:val="0086532C"/>
    <w:rsid w:val="0086636F"/>
    <w:rsid w:val="0087348C"/>
    <w:rsid w:val="00875FCD"/>
    <w:rsid w:val="008813AC"/>
    <w:rsid w:val="00887646"/>
    <w:rsid w:val="00895497"/>
    <w:rsid w:val="00897DE7"/>
    <w:rsid w:val="008A0872"/>
    <w:rsid w:val="008B4380"/>
    <w:rsid w:val="008B6864"/>
    <w:rsid w:val="008B7C4F"/>
    <w:rsid w:val="008C038B"/>
    <w:rsid w:val="008C1A16"/>
    <w:rsid w:val="008D2564"/>
    <w:rsid w:val="008D5D38"/>
    <w:rsid w:val="008E3308"/>
    <w:rsid w:val="008E37C2"/>
    <w:rsid w:val="008E7C55"/>
    <w:rsid w:val="008F786B"/>
    <w:rsid w:val="00900454"/>
    <w:rsid w:val="009104EE"/>
    <w:rsid w:val="00916F73"/>
    <w:rsid w:val="0092244E"/>
    <w:rsid w:val="00933098"/>
    <w:rsid w:val="00945D57"/>
    <w:rsid w:val="00966234"/>
    <w:rsid w:val="00986EDC"/>
    <w:rsid w:val="0099051B"/>
    <w:rsid w:val="00993DF6"/>
    <w:rsid w:val="00995560"/>
    <w:rsid w:val="009A3951"/>
    <w:rsid w:val="009A58C9"/>
    <w:rsid w:val="009A7888"/>
    <w:rsid w:val="009B49BF"/>
    <w:rsid w:val="009B7EF7"/>
    <w:rsid w:val="009C1480"/>
    <w:rsid w:val="009C6A64"/>
    <w:rsid w:val="009D5722"/>
    <w:rsid w:val="009D738A"/>
    <w:rsid w:val="009E1D82"/>
    <w:rsid w:val="009E2430"/>
    <w:rsid w:val="009E6149"/>
    <w:rsid w:val="009F0445"/>
    <w:rsid w:val="009F70C1"/>
    <w:rsid w:val="00A04383"/>
    <w:rsid w:val="00A100DF"/>
    <w:rsid w:val="00A1745B"/>
    <w:rsid w:val="00A26C4E"/>
    <w:rsid w:val="00A2784E"/>
    <w:rsid w:val="00A54D4C"/>
    <w:rsid w:val="00A67F5C"/>
    <w:rsid w:val="00A70764"/>
    <w:rsid w:val="00A85987"/>
    <w:rsid w:val="00A864CE"/>
    <w:rsid w:val="00A87101"/>
    <w:rsid w:val="00A9027F"/>
    <w:rsid w:val="00A9153D"/>
    <w:rsid w:val="00A9578A"/>
    <w:rsid w:val="00AC1897"/>
    <w:rsid w:val="00AC1F4A"/>
    <w:rsid w:val="00AE686B"/>
    <w:rsid w:val="00B028FD"/>
    <w:rsid w:val="00B06A9C"/>
    <w:rsid w:val="00B1019E"/>
    <w:rsid w:val="00B11475"/>
    <w:rsid w:val="00B1385F"/>
    <w:rsid w:val="00B20D4F"/>
    <w:rsid w:val="00B2639E"/>
    <w:rsid w:val="00B31BFD"/>
    <w:rsid w:val="00B43772"/>
    <w:rsid w:val="00B708CA"/>
    <w:rsid w:val="00B70AE7"/>
    <w:rsid w:val="00B77C00"/>
    <w:rsid w:val="00B83E3C"/>
    <w:rsid w:val="00BA0A66"/>
    <w:rsid w:val="00BA7671"/>
    <w:rsid w:val="00BB0FC7"/>
    <w:rsid w:val="00BC3F0D"/>
    <w:rsid w:val="00BD6AB7"/>
    <w:rsid w:val="00BE3048"/>
    <w:rsid w:val="00BF06F7"/>
    <w:rsid w:val="00BF6007"/>
    <w:rsid w:val="00BF608B"/>
    <w:rsid w:val="00C002AA"/>
    <w:rsid w:val="00C00913"/>
    <w:rsid w:val="00C018D4"/>
    <w:rsid w:val="00C0578C"/>
    <w:rsid w:val="00C313A2"/>
    <w:rsid w:val="00C35CF6"/>
    <w:rsid w:val="00C37425"/>
    <w:rsid w:val="00C432EE"/>
    <w:rsid w:val="00C83728"/>
    <w:rsid w:val="00C84385"/>
    <w:rsid w:val="00C85DA8"/>
    <w:rsid w:val="00CC0094"/>
    <w:rsid w:val="00CC2D16"/>
    <w:rsid w:val="00CC58C1"/>
    <w:rsid w:val="00CD3B13"/>
    <w:rsid w:val="00CD769A"/>
    <w:rsid w:val="00CE24B2"/>
    <w:rsid w:val="00CE52C8"/>
    <w:rsid w:val="00CF2442"/>
    <w:rsid w:val="00CF3CA7"/>
    <w:rsid w:val="00CF40E2"/>
    <w:rsid w:val="00CF4AE8"/>
    <w:rsid w:val="00D22709"/>
    <w:rsid w:val="00D23922"/>
    <w:rsid w:val="00D23C97"/>
    <w:rsid w:val="00D3064F"/>
    <w:rsid w:val="00D43049"/>
    <w:rsid w:val="00D65466"/>
    <w:rsid w:val="00D70DD7"/>
    <w:rsid w:val="00D83A2E"/>
    <w:rsid w:val="00D83CB6"/>
    <w:rsid w:val="00D86028"/>
    <w:rsid w:val="00D86999"/>
    <w:rsid w:val="00D9153A"/>
    <w:rsid w:val="00DB3F99"/>
    <w:rsid w:val="00DB7CBA"/>
    <w:rsid w:val="00DD1DFE"/>
    <w:rsid w:val="00DD458F"/>
    <w:rsid w:val="00DF5442"/>
    <w:rsid w:val="00E021AB"/>
    <w:rsid w:val="00E056DA"/>
    <w:rsid w:val="00E06129"/>
    <w:rsid w:val="00E15B01"/>
    <w:rsid w:val="00E175C0"/>
    <w:rsid w:val="00E2020C"/>
    <w:rsid w:val="00E33051"/>
    <w:rsid w:val="00E3691D"/>
    <w:rsid w:val="00E5200B"/>
    <w:rsid w:val="00E54CF2"/>
    <w:rsid w:val="00E556B2"/>
    <w:rsid w:val="00E568E4"/>
    <w:rsid w:val="00E66917"/>
    <w:rsid w:val="00E676FF"/>
    <w:rsid w:val="00E73F40"/>
    <w:rsid w:val="00E74315"/>
    <w:rsid w:val="00E747A7"/>
    <w:rsid w:val="00E9391F"/>
    <w:rsid w:val="00EB1952"/>
    <w:rsid w:val="00ED06C4"/>
    <w:rsid w:val="00EE33B7"/>
    <w:rsid w:val="00EE60E3"/>
    <w:rsid w:val="00F0223C"/>
    <w:rsid w:val="00F14B45"/>
    <w:rsid w:val="00F17DBD"/>
    <w:rsid w:val="00F24510"/>
    <w:rsid w:val="00F26821"/>
    <w:rsid w:val="00F44041"/>
    <w:rsid w:val="00F45ECB"/>
    <w:rsid w:val="00F541BE"/>
    <w:rsid w:val="00F82B10"/>
    <w:rsid w:val="00F8440C"/>
    <w:rsid w:val="00F85DEC"/>
    <w:rsid w:val="00FA061C"/>
    <w:rsid w:val="00FA3665"/>
    <w:rsid w:val="00FA6998"/>
    <w:rsid w:val="00FC14AC"/>
    <w:rsid w:val="00FC7EA1"/>
    <w:rsid w:val="00FE5DCC"/>
    <w:rsid w:val="00FF02A9"/>
    <w:rsid w:val="00FF15DD"/>
    <w:rsid w:val="00FF2287"/>
    <w:rsid w:val="00FF24E1"/>
    <w:rsid w:val="00FF2BA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7"/>
    <o:shapelayout v:ext="edit">
      <o:idmap v:ext="edit" data="1"/>
      <o:rules v:ext="edit">
        <o:r id="V:Rule5" type="connector" idref="#Conector de seta reta 8"/>
        <o:r id="V:Rule6" type="connector" idref="#Conector de seta reta 11"/>
        <o:r id="V:Rule7" type="connector" idref="#Conector de seta reta 10"/>
        <o:r id="V:Rule8" type="connector" idref="#_x0000_s1058"/>
        <o:r id="V:Rule9" type="connector" idref="#Conector reto 6"/>
        <o:r id="V:Rule10" type="connector" idref="#Conector reto 4"/>
        <o:r id="V:Rule11" type="connector" idref="#Conector reto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578C"/>
    <w:rPr>
      <w:rFonts w:eastAsia="Calibri"/>
      <w:sz w:val="24"/>
      <w:szCs w:val="24"/>
      <w:lang w:val="es-ES" w:eastAsia="es-ES"/>
    </w:rPr>
  </w:style>
  <w:style w:type="paragraph" w:styleId="Heading1">
    <w:name w:val="heading 1"/>
    <w:basedOn w:val="Normal"/>
    <w:next w:val="Normal"/>
    <w:link w:val="Heading1Char"/>
    <w:qFormat/>
    <w:rsid w:val="00A26C4E"/>
    <w:pPr>
      <w:keepNext/>
      <w:numPr>
        <w:numId w:val="1"/>
      </w:numPr>
      <w:jc w:val="center"/>
      <w:outlineLvl w:val="0"/>
    </w:pPr>
    <w:rPr>
      <w:rFonts w:ascii="Arial" w:eastAsia="Times New Roman" w:hAnsi="Arial" w:cs="Arial"/>
      <w:b/>
      <w:bCs/>
      <w:lang w:val="pt-BR" w:eastAsia="pt-BR"/>
    </w:rPr>
  </w:style>
  <w:style w:type="paragraph" w:styleId="Heading2">
    <w:name w:val="heading 2"/>
    <w:basedOn w:val="Normal"/>
    <w:next w:val="Normal"/>
    <w:link w:val="Heading2Char"/>
    <w:qFormat/>
    <w:rsid w:val="00A26C4E"/>
    <w:pPr>
      <w:keepNext/>
      <w:numPr>
        <w:ilvl w:val="1"/>
        <w:numId w:val="1"/>
      </w:numPr>
      <w:tabs>
        <w:tab w:val="left" w:pos="7560"/>
      </w:tabs>
      <w:jc w:val="center"/>
      <w:outlineLvl w:val="1"/>
    </w:pPr>
    <w:rPr>
      <w:rFonts w:ascii="Arial" w:eastAsia="Times New Roman" w:hAnsi="Arial"/>
      <w:b/>
      <w:bCs/>
      <w:sz w:val="20"/>
      <w:lang w:val="pt-BR" w:eastAsia="pt-BR"/>
    </w:rPr>
  </w:style>
  <w:style w:type="paragraph" w:styleId="Heading3">
    <w:name w:val="heading 3"/>
    <w:basedOn w:val="Normal"/>
    <w:next w:val="Normal"/>
    <w:link w:val="Heading3Char"/>
    <w:qFormat/>
    <w:rsid w:val="00A26C4E"/>
    <w:pPr>
      <w:keepNext/>
      <w:numPr>
        <w:ilvl w:val="2"/>
        <w:numId w:val="1"/>
      </w:numPr>
      <w:jc w:val="center"/>
      <w:outlineLvl w:val="2"/>
    </w:pPr>
    <w:rPr>
      <w:rFonts w:ascii="Arial" w:eastAsia="Times New Roman" w:hAnsi="Arial" w:cs="Arial"/>
      <w:b/>
      <w:bCs/>
      <w:sz w:val="18"/>
      <w:szCs w:val="20"/>
      <w:lang w:val="pt-BR" w:eastAsia="pt-BR"/>
    </w:rPr>
  </w:style>
  <w:style w:type="paragraph" w:styleId="Heading4">
    <w:name w:val="heading 4"/>
    <w:basedOn w:val="Normal"/>
    <w:next w:val="Normal"/>
    <w:qFormat/>
    <w:rsid w:val="00E021AB"/>
    <w:pPr>
      <w:keepNext/>
      <w:numPr>
        <w:ilvl w:val="3"/>
        <w:numId w:val="1"/>
      </w:numPr>
      <w:spacing w:before="240" w:after="60"/>
      <w:outlineLvl w:val="3"/>
    </w:pPr>
    <w:rPr>
      <w:b/>
      <w:bCs/>
      <w:sz w:val="28"/>
      <w:szCs w:val="28"/>
    </w:rPr>
  </w:style>
  <w:style w:type="paragraph" w:styleId="Heading5">
    <w:name w:val="heading 5"/>
    <w:basedOn w:val="Normal"/>
    <w:next w:val="Normal"/>
    <w:qFormat/>
    <w:rsid w:val="00E021AB"/>
    <w:pPr>
      <w:numPr>
        <w:ilvl w:val="4"/>
        <w:numId w:val="1"/>
      </w:numPr>
      <w:spacing w:before="240" w:after="60"/>
      <w:outlineLvl w:val="4"/>
    </w:pPr>
    <w:rPr>
      <w:b/>
      <w:bCs/>
      <w:i/>
      <w:iCs/>
      <w:sz w:val="26"/>
      <w:szCs w:val="26"/>
    </w:rPr>
  </w:style>
  <w:style w:type="paragraph" w:styleId="Heading6">
    <w:name w:val="heading 6"/>
    <w:basedOn w:val="Normal"/>
    <w:next w:val="Normal"/>
    <w:qFormat/>
    <w:rsid w:val="00E021AB"/>
    <w:pPr>
      <w:numPr>
        <w:ilvl w:val="5"/>
        <w:numId w:val="1"/>
      </w:numPr>
      <w:spacing w:before="240" w:after="60"/>
      <w:outlineLvl w:val="5"/>
    </w:pPr>
    <w:rPr>
      <w:b/>
      <w:bCs/>
      <w:sz w:val="22"/>
      <w:szCs w:val="22"/>
    </w:rPr>
  </w:style>
  <w:style w:type="paragraph" w:styleId="Heading7">
    <w:name w:val="heading 7"/>
    <w:basedOn w:val="Normal"/>
    <w:next w:val="Normal"/>
    <w:qFormat/>
    <w:rsid w:val="00E021AB"/>
    <w:pPr>
      <w:numPr>
        <w:ilvl w:val="6"/>
        <w:numId w:val="1"/>
      </w:numPr>
      <w:spacing w:before="240" w:after="60"/>
      <w:outlineLvl w:val="6"/>
    </w:pPr>
  </w:style>
  <w:style w:type="paragraph" w:styleId="Heading8">
    <w:name w:val="heading 8"/>
    <w:basedOn w:val="Normal"/>
    <w:next w:val="Normal"/>
    <w:qFormat/>
    <w:rsid w:val="00E021AB"/>
    <w:pPr>
      <w:numPr>
        <w:ilvl w:val="7"/>
        <w:numId w:val="1"/>
      </w:numPr>
      <w:spacing w:before="240" w:after="60"/>
      <w:outlineLvl w:val="7"/>
    </w:pPr>
    <w:rPr>
      <w:i/>
      <w:iCs/>
    </w:rPr>
  </w:style>
  <w:style w:type="paragraph" w:styleId="Heading9">
    <w:name w:val="heading 9"/>
    <w:basedOn w:val="Normal"/>
    <w:next w:val="Normal"/>
    <w:qFormat/>
    <w:rsid w:val="00E021A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0578C"/>
    <w:pPr>
      <w:spacing w:after="120"/>
    </w:pPr>
  </w:style>
  <w:style w:type="character" w:customStyle="1" w:styleId="BodyTextChar">
    <w:name w:val="Body Text Char"/>
    <w:link w:val="BodyText"/>
    <w:locked/>
    <w:rsid w:val="00C0578C"/>
    <w:rPr>
      <w:rFonts w:eastAsia="Calibri"/>
      <w:sz w:val="24"/>
      <w:szCs w:val="24"/>
      <w:lang w:val="es-ES" w:eastAsia="es-ES" w:bidi="ar-SA"/>
    </w:rPr>
  </w:style>
  <w:style w:type="paragraph" w:customStyle="1" w:styleId="Newpage">
    <w:name w:val="Newpage"/>
    <w:basedOn w:val="Normal"/>
    <w:rsid w:val="00C0578C"/>
    <w:pPr>
      <w:tabs>
        <w:tab w:val="left" w:pos="3060"/>
      </w:tabs>
      <w:jc w:val="center"/>
    </w:pPr>
    <w:rPr>
      <w:b/>
      <w:smallCaps/>
      <w:szCs w:val="20"/>
      <w:lang w:eastAsia="en-US"/>
    </w:rPr>
  </w:style>
  <w:style w:type="paragraph" w:styleId="ListParagraph">
    <w:name w:val="List Paragraph"/>
    <w:basedOn w:val="Normal"/>
    <w:qFormat/>
    <w:rsid w:val="00C0578C"/>
    <w:pPr>
      <w:spacing w:after="200" w:line="276" w:lineRule="auto"/>
      <w:ind w:left="720"/>
      <w:contextualSpacing/>
    </w:pPr>
    <w:rPr>
      <w:rFonts w:ascii="Calibri" w:eastAsia="Times New Roman" w:hAnsi="Calibri"/>
      <w:sz w:val="22"/>
      <w:szCs w:val="22"/>
      <w:lang w:eastAsia="en-US"/>
    </w:rPr>
  </w:style>
  <w:style w:type="character" w:customStyle="1" w:styleId="Heading1Char">
    <w:name w:val="Heading 1 Char"/>
    <w:link w:val="Heading1"/>
    <w:rsid w:val="00A26C4E"/>
    <w:rPr>
      <w:rFonts w:ascii="Arial" w:hAnsi="Arial" w:cs="Arial"/>
      <w:b/>
      <w:bCs/>
      <w:sz w:val="24"/>
      <w:szCs w:val="24"/>
    </w:rPr>
  </w:style>
  <w:style w:type="character" w:customStyle="1" w:styleId="Heading2Char">
    <w:name w:val="Heading 2 Char"/>
    <w:link w:val="Heading2"/>
    <w:rsid w:val="00A26C4E"/>
    <w:rPr>
      <w:rFonts w:ascii="Arial" w:hAnsi="Arial"/>
      <w:b/>
      <w:bCs/>
      <w:szCs w:val="24"/>
    </w:rPr>
  </w:style>
  <w:style w:type="character" w:customStyle="1" w:styleId="Heading3Char">
    <w:name w:val="Heading 3 Char"/>
    <w:link w:val="Heading3"/>
    <w:rsid w:val="00A26C4E"/>
    <w:rPr>
      <w:rFonts w:ascii="Arial" w:hAnsi="Arial" w:cs="Arial"/>
      <w:b/>
      <w:bCs/>
      <w:sz w:val="18"/>
    </w:rPr>
  </w:style>
  <w:style w:type="paragraph" w:styleId="FootnoteText">
    <w:name w:val="footnote text"/>
    <w:basedOn w:val="Normal"/>
    <w:link w:val="FootnoteTextChar"/>
    <w:rsid w:val="00A26C4E"/>
    <w:rPr>
      <w:rFonts w:eastAsia="Times New Roman"/>
      <w:sz w:val="20"/>
      <w:szCs w:val="20"/>
      <w:lang w:val="pt-BR" w:eastAsia="pt-BR"/>
    </w:rPr>
  </w:style>
  <w:style w:type="character" w:customStyle="1" w:styleId="FootnoteTextChar">
    <w:name w:val="Footnote Text Char"/>
    <w:basedOn w:val="DefaultParagraphFont"/>
    <w:link w:val="FootnoteText"/>
    <w:rsid w:val="00A26C4E"/>
  </w:style>
  <w:style w:type="character" w:styleId="FootnoteReference">
    <w:name w:val="footnote reference"/>
    <w:rsid w:val="00A26C4E"/>
    <w:rPr>
      <w:vertAlign w:val="superscript"/>
    </w:rPr>
  </w:style>
  <w:style w:type="paragraph" w:styleId="Header">
    <w:name w:val="header"/>
    <w:basedOn w:val="Normal"/>
    <w:link w:val="HeaderChar"/>
    <w:rsid w:val="00A26C4E"/>
    <w:pPr>
      <w:tabs>
        <w:tab w:val="center" w:pos="4513"/>
        <w:tab w:val="right" w:pos="9026"/>
      </w:tabs>
    </w:pPr>
  </w:style>
  <w:style w:type="character" w:customStyle="1" w:styleId="HeaderChar">
    <w:name w:val="Header Char"/>
    <w:link w:val="Header"/>
    <w:rsid w:val="00A26C4E"/>
    <w:rPr>
      <w:rFonts w:eastAsia="Calibri"/>
      <w:sz w:val="24"/>
      <w:szCs w:val="24"/>
      <w:lang w:val="es-ES" w:eastAsia="es-ES"/>
    </w:rPr>
  </w:style>
  <w:style w:type="paragraph" w:styleId="Footer">
    <w:name w:val="footer"/>
    <w:basedOn w:val="Normal"/>
    <w:link w:val="FooterChar"/>
    <w:uiPriority w:val="99"/>
    <w:rsid w:val="00A26C4E"/>
    <w:pPr>
      <w:tabs>
        <w:tab w:val="center" w:pos="4513"/>
        <w:tab w:val="right" w:pos="9026"/>
      </w:tabs>
    </w:pPr>
  </w:style>
  <w:style w:type="character" w:customStyle="1" w:styleId="FooterChar">
    <w:name w:val="Footer Char"/>
    <w:link w:val="Footer"/>
    <w:uiPriority w:val="99"/>
    <w:rsid w:val="00A26C4E"/>
    <w:rPr>
      <w:rFonts w:eastAsia="Calibri"/>
      <w:sz w:val="24"/>
      <w:szCs w:val="24"/>
      <w:lang w:val="es-ES" w:eastAsia="es-ES"/>
    </w:rPr>
  </w:style>
  <w:style w:type="paragraph" w:styleId="BalloonText">
    <w:name w:val="Balloon Text"/>
    <w:basedOn w:val="Normal"/>
    <w:link w:val="BalloonTextChar1"/>
    <w:rsid w:val="00A26C4E"/>
    <w:rPr>
      <w:rFonts w:ascii="Tahoma" w:hAnsi="Tahoma" w:cs="Tahoma"/>
      <w:sz w:val="16"/>
      <w:szCs w:val="16"/>
    </w:rPr>
  </w:style>
  <w:style w:type="character" w:customStyle="1" w:styleId="BalloonTextChar1">
    <w:name w:val="Balloon Text Char1"/>
    <w:link w:val="BalloonText"/>
    <w:rsid w:val="00A26C4E"/>
    <w:rPr>
      <w:rFonts w:ascii="Tahoma" w:eastAsia="Calibri" w:hAnsi="Tahoma" w:cs="Tahoma"/>
      <w:sz w:val="16"/>
      <w:szCs w:val="16"/>
      <w:lang w:val="es-ES" w:eastAsia="es-ES"/>
    </w:rPr>
  </w:style>
  <w:style w:type="paragraph" w:styleId="EndnoteText">
    <w:name w:val="endnote text"/>
    <w:basedOn w:val="Normal"/>
    <w:link w:val="EndnoteTextChar"/>
    <w:rsid w:val="00040A92"/>
    <w:rPr>
      <w:sz w:val="20"/>
      <w:szCs w:val="20"/>
    </w:rPr>
  </w:style>
  <w:style w:type="character" w:customStyle="1" w:styleId="EndnoteTextChar">
    <w:name w:val="Endnote Text Char"/>
    <w:link w:val="EndnoteText"/>
    <w:rsid w:val="00040A92"/>
    <w:rPr>
      <w:rFonts w:eastAsia="Calibri"/>
      <w:lang w:val="es-ES" w:eastAsia="es-ES"/>
    </w:rPr>
  </w:style>
  <w:style w:type="character" w:styleId="EndnoteReference">
    <w:name w:val="endnote reference"/>
    <w:rsid w:val="00040A92"/>
    <w:rPr>
      <w:vertAlign w:val="superscript"/>
    </w:rPr>
  </w:style>
  <w:style w:type="character" w:customStyle="1" w:styleId="BalloonTextChar">
    <w:name w:val="Balloon Text Char"/>
    <w:locked/>
    <w:rsid w:val="008C038B"/>
    <w:rPr>
      <w:rFonts w:ascii="Tahoma" w:hAnsi="Tahoma" w:cs="Tahoma"/>
      <w:sz w:val="16"/>
      <w:szCs w:val="16"/>
    </w:rPr>
  </w:style>
  <w:style w:type="paragraph" w:styleId="TOC1">
    <w:name w:val="toc 1"/>
    <w:basedOn w:val="Normal"/>
    <w:next w:val="Normal"/>
    <w:autoRedefine/>
    <w:uiPriority w:val="39"/>
    <w:rsid w:val="00A04383"/>
  </w:style>
  <w:style w:type="paragraph" w:styleId="TOC2">
    <w:name w:val="toc 2"/>
    <w:basedOn w:val="Normal"/>
    <w:next w:val="Normal"/>
    <w:autoRedefine/>
    <w:uiPriority w:val="39"/>
    <w:rsid w:val="00A04383"/>
    <w:pPr>
      <w:ind w:left="240"/>
    </w:pPr>
  </w:style>
  <w:style w:type="paragraph" w:styleId="TOC3">
    <w:name w:val="toc 3"/>
    <w:basedOn w:val="Normal"/>
    <w:next w:val="Normal"/>
    <w:autoRedefine/>
    <w:uiPriority w:val="39"/>
    <w:rsid w:val="00A04383"/>
    <w:pPr>
      <w:ind w:left="480"/>
    </w:pPr>
  </w:style>
  <w:style w:type="character" w:styleId="Hyperlink">
    <w:name w:val="Hyperlink"/>
    <w:uiPriority w:val="99"/>
    <w:rsid w:val="00A04383"/>
    <w:rPr>
      <w:color w:val="0000FF"/>
      <w:u w:val="single"/>
    </w:rPr>
  </w:style>
  <w:style w:type="character" w:styleId="Emphasis">
    <w:name w:val="Emphasis"/>
    <w:qFormat/>
    <w:rsid w:val="00735799"/>
    <w:rPr>
      <w:i/>
      <w:iCs/>
    </w:rPr>
  </w:style>
  <w:style w:type="paragraph" w:customStyle="1" w:styleId="Chapter">
    <w:name w:val="Chapter"/>
    <w:basedOn w:val="Normal"/>
    <w:rsid w:val="00513BD4"/>
  </w:style>
  <w:style w:type="paragraph" w:customStyle="1" w:styleId="Paragraph">
    <w:name w:val="Paragraph"/>
    <w:basedOn w:val="Normal"/>
    <w:rsid w:val="00513BD4"/>
    <w:pPr>
      <w:numPr>
        <w:ilvl w:val="1"/>
        <w:numId w:val="3"/>
      </w:numPr>
    </w:pPr>
  </w:style>
  <w:style w:type="paragraph" w:customStyle="1" w:styleId="subpar">
    <w:name w:val="subpar"/>
    <w:basedOn w:val="Normal"/>
    <w:rsid w:val="00513BD4"/>
    <w:pPr>
      <w:numPr>
        <w:ilvl w:val="2"/>
        <w:numId w:val="3"/>
      </w:numPr>
    </w:pPr>
  </w:style>
  <w:style w:type="paragraph" w:customStyle="1" w:styleId="SubSubPar">
    <w:name w:val="SubSubPar"/>
    <w:basedOn w:val="Normal"/>
    <w:rsid w:val="00513BD4"/>
    <w:pPr>
      <w:numPr>
        <w:ilvl w:val="3"/>
        <w:numId w:val="3"/>
      </w:numPr>
    </w:pPr>
  </w:style>
  <w:style w:type="paragraph" w:styleId="NormalWeb">
    <w:name w:val="Normal (Web)"/>
    <w:basedOn w:val="Normal"/>
    <w:uiPriority w:val="99"/>
    <w:unhideWhenUsed/>
    <w:rsid w:val="003D0B70"/>
    <w:pPr>
      <w:spacing w:before="100" w:beforeAutospacing="1" w:after="100" w:afterAutospacing="1"/>
    </w:pPr>
    <w:rPr>
      <w:rFonts w:eastAsia="Times New Roman"/>
      <w:lang w:val="pt-BR" w:eastAsia="pt-BR"/>
    </w:rPr>
  </w:style>
</w:styles>
</file>

<file path=word/webSettings.xml><?xml version="1.0" encoding="utf-8"?>
<w:webSettings xmlns:r="http://schemas.openxmlformats.org/officeDocument/2006/relationships" xmlns:w="http://schemas.openxmlformats.org/wordprocessingml/2006/main">
  <w:divs>
    <w:div w:id="243877881">
      <w:bodyDiv w:val="1"/>
      <w:marLeft w:val="0"/>
      <w:marRight w:val="0"/>
      <w:marTop w:val="0"/>
      <w:marBottom w:val="0"/>
      <w:divBdr>
        <w:top w:val="none" w:sz="0" w:space="0" w:color="auto"/>
        <w:left w:val="none" w:sz="0" w:space="0" w:color="auto"/>
        <w:bottom w:val="none" w:sz="0" w:space="0" w:color="auto"/>
        <w:right w:val="none" w:sz="0" w:space="0" w:color="auto"/>
      </w:divBdr>
    </w:div>
    <w:div w:id="428623322">
      <w:bodyDiv w:val="1"/>
      <w:marLeft w:val="0"/>
      <w:marRight w:val="0"/>
      <w:marTop w:val="0"/>
      <w:marBottom w:val="0"/>
      <w:divBdr>
        <w:top w:val="none" w:sz="0" w:space="0" w:color="auto"/>
        <w:left w:val="none" w:sz="0" w:space="0" w:color="auto"/>
        <w:bottom w:val="none" w:sz="0" w:space="0" w:color="auto"/>
        <w:right w:val="none" w:sz="0" w:space="0" w:color="auto"/>
      </w:divBdr>
    </w:div>
    <w:div w:id="626397118">
      <w:bodyDiv w:val="1"/>
      <w:marLeft w:val="0"/>
      <w:marRight w:val="0"/>
      <w:marTop w:val="0"/>
      <w:marBottom w:val="0"/>
      <w:divBdr>
        <w:top w:val="none" w:sz="0" w:space="0" w:color="auto"/>
        <w:left w:val="none" w:sz="0" w:space="0" w:color="auto"/>
        <w:bottom w:val="none" w:sz="0" w:space="0" w:color="auto"/>
        <w:right w:val="none" w:sz="0" w:space="0" w:color="auto"/>
      </w:divBdr>
    </w:div>
    <w:div w:id="943852066">
      <w:bodyDiv w:val="1"/>
      <w:marLeft w:val="0"/>
      <w:marRight w:val="0"/>
      <w:marTop w:val="0"/>
      <w:marBottom w:val="0"/>
      <w:divBdr>
        <w:top w:val="none" w:sz="0" w:space="0" w:color="auto"/>
        <w:left w:val="none" w:sz="0" w:space="0" w:color="auto"/>
        <w:bottom w:val="none" w:sz="0" w:space="0" w:color="auto"/>
        <w:right w:val="none" w:sz="0" w:space="0" w:color="auto"/>
      </w:divBdr>
    </w:div>
    <w:div w:id="1142964877">
      <w:bodyDiv w:val="1"/>
      <w:marLeft w:val="0"/>
      <w:marRight w:val="0"/>
      <w:marTop w:val="0"/>
      <w:marBottom w:val="0"/>
      <w:divBdr>
        <w:top w:val="none" w:sz="0" w:space="0" w:color="auto"/>
        <w:left w:val="none" w:sz="0" w:space="0" w:color="auto"/>
        <w:bottom w:val="none" w:sz="0" w:space="0" w:color="auto"/>
        <w:right w:val="none" w:sz="0" w:space="0" w:color="auto"/>
      </w:divBdr>
    </w:div>
    <w:div w:id="1191260825">
      <w:bodyDiv w:val="1"/>
      <w:marLeft w:val="0"/>
      <w:marRight w:val="0"/>
      <w:marTop w:val="0"/>
      <w:marBottom w:val="0"/>
      <w:divBdr>
        <w:top w:val="none" w:sz="0" w:space="0" w:color="auto"/>
        <w:left w:val="none" w:sz="0" w:space="0" w:color="auto"/>
        <w:bottom w:val="none" w:sz="0" w:space="0" w:color="auto"/>
        <w:right w:val="none" w:sz="0" w:space="0" w:color="auto"/>
      </w:divBdr>
    </w:div>
    <w:div w:id="1492988467">
      <w:bodyDiv w:val="1"/>
      <w:marLeft w:val="0"/>
      <w:marRight w:val="0"/>
      <w:marTop w:val="0"/>
      <w:marBottom w:val="0"/>
      <w:divBdr>
        <w:top w:val="none" w:sz="0" w:space="0" w:color="auto"/>
        <w:left w:val="none" w:sz="0" w:space="0" w:color="auto"/>
        <w:bottom w:val="none" w:sz="0" w:space="0" w:color="auto"/>
        <w:right w:val="none" w:sz="0" w:space="0" w:color="auto"/>
      </w:divBdr>
    </w:div>
    <w:div w:id="1517424684">
      <w:bodyDiv w:val="1"/>
      <w:marLeft w:val="0"/>
      <w:marRight w:val="0"/>
      <w:marTop w:val="0"/>
      <w:marBottom w:val="0"/>
      <w:divBdr>
        <w:top w:val="none" w:sz="0" w:space="0" w:color="auto"/>
        <w:left w:val="none" w:sz="0" w:space="0" w:color="auto"/>
        <w:bottom w:val="none" w:sz="0" w:space="0" w:color="auto"/>
        <w:right w:val="none" w:sz="0" w:space="0" w:color="auto"/>
      </w:divBdr>
    </w:div>
    <w:div w:id="1634291054">
      <w:bodyDiv w:val="1"/>
      <w:marLeft w:val="0"/>
      <w:marRight w:val="0"/>
      <w:marTop w:val="0"/>
      <w:marBottom w:val="0"/>
      <w:divBdr>
        <w:top w:val="none" w:sz="0" w:space="0" w:color="auto"/>
        <w:left w:val="none" w:sz="0" w:space="0" w:color="auto"/>
        <w:bottom w:val="none" w:sz="0" w:space="0" w:color="auto"/>
        <w:right w:val="none" w:sz="0" w:space="0" w:color="auto"/>
      </w:divBdr>
    </w:div>
    <w:div w:id="1716782017">
      <w:bodyDiv w:val="1"/>
      <w:marLeft w:val="0"/>
      <w:marRight w:val="0"/>
      <w:marTop w:val="0"/>
      <w:marBottom w:val="0"/>
      <w:divBdr>
        <w:top w:val="none" w:sz="0" w:space="0" w:color="auto"/>
        <w:left w:val="none" w:sz="0" w:space="0" w:color="auto"/>
        <w:bottom w:val="none" w:sz="0" w:space="0" w:color="auto"/>
        <w:right w:val="none" w:sz="0" w:space="0" w:color="auto"/>
      </w:divBdr>
    </w:div>
    <w:div w:id="1736468988">
      <w:bodyDiv w:val="1"/>
      <w:marLeft w:val="0"/>
      <w:marRight w:val="0"/>
      <w:marTop w:val="0"/>
      <w:marBottom w:val="0"/>
      <w:divBdr>
        <w:top w:val="none" w:sz="0" w:space="0" w:color="auto"/>
        <w:left w:val="none" w:sz="0" w:space="0" w:color="auto"/>
        <w:bottom w:val="none" w:sz="0" w:space="0" w:color="auto"/>
        <w:right w:val="none" w:sz="0" w:space="0" w:color="auto"/>
      </w:divBdr>
    </w:div>
    <w:div w:id="1867281557">
      <w:bodyDiv w:val="1"/>
      <w:marLeft w:val="0"/>
      <w:marRight w:val="0"/>
      <w:marTop w:val="0"/>
      <w:marBottom w:val="0"/>
      <w:divBdr>
        <w:top w:val="none" w:sz="0" w:space="0" w:color="auto"/>
        <w:left w:val="none" w:sz="0" w:space="0" w:color="auto"/>
        <w:bottom w:val="none" w:sz="0" w:space="0" w:color="auto"/>
        <w:right w:val="none" w:sz="0" w:space="0" w:color="auto"/>
      </w:divBdr>
    </w:div>
    <w:div w:id="1890993918">
      <w:bodyDiv w:val="1"/>
      <w:marLeft w:val="0"/>
      <w:marRight w:val="0"/>
      <w:marTop w:val="0"/>
      <w:marBottom w:val="0"/>
      <w:divBdr>
        <w:top w:val="none" w:sz="0" w:space="0" w:color="auto"/>
        <w:left w:val="none" w:sz="0" w:space="0" w:color="auto"/>
        <w:bottom w:val="none" w:sz="0" w:space="0" w:color="auto"/>
        <w:right w:val="none" w:sz="0" w:space="0" w:color="auto"/>
      </w:divBdr>
    </w:div>
    <w:div w:id="2022508093">
      <w:bodyDiv w:val="1"/>
      <w:marLeft w:val="0"/>
      <w:marRight w:val="0"/>
      <w:marTop w:val="0"/>
      <w:marBottom w:val="0"/>
      <w:divBdr>
        <w:top w:val="none" w:sz="0" w:space="0" w:color="auto"/>
        <w:left w:val="none" w:sz="0" w:space="0" w:color="auto"/>
        <w:bottom w:val="none" w:sz="0" w:space="0" w:color="auto"/>
        <w:right w:val="none" w:sz="0" w:space="0" w:color="auto"/>
      </w:divBdr>
    </w:div>
    <w:div w:id="213667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theme" Target="theme/theme1.xml"/><Relationship Id="rId28" Type="http://schemas.openxmlformats.org/officeDocument/2006/relationships/customXml" Target="../customXml/item6.xml"/><Relationship Id="rId10" Type="http://schemas.openxmlformats.org/officeDocument/2006/relationships/oleObject" Target="embeddings/oleObject1.bin"/><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ntTable" Target="fontTable.xml"/><Relationship Id="rId27"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36767197</IDBDocs_x0020_Number>
    <TaxCatchAll xmlns="9c571b2f-e523-4ab2-ba2e-09e151a03ef4">
      <Value>17</Value>
      <Value>11</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Perez Alfaro, Marcelo A.</Document_x0020_Author>
    <e559ffcc31d34167856647188be35015 xmlns="9c571b2f-e523-4ab2-ba2e-09e151a03ef4">
      <Terms xmlns="http://schemas.microsoft.com/office/infopath/2007/PartnerControls"/>
    </e559ffcc31d34167856647188be35015>
    <Fiscal_x0020_Year_x0020_IDB xmlns="9c571b2f-e523-4ab2-ba2e-09e151a03ef4">2010</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BR-L1329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Whole&lt;/APPROVAL_DESC&gt;&lt;PD_OBJ_TYPE&gt;0&lt;/PD_OBJ_TYPE&gt;&lt;MAKERECORD&gt;N&lt;/MAKERECORD&gt;&lt;PD_FILEPT_NO&gt;PO-BR-L1329-Plan&lt;/PD_FILEPT_NO&gt;&lt;/Data&gt;</Migration_x0020_Info>
    <Operation_x0020_Type xmlns="9c571b2f-e523-4ab2-ba2e-09e151a03ef4" xsi:nil="true"/>
    <Document_x0020_Language_x0020_IDB xmlns="9c571b2f-e523-4ab2-ba2e-09e151a03ef4">Portuguese</Document_x0020_Language_x0020_IDB>
    <Identifier xmlns="9c571b2f-e523-4ab2-ba2e-09e151a03ef4"> ANNEX</Identifier>
    <Disclosure_x0020_Activity xmlns="9c571b2f-e523-4ab2-ba2e-09e151a03ef4">Loan Proposal</Disclosure_x0020_Activity>
    <Webtopic xmlns="9c571b2f-e523-4ab2-ba2e-09e151a03ef4">ED-EDP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b:Sources xmlns:b="http://schemas.openxmlformats.org/officeDocument/2006/bibliography" xmlns="http://schemas.openxmlformats.org/officeDocument/2006/bibliography" SelectedStyle="\CHICAGO.XSL" StyleName="Chicago"/>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C34E871F0860A42AF82BD588A03BCE4" ma:contentTypeVersion="0" ma:contentTypeDescription="A content type to manage public (operations) IDB documents" ma:contentTypeScope="" ma:versionID="51dd5c8bd1f9c7b8ad9456eeb11f9e23">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DD241A-3B3A-4B3B-B108-699FE2CBE534}"/>
</file>

<file path=customXml/itemProps2.xml><?xml version="1.0" encoding="utf-8"?>
<ds:datastoreItem xmlns:ds="http://schemas.openxmlformats.org/officeDocument/2006/customXml" ds:itemID="{026258A5-E6D0-476A-A30E-06C4E9132476}"/>
</file>

<file path=customXml/itemProps3.xml><?xml version="1.0" encoding="utf-8"?>
<ds:datastoreItem xmlns:ds="http://schemas.openxmlformats.org/officeDocument/2006/customXml" ds:itemID="{59D70906-7449-4C8D-8535-D3C792A99081}"/>
</file>

<file path=customXml/itemProps4.xml><?xml version="1.0" encoding="utf-8"?>
<ds:datastoreItem xmlns:ds="http://schemas.openxmlformats.org/officeDocument/2006/customXml" ds:itemID="{7CF37878-42D0-41F7-9D07-2EEC7C4A26AF}"/>
</file>

<file path=customXml/itemProps5.xml><?xml version="1.0" encoding="utf-8"?>
<ds:datastoreItem xmlns:ds="http://schemas.openxmlformats.org/officeDocument/2006/customXml" ds:itemID="{4F44F03E-C97F-4493-AFAD-0D62F2D44B49}"/>
</file>

<file path=customXml/itemProps6.xml><?xml version="1.0" encoding="utf-8"?>
<ds:datastoreItem xmlns:ds="http://schemas.openxmlformats.org/officeDocument/2006/customXml" ds:itemID="{112812DB-765B-4D35-A870-6731DB1FE612}"/>
</file>

<file path=docProps/app.xml><?xml version="1.0" encoding="utf-8"?>
<Properties xmlns="http://schemas.openxmlformats.org/officeDocument/2006/extended-properties" xmlns:vt="http://schemas.openxmlformats.org/officeDocument/2006/docPropsVTypes">
  <Template>Normal.dotm</Template>
  <TotalTime>120</TotalTime>
  <Pages>20</Pages>
  <Words>6764</Words>
  <Characters>37975</Characters>
  <Application>Microsoft Office Word</Application>
  <DocSecurity>0</DocSecurity>
  <Lines>316</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BRASIL</vt:lpstr>
      <vt:lpstr>BRASIL</vt:lpstr>
    </vt:vector>
  </TitlesOfParts>
  <Company>USP</Company>
  <LinksUpToDate>false</LinksUpToDate>
  <CharactersWithSpaces>44650</CharactersWithSpaces>
  <SharedDoc>false</SharedDoc>
  <HLinks>
    <vt:vector size="108" baseType="variant">
      <vt:variant>
        <vt:i4>1835057</vt:i4>
      </vt:variant>
      <vt:variant>
        <vt:i4>104</vt:i4>
      </vt:variant>
      <vt:variant>
        <vt:i4>0</vt:i4>
      </vt:variant>
      <vt:variant>
        <vt:i4>5</vt:i4>
      </vt:variant>
      <vt:variant>
        <vt:lpwstr/>
      </vt:variant>
      <vt:variant>
        <vt:lpwstr>_Toc320875549</vt:lpwstr>
      </vt:variant>
      <vt:variant>
        <vt:i4>1835057</vt:i4>
      </vt:variant>
      <vt:variant>
        <vt:i4>98</vt:i4>
      </vt:variant>
      <vt:variant>
        <vt:i4>0</vt:i4>
      </vt:variant>
      <vt:variant>
        <vt:i4>5</vt:i4>
      </vt:variant>
      <vt:variant>
        <vt:lpwstr/>
      </vt:variant>
      <vt:variant>
        <vt:lpwstr>_Toc320875548</vt:lpwstr>
      </vt:variant>
      <vt:variant>
        <vt:i4>1835057</vt:i4>
      </vt:variant>
      <vt:variant>
        <vt:i4>92</vt:i4>
      </vt:variant>
      <vt:variant>
        <vt:i4>0</vt:i4>
      </vt:variant>
      <vt:variant>
        <vt:i4>5</vt:i4>
      </vt:variant>
      <vt:variant>
        <vt:lpwstr/>
      </vt:variant>
      <vt:variant>
        <vt:lpwstr>_Toc320875547</vt:lpwstr>
      </vt:variant>
      <vt:variant>
        <vt:i4>1835057</vt:i4>
      </vt:variant>
      <vt:variant>
        <vt:i4>86</vt:i4>
      </vt:variant>
      <vt:variant>
        <vt:i4>0</vt:i4>
      </vt:variant>
      <vt:variant>
        <vt:i4>5</vt:i4>
      </vt:variant>
      <vt:variant>
        <vt:lpwstr/>
      </vt:variant>
      <vt:variant>
        <vt:lpwstr>_Toc320875546</vt:lpwstr>
      </vt:variant>
      <vt:variant>
        <vt:i4>1835057</vt:i4>
      </vt:variant>
      <vt:variant>
        <vt:i4>80</vt:i4>
      </vt:variant>
      <vt:variant>
        <vt:i4>0</vt:i4>
      </vt:variant>
      <vt:variant>
        <vt:i4>5</vt:i4>
      </vt:variant>
      <vt:variant>
        <vt:lpwstr/>
      </vt:variant>
      <vt:variant>
        <vt:lpwstr>_Toc320875545</vt:lpwstr>
      </vt:variant>
      <vt:variant>
        <vt:i4>1835057</vt:i4>
      </vt:variant>
      <vt:variant>
        <vt:i4>74</vt:i4>
      </vt:variant>
      <vt:variant>
        <vt:i4>0</vt:i4>
      </vt:variant>
      <vt:variant>
        <vt:i4>5</vt:i4>
      </vt:variant>
      <vt:variant>
        <vt:lpwstr/>
      </vt:variant>
      <vt:variant>
        <vt:lpwstr>_Toc320875544</vt:lpwstr>
      </vt:variant>
      <vt:variant>
        <vt:i4>1835057</vt:i4>
      </vt:variant>
      <vt:variant>
        <vt:i4>68</vt:i4>
      </vt:variant>
      <vt:variant>
        <vt:i4>0</vt:i4>
      </vt:variant>
      <vt:variant>
        <vt:i4>5</vt:i4>
      </vt:variant>
      <vt:variant>
        <vt:lpwstr/>
      </vt:variant>
      <vt:variant>
        <vt:lpwstr>_Toc320875543</vt:lpwstr>
      </vt:variant>
      <vt:variant>
        <vt:i4>1835057</vt:i4>
      </vt:variant>
      <vt:variant>
        <vt:i4>62</vt:i4>
      </vt:variant>
      <vt:variant>
        <vt:i4>0</vt:i4>
      </vt:variant>
      <vt:variant>
        <vt:i4>5</vt:i4>
      </vt:variant>
      <vt:variant>
        <vt:lpwstr/>
      </vt:variant>
      <vt:variant>
        <vt:lpwstr>_Toc320875542</vt:lpwstr>
      </vt:variant>
      <vt:variant>
        <vt:i4>1835057</vt:i4>
      </vt:variant>
      <vt:variant>
        <vt:i4>56</vt:i4>
      </vt:variant>
      <vt:variant>
        <vt:i4>0</vt:i4>
      </vt:variant>
      <vt:variant>
        <vt:i4>5</vt:i4>
      </vt:variant>
      <vt:variant>
        <vt:lpwstr/>
      </vt:variant>
      <vt:variant>
        <vt:lpwstr>_Toc320875541</vt:lpwstr>
      </vt:variant>
      <vt:variant>
        <vt:i4>1835057</vt:i4>
      </vt:variant>
      <vt:variant>
        <vt:i4>50</vt:i4>
      </vt:variant>
      <vt:variant>
        <vt:i4>0</vt:i4>
      </vt:variant>
      <vt:variant>
        <vt:i4>5</vt:i4>
      </vt:variant>
      <vt:variant>
        <vt:lpwstr/>
      </vt:variant>
      <vt:variant>
        <vt:lpwstr>_Toc320875540</vt:lpwstr>
      </vt:variant>
      <vt:variant>
        <vt:i4>1769521</vt:i4>
      </vt:variant>
      <vt:variant>
        <vt:i4>44</vt:i4>
      </vt:variant>
      <vt:variant>
        <vt:i4>0</vt:i4>
      </vt:variant>
      <vt:variant>
        <vt:i4>5</vt:i4>
      </vt:variant>
      <vt:variant>
        <vt:lpwstr/>
      </vt:variant>
      <vt:variant>
        <vt:lpwstr>_Toc320875539</vt:lpwstr>
      </vt:variant>
      <vt:variant>
        <vt:i4>1769521</vt:i4>
      </vt:variant>
      <vt:variant>
        <vt:i4>38</vt:i4>
      </vt:variant>
      <vt:variant>
        <vt:i4>0</vt:i4>
      </vt:variant>
      <vt:variant>
        <vt:i4>5</vt:i4>
      </vt:variant>
      <vt:variant>
        <vt:lpwstr/>
      </vt:variant>
      <vt:variant>
        <vt:lpwstr>_Toc320875538</vt:lpwstr>
      </vt:variant>
      <vt:variant>
        <vt:i4>1769521</vt:i4>
      </vt:variant>
      <vt:variant>
        <vt:i4>32</vt:i4>
      </vt:variant>
      <vt:variant>
        <vt:i4>0</vt:i4>
      </vt:variant>
      <vt:variant>
        <vt:i4>5</vt:i4>
      </vt:variant>
      <vt:variant>
        <vt:lpwstr/>
      </vt:variant>
      <vt:variant>
        <vt:lpwstr>_Toc320875537</vt:lpwstr>
      </vt:variant>
      <vt:variant>
        <vt:i4>1769521</vt:i4>
      </vt:variant>
      <vt:variant>
        <vt:i4>26</vt:i4>
      </vt:variant>
      <vt:variant>
        <vt:i4>0</vt:i4>
      </vt:variant>
      <vt:variant>
        <vt:i4>5</vt:i4>
      </vt:variant>
      <vt:variant>
        <vt:lpwstr/>
      </vt:variant>
      <vt:variant>
        <vt:lpwstr>_Toc320875536</vt:lpwstr>
      </vt:variant>
      <vt:variant>
        <vt:i4>1769521</vt:i4>
      </vt:variant>
      <vt:variant>
        <vt:i4>20</vt:i4>
      </vt:variant>
      <vt:variant>
        <vt:i4>0</vt:i4>
      </vt:variant>
      <vt:variant>
        <vt:i4>5</vt:i4>
      </vt:variant>
      <vt:variant>
        <vt:lpwstr/>
      </vt:variant>
      <vt:variant>
        <vt:lpwstr>_Toc320875535</vt:lpwstr>
      </vt:variant>
      <vt:variant>
        <vt:i4>1769521</vt:i4>
      </vt:variant>
      <vt:variant>
        <vt:i4>14</vt:i4>
      </vt:variant>
      <vt:variant>
        <vt:i4>0</vt:i4>
      </vt:variant>
      <vt:variant>
        <vt:i4>5</vt:i4>
      </vt:variant>
      <vt:variant>
        <vt:lpwstr/>
      </vt:variant>
      <vt:variant>
        <vt:lpwstr>_Toc320875534</vt:lpwstr>
      </vt:variant>
      <vt:variant>
        <vt:i4>1769521</vt:i4>
      </vt:variant>
      <vt:variant>
        <vt:i4>8</vt:i4>
      </vt:variant>
      <vt:variant>
        <vt:i4>0</vt:i4>
      </vt:variant>
      <vt:variant>
        <vt:i4>5</vt:i4>
      </vt:variant>
      <vt:variant>
        <vt:lpwstr/>
      </vt:variant>
      <vt:variant>
        <vt:lpwstr>_Toc320875533</vt:lpwstr>
      </vt:variant>
      <vt:variant>
        <vt:i4>1769521</vt:i4>
      </vt:variant>
      <vt:variant>
        <vt:i4>2</vt:i4>
      </vt:variant>
      <vt:variant>
        <vt:i4>0</vt:i4>
      </vt:variant>
      <vt:variant>
        <vt:i4>5</vt:i4>
      </vt:variant>
      <vt:variant>
        <vt:lpwstr/>
      </vt:variant>
      <vt:variant>
        <vt:lpwstr>_Toc320875532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Análisis Económico</dc:title>
  <dc:subject/>
  <dc:creator>roselisilva</dc:creator>
  <cp:keywords/>
  <dc:description/>
  <cp:lastModifiedBy>claudiacox</cp:lastModifiedBy>
  <cp:revision>6</cp:revision>
  <dcterms:created xsi:type="dcterms:W3CDTF">2012-04-02T15:51:00Z</dcterms:created>
  <dcterms:modified xsi:type="dcterms:W3CDTF">2012-04-02T17:47:00Z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0x01010046CF21643EE8D14686A648AA6DAD0892004C34E871F0860A42AF82BD588A03BCE4</vt:lpwstr>
  </property>
  <property fmtid="{D5CDD505-2E9C-101B-9397-08002B2CF9AE}" pid="3" name="TaxKeyword">
    <vt:lpwstr/>
  </property>
  <property fmtid="{D5CDD505-2E9C-101B-9397-08002B2CF9AE}" pid="4" name="Function Operations IDB">
    <vt:lpwstr>11;#Project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17;#Project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17;#Project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