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910" w:rsidRDefault="00B05910">
      <w:pPr>
        <w:widowControl w:val="0"/>
        <w:tabs>
          <w:tab w:val="left" w:pos="1440"/>
          <w:tab w:val="left" w:pos="3060"/>
        </w:tabs>
        <w:jc w:val="center"/>
        <w:outlineLvl w:val="0"/>
        <w:rPr>
          <w:b/>
          <w:smallCaps/>
          <w:szCs w:val="24"/>
        </w:rPr>
      </w:pPr>
      <w:r>
        <w:rPr>
          <w:b/>
          <w:smallCaps/>
          <w:szCs w:val="24"/>
        </w:rPr>
        <w:t>Document of the Inter-American Development Bank</w:t>
      </w:r>
    </w:p>
    <w:p w:rsidR="00B05910" w:rsidRDefault="00B05910">
      <w:pPr>
        <w:pStyle w:val="FirstHeading"/>
        <w:spacing w:after="0"/>
        <w:rPr>
          <w:bCs/>
        </w:rP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6D23E6">
      <w:pPr>
        <w:widowControl w:val="0"/>
        <w:tabs>
          <w:tab w:val="left" w:pos="1440"/>
          <w:tab w:val="left" w:pos="3060"/>
        </w:tabs>
        <w:jc w:val="center"/>
        <w:rPr>
          <w:b/>
          <w:smallCaps/>
          <w:sz w:val="32"/>
        </w:rPr>
      </w:pPr>
      <w:r>
        <w:rPr>
          <w:b/>
          <w:smallCaps/>
          <w:sz w:val="32"/>
        </w:rPr>
        <w:t>J</w:t>
      </w:r>
      <w:r w:rsidR="00842B10">
        <w:rPr>
          <w:b/>
          <w:smallCaps/>
          <w:sz w:val="32"/>
        </w:rPr>
        <w:t>amaica</w:t>
      </w:r>
    </w:p>
    <w:p w:rsidR="00B05910" w:rsidRDefault="00B05910">
      <w:pPr>
        <w:widowControl w:val="0"/>
        <w:tabs>
          <w:tab w:val="left" w:pos="1440"/>
          <w:tab w:val="left" w:pos="3060"/>
        </w:tabs>
        <w:jc w:val="center"/>
        <w:rPr>
          <w:b/>
          <w:smallCaps/>
          <w:sz w:val="32"/>
        </w:rPr>
      </w:pPr>
    </w:p>
    <w:p w:rsidR="00B05910" w:rsidRDefault="00B05910">
      <w:pPr>
        <w:widowControl w:val="0"/>
        <w:tabs>
          <w:tab w:val="left" w:pos="1440"/>
          <w:tab w:val="left" w:pos="3060"/>
        </w:tabs>
        <w:jc w:val="center"/>
        <w:rPr>
          <w:b/>
          <w:smallCaps/>
          <w:sz w:val="32"/>
        </w:rPr>
      </w:pPr>
    </w:p>
    <w:p w:rsidR="00B05910" w:rsidRDefault="00B05910">
      <w:pPr>
        <w:widowControl w:val="0"/>
        <w:tabs>
          <w:tab w:val="left" w:pos="1440"/>
          <w:tab w:val="left" w:pos="3060"/>
        </w:tabs>
        <w:jc w:val="center"/>
        <w:rPr>
          <w:b/>
          <w:smallCaps/>
          <w:sz w:val="32"/>
        </w:rPr>
      </w:pPr>
    </w:p>
    <w:p w:rsidR="00B05910" w:rsidRDefault="00B05910">
      <w:pPr>
        <w:widowControl w:val="0"/>
        <w:tabs>
          <w:tab w:val="left" w:pos="1440"/>
          <w:tab w:val="left" w:pos="3060"/>
        </w:tabs>
        <w:jc w:val="center"/>
        <w:rPr>
          <w:b/>
          <w:smallCaps/>
          <w:sz w:val="32"/>
        </w:rPr>
      </w:pPr>
    </w:p>
    <w:p w:rsidR="00B05910" w:rsidRDefault="00B05910">
      <w:pPr>
        <w:widowControl w:val="0"/>
        <w:tabs>
          <w:tab w:val="left" w:pos="1440"/>
          <w:tab w:val="left" w:pos="3060"/>
        </w:tabs>
        <w:jc w:val="center"/>
        <w:rPr>
          <w:b/>
          <w:smallCaps/>
          <w:sz w:val="32"/>
        </w:rPr>
      </w:pPr>
    </w:p>
    <w:p w:rsidR="00B05910" w:rsidRDefault="00B05910">
      <w:pPr>
        <w:widowControl w:val="0"/>
        <w:tabs>
          <w:tab w:val="left" w:pos="1440"/>
          <w:tab w:val="left" w:pos="3060"/>
        </w:tabs>
        <w:jc w:val="center"/>
        <w:rPr>
          <w:b/>
          <w:smallCaps/>
          <w:sz w:val="32"/>
        </w:rPr>
      </w:pPr>
    </w:p>
    <w:p w:rsidR="00B05910" w:rsidRDefault="0027451F">
      <w:pPr>
        <w:widowControl w:val="0"/>
        <w:tabs>
          <w:tab w:val="left" w:pos="1440"/>
          <w:tab w:val="left" w:pos="3060"/>
        </w:tabs>
        <w:jc w:val="center"/>
        <w:rPr>
          <w:b/>
          <w:smallCaps/>
          <w:sz w:val="32"/>
        </w:rPr>
      </w:pPr>
      <w:r>
        <w:rPr>
          <w:b/>
          <w:smallCaps/>
          <w:sz w:val="32"/>
        </w:rPr>
        <w:t>Assessment</w:t>
      </w:r>
      <w:r w:rsidR="004B1F41">
        <w:rPr>
          <w:b/>
          <w:smallCaps/>
          <w:sz w:val="32"/>
        </w:rPr>
        <w:t xml:space="preserve"> and Implementation of Business Climate Reforms in Jamaica</w:t>
      </w:r>
    </w:p>
    <w:p w:rsidR="00B05910" w:rsidRDefault="00B05910">
      <w:pPr>
        <w:widowControl w:val="0"/>
        <w:tabs>
          <w:tab w:val="left" w:pos="1440"/>
          <w:tab w:val="left" w:pos="3060"/>
        </w:tabs>
        <w:jc w:val="center"/>
        <w:rPr>
          <w:smallCaps/>
        </w:rPr>
      </w:pPr>
    </w:p>
    <w:p w:rsidR="00B05910" w:rsidRDefault="00B05910">
      <w:pPr>
        <w:widowControl w:val="0"/>
        <w:tabs>
          <w:tab w:val="left" w:pos="1440"/>
          <w:tab w:val="left" w:pos="3060"/>
        </w:tabs>
        <w:jc w:val="center"/>
        <w:rPr>
          <w:smallCaps/>
        </w:rPr>
      </w:pPr>
    </w:p>
    <w:p w:rsidR="00B05910" w:rsidRDefault="00B05910">
      <w:pPr>
        <w:widowControl w:val="0"/>
        <w:tabs>
          <w:tab w:val="left" w:pos="1440"/>
          <w:tab w:val="left" w:pos="3060"/>
        </w:tabs>
        <w:jc w:val="center"/>
        <w:rPr>
          <w:smallCaps/>
        </w:rPr>
      </w:pPr>
    </w:p>
    <w:p w:rsidR="00B05910" w:rsidRDefault="00B05910">
      <w:pPr>
        <w:widowControl w:val="0"/>
        <w:tabs>
          <w:tab w:val="left" w:pos="1440"/>
          <w:tab w:val="left" w:pos="3060"/>
        </w:tabs>
        <w:jc w:val="center"/>
        <w:rPr>
          <w:b/>
          <w:smallCaps/>
          <w:sz w:val="28"/>
        </w:rPr>
      </w:pPr>
      <w:r>
        <w:rPr>
          <w:b/>
          <w:smallCaps/>
          <w:sz w:val="28"/>
        </w:rPr>
        <w:t>(</w:t>
      </w:r>
      <w:r w:rsidR="00E128F2">
        <w:rPr>
          <w:b/>
          <w:smallCaps/>
        </w:rPr>
        <w:t>JA</w:t>
      </w:r>
      <w:r>
        <w:rPr>
          <w:b/>
          <w:smallCaps/>
        </w:rPr>
        <w:t>–</w:t>
      </w:r>
      <w:r w:rsidR="004B1F41">
        <w:rPr>
          <w:b/>
          <w:smallCaps/>
        </w:rPr>
        <w:t>X1002</w:t>
      </w:r>
      <w:r>
        <w:rPr>
          <w:b/>
          <w:smallCaps/>
          <w:sz w:val="28"/>
        </w:rPr>
        <w:t>)</w:t>
      </w:r>
    </w:p>
    <w:p w:rsidR="00B05910" w:rsidRDefault="00B05910" w:rsidP="00F5406D">
      <w:pPr>
        <w:pStyle w:val="Newpage"/>
      </w:pPr>
    </w:p>
    <w:p w:rsidR="00B05910" w:rsidRDefault="00B05910">
      <w:pPr>
        <w:widowControl w:val="0"/>
        <w:tabs>
          <w:tab w:val="left" w:pos="1440"/>
          <w:tab w:val="left" w:pos="3060"/>
        </w:tabs>
        <w:jc w:val="center"/>
        <w:rPr>
          <w:smallCaps/>
        </w:rPr>
      </w:pPr>
    </w:p>
    <w:p w:rsidR="00B05910" w:rsidRDefault="00B05910">
      <w:pPr>
        <w:widowControl w:val="0"/>
        <w:tabs>
          <w:tab w:val="left" w:pos="1440"/>
          <w:tab w:val="left" w:pos="3060"/>
        </w:tabs>
        <w:jc w:val="center"/>
        <w:rPr>
          <w:smallCaps/>
        </w:rPr>
      </w:pPr>
    </w:p>
    <w:p w:rsidR="00B05910" w:rsidRDefault="00B05910">
      <w:pPr>
        <w:widowControl w:val="0"/>
        <w:tabs>
          <w:tab w:val="left" w:pos="1440"/>
          <w:tab w:val="left" w:pos="3060"/>
        </w:tabs>
        <w:jc w:val="center"/>
        <w:outlineLvl w:val="0"/>
        <w:rPr>
          <w:b/>
          <w:smallCaps/>
          <w:sz w:val="28"/>
        </w:rPr>
      </w:pPr>
      <w:r>
        <w:rPr>
          <w:b/>
          <w:smallCaps/>
          <w:sz w:val="28"/>
        </w:rPr>
        <w:t>Plan of Operations</w:t>
      </w: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widowControl w:val="0"/>
        <w:tabs>
          <w:tab w:val="left" w:pos="1440"/>
          <w:tab w:val="left" w:pos="3060"/>
        </w:tabs>
        <w:jc w:val="center"/>
      </w:pPr>
    </w:p>
    <w:p w:rsidR="00B05910" w:rsidRDefault="00B05910">
      <w:pPr>
        <w:pStyle w:val="BodyText"/>
        <w:widowControl w:val="0"/>
        <w:pBdr>
          <w:top w:val="single" w:sz="4" w:space="1" w:color="auto"/>
          <w:left w:val="single" w:sz="4" w:space="4" w:color="auto"/>
          <w:bottom w:val="single" w:sz="4" w:space="1" w:color="auto"/>
          <w:right w:val="single" w:sz="4" w:space="4" w:color="auto"/>
        </w:pBdr>
        <w:tabs>
          <w:tab w:val="left" w:pos="1440"/>
        </w:tabs>
        <w:jc w:val="both"/>
        <w:rPr>
          <w:sz w:val="22"/>
        </w:rPr>
      </w:pPr>
      <w:r>
        <w:rPr>
          <w:color w:val="000000"/>
        </w:rPr>
        <w:t xml:space="preserve">This document was prepared by </w:t>
      </w:r>
      <w:r w:rsidR="004B1F41">
        <w:t xml:space="preserve">Claudia Stevenson Team Leader (ICF/CMF); Jose Jorge Saavedra Alternate Team Leader (CMF/CBA); </w:t>
      </w:r>
      <w:r w:rsidR="00883103">
        <w:t xml:space="preserve">Jaiwattie </w:t>
      </w:r>
      <w:r w:rsidR="004B1F41">
        <w:t>Anganu (CMF/CJA)</w:t>
      </w:r>
      <w:r w:rsidR="00883103">
        <w:t>;</w:t>
      </w:r>
      <w:r w:rsidR="00B031B4">
        <w:t xml:space="preserve"> Gregory Dunbar (CCB/CJA);</w:t>
      </w:r>
      <w:r w:rsidR="00883103">
        <w:t xml:space="preserve"> Hyun Jung Lee (LEG/SGO)</w:t>
      </w:r>
      <w:r w:rsidR="00021FFF">
        <w:t>, Magda Theodate (PDP/CTT)</w:t>
      </w:r>
      <w:r w:rsidR="00883103">
        <w:t xml:space="preserve"> and</w:t>
      </w:r>
      <w:r w:rsidR="004B1F41">
        <w:t xml:space="preserve"> </w:t>
      </w:r>
      <w:r w:rsidR="009F23BF">
        <w:t>Marina Massini</w:t>
      </w:r>
      <w:r w:rsidR="004B1F41">
        <w:t xml:space="preserve"> (ICF/CMF)</w:t>
      </w:r>
      <w:r>
        <w:rPr>
          <w:color w:val="000000"/>
        </w:rPr>
        <w:t>.</w:t>
      </w:r>
    </w:p>
    <w:p w:rsidR="00B05910" w:rsidRDefault="00B05910">
      <w:pPr>
        <w:pStyle w:val="Annex"/>
        <w:widowControl w:val="0"/>
        <w:tabs>
          <w:tab w:val="left" w:pos="1440"/>
          <w:tab w:val="left" w:pos="3060"/>
        </w:tabs>
        <w:outlineLvl w:val="0"/>
        <w:rPr>
          <w:caps w:val="0"/>
        </w:rPr>
        <w:sectPr w:rsidR="00B05910">
          <w:headerReference w:type="even" r:id="rId8"/>
          <w:headerReference w:type="default" r:id="rId9"/>
          <w:footerReference w:type="even" r:id="rId10"/>
          <w:headerReference w:type="first" r:id="rId11"/>
          <w:type w:val="continuous"/>
          <w:pgSz w:w="12240" w:h="15840" w:code="1"/>
          <w:pgMar w:top="1440" w:right="1800" w:bottom="1440" w:left="1800" w:header="706" w:footer="706" w:gutter="0"/>
          <w:pgNumType w:fmt="lowerRoman" w:start="1"/>
          <w:cols w:space="720"/>
          <w:formProt w:val="0"/>
          <w:titlePg/>
        </w:sectPr>
      </w:pPr>
    </w:p>
    <w:p w:rsidR="00C0406B" w:rsidRPr="00C0406B" w:rsidRDefault="00C0406B" w:rsidP="00C0406B">
      <w:pPr>
        <w:pStyle w:val="TOC3"/>
      </w:pPr>
      <w:bookmarkStart w:id="0" w:name="Contents"/>
      <w:r>
        <w:lastRenderedPageBreak/>
        <w:t xml:space="preserve">Table of </w:t>
      </w:r>
      <w:r w:rsidR="00B05910" w:rsidRPr="00C0406B">
        <w:t>Content</w:t>
      </w:r>
      <w:bookmarkEnd w:id="0"/>
      <w:r>
        <w:t>s</w:t>
      </w:r>
    </w:p>
    <w:p w:rsidR="00C0406B" w:rsidRPr="00C0406B" w:rsidRDefault="00C0406B" w:rsidP="00A640FC">
      <w:pPr>
        <w:pStyle w:val="TOC3"/>
      </w:pPr>
    </w:p>
    <w:p w:rsidR="00A640FC" w:rsidRDefault="00F119A7" w:rsidP="00A640FC">
      <w:pPr>
        <w:pStyle w:val="TOC1"/>
        <w:spacing w:before="100" w:beforeAutospacing="1" w:after="100" w:afterAutospacing="1"/>
        <w:rPr>
          <w:smallCaps w:val="0"/>
          <w:noProof/>
        </w:rPr>
      </w:pPr>
      <w:r w:rsidRPr="00F119A7">
        <w:fldChar w:fldCharType="begin"/>
      </w:r>
      <w:r w:rsidR="00C0406B">
        <w:instrText xml:space="preserve"> TOC \f \t "Chapter,1,FirstHeading,2,SecHeading,3" </w:instrText>
      </w:r>
      <w:r w:rsidRPr="00F119A7">
        <w:fldChar w:fldCharType="separate"/>
      </w:r>
      <w:r w:rsidR="00A640FC">
        <w:rPr>
          <w:noProof/>
        </w:rPr>
        <w:t>I.</w:t>
      </w:r>
      <w:r w:rsidR="00A640FC">
        <w:rPr>
          <w:smallCaps w:val="0"/>
          <w:noProof/>
        </w:rPr>
        <w:tab/>
      </w:r>
      <w:r w:rsidR="00A640FC">
        <w:rPr>
          <w:noProof/>
        </w:rPr>
        <w:t>Executive Summary</w:t>
      </w:r>
      <w:r w:rsidR="00A640FC">
        <w:rPr>
          <w:noProof/>
        </w:rPr>
        <w:tab/>
      </w:r>
      <w:r>
        <w:rPr>
          <w:noProof/>
        </w:rPr>
        <w:fldChar w:fldCharType="begin"/>
      </w:r>
      <w:r w:rsidR="00A640FC">
        <w:rPr>
          <w:noProof/>
        </w:rPr>
        <w:instrText xml:space="preserve"> PAGEREF _Toc204581711 \h </w:instrText>
      </w:r>
      <w:r>
        <w:rPr>
          <w:noProof/>
        </w:rPr>
      </w:r>
      <w:r>
        <w:rPr>
          <w:noProof/>
        </w:rPr>
        <w:fldChar w:fldCharType="separate"/>
      </w:r>
      <w:r w:rsidR="003875B5">
        <w:rPr>
          <w:noProof/>
        </w:rPr>
        <w:t>1</w:t>
      </w:r>
      <w:r>
        <w:rPr>
          <w:noProof/>
        </w:rPr>
        <w:fldChar w:fldCharType="end"/>
      </w:r>
    </w:p>
    <w:p w:rsidR="00A640FC" w:rsidRDefault="00A640FC" w:rsidP="00A640FC">
      <w:pPr>
        <w:pStyle w:val="TOC1"/>
        <w:spacing w:before="100" w:beforeAutospacing="1" w:after="100" w:afterAutospacing="1"/>
        <w:rPr>
          <w:smallCaps w:val="0"/>
          <w:noProof/>
        </w:rPr>
      </w:pPr>
      <w:r>
        <w:rPr>
          <w:noProof/>
        </w:rPr>
        <w:t>II.</w:t>
      </w:r>
      <w:r>
        <w:rPr>
          <w:smallCaps w:val="0"/>
          <w:noProof/>
        </w:rPr>
        <w:tab/>
      </w:r>
      <w:r>
        <w:rPr>
          <w:noProof/>
        </w:rPr>
        <w:t>Background and Justification</w:t>
      </w:r>
      <w:r>
        <w:rPr>
          <w:noProof/>
        </w:rPr>
        <w:tab/>
      </w:r>
      <w:r w:rsidR="00F119A7">
        <w:rPr>
          <w:noProof/>
        </w:rPr>
        <w:fldChar w:fldCharType="begin"/>
      </w:r>
      <w:r>
        <w:rPr>
          <w:noProof/>
        </w:rPr>
        <w:instrText xml:space="preserve"> PAGEREF _Toc204581713 \h </w:instrText>
      </w:r>
      <w:r w:rsidR="00F119A7">
        <w:rPr>
          <w:noProof/>
        </w:rPr>
      </w:r>
      <w:r w:rsidR="00F119A7">
        <w:rPr>
          <w:noProof/>
        </w:rPr>
        <w:fldChar w:fldCharType="separate"/>
      </w:r>
      <w:r w:rsidR="003875B5">
        <w:rPr>
          <w:noProof/>
        </w:rPr>
        <w:t>1</w:t>
      </w:r>
      <w:r w:rsidR="00F119A7">
        <w:rPr>
          <w:noProof/>
        </w:rPr>
        <w:fldChar w:fldCharType="end"/>
      </w:r>
    </w:p>
    <w:p w:rsidR="00A640FC" w:rsidRDefault="00A640FC" w:rsidP="00A640FC">
      <w:pPr>
        <w:pStyle w:val="TOC2"/>
        <w:ind w:left="1167"/>
        <w:rPr>
          <w:noProof/>
        </w:rPr>
      </w:pPr>
      <w:r>
        <w:rPr>
          <w:noProof/>
        </w:rPr>
        <w:t>A.</w:t>
      </w:r>
      <w:r>
        <w:rPr>
          <w:noProof/>
        </w:rPr>
        <w:tab/>
        <w:t>The Problem</w:t>
      </w:r>
      <w:r>
        <w:rPr>
          <w:noProof/>
        </w:rPr>
        <w:tab/>
      </w:r>
      <w:r w:rsidR="00F119A7">
        <w:rPr>
          <w:noProof/>
        </w:rPr>
        <w:fldChar w:fldCharType="begin"/>
      </w:r>
      <w:r>
        <w:rPr>
          <w:noProof/>
        </w:rPr>
        <w:instrText xml:space="preserve"> PAGEREF _Toc204581714 \h </w:instrText>
      </w:r>
      <w:r w:rsidR="00F119A7">
        <w:rPr>
          <w:noProof/>
        </w:rPr>
      </w:r>
      <w:r w:rsidR="00F119A7">
        <w:rPr>
          <w:noProof/>
        </w:rPr>
        <w:fldChar w:fldCharType="separate"/>
      </w:r>
      <w:r w:rsidR="003875B5">
        <w:rPr>
          <w:noProof/>
        </w:rPr>
        <w:t>1</w:t>
      </w:r>
      <w:r w:rsidR="00F119A7">
        <w:rPr>
          <w:noProof/>
        </w:rPr>
        <w:fldChar w:fldCharType="end"/>
      </w:r>
    </w:p>
    <w:p w:rsidR="00A640FC" w:rsidRDefault="00A640FC" w:rsidP="00A640FC">
      <w:pPr>
        <w:pStyle w:val="TOC2"/>
        <w:ind w:left="1167"/>
        <w:rPr>
          <w:noProof/>
        </w:rPr>
      </w:pPr>
      <w:r>
        <w:rPr>
          <w:noProof/>
        </w:rPr>
        <w:t>B.</w:t>
      </w:r>
      <w:r>
        <w:rPr>
          <w:noProof/>
        </w:rPr>
        <w:tab/>
        <w:t>Institutional Framework</w:t>
      </w:r>
      <w:r>
        <w:rPr>
          <w:noProof/>
        </w:rPr>
        <w:tab/>
      </w:r>
      <w:r w:rsidR="00D060F4">
        <w:rPr>
          <w:noProof/>
        </w:rPr>
        <w:t>2</w:t>
      </w:r>
    </w:p>
    <w:p w:rsidR="00A640FC" w:rsidRDefault="00A640FC" w:rsidP="00A640FC">
      <w:pPr>
        <w:pStyle w:val="TOC2"/>
        <w:ind w:left="1167"/>
        <w:rPr>
          <w:noProof/>
        </w:rPr>
      </w:pPr>
      <w:r>
        <w:rPr>
          <w:noProof/>
        </w:rPr>
        <w:t>C.</w:t>
      </w:r>
      <w:r>
        <w:rPr>
          <w:noProof/>
        </w:rPr>
        <w:tab/>
        <w:t>The Bank’s and Country’s Strategies</w:t>
      </w:r>
      <w:r>
        <w:rPr>
          <w:noProof/>
        </w:rPr>
        <w:tab/>
      </w:r>
      <w:r w:rsidR="00F119A7">
        <w:rPr>
          <w:noProof/>
        </w:rPr>
        <w:fldChar w:fldCharType="begin"/>
      </w:r>
      <w:r>
        <w:rPr>
          <w:noProof/>
        </w:rPr>
        <w:instrText xml:space="preserve"> PAGEREF _Toc204581716 \h </w:instrText>
      </w:r>
      <w:r w:rsidR="00F119A7">
        <w:rPr>
          <w:noProof/>
        </w:rPr>
      </w:r>
      <w:r w:rsidR="00F119A7">
        <w:rPr>
          <w:noProof/>
        </w:rPr>
        <w:fldChar w:fldCharType="separate"/>
      </w:r>
      <w:r w:rsidR="003875B5">
        <w:rPr>
          <w:noProof/>
        </w:rPr>
        <w:t>3</w:t>
      </w:r>
      <w:r w:rsidR="00F119A7">
        <w:rPr>
          <w:noProof/>
        </w:rPr>
        <w:fldChar w:fldCharType="end"/>
      </w:r>
    </w:p>
    <w:p w:rsidR="00A640FC" w:rsidRDefault="00A640FC" w:rsidP="00A640FC">
      <w:pPr>
        <w:pStyle w:val="TOC2"/>
        <w:ind w:left="1167"/>
        <w:rPr>
          <w:noProof/>
        </w:rPr>
      </w:pPr>
      <w:r>
        <w:rPr>
          <w:noProof/>
        </w:rPr>
        <w:t>D.</w:t>
      </w:r>
      <w:r>
        <w:rPr>
          <w:noProof/>
        </w:rPr>
        <w:tab/>
        <w:t>Government’s, Bank’s and other agencies’ initiatives</w:t>
      </w:r>
      <w:r>
        <w:rPr>
          <w:noProof/>
        </w:rPr>
        <w:tab/>
      </w:r>
      <w:r w:rsidR="00F119A7">
        <w:rPr>
          <w:noProof/>
        </w:rPr>
        <w:fldChar w:fldCharType="begin"/>
      </w:r>
      <w:r>
        <w:rPr>
          <w:noProof/>
        </w:rPr>
        <w:instrText xml:space="preserve"> PAGEREF _Toc204581717 \h </w:instrText>
      </w:r>
      <w:r w:rsidR="00F119A7">
        <w:rPr>
          <w:noProof/>
        </w:rPr>
      </w:r>
      <w:r w:rsidR="00F119A7">
        <w:rPr>
          <w:noProof/>
        </w:rPr>
        <w:fldChar w:fldCharType="separate"/>
      </w:r>
      <w:r w:rsidR="003875B5">
        <w:rPr>
          <w:noProof/>
        </w:rPr>
        <w:t>3</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III.</w:t>
      </w:r>
      <w:r>
        <w:rPr>
          <w:smallCaps w:val="0"/>
          <w:noProof/>
        </w:rPr>
        <w:tab/>
      </w:r>
      <w:r>
        <w:rPr>
          <w:noProof/>
        </w:rPr>
        <w:t>Program Description</w:t>
      </w:r>
      <w:r>
        <w:rPr>
          <w:noProof/>
        </w:rPr>
        <w:tab/>
      </w:r>
      <w:r w:rsidR="00F119A7">
        <w:rPr>
          <w:noProof/>
        </w:rPr>
        <w:fldChar w:fldCharType="begin"/>
      </w:r>
      <w:r>
        <w:rPr>
          <w:noProof/>
        </w:rPr>
        <w:instrText xml:space="preserve"> PAGEREF _Toc204581718 \h </w:instrText>
      </w:r>
      <w:r w:rsidR="00F119A7">
        <w:rPr>
          <w:noProof/>
        </w:rPr>
      </w:r>
      <w:r w:rsidR="00F119A7">
        <w:rPr>
          <w:noProof/>
        </w:rPr>
        <w:fldChar w:fldCharType="separate"/>
      </w:r>
      <w:r w:rsidR="003875B5">
        <w:rPr>
          <w:noProof/>
        </w:rPr>
        <w:t>4</w:t>
      </w:r>
      <w:r w:rsidR="00F119A7">
        <w:rPr>
          <w:noProof/>
        </w:rPr>
        <w:fldChar w:fldCharType="end"/>
      </w:r>
    </w:p>
    <w:p w:rsidR="00A640FC" w:rsidRDefault="00A640FC" w:rsidP="00A640FC">
      <w:pPr>
        <w:pStyle w:val="TOC2"/>
        <w:ind w:left="1167"/>
        <w:rPr>
          <w:noProof/>
        </w:rPr>
      </w:pPr>
      <w:r>
        <w:rPr>
          <w:noProof/>
        </w:rPr>
        <w:t>A.</w:t>
      </w:r>
      <w:r>
        <w:rPr>
          <w:noProof/>
        </w:rPr>
        <w:tab/>
        <w:t>Program Goal and Purpose</w:t>
      </w:r>
      <w:r>
        <w:rPr>
          <w:noProof/>
        </w:rPr>
        <w:tab/>
      </w:r>
      <w:r w:rsidR="00F119A7">
        <w:rPr>
          <w:noProof/>
        </w:rPr>
        <w:fldChar w:fldCharType="begin"/>
      </w:r>
      <w:r>
        <w:rPr>
          <w:noProof/>
        </w:rPr>
        <w:instrText xml:space="preserve"> PAGEREF _Toc204581719 \h </w:instrText>
      </w:r>
      <w:r w:rsidR="00F119A7">
        <w:rPr>
          <w:noProof/>
        </w:rPr>
      </w:r>
      <w:r w:rsidR="00F119A7">
        <w:rPr>
          <w:noProof/>
        </w:rPr>
        <w:fldChar w:fldCharType="separate"/>
      </w:r>
      <w:r w:rsidR="003875B5">
        <w:rPr>
          <w:noProof/>
        </w:rPr>
        <w:t>4</w:t>
      </w:r>
      <w:r w:rsidR="00F119A7">
        <w:rPr>
          <w:noProof/>
        </w:rPr>
        <w:fldChar w:fldCharType="end"/>
      </w:r>
    </w:p>
    <w:p w:rsidR="00A640FC" w:rsidRDefault="00A640FC" w:rsidP="00A640FC">
      <w:pPr>
        <w:pStyle w:val="TOC2"/>
        <w:ind w:left="1167"/>
        <w:rPr>
          <w:noProof/>
        </w:rPr>
      </w:pPr>
      <w:r>
        <w:rPr>
          <w:noProof/>
        </w:rPr>
        <w:t>B.</w:t>
      </w:r>
      <w:r>
        <w:rPr>
          <w:noProof/>
        </w:rPr>
        <w:tab/>
        <w:t>Components</w:t>
      </w:r>
      <w:r>
        <w:rPr>
          <w:noProof/>
        </w:rPr>
        <w:tab/>
      </w:r>
      <w:r w:rsidR="00F119A7">
        <w:rPr>
          <w:noProof/>
        </w:rPr>
        <w:fldChar w:fldCharType="begin"/>
      </w:r>
      <w:r>
        <w:rPr>
          <w:noProof/>
        </w:rPr>
        <w:instrText xml:space="preserve"> PAGEREF _Toc204581720 \h </w:instrText>
      </w:r>
      <w:r w:rsidR="00F119A7">
        <w:rPr>
          <w:noProof/>
        </w:rPr>
      </w:r>
      <w:r w:rsidR="00F119A7">
        <w:rPr>
          <w:noProof/>
        </w:rPr>
        <w:fldChar w:fldCharType="separate"/>
      </w:r>
      <w:r w:rsidR="003875B5">
        <w:rPr>
          <w:noProof/>
        </w:rPr>
        <w:t>4</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IV.</w:t>
      </w:r>
      <w:r>
        <w:rPr>
          <w:smallCaps w:val="0"/>
          <w:noProof/>
        </w:rPr>
        <w:tab/>
      </w:r>
      <w:r>
        <w:rPr>
          <w:noProof/>
        </w:rPr>
        <w:t>Cost and Financing</w:t>
      </w:r>
      <w:r>
        <w:rPr>
          <w:noProof/>
        </w:rPr>
        <w:tab/>
      </w:r>
      <w:r w:rsidR="00F119A7">
        <w:rPr>
          <w:noProof/>
        </w:rPr>
        <w:fldChar w:fldCharType="begin"/>
      </w:r>
      <w:r>
        <w:rPr>
          <w:noProof/>
        </w:rPr>
        <w:instrText xml:space="preserve"> PAGEREF _Toc204581721 \h </w:instrText>
      </w:r>
      <w:r w:rsidR="00F119A7">
        <w:rPr>
          <w:noProof/>
        </w:rPr>
      </w:r>
      <w:r w:rsidR="00F119A7">
        <w:rPr>
          <w:noProof/>
        </w:rPr>
        <w:fldChar w:fldCharType="separate"/>
      </w:r>
      <w:r w:rsidR="003875B5">
        <w:rPr>
          <w:noProof/>
        </w:rPr>
        <w:t>6</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V.</w:t>
      </w:r>
      <w:r>
        <w:rPr>
          <w:smallCaps w:val="0"/>
          <w:noProof/>
        </w:rPr>
        <w:tab/>
      </w:r>
      <w:r>
        <w:rPr>
          <w:noProof/>
        </w:rPr>
        <w:t>Executing Agency and Mechanism</w:t>
      </w:r>
      <w:r>
        <w:rPr>
          <w:noProof/>
        </w:rPr>
        <w:tab/>
      </w:r>
      <w:r w:rsidR="00F119A7">
        <w:rPr>
          <w:noProof/>
        </w:rPr>
        <w:fldChar w:fldCharType="begin"/>
      </w:r>
      <w:r>
        <w:rPr>
          <w:noProof/>
        </w:rPr>
        <w:instrText xml:space="preserve"> PAGEREF _Toc204581722 \h </w:instrText>
      </w:r>
      <w:r w:rsidR="00F119A7">
        <w:rPr>
          <w:noProof/>
        </w:rPr>
      </w:r>
      <w:r w:rsidR="00F119A7">
        <w:rPr>
          <w:noProof/>
        </w:rPr>
        <w:fldChar w:fldCharType="separate"/>
      </w:r>
      <w:r w:rsidR="003875B5">
        <w:rPr>
          <w:noProof/>
        </w:rPr>
        <w:t>7</w:t>
      </w:r>
      <w:r w:rsidR="00F119A7">
        <w:rPr>
          <w:noProof/>
        </w:rPr>
        <w:fldChar w:fldCharType="end"/>
      </w:r>
    </w:p>
    <w:p w:rsidR="00A640FC" w:rsidRDefault="00A640FC" w:rsidP="00A640FC">
      <w:pPr>
        <w:pStyle w:val="TOC2"/>
        <w:ind w:left="1167"/>
        <w:rPr>
          <w:noProof/>
        </w:rPr>
      </w:pPr>
      <w:r>
        <w:rPr>
          <w:noProof/>
        </w:rPr>
        <w:t>A.</w:t>
      </w:r>
      <w:r>
        <w:rPr>
          <w:noProof/>
        </w:rPr>
        <w:tab/>
        <w:t>Executing Agency</w:t>
      </w:r>
      <w:r>
        <w:rPr>
          <w:noProof/>
        </w:rPr>
        <w:tab/>
      </w:r>
      <w:r w:rsidR="00F119A7">
        <w:rPr>
          <w:noProof/>
        </w:rPr>
        <w:fldChar w:fldCharType="begin"/>
      </w:r>
      <w:r>
        <w:rPr>
          <w:noProof/>
        </w:rPr>
        <w:instrText xml:space="preserve"> PAGEREF _Toc204581723 \h </w:instrText>
      </w:r>
      <w:r w:rsidR="00F119A7">
        <w:rPr>
          <w:noProof/>
        </w:rPr>
      </w:r>
      <w:r w:rsidR="00F119A7">
        <w:rPr>
          <w:noProof/>
        </w:rPr>
        <w:fldChar w:fldCharType="separate"/>
      </w:r>
      <w:r w:rsidR="003875B5">
        <w:rPr>
          <w:noProof/>
        </w:rPr>
        <w:t>7</w:t>
      </w:r>
      <w:r w:rsidR="00F119A7">
        <w:rPr>
          <w:noProof/>
        </w:rPr>
        <w:fldChar w:fldCharType="end"/>
      </w:r>
    </w:p>
    <w:p w:rsidR="00A640FC" w:rsidRDefault="00A640FC" w:rsidP="00A640FC">
      <w:pPr>
        <w:pStyle w:val="TOC2"/>
        <w:ind w:left="1167"/>
        <w:rPr>
          <w:noProof/>
        </w:rPr>
      </w:pPr>
      <w:r>
        <w:rPr>
          <w:noProof/>
        </w:rPr>
        <w:t>B.</w:t>
      </w:r>
      <w:r>
        <w:rPr>
          <w:noProof/>
        </w:rPr>
        <w:tab/>
        <w:t>Executing Mechanism</w:t>
      </w:r>
      <w:r>
        <w:rPr>
          <w:noProof/>
        </w:rPr>
        <w:tab/>
      </w:r>
      <w:r w:rsidR="00F119A7">
        <w:rPr>
          <w:noProof/>
        </w:rPr>
        <w:fldChar w:fldCharType="begin"/>
      </w:r>
      <w:r>
        <w:rPr>
          <w:noProof/>
        </w:rPr>
        <w:instrText xml:space="preserve"> PAGEREF _Toc204581724 \h </w:instrText>
      </w:r>
      <w:r w:rsidR="00F119A7">
        <w:rPr>
          <w:noProof/>
        </w:rPr>
      </w:r>
      <w:r w:rsidR="00F119A7">
        <w:rPr>
          <w:noProof/>
        </w:rPr>
        <w:fldChar w:fldCharType="separate"/>
      </w:r>
      <w:r w:rsidR="003875B5">
        <w:rPr>
          <w:noProof/>
        </w:rPr>
        <w:t>7</w:t>
      </w:r>
      <w:r w:rsidR="00F119A7">
        <w:rPr>
          <w:noProof/>
        </w:rPr>
        <w:fldChar w:fldCharType="end"/>
      </w:r>
    </w:p>
    <w:p w:rsidR="00A640FC" w:rsidRDefault="00A640FC" w:rsidP="00A640FC">
      <w:pPr>
        <w:pStyle w:val="TOC2"/>
        <w:ind w:left="1167"/>
        <w:rPr>
          <w:noProof/>
        </w:rPr>
      </w:pPr>
      <w:r>
        <w:rPr>
          <w:noProof/>
        </w:rPr>
        <w:t>C.</w:t>
      </w:r>
      <w:r>
        <w:rPr>
          <w:noProof/>
        </w:rPr>
        <w:tab/>
        <w:t>Program implementation readiness</w:t>
      </w:r>
      <w:r>
        <w:rPr>
          <w:noProof/>
        </w:rPr>
        <w:tab/>
      </w:r>
      <w:r w:rsidR="00F119A7">
        <w:rPr>
          <w:noProof/>
        </w:rPr>
        <w:fldChar w:fldCharType="begin"/>
      </w:r>
      <w:r>
        <w:rPr>
          <w:noProof/>
        </w:rPr>
        <w:instrText xml:space="preserve"> PAGEREF _Toc204581725 \h </w:instrText>
      </w:r>
      <w:r w:rsidR="00F119A7">
        <w:rPr>
          <w:noProof/>
        </w:rPr>
      </w:r>
      <w:r w:rsidR="00F119A7">
        <w:rPr>
          <w:noProof/>
        </w:rPr>
        <w:fldChar w:fldCharType="separate"/>
      </w:r>
      <w:r w:rsidR="003875B5">
        <w:rPr>
          <w:noProof/>
        </w:rPr>
        <w:t>7</w:t>
      </w:r>
      <w:r w:rsidR="00F119A7">
        <w:rPr>
          <w:noProof/>
        </w:rPr>
        <w:fldChar w:fldCharType="end"/>
      </w:r>
    </w:p>
    <w:p w:rsidR="00A640FC" w:rsidRDefault="00A640FC" w:rsidP="00A640FC">
      <w:pPr>
        <w:pStyle w:val="TOC2"/>
        <w:ind w:left="1167"/>
        <w:rPr>
          <w:noProof/>
        </w:rPr>
      </w:pPr>
      <w:r>
        <w:rPr>
          <w:noProof/>
        </w:rPr>
        <w:t>D.</w:t>
      </w:r>
      <w:r>
        <w:rPr>
          <w:noProof/>
        </w:rPr>
        <w:tab/>
        <w:t>Execution period and disbursement schedule</w:t>
      </w:r>
      <w:r>
        <w:rPr>
          <w:noProof/>
        </w:rPr>
        <w:tab/>
      </w:r>
      <w:r w:rsidR="00F119A7">
        <w:rPr>
          <w:noProof/>
        </w:rPr>
        <w:fldChar w:fldCharType="begin"/>
      </w:r>
      <w:r>
        <w:rPr>
          <w:noProof/>
        </w:rPr>
        <w:instrText xml:space="preserve"> PAGEREF _Toc204581726 \h </w:instrText>
      </w:r>
      <w:r w:rsidR="00F119A7">
        <w:rPr>
          <w:noProof/>
        </w:rPr>
      </w:r>
      <w:r w:rsidR="00F119A7">
        <w:rPr>
          <w:noProof/>
        </w:rPr>
        <w:fldChar w:fldCharType="separate"/>
      </w:r>
      <w:r w:rsidR="003875B5">
        <w:rPr>
          <w:noProof/>
        </w:rPr>
        <w:t>7</w:t>
      </w:r>
      <w:r w:rsidR="00F119A7">
        <w:rPr>
          <w:noProof/>
        </w:rPr>
        <w:fldChar w:fldCharType="end"/>
      </w:r>
    </w:p>
    <w:p w:rsidR="00A640FC" w:rsidRDefault="00A640FC" w:rsidP="00A640FC">
      <w:pPr>
        <w:pStyle w:val="TOC2"/>
        <w:ind w:left="1167"/>
        <w:rPr>
          <w:noProof/>
        </w:rPr>
      </w:pPr>
      <w:r>
        <w:rPr>
          <w:noProof/>
        </w:rPr>
        <w:t>E.</w:t>
      </w:r>
      <w:r>
        <w:rPr>
          <w:noProof/>
        </w:rPr>
        <w:tab/>
        <w:t>Procurement</w:t>
      </w:r>
      <w:r>
        <w:rPr>
          <w:noProof/>
        </w:rPr>
        <w:tab/>
      </w:r>
      <w:r w:rsidR="00F119A7">
        <w:rPr>
          <w:noProof/>
        </w:rPr>
        <w:fldChar w:fldCharType="begin"/>
      </w:r>
      <w:r>
        <w:rPr>
          <w:noProof/>
        </w:rPr>
        <w:instrText xml:space="preserve"> PAGEREF _Toc204581727 \h </w:instrText>
      </w:r>
      <w:r w:rsidR="00F119A7">
        <w:rPr>
          <w:noProof/>
        </w:rPr>
      </w:r>
      <w:r w:rsidR="00F119A7">
        <w:rPr>
          <w:noProof/>
        </w:rPr>
        <w:fldChar w:fldCharType="separate"/>
      </w:r>
      <w:r w:rsidR="003875B5">
        <w:rPr>
          <w:noProof/>
        </w:rPr>
        <w:t>7</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VI.</w:t>
      </w:r>
      <w:r>
        <w:rPr>
          <w:smallCaps w:val="0"/>
          <w:noProof/>
        </w:rPr>
        <w:tab/>
      </w:r>
      <w:r>
        <w:rPr>
          <w:noProof/>
        </w:rPr>
        <w:t>Monitoring and Evaluation</w:t>
      </w:r>
      <w:r>
        <w:rPr>
          <w:noProof/>
        </w:rPr>
        <w:tab/>
      </w:r>
      <w:r w:rsidR="00F119A7">
        <w:rPr>
          <w:noProof/>
        </w:rPr>
        <w:fldChar w:fldCharType="begin"/>
      </w:r>
      <w:r>
        <w:rPr>
          <w:noProof/>
        </w:rPr>
        <w:instrText xml:space="preserve"> PAGEREF _Toc204581728 \h </w:instrText>
      </w:r>
      <w:r w:rsidR="00F119A7">
        <w:rPr>
          <w:noProof/>
        </w:rPr>
      </w:r>
      <w:r w:rsidR="00F119A7">
        <w:rPr>
          <w:noProof/>
        </w:rPr>
        <w:fldChar w:fldCharType="separate"/>
      </w:r>
      <w:r w:rsidR="003875B5">
        <w:rPr>
          <w:noProof/>
        </w:rPr>
        <w:t>8</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VII.</w:t>
      </w:r>
      <w:r>
        <w:rPr>
          <w:smallCaps w:val="0"/>
          <w:noProof/>
        </w:rPr>
        <w:tab/>
      </w:r>
      <w:r>
        <w:rPr>
          <w:noProof/>
        </w:rPr>
        <w:t>Program Benefits and Risks</w:t>
      </w:r>
      <w:r>
        <w:rPr>
          <w:noProof/>
        </w:rPr>
        <w:tab/>
      </w:r>
      <w:r w:rsidR="00F119A7">
        <w:rPr>
          <w:noProof/>
        </w:rPr>
        <w:fldChar w:fldCharType="begin"/>
      </w:r>
      <w:r>
        <w:rPr>
          <w:noProof/>
        </w:rPr>
        <w:instrText xml:space="preserve"> PAGEREF _Toc204581729 \h </w:instrText>
      </w:r>
      <w:r w:rsidR="00F119A7">
        <w:rPr>
          <w:noProof/>
        </w:rPr>
      </w:r>
      <w:r w:rsidR="00F119A7">
        <w:rPr>
          <w:noProof/>
        </w:rPr>
        <w:fldChar w:fldCharType="separate"/>
      </w:r>
      <w:r w:rsidR="003875B5">
        <w:rPr>
          <w:noProof/>
        </w:rPr>
        <w:t>8</w:t>
      </w:r>
      <w:r w:rsidR="00F119A7">
        <w:rPr>
          <w:noProof/>
        </w:rPr>
        <w:fldChar w:fldCharType="end"/>
      </w:r>
    </w:p>
    <w:p w:rsidR="00A640FC" w:rsidRDefault="00A640FC" w:rsidP="00A640FC">
      <w:pPr>
        <w:pStyle w:val="TOC2"/>
        <w:ind w:left="1167"/>
        <w:rPr>
          <w:noProof/>
        </w:rPr>
      </w:pPr>
      <w:r>
        <w:rPr>
          <w:noProof/>
        </w:rPr>
        <w:t>A.</w:t>
      </w:r>
      <w:r>
        <w:rPr>
          <w:noProof/>
        </w:rPr>
        <w:tab/>
        <w:t>Program benefits and developmental impact</w:t>
      </w:r>
      <w:r>
        <w:rPr>
          <w:noProof/>
        </w:rPr>
        <w:tab/>
      </w:r>
      <w:r w:rsidR="00F119A7">
        <w:rPr>
          <w:noProof/>
        </w:rPr>
        <w:fldChar w:fldCharType="begin"/>
      </w:r>
      <w:r>
        <w:rPr>
          <w:noProof/>
        </w:rPr>
        <w:instrText xml:space="preserve"> PAGEREF _Toc204581730 \h </w:instrText>
      </w:r>
      <w:r w:rsidR="00F119A7">
        <w:rPr>
          <w:noProof/>
        </w:rPr>
      </w:r>
      <w:r w:rsidR="00F119A7">
        <w:rPr>
          <w:noProof/>
        </w:rPr>
        <w:fldChar w:fldCharType="separate"/>
      </w:r>
      <w:r w:rsidR="003875B5">
        <w:rPr>
          <w:noProof/>
        </w:rPr>
        <w:t>8</w:t>
      </w:r>
      <w:r w:rsidR="00F119A7">
        <w:rPr>
          <w:noProof/>
        </w:rPr>
        <w:fldChar w:fldCharType="end"/>
      </w:r>
    </w:p>
    <w:p w:rsidR="00A640FC" w:rsidRDefault="00A640FC" w:rsidP="00A640FC">
      <w:pPr>
        <w:pStyle w:val="TOC2"/>
        <w:ind w:left="1167"/>
        <w:rPr>
          <w:noProof/>
        </w:rPr>
      </w:pPr>
      <w:r>
        <w:rPr>
          <w:noProof/>
        </w:rPr>
        <w:t>B.</w:t>
      </w:r>
      <w:r>
        <w:rPr>
          <w:noProof/>
        </w:rPr>
        <w:tab/>
        <w:t>Target Beneficiaries</w:t>
      </w:r>
      <w:r>
        <w:rPr>
          <w:noProof/>
        </w:rPr>
        <w:tab/>
      </w:r>
      <w:r w:rsidR="00F119A7">
        <w:rPr>
          <w:noProof/>
        </w:rPr>
        <w:fldChar w:fldCharType="begin"/>
      </w:r>
      <w:r>
        <w:rPr>
          <w:noProof/>
        </w:rPr>
        <w:instrText xml:space="preserve"> PAGEREF _Toc204581731 \h </w:instrText>
      </w:r>
      <w:r w:rsidR="00F119A7">
        <w:rPr>
          <w:noProof/>
        </w:rPr>
      </w:r>
      <w:r w:rsidR="00F119A7">
        <w:rPr>
          <w:noProof/>
        </w:rPr>
        <w:fldChar w:fldCharType="separate"/>
      </w:r>
      <w:r w:rsidR="003875B5">
        <w:rPr>
          <w:noProof/>
        </w:rPr>
        <w:t>9</w:t>
      </w:r>
      <w:r w:rsidR="00F119A7">
        <w:rPr>
          <w:noProof/>
        </w:rPr>
        <w:fldChar w:fldCharType="end"/>
      </w:r>
    </w:p>
    <w:p w:rsidR="00A640FC" w:rsidRDefault="00A640FC" w:rsidP="00A640FC">
      <w:pPr>
        <w:pStyle w:val="TOC2"/>
        <w:ind w:left="1167"/>
        <w:rPr>
          <w:noProof/>
        </w:rPr>
      </w:pPr>
      <w:r>
        <w:rPr>
          <w:noProof/>
        </w:rPr>
        <w:t>C.</w:t>
      </w:r>
      <w:r>
        <w:rPr>
          <w:noProof/>
        </w:rPr>
        <w:tab/>
        <w:t>Risks</w:t>
      </w:r>
      <w:r>
        <w:rPr>
          <w:noProof/>
        </w:rPr>
        <w:tab/>
      </w:r>
      <w:r w:rsidR="00F119A7">
        <w:rPr>
          <w:noProof/>
        </w:rPr>
        <w:fldChar w:fldCharType="begin"/>
      </w:r>
      <w:r>
        <w:rPr>
          <w:noProof/>
        </w:rPr>
        <w:instrText xml:space="preserve"> PAGEREF _Toc204581732 \h </w:instrText>
      </w:r>
      <w:r w:rsidR="00F119A7">
        <w:rPr>
          <w:noProof/>
        </w:rPr>
      </w:r>
      <w:r w:rsidR="00F119A7">
        <w:rPr>
          <w:noProof/>
        </w:rPr>
        <w:fldChar w:fldCharType="separate"/>
      </w:r>
      <w:r w:rsidR="003875B5">
        <w:rPr>
          <w:noProof/>
        </w:rPr>
        <w:t>9</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VIII.</w:t>
      </w:r>
      <w:r>
        <w:rPr>
          <w:smallCaps w:val="0"/>
          <w:noProof/>
        </w:rPr>
        <w:tab/>
      </w:r>
      <w:r>
        <w:rPr>
          <w:noProof/>
        </w:rPr>
        <w:t>Environmental and Social Aspects</w:t>
      </w:r>
      <w:r>
        <w:rPr>
          <w:noProof/>
        </w:rPr>
        <w:tab/>
      </w:r>
      <w:r w:rsidR="00F119A7">
        <w:rPr>
          <w:noProof/>
        </w:rPr>
        <w:fldChar w:fldCharType="begin"/>
      </w:r>
      <w:r>
        <w:rPr>
          <w:noProof/>
        </w:rPr>
        <w:instrText xml:space="preserve"> PAGEREF _Toc204581733 \h </w:instrText>
      </w:r>
      <w:r w:rsidR="00F119A7">
        <w:rPr>
          <w:noProof/>
        </w:rPr>
      </w:r>
      <w:r w:rsidR="00F119A7">
        <w:rPr>
          <w:noProof/>
        </w:rPr>
        <w:fldChar w:fldCharType="separate"/>
      </w:r>
      <w:r w:rsidR="003875B5">
        <w:rPr>
          <w:noProof/>
        </w:rPr>
        <w:t>9</w:t>
      </w:r>
      <w:r w:rsidR="00F119A7">
        <w:rPr>
          <w:noProof/>
        </w:rPr>
        <w:fldChar w:fldCharType="end"/>
      </w:r>
    </w:p>
    <w:p w:rsidR="00A640FC" w:rsidRDefault="00A640FC" w:rsidP="00A640FC">
      <w:pPr>
        <w:pStyle w:val="TOC2"/>
        <w:ind w:left="1167"/>
        <w:rPr>
          <w:noProof/>
        </w:rPr>
      </w:pPr>
      <w:r>
        <w:rPr>
          <w:noProof/>
        </w:rPr>
        <w:t>A.</w:t>
      </w:r>
      <w:r>
        <w:rPr>
          <w:noProof/>
        </w:rPr>
        <w:tab/>
        <w:t>Date of ESR review</w:t>
      </w:r>
      <w:r>
        <w:rPr>
          <w:noProof/>
        </w:rPr>
        <w:tab/>
      </w:r>
      <w:r w:rsidR="00F119A7">
        <w:rPr>
          <w:noProof/>
        </w:rPr>
        <w:fldChar w:fldCharType="begin"/>
      </w:r>
      <w:r>
        <w:rPr>
          <w:noProof/>
        </w:rPr>
        <w:instrText xml:space="preserve"> PAGEREF _Toc204581734 \h </w:instrText>
      </w:r>
      <w:r w:rsidR="00F119A7">
        <w:rPr>
          <w:noProof/>
        </w:rPr>
      </w:r>
      <w:r w:rsidR="00F119A7">
        <w:rPr>
          <w:noProof/>
        </w:rPr>
        <w:fldChar w:fldCharType="separate"/>
      </w:r>
      <w:r w:rsidR="003875B5">
        <w:rPr>
          <w:noProof/>
        </w:rPr>
        <w:t>9</w:t>
      </w:r>
      <w:r w:rsidR="00F119A7">
        <w:rPr>
          <w:noProof/>
        </w:rPr>
        <w:fldChar w:fldCharType="end"/>
      </w:r>
    </w:p>
    <w:p w:rsidR="00A640FC" w:rsidRDefault="00A640FC" w:rsidP="00A640FC">
      <w:pPr>
        <w:pStyle w:val="TOC2"/>
        <w:ind w:left="1167"/>
        <w:rPr>
          <w:noProof/>
        </w:rPr>
      </w:pPr>
      <w:r>
        <w:rPr>
          <w:noProof/>
        </w:rPr>
        <w:t>B.</w:t>
      </w:r>
      <w:r>
        <w:rPr>
          <w:noProof/>
        </w:rPr>
        <w:tab/>
        <w:t>Risks and Mitigation</w:t>
      </w:r>
      <w:r>
        <w:rPr>
          <w:noProof/>
        </w:rPr>
        <w:tab/>
      </w:r>
      <w:r w:rsidR="00F119A7">
        <w:rPr>
          <w:noProof/>
        </w:rPr>
        <w:fldChar w:fldCharType="begin"/>
      </w:r>
      <w:r>
        <w:rPr>
          <w:noProof/>
        </w:rPr>
        <w:instrText xml:space="preserve"> PAGEREF _Toc204581735 \h </w:instrText>
      </w:r>
      <w:r w:rsidR="00F119A7">
        <w:rPr>
          <w:noProof/>
        </w:rPr>
      </w:r>
      <w:r w:rsidR="00F119A7">
        <w:rPr>
          <w:noProof/>
        </w:rPr>
        <w:fldChar w:fldCharType="separate"/>
      </w:r>
      <w:r w:rsidR="003875B5">
        <w:rPr>
          <w:noProof/>
        </w:rPr>
        <w:t>9</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IX.</w:t>
      </w:r>
      <w:r>
        <w:rPr>
          <w:smallCaps w:val="0"/>
          <w:noProof/>
        </w:rPr>
        <w:tab/>
      </w:r>
      <w:r>
        <w:rPr>
          <w:noProof/>
        </w:rPr>
        <w:t>Responsibility within the Bank</w:t>
      </w:r>
      <w:r>
        <w:rPr>
          <w:noProof/>
        </w:rPr>
        <w:tab/>
      </w:r>
      <w:r w:rsidR="00F119A7">
        <w:rPr>
          <w:noProof/>
        </w:rPr>
        <w:fldChar w:fldCharType="begin"/>
      </w:r>
      <w:r>
        <w:rPr>
          <w:noProof/>
        </w:rPr>
        <w:instrText xml:space="preserve"> PAGEREF _Toc204581736 \h </w:instrText>
      </w:r>
      <w:r w:rsidR="00F119A7">
        <w:rPr>
          <w:noProof/>
        </w:rPr>
      </w:r>
      <w:r w:rsidR="00F119A7">
        <w:rPr>
          <w:noProof/>
        </w:rPr>
        <w:fldChar w:fldCharType="separate"/>
      </w:r>
      <w:r w:rsidR="003875B5">
        <w:rPr>
          <w:noProof/>
        </w:rPr>
        <w:t>9</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X.</w:t>
      </w:r>
      <w:r>
        <w:rPr>
          <w:smallCaps w:val="0"/>
          <w:noProof/>
        </w:rPr>
        <w:tab/>
      </w:r>
      <w:r>
        <w:rPr>
          <w:noProof/>
        </w:rPr>
        <w:t>Certification</w:t>
      </w:r>
      <w:r>
        <w:rPr>
          <w:noProof/>
        </w:rPr>
        <w:tab/>
      </w:r>
      <w:r w:rsidR="00F119A7">
        <w:rPr>
          <w:noProof/>
        </w:rPr>
        <w:fldChar w:fldCharType="begin"/>
      </w:r>
      <w:r>
        <w:rPr>
          <w:noProof/>
        </w:rPr>
        <w:instrText xml:space="preserve"> PAGEREF _Toc204581737 \h </w:instrText>
      </w:r>
      <w:r w:rsidR="00F119A7">
        <w:rPr>
          <w:noProof/>
        </w:rPr>
      </w:r>
      <w:r w:rsidR="00F119A7">
        <w:rPr>
          <w:noProof/>
        </w:rPr>
        <w:fldChar w:fldCharType="separate"/>
      </w:r>
      <w:r w:rsidR="003875B5">
        <w:rPr>
          <w:noProof/>
        </w:rPr>
        <w:t>10</w:t>
      </w:r>
      <w:r w:rsidR="00F119A7">
        <w:rPr>
          <w:noProof/>
        </w:rPr>
        <w:fldChar w:fldCharType="end"/>
      </w:r>
    </w:p>
    <w:p w:rsidR="00A640FC" w:rsidRDefault="00A640FC" w:rsidP="00A640FC">
      <w:pPr>
        <w:pStyle w:val="TOC1"/>
        <w:spacing w:before="100" w:beforeAutospacing="1" w:after="100" w:afterAutospacing="1"/>
        <w:rPr>
          <w:smallCaps w:val="0"/>
          <w:noProof/>
        </w:rPr>
      </w:pPr>
      <w:r>
        <w:rPr>
          <w:noProof/>
        </w:rPr>
        <w:t>XI.</w:t>
      </w:r>
      <w:r>
        <w:rPr>
          <w:smallCaps w:val="0"/>
          <w:noProof/>
        </w:rPr>
        <w:tab/>
      </w:r>
      <w:r>
        <w:rPr>
          <w:noProof/>
        </w:rPr>
        <w:t>Approval</w:t>
      </w:r>
      <w:r>
        <w:rPr>
          <w:noProof/>
        </w:rPr>
        <w:tab/>
      </w:r>
      <w:r w:rsidR="00434969">
        <w:rPr>
          <w:noProof/>
        </w:rPr>
        <w:t>10</w:t>
      </w:r>
    </w:p>
    <w:p w:rsidR="00E8203B" w:rsidRDefault="00F119A7" w:rsidP="00F5406D">
      <w:pPr>
        <w:pStyle w:val="Newpage"/>
        <w:rPr>
          <w:b w:val="0"/>
          <w:smallCaps w:val="0"/>
          <w:noProof/>
        </w:rPr>
      </w:pPr>
      <w:r>
        <w:rPr>
          <w:b w:val="0"/>
          <w:smallCaps w:val="0"/>
          <w:noProof/>
        </w:rPr>
        <w:fldChar w:fldCharType="end"/>
      </w:r>
    </w:p>
    <w:p w:rsidR="00E8203B" w:rsidRDefault="00E8203B">
      <w:pPr>
        <w:rPr>
          <w:noProof/>
        </w:rPr>
      </w:pPr>
      <w:r>
        <w:rPr>
          <w:b/>
          <w:smallCaps/>
          <w:noProof/>
        </w:rPr>
        <w:br w:type="page"/>
      </w:r>
    </w:p>
    <w:p w:rsidR="00B05910" w:rsidRDefault="00B05910" w:rsidP="00F5406D">
      <w:pPr>
        <w:pStyle w:val="Newpage"/>
        <w:rPr>
          <w:caps/>
        </w:rPr>
      </w:pPr>
      <w:r>
        <w:lastRenderedPageBreak/>
        <w:t>annexes</w:t>
      </w:r>
    </w:p>
    <w:p w:rsidR="00B05910" w:rsidRDefault="00B05910">
      <w:pPr>
        <w:widowControl w:val="0"/>
        <w:tabs>
          <w:tab w:val="left" w:pos="3060"/>
        </w:tabs>
        <w:jc w:val="center"/>
        <w:rPr>
          <w:b/>
        </w:rPr>
      </w:pPr>
    </w:p>
    <w:p w:rsidR="00B05910" w:rsidRDefault="00B05910">
      <w:pPr>
        <w:widowControl w:val="0"/>
        <w:tabs>
          <w:tab w:val="left" w:pos="3060"/>
        </w:tabs>
        <w:jc w:val="center"/>
        <w:rPr>
          <w:b/>
        </w:rPr>
      </w:pP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tblPr>
      <w:tblGrid>
        <w:gridCol w:w="1652"/>
        <w:gridCol w:w="7318"/>
      </w:tblGrid>
      <w:tr w:rsidR="00594F91">
        <w:trPr>
          <w:cantSplit/>
          <w:trHeight w:val="405"/>
          <w:tblHeader/>
        </w:trPr>
        <w:tc>
          <w:tcPr>
            <w:tcW w:w="1652" w:type="dxa"/>
            <w:vAlign w:val="center"/>
          </w:tcPr>
          <w:p w:rsidR="00594F91" w:rsidRDefault="00594F91" w:rsidP="00594F91">
            <w:pPr>
              <w:pStyle w:val="Annex"/>
              <w:widowControl w:val="0"/>
            </w:pPr>
            <w:r>
              <w:t>ANNex i</w:t>
            </w:r>
          </w:p>
        </w:tc>
        <w:tc>
          <w:tcPr>
            <w:tcW w:w="7318" w:type="dxa"/>
            <w:vAlign w:val="center"/>
          </w:tcPr>
          <w:p w:rsidR="00594F91" w:rsidRDefault="00594F91" w:rsidP="00594F91">
            <w:pPr>
              <w:widowControl w:val="0"/>
              <w:tabs>
                <w:tab w:val="left" w:pos="3060"/>
              </w:tabs>
              <w:jc w:val="both"/>
            </w:pPr>
            <w:r>
              <w:t>Results Framework</w:t>
            </w:r>
          </w:p>
        </w:tc>
      </w:tr>
      <w:tr w:rsidR="00656A7F">
        <w:trPr>
          <w:cantSplit/>
          <w:trHeight w:val="405"/>
          <w:tblHeader/>
        </w:trPr>
        <w:tc>
          <w:tcPr>
            <w:tcW w:w="1652" w:type="dxa"/>
            <w:vAlign w:val="center"/>
          </w:tcPr>
          <w:p w:rsidR="00656A7F" w:rsidRDefault="00656A7F" w:rsidP="00656A7F">
            <w:pPr>
              <w:pStyle w:val="Annex"/>
              <w:widowControl w:val="0"/>
            </w:pPr>
            <w:r>
              <w:t>Annex ii</w:t>
            </w:r>
          </w:p>
        </w:tc>
        <w:tc>
          <w:tcPr>
            <w:tcW w:w="7318" w:type="dxa"/>
            <w:vAlign w:val="center"/>
          </w:tcPr>
          <w:p w:rsidR="00656A7F" w:rsidRDefault="006D23E6" w:rsidP="00656A7F">
            <w:pPr>
              <w:widowControl w:val="0"/>
              <w:tabs>
                <w:tab w:val="left" w:pos="3060"/>
              </w:tabs>
              <w:jc w:val="both"/>
            </w:pPr>
            <w:r>
              <w:t xml:space="preserve">Detailed Budget </w:t>
            </w:r>
          </w:p>
        </w:tc>
      </w:tr>
      <w:tr w:rsidR="00656A7F">
        <w:trPr>
          <w:cantSplit/>
          <w:trHeight w:val="405"/>
          <w:tblHeader/>
        </w:trPr>
        <w:tc>
          <w:tcPr>
            <w:tcW w:w="1652" w:type="dxa"/>
            <w:vAlign w:val="center"/>
          </w:tcPr>
          <w:p w:rsidR="00656A7F" w:rsidRDefault="00656A7F" w:rsidP="00656A7F">
            <w:pPr>
              <w:pStyle w:val="Annex"/>
              <w:widowControl w:val="0"/>
            </w:pPr>
            <w:r>
              <w:t>Annex iii</w:t>
            </w:r>
          </w:p>
        </w:tc>
        <w:tc>
          <w:tcPr>
            <w:tcW w:w="7318" w:type="dxa"/>
            <w:vAlign w:val="center"/>
          </w:tcPr>
          <w:p w:rsidR="00656A7F" w:rsidRDefault="006D23E6" w:rsidP="00656A7F">
            <w:pPr>
              <w:widowControl w:val="0"/>
              <w:tabs>
                <w:tab w:val="left" w:pos="3060"/>
              </w:tabs>
              <w:jc w:val="both"/>
            </w:pPr>
            <w:r>
              <w:t>Procurement Plan</w:t>
            </w:r>
          </w:p>
        </w:tc>
      </w:tr>
    </w:tbl>
    <w:p w:rsidR="00B05910" w:rsidRDefault="00B05910">
      <w:pPr>
        <w:pStyle w:val="AbbrDesc"/>
        <w:widowControl w:val="0"/>
        <w:rPr>
          <w:bCs/>
        </w:rPr>
      </w:pPr>
    </w:p>
    <w:p w:rsidR="00E8203B" w:rsidRDefault="00E8203B" w:rsidP="00E8203B">
      <w:pPr>
        <w:pStyle w:val="Newpage"/>
      </w:pPr>
      <w:r>
        <w:t>Electronic Links</w:t>
      </w:r>
    </w:p>
    <w:p w:rsidR="00E8203B" w:rsidRDefault="00E8203B" w:rsidP="00E8203B">
      <w:pPr>
        <w:pStyle w:val="Newpage"/>
      </w:pP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tblPr>
      <w:tblGrid>
        <w:gridCol w:w="1652"/>
        <w:gridCol w:w="7318"/>
      </w:tblGrid>
      <w:tr w:rsidR="00E8203B">
        <w:trPr>
          <w:cantSplit/>
          <w:trHeight w:val="405"/>
          <w:tblHeader/>
        </w:trPr>
        <w:tc>
          <w:tcPr>
            <w:tcW w:w="1652" w:type="dxa"/>
            <w:vAlign w:val="center"/>
          </w:tcPr>
          <w:p w:rsidR="00E8203B" w:rsidRDefault="00241F9B" w:rsidP="00E8203B">
            <w:pPr>
              <w:pStyle w:val="Annex"/>
              <w:widowControl w:val="0"/>
            </w:pPr>
            <w:r>
              <w:rPr>
                <w:caps w:val="0"/>
              </w:rPr>
              <w:t>Link 1</w:t>
            </w:r>
          </w:p>
          <w:p w:rsidR="00241F9B" w:rsidRDefault="00241F9B" w:rsidP="00E8203B">
            <w:pPr>
              <w:pStyle w:val="Annex"/>
              <w:widowControl w:val="0"/>
            </w:pPr>
          </w:p>
        </w:tc>
        <w:tc>
          <w:tcPr>
            <w:tcW w:w="7318" w:type="dxa"/>
            <w:vAlign w:val="center"/>
          </w:tcPr>
          <w:p w:rsidR="00E8203B" w:rsidRPr="00E8203B" w:rsidRDefault="00E8203B" w:rsidP="00E8203B">
            <w:pPr>
              <w:widowControl w:val="0"/>
              <w:tabs>
                <w:tab w:val="left" w:pos="3060"/>
              </w:tabs>
              <w:jc w:val="both"/>
            </w:pPr>
            <w:r>
              <w:t>Terms of Reference – Private Sector Assessment in Jamaica</w:t>
            </w:r>
          </w:p>
          <w:p w:rsidR="00E8203B" w:rsidRDefault="00F119A7" w:rsidP="00F556F4">
            <w:pPr>
              <w:rPr>
                <w:rFonts w:cs="Calibri"/>
                <w:sz w:val="20"/>
              </w:rPr>
            </w:pPr>
            <w:hyperlink r:id="rId12" w:history="1">
              <w:r w:rsidR="00F556F4" w:rsidRPr="007E5709">
                <w:rPr>
                  <w:rStyle w:val="Hyperlink"/>
                  <w:rFonts w:cs="Calibri"/>
                  <w:sz w:val="20"/>
                </w:rPr>
                <w:t>http://idbdocs.iadb.org/WSDocs/getDocument.aspx?DOCNUM=35112227</w:t>
              </w:r>
            </w:hyperlink>
          </w:p>
          <w:p w:rsidR="00F556F4" w:rsidRDefault="00F556F4" w:rsidP="00F556F4"/>
        </w:tc>
      </w:tr>
      <w:tr w:rsidR="00E8203B">
        <w:trPr>
          <w:cantSplit/>
          <w:trHeight w:val="405"/>
          <w:tblHeader/>
        </w:trPr>
        <w:tc>
          <w:tcPr>
            <w:tcW w:w="1652" w:type="dxa"/>
            <w:vAlign w:val="center"/>
          </w:tcPr>
          <w:p w:rsidR="00241F9B" w:rsidRDefault="00241F9B" w:rsidP="00241F9B">
            <w:pPr>
              <w:pStyle w:val="Annex"/>
              <w:widowControl w:val="0"/>
            </w:pPr>
            <w:r>
              <w:rPr>
                <w:caps w:val="0"/>
              </w:rPr>
              <w:t>Link 2</w:t>
            </w:r>
          </w:p>
          <w:p w:rsidR="00E8203B" w:rsidRDefault="00E8203B" w:rsidP="00E8203B">
            <w:pPr>
              <w:pStyle w:val="Annex"/>
              <w:widowControl w:val="0"/>
            </w:pPr>
          </w:p>
        </w:tc>
        <w:tc>
          <w:tcPr>
            <w:tcW w:w="7318" w:type="dxa"/>
            <w:vAlign w:val="center"/>
          </w:tcPr>
          <w:p w:rsidR="00E8203B" w:rsidRDefault="00E8203B" w:rsidP="00E8203B">
            <w:pPr>
              <w:widowControl w:val="0"/>
              <w:tabs>
                <w:tab w:val="left" w:pos="3060"/>
              </w:tabs>
              <w:jc w:val="both"/>
            </w:pPr>
            <w:r>
              <w:t xml:space="preserve">Terms of Reference – </w:t>
            </w:r>
            <w:r w:rsidRPr="005759FB">
              <w:t>Strengthening the Regulatory and Institutional Framework for PPPs</w:t>
            </w:r>
          </w:p>
          <w:p w:rsidR="00E8203B" w:rsidRDefault="00F119A7" w:rsidP="00F556F4">
            <w:hyperlink r:id="rId13" w:history="1">
              <w:r w:rsidR="00F556F4" w:rsidRPr="007E5709">
                <w:rPr>
                  <w:rStyle w:val="Hyperlink"/>
                  <w:rFonts w:cs="Calibri"/>
                  <w:sz w:val="20"/>
                </w:rPr>
                <w:t>http://idbdocs.iadb.org/WSDocs/getDocument.aspx?DOCNUM=35112250</w:t>
              </w:r>
            </w:hyperlink>
          </w:p>
          <w:p w:rsidR="00F556F4" w:rsidRDefault="00F556F4" w:rsidP="00F556F4"/>
        </w:tc>
      </w:tr>
      <w:tr w:rsidR="00E8203B">
        <w:trPr>
          <w:cantSplit/>
          <w:trHeight w:val="405"/>
          <w:tblHeader/>
        </w:trPr>
        <w:tc>
          <w:tcPr>
            <w:tcW w:w="1652" w:type="dxa"/>
            <w:vAlign w:val="center"/>
          </w:tcPr>
          <w:p w:rsidR="00241F9B" w:rsidRDefault="00241F9B" w:rsidP="00241F9B">
            <w:pPr>
              <w:pStyle w:val="Annex"/>
              <w:widowControl w:val="0"/>
            </w:pPr>
            <w:r>
              <w:rPr>
                <w:caps w:val="0"/>
              </w:rPr>
              <w:t>Link 3</w:t>
            </w:r>
          </w:p>
          <w:p w:rsidR="00E8203B" w:rsidRDefault="00E8203B" w:rsidP="00E8203B">
            <w:pPr>
              <w:pStyle w:val="Annex"/>
              <w:widowControl w:val="0"/>
            </w:pPr>
          </w:p>
        </w:tc>
        <w:tc>
          <w:tcPr>
            <w:tcW w:w="7318" w:type="dxa"/>
            <w:vAlign w:val="center"/>
          </w:tcPr>
          <w:p w:rsidR="00E8203B" w:rsidRDefault="00E8203B" w:rsidP="00E8203B">
            <w:pPr>
              <w:widowControl w:val="0"/>
              <w:tabs>
                <w:tab w:val="left" w:pos="3060"/>
              </w:tabs>
              <w:jc w:val="both"/>
            </w:pPr>
            <w:r>
              <w:t xml:space="preserve">Terms of Reference – </w:t>
            </w:r>
            <w:r w:rsidRPr="005759FB">
              <w:t>Implementation of Regulatory Reform to enable secured transactions-</w:t>
            </w:r>
            <w:r>
              <w:t xml:space="preserve"> </w:t>
            </w:r>
            <w:r w:rsidRPr="005759FB">
              <w:t>Local</w:t>
            </w:r>
            <w:r>
              <w:t xml:space="preserve"> Lawyer</w:t>
            </w:r>
          </w:p>
          <w:p w:rsidR="00F556F4" w:rsidRDefault="00F119A7" w:rsidP="00F556F4">
            <w:pPr>
              <w:rPr>
                <w:rFonts w:cs="Calibri"/>
                <w:sz w:val="20"/>
              </w:rPr>
            </w:pPr>
            <w:hyperlink r:id="rId14" w:history="1">
              <w:r w:rsidR="00F556F4" w:rsidRPr="007E5709">
                <w:rPr>
                  <w:rStyle w:val="Hyperlink"/>
                  <w:rFonts w:cs="Calibri"/>
                  <w:sz w:val="20"/>
                </w:rPr>
                <w:t>http://idbdocs.iadb.org/WSDocs/getDocument.aspx?DOCNUM=35112232</w:t>
              </w:r>
            </w:hyperlink>
          </w:p>
          <w:p w:rsidR="00E8203B" w:rsidRDefault="00E8203B" w:rsidP="00E8203B">
            <w:pPr>
              <w:widowControl w:val="0"/>
              <w:tabs>
                <w:tab w:val="left" w:pos="3060"/>
              </w:tabs>
              <w:jc w:val="both"/>
            </w:pPr>
          </w:p>
        </w:tc>
      </w:tr>
      <w:tr w:rsidR="00E8203B">
        <w:trPr>
          <w:cantSplit/>
          <w:trHeight w:val="405"/>
          <w:tblHeader/>
        </w:trPr>
        <w:tc>
          <w:tcPr>
            <w:tcW w:w="1652" w:type="dxa"/>
            <w:vAlign w:val="center"/>
          </w:tcPr>
          <w:p w:rsidR="00241F9B" w:rsidRDefault="00241F9B" w:rsidP="00241F9B">
            <w:pPr>
              <w:pStyle w:val="Annex"/>
              <w:widowControl w:val="0"/>
            </w:pPr>
            <w:r>
              <w:rPr>
                <w:caps w:val="0"/>
              </w:rPr>
              <w:t>Link 4</w:t>
            </w:r>
          </w:p>
          <w:p w:rsidR="00E8203B" w:rsidRDefault="00E8203B" w:rsidP="00E8203B">
            <w:pPr>
              <w:pStyle w:val="Annex"/>
              <w:widowControl w:val="0"/>
            </w:pPr>
          </w:p>
        </w:tc>
        <w:tc>
          <w:tcPr>
            <w:tcW w:w="7318" w:type="dxa"/>
            <w:vAlign w:val="center"/>
          </w:tcPr>
          <w:p w:rsidR="00E8203B" w:rsidRDefault="00E8203B" w:rsidP="00E8203B">
            <w:pPr>
              <w:widowControl w:val="0"/>
              <w:tabs>
                <w:tab w:val="left" w:pos="3060"/>
              </w:tabs>
              <w:jc w:val="both"/>
            </w:pPr>
            <w:r>
              <w:t xml:space="preserve">Terms of Reference – </w:t>
            </w:r>
            <w:r w:rsidRPr="005759FB">
              <w:t>Implementation of Regulatory Reform to enable secured transactions-</w:t>
            </w:r>
            <w:r>
              <w:t xml:space="preserve"> International Technical Expert</w:t>
            </w:r>
          </w:p>
          <w:p w:rsidR="00E8203B" w:rsidRDefault="00F119A7" w:rsidP="00F556F4">
            <w:pPr>
              <w:rPr>
                <w:rFonts w:cs="Calibri"/>
                <w:sz w:val="20"/>
              </w:rPr>
            </w:pPr>
            <w:hyperlink r:id="rId15" w:history="1">
              <w:r w:rsidR="00F556F4" w:rsidRPr="007E5709">
                <w:rPr>
                  <w:rStyle w:val="Hyperlink"/>
                  <w:rFonts w:cs="Calibri"/>
                  <w:sz w:val="20"/>
                </w:rPr>
                <w:t>http://idbdocs.iadb.org/WSDocs/getDocument.aspx?DOCNUM=35112233</w:t>
              </w:r>
            </w:hyperlink>
          </w:p>
          <w:p w:rsidR="00F556F4" w:rsidRPr="00F556F4" w:rsidRDefault="00F556F4" w:rsidP="00F556F4">
            <w:pPr>
              <w:rPr>
                <w:rFonts w:cs="Calibri"/>
                <w:sz w:val="20"/>
              </w:rPr>
            </w:pPr>
          </w:p>
        </w:tc>
      </w:tr>
      <w:tr w:rsidR="00E8203B">
        <w:trPr>
          <w:cantSplit/>
          <w:trHeight w:val="405"/>
          <w:tblHeader/>
        </w:trPr>
        <w:tc>
          <w:tcPr>
            <w:tcW w:w="1652" w:type="dxa"/>
            <w:vAlign w:val="center"/>
          </w:tcPr>
          <w:p w:rsidR="00241F9B" w:rsidRDefault="00241F9B" w:rsidP="00241F9B">
            <w:pPr>
              <w:pStyle w:val="Annex"/>
              <w:widowControl w:val="0"/>
            </w:pPr>
            <w:r>
              <w:rPr>
                <w:caps w:val="0"/>
              </w:rPr>
              <w:t>Link 5</w:t>
            </w:r>
          </w:p>
          <w:p w:rsidR="00E8203B" w:rsidRDefault="00E8203B" w:rsidP="00E8203B">
            <w:pPr>
              <w:pStyle w:val="Annex"/>
              <w:widowControl w:val="0"/>
            </w:pPr>
          </w:p>
        </w:tc>
        <w:tc>
          <w:tcPr>
            <w:tcW w:w="7318" w:type="dxa"/>
            <w:vAlign w:val="center"/>
          </w:tcPr>
          <w:p w:rsidR="00E8203B" w:rsidRDefault="00E8203B" w:rsidP="00E8203B">
            <w:pPr>
              <w:widowControl w:val="0"/>
              <w:tabs>
                <w:tab w:val="left" w:pos="3060"/>
              </w:tabs>
              <w:jc w:val="both"/>
            </w:pPr>
            <w:r>
              <w:t xml:space="preserve">Terms of Reference – </w:t>
            </w:r>
            <w:r w:rsidRPr="005759FB">
              <w:t>Implementation of Regulatory Reform to enable secured transactions-</w:t>
            </w:r>
            <w:r>
              <w:t xml:space="preserve"> Central Registry of Pledged Assets</w:t>
            </w:r>
          </w:p>
          <w:p w:rsidR="00F556F4" w:rsidRDefault="00F119A7" w:rsidP="00F556F4">
            <w:pPr>
              <w:rPr>
                <w:rFonts w:cs="Calibri"/>
                <w:sz w:val="20"/>
              </w:rPr>
            </w:pPr>
            <w:hyperlink r:id="rId16" w:history="1">
              <w:r w:rsidR="00F556F4" w:rsidRPr="007E5709">
                <w:rPr>
                  <w:rStyle w:val="Hyperlink"/>
                  <w:rFonts w:cs="Calibri"/>
                  <w:sz w:val="20"/>
                </w:rPr>
                <w:t>http://idbdocs.iadb.org/WSDocs/getDocument.aspx?DOCNUM=35112234</w:t>
              </w:r>
            </w:hyperlink>
          </w:p>
          <w:p w:rsidR="00E8203B" w:rsidRDefault="00E8203B" w:rsidP="00E8203B">
            <w:pPr>
              <w:widowControl w:val="0"/>
              <w:tabs>
                <w:tab w:val="left" w:pos="3060"/>
              </w:tabs>
              <w:jc w:val="both"/>
            </w:pPr>
          </w:p>
        </w:tc>
      </w:tr>
      <w:tr w:rsidR="00E8203B">
        <w:trPr>
          <w:cantSplit/>
          <w:trHeight w:val="405"/>
          <w:tblHeader/>
        </w:trPr>
        <w:tc>
          <w:tcPr>
            <w:tcW w:w="1652" w:type="dxa"/>
            <w:vAlign w:val="center"/>
          </w:tcPr>
          <w:p w:rsidR="00241F9B" w:rsidRDefault="00241F9B" w:rsidP="00241F9B">
            <w:pPr>
              <w:pStyle w:val="Annex"/>
              <w:widowControl w:val="0"/>
            </w:pPr>
            <w:r>
              <w:rPr>
                <w:caps w:val="0"/>
              </w:rPr>
              <w:t>Link 6</w:t>
            </w:r>
          </w:p>
          <w:p w:rsidR="00E8203B" w:rsidRDefault="00E8203B" w:rsidP="00E8203B">
            <w:pPr>
              <w:pStyle w:val="Annex"/>
              <w:widowControl w:val="0"/>
            </w:pPr>
          </w:p>
        </w:tc>
        <w:tc>
          <w:tcPr>
            <w:tcW w:w="7318" w:type="dxa"/>
            <w:vAlign w:val="center"/>
          </w:tcPr>
          <w:p w:rsidR="00E8203B" w:rsidRDefault="00E8203B" w:rsidP="00E8203B">
            <w:pPr>
              <w:widowControl w:val="0"/>
              <w:tabs>
                <w:tab w:val="left" w:pos="3060"/>
              </w:tabs>
              <w:jc w:val="both"/>
            </w:pPr>
            <w:r>
              <w:t xml:space="preserve">Terms of Reference – </w:t>
            </w:r>
            <w:r w:rsidRPr="005759FB">
              <w:t>Implementation of Regulatory Reform to enable secured transactions-</w:t>
            </w:r>
            <w:r>
              <w:t xml:space="preserve"> International Legal Expert</w:t>
            </w:r>
          </w:p>
          <w:p w:rsidR="00F556F4" w:rsidRDefault="00F119A7" w:rsidP="00F556F4">
            <w:pPr>
              <w:rPr>
                <w:rFonts w:cs="Calibri"/>
                <w:sz w:val="20"/>
              </w:rPr>
            </w:pPr>
            <w:hyperlink r:id="rId17" w:history="1">
              <w:r w:rsidR="00F556F4" w:rsidRPr="007E5709">
                <w:rPr>
                  <w:rStyle w:val="Hyperlink"/>
                  <w:rFonts w:cs="Calibri"/>
                  <w:sz w:val="20"/>
                </w:rPr>
                <w:t>http://idbdocs.iadb.org/WSDocs/getDocument.aspx?DOCNUM=35112235</w:t>
              </w:r>
            </w:hyperlink>
          </w:p>
          <w:p w:rsidR="00E8203B" w:rsidRDefault="00E8203B" w:rsidP="00E8203B">
            <w:pPr>
              <w:widowControl w:val="0"/>
              <w:tabs>
                <w:tab w:val="left" w:pos="3060"/>
              </w:tabs>
              <w:jc w:val="both"/>
            </w:pPr>
          </w:p>
        </w:tc>
      </w:tr>
      <w:tr w:rsidR="00E8203B" w:rsidRPr="00111331">
        <w:trPr>
          <w:cantSplit/>
          <w:trHeight w:val="405"/>
          <w:tblHeader/>
        </w:trPr>
        <w:tc>
          <w:tcPr>
            <w:tcW w:w="1652" w:type="dxa"/>
            <w:vAlign w:val="center"/>
          </w:tcPr>
          <w:p w:rsidR="00241F9B" w:rsidRDefault="00241F9B" w:rsidP="00241F9B">
            <w:pPr>
              <w:pStyle w:val="Annex"/>
              <w:widowControl w:val="0"/>
            </w:pPr>
            <w:r>
              <w:rPr>
                <w:caps w:val="0"/>
              </w:rPr>
              <w:t>Link 7</w:t>
            </w:r>
          </w:p>
          <w:p w:rsidR="00E8203B" w:rsidRDefault="00E8203B" w:rsidP="00E8203B">
            <w:pPr>
              <w:pStyle w:val="Annex"/>
              <w:widowControl w:val="0"/>
            </w:pPr>
          </w:p>
        </w:tc>
        <w:tc>
          <w:tcPr>
            <w:tcW w:w="7318" w:type="dxa"/>
            <w:vAlign w:val="center"/>
          </w:tcPr>
          <w:p w:rsidR="00E8203B" w:rsidRPr="0001300D" w:rsidRDefault="00E8203B" w:rsidP="00E8203B">
            <w:pPr>
              <w:widowControl w:val="0"/>
              <w:tabs>
                <w:tab w:val="left" w:pos="3060"/>
              </w:tabs>
              <w:jc w:val="both"/>
              <w:rPr>
                <w:lang w:val="fr-FR"/>
              </w:rPr>
            </w:pPr>
            <w:r w:rsidRPr="0001300D">
              <w:rPr>
                <w:lang w:val="fr-FR"/>
              </w:rPr>
              <w:t>Request Letter</w:t>
            </w:r>
          </w:p>
          <w:p w:rsidR="00F556F4" w:rsidRPr="0001300D" w:rsidRDefault="00F119A7" w:rsidP="00F556F4">
            <w:pPr>
              <w:rPr>
                <w:rFonts w:cs="Calibri"/>
                <w:sz w:val="20"/>
                <w:lang w:val="fr-FR"/>
              </w:rPr>
            </w:pPr>
            <w:hyperlink r:id="rId18" w:history="1">
              <w:r w:rsidR="0001300D" w:rsidRPr="0001300D">
                <w:rPr>
                  <w:rStyle w:val="Hyperlink"/>
                  <w:rFonts w:cs="Calibri"/>
                  <w:sz w:val="20"/>
                  <w:lang w:val="fr-FR"/>
                </w:rPr>
                <w:t>http://idbdocs.iadb.org/WSDocs/getDocument.aspx?DOCNUM=35144728</w:t>
              </w:r>
            </w:hyperlink>
          </w:p>
          <w:p w:rsidR="00E8203B" w:rsidRPr="0001300D" w:rsidRDefault="00E8203B" w:rsidP="00E8203B">
            <w:pPr>
              <w:widowControl w:val="0"/>
              <w:tabs>
                <w:tab w:val="left" w:pos="3060"/>
              </w:tabs>
              <w:jc w:val="both"/>
              <w:rPr>
                <w:lang w:val="fr-FR"/>
              </w:rPr>
            </w:pPr>
          </w:p>
        </w:tc>
      </w:tr>
    </w:tbl>
    <w:p w:rsidR="00B05910" w:rsidRPr="0001300D" w:rsidRDefault="00B05910">
      <w:pPr>
        <w:widowControl w:val="0"/>
        <w:tabs>
          <w:tab w:val="left" w:pos="3060"/>
        </w:tabs>
        <w:jc w:val="both"/>
        <w:rPr>
          <w:bCs/>
          <w:lang w:val="fr-FR"/>
        </w:rPr>
      </w:pPr>
    </w:p>
    <w:p w:rsidR="00B05910" w:rsidRDefault="00B05910" w:rsidP="00E8203B">
      <w:pPr>
        <w:pStyle w:val="Newpage"/>
      </w:pPr>
      <w:r>
        <w:t>Basic socioeconomic data</w:t>
      </w:r>
    </w:p>
    <w:p w:rsidR="00B05910" w:rsidRDefault="00B05910" w:rsidP="00F5406D">
      <w:pPr>
        <w:pStyle w:val="Newpage"/>
      </w:pPr>
    </w:p>
    <w:p w:rsidR="00B05910" w:rsidRDefault="00B05910">
      <w:pPr>
        <w:widowControl w:val="0"/>
        <w:rPr>
          <w:bCs/>
        </w:rPr>
      </w:pPr>
      <w:r>
        <w:rPr>
          <w:bCs/>
        </w:rPr>
        <w:t>For basic socioeconomic data, including public debt information, please refer to the following address:</w:t>
      </w:r>
    </w:p>
    <w:p w:rsidR="00D24906" w:rsidRPr="00F556F4" w:rsidRDefault="00F119A7" w:rsidP="00D24906">
      <w:pPr>
        <w:tabs>
          <w:tab w:val="left" w:pos="3060"/>
        </w:tabs>
        <w:rPr>
          <w:sz w:val="20"/>
        </w:rPr>
      </w:pPr>
      <w:hyperlink r:id="rId19" w:history="1">
        <w:r w:rsidR="00F556F4" w:rsidRPr="00F556F4">
          <w:rPr>
            <w:rStyle w:val="Hyperlink"/>
            <w:sz w:val="20"/>
          </w:rPr>
          <w:t>http://www.iadb.org/countries/home.cfm?language=Spanish&amp;ID_COUNTRY=EC</w:t>
        </w:r>
      </w:hyperlink>
    </w:p>
    <w:p w:rsidR="00B05910" w:rsidRDefault="00B05910" w:rsidP="00F5406D">
      <w:pPr>
        <w:pStyle w:val="Newpage"/>
      </w:pPr>
      <w:r>
        <w:br w:type="page"/>
      </w:r>
      <w:r>
        <w:lastRenderedPageBreak/>
        <w:t>Information available in the files of ICF</w:t>
      </w:r>
      <w:r w:rsidR="006D6A90">
        <w:t>/CMF</w:t>
      </w:r>
    </w:p>
    <w:p w:rsidR="00B05910" w:rsidRDefault="00B05910">
      <w:pPr>
        <w:widowControl w:val="0"/>
        <w:tabs>
          <w:tab w:val="left" w:pos="3060"/>
        </w:tabs>
        <w:jc w:val="center"/>
        <w:outlineLvl w:val="0"/>
      </w:pPr>
    </w:p>
    <w:p w:rsidR="00B05910" w:rsidRDefault="00B05910">
      <w:pPr>
        <w:widowControl w:val="0"/>
        <w:tabs>
          <w:tab w:val="left" w:pos="3060"/>
        </w:tabs>
        <w:jc w:val="both"/>
      </w:pPr>
    </w:p>
    <w:p w:rsidR="00B05910" w:rsidRDefault="00B05910">
      <w:pPr>
        <w:widowControl w:val="0"/>
        <w:tabs>
          <w:tab w:val="left" w:pos="3060"/>
        </w:tabs>
        <w:spacing w:after="120"/>
        <w:ind w:left="1440" w:hanging="1440"/>
        <w:jc w:val="both"/>
        <w:rPr>
          <w:b/>
          <w:smallCaps/>
        </w:rPr>
      </w:pPr>
      <w:r>
        <w:rPr>
          <w:b/>
          <w:smallCaps/>
        </w:rPr>
        <w:t>Preparation:</w:t>
      </w:r>
      <w:r>
        <w:rPr>
          <w:b/>
          <w:smallCaps/>
        </w:rPr>
        <w:tab/>
      </w:r>
    </w:p>
    <w:tbl>
      <w:tblPr>
        <w:tblW w:w="8971" w:type="dxa"/>
        <w:tblLayout w:type="fixed"/>
        <w:tblLook w:val="0000"/>
      </w:tblPr>
      <w:tblGrid>
        <w:gridCol w:w="8971"/>
      </w:tblGrid>
      <w:tr w:rsidR="00B05910" w:rsidRPr="00F23B10">
        <w:trPr>
          <w:trHeight w:val="405"/>
        </w:trPr>
        <w:tc>
          <w:tcPr>
            <w:tcW w:w="8971" w:type="dxa"/>
            <w:vAlign w:val="center"/>
          </w:tcPr>
          <w:p w:rsidR="00B05910" w:rsidRDefault="004B1F41" w:rsidP="009A1782">
            <w:pPr>
              <w:pStyle w:val="AbbrDesc"/>
              <w:widowControl w:val="0"/>
            </w:pPr>
            <w:r w:rsidRPr="00F23B10">
              <w:t>Private Sector Development Assessment. 2005. ERI Economic Research Institute</w:t>
            </w:r>
          </w:p>
          <w:p w:rsidR="001616E9" w:rsidRPr="00F23B10" w:rsidRDefault="001616E9" w:rsidP="009A1782">
            <w:pPr>
              <w:pStyle w:val="AbbrDesc"/>
              <w:widowControl w:val="0"/>
            </w:pPr>
          </w:p>
        </w:tc>
      </w:tr>
      <w:tr w:rsidR="004B1F41" w:rsidRPr="00F23B10">
        <w:trPr>
          <w:trHeight w:val="405"/>
        </w:trPr>
        <w:tc>
          <w:tcPr>
            <w:tcW w:w="8971" w:type="dxa"/>
          </w:tcPr>
          <w:p w:rsidR="004B1F41" w:rsidRDefault="004B1F41" w:rsidP="009A1782">
            <w:pPr>
              <w:jc w:val="both"/>
            </w:pPr>
            <w:r w:rsidRPr="00F23B10">
              <w:t>Strategic Guidelines for Private Sector Participation in Jamaica. 2006. IDB Working Paper</w:t>
            </w:r>
          </w:p>
          <w:p w:rsidR="001616E9" w:rsidRPr="00F23B10" w:rsidRDefault="001616E9" w:rsidP="009A1782">
            <w:pPr>
              <w:jc w:val="both"/>
            </w:pPr>
          </w:p>
        </w:tc>
      </w:tr>
      <w:tr w:rsidR="00B05910" w:rsidRPr="00F23B10">
        <w:trPr>
          <w:trHeight w:val="405"/>
        </w:trPr>
        <w:tc>
          <w:tcPr>
            <w:tcW w:w="8971" w:type="dxa"/>
            <w:vAlign w:val="center"/>
          </w:tcPr>
          <w:p w:rsidR="00B05910" w:rsidRDefault="004B1F41" w:rsidP="009A1782">
            <w:pPr>
              <w:widowControl w:val="0"/>
              <w:tabs>
                <w:tab w:val="left" w:pos="3060"/>
              </w:tabs>
              <w:jc w:val="both"/>
            </w:pPr>
            <w:r w:rsidRPr="00F23B10">
              <w:t>Implementing Secured Transactions Reforms in Jamaica Issues and Policy Options. 2009. ERI Economic Research Institute.</w:t>
            </w:r>
          </w:p>
          <w:p w:rsidR="001616E9" w:rsidRPr="00F23B10" w:rsidRDefault="001616E9" w:rsidP="009A1782">
            <w:pPr>
              <w:widowControl w:val="0"/>
              <w:tabs>
                <w:tab w:val="left" w:pos="3060"/>
              </w:tabs>
              <w:jc w:val="both"/>
            </w:pPr>
          </w:p>
        </w:tc>
      </w:tr>
      <w:tr w:rsidR="00B05910" w:rsidRPr="00F23B10">
        <w:trPr>
          <w:trHeight w:val="405"/>
        </w:trPr>
        <w:tc>
          <w:tcPr>
            <w:tcW w:w="8971" w:type="dxa"/>
            <w:vAlign w:val="center"/>
          </w:tcPr>
          <w:p w:rsidR="00B05910" w:rsidRDefault="004B1F41" w:rsidP="009A1782">
            <w:pPr>
              <w:widowControl w:val="0"/>
              <w:tabs>
                <w:tab w:val="left" w:pos="3060"/>
              </w:tabs>
              <w:jc w:val="both"/>
            </w:pPr>
            <w:r w:rsidRPr="00F23B10">
              <w:t>Action Plan for Enabling Institutional and Regulatory Environment for m-banking</w:t>
            </w:r>
          </w:p>
          <w:p w:rsidR="001616E9" w:rsidRPr="00F23B10" w:rsidRDefault="001616E9" w:rsidP="009A1782">
            <w:pPr>
              <w:widowControl w:val="0"/>
              <w:tabs>
                <w:tab w:val="left" w:pos="3060"/>
              </w:tabs>
              <w:jc w:val="both"/>
            </w:pPr>
          </w:p>
        </w:tc>
      </w:tr>
      <w:tr w:rsidR="004B1F41" w:rsidRPr="00F23B10">
        <w:trPr>
          <w:trHeight w:val="405"/>
        </w:trPr>
        <w:tc>
          <w:tcPr>
            <w:tcW w:w="8971" w:type="dxa"/>
            <w:vAlign w:val="center"/>
          </w:tcPr>
          <w:p w:rsidR="004B1F41" w:rsidRPr="00F23B10" w:rsidRDefault="004B1F41" w:rsidP="009A1782">
            <w:pPr>
              <w:jc w:val="both"/>
            </w:pPr>
            <w:bookmarkStart w:id="1" w:name="_Toc132023867"/>
            <w:r w:rsidRPr="00F23B10">
              <w:t>Access and Microfinance in Kingston, Jamaica, Perspective from “Inna Di Yard”. 2009. Caroline Shenaz Hossein.</w:t>
            </w:r>
          </w:p>
          <w:p w:rsidR="00224AE4" w:rsidRPr="00F23B10" w:rsidRDefault="00224AE4" w:rsidP="009A1782">
            <w:pPr>
              <w:jc w:val="both"/>
            </w:pPr>
          </w:p>
          <w:bookmarkEnd w:id="1"/>
          <w:p w:rsidR="004B1F41" w:rsidRPr="00F23B10" w:rsidRDefault="00E274F4" w:rsidP="009A1782">
            <w:pPr>
              <w:jc w:val="both"/>
            </w:pPr>
            <w:r w:rsidRPr="00F23B10">
              <w:t xml:space="preserve">Measuring the Competitiveness of Selected CARICOM Countries. IDB Private Sector Development </w:t>
            </w:r>
            <w:r w:rsidR="00750D8A" w:rsidRPr="00F23B10">
              <w:t>Discussion Paper</w:t>
            </w:r>
            <w:r w:rsidRPr="00F23B10">
              <w:t xml:space="preserve"> #1, 2009</w:t>
            </w:r>
          </w:p>
          <w:p w:rsidR="00750D8A" w:rsidRPr="00F23B10" w:rsidRDefault="00750D8A" w:rsidP="009A1782">
            <w:pPr>
              <w:jc w:val="both"/>
            </w:pPr>
          </w:p>
          <w:p w:rsidR="00750D8A" w:rsidRPr="00F23B10" w:rsidRDefault="00750D8A" w:rsidP="009A1782">
            <w:pPr>
              <w:jc w:val="both"/>
            </w:pPr>
            <w:r w:rsidRPr="00F23B10">
              <w:t>Policies for Achieving Structural Transformation in the Caribbean. IDB Private Sector Development Discussion Paper #2, 2009</w:t>
            </w:r>
          </w:p>
          <w:p w:rsidR="00750D8A" w:rsidRPr="00F23B10" w:rsidRDefault="00750D8A" w:rsidP="009A1782">
            <w:pPr>
              <w:jc w:val="both"/>
            </w:pPr>
          </w:p>
          <w:p w:rsidR="00750D8A" w:rsidRPr="00F23B10" w:rsidRDefault="00750D8A" w:rsidP="009A1782">
            <w:pPr>
              <w:jc w:val="both"/>
            </w:pPr>
            <w:r w:rsidRPr="00F23B10">
              <w:t>Institutions and Legal Frameworks for Business Development in the Caribbean. IDB Private Sector Development Discussion Paper #3, 2009</w:t>
            </w:r>
          </w:p>
          <w:p w:rsidR="00750D8A" w:rsidRPr="00F23B10" w:rsidRDefault="00750D8A" w:rsidP="009A1782">
            <w:pPr>
              <w:jc w:val="both"/>
            </w:pPr>
          </w:p>
          <w:p w:rsidR="00750D8A" w:rsidRPr="00F23B10" w:rsidRDefault="00750D8A" w:rsidP="009A1782">
            <w:pPr>
              <w:jc w:val="both"/>
            </w:pPr>
            <w:r w:rsidRPr="00F23B10">
              <w:t>Enhancing Access to Finance in the Caribbean. IDB Private Sector Development Discussion Paper #4, 2009</w:t>
            </w:r>
          </w:p>
          <w:p w:rsidR="00750D8A" w:rsidRPr="00F23B10" w:rsidRDefault="00750D8A" w:rsidP="009A1782">
            <w:pPr>
              <w:jc w:val="both"/>
            </w:pPr>
          </w:p>
          <w:p w:rsidR="00750D8A" w:rsidRPr="00F23B10" w:rsidRDefault="00750D8A" w:rsidP="009A1782">
            <w:pPr>
              <w:jc w:val="both"/>
            </w:pPr>
          </w:p>
        </w:tc>
      </w:tr>
      <w:tr w:rsidR="004B1F41" w:rsidRPr="00F23B10">
        <w:trPr>
          <w:trHeight w:val="405"/>
        </w:trPr>
        <w:tc>
          <w:tcPr>
            <w:tcW w:w="8971" w:type="dxa"/>
            <w:vAlign w:val="center"/>
          </w:tcPr>
          <w:p w:rsidR="004B1F41" w:rsidRPr="00F23B10" w:rsidRDefault="004B1F41">
            <w:pPr>
              <w:widowControl w:val="0"/>
              <w:tabs>
                <w:tab w:val="left" w:pos="3060"/>
              </w:tabs>
              <w:jc w:val="both"/>
            </w:pPr>
          </w:p>
        </w:tc>
      </w:tr>
      <w:tr w:rsidR="004B1F41" w:rsidRPr="00F23B10">
        <w:trPr>
          <w:trHeight w:val="405"/>
        </w:trPr>
        <w:tc>
          <w:tcPr>
            <w:tcW w:w="8971" w:type="dxa"/>
            <w:vAlign w:val="center"/>
          </w:tcPr>
          <w:p w:rsidR="004B1F41" w:rsidRPr="00F23B10" w:rsidRDefault="004B1F41">
            <w:pPr>
              <w:widowControl w:val="0"/>
              <w:tabs>
                <w:tab w:val="left" w:pos="3060"/>
              </w:tabs>
              <w:jc w:val="both"/>
            </w:pPr>
          </w:p>
        </w:tc>
      </w:tr>
      <w:tr w:rsidR="00B05910" w:rsidRPr="00F23B10">
        <w:trPr>
          <w:trHeight w:val="405"/>
        </w:trPr>
        <w:tc>
          <w:tcPr>
            <w:tcW w:w="8971" w:type="dxa"/>
            <w:vAlign w:val="center"/>
          </w:tcPr>
          <w:p w:rsidR="00B05910" w:rsidRPr="00F23B10" w:rsidRDefault="00B05910">
            <w:pPr>
              <w:widowControl w:val="0"/>
              <w:tabs>
                <w:tab w:val="left" w:pos="3060"/>
              </w:tabs>
              <w:jc w:val="both"/>
            </w:pPr>
          </w:p>
        </w:tc>
      </w:tr>
      <w:tr w:rsidR="00B05910" w:rsidRPr="00F23B10">
        <w:trPr>
          <w:trHeight w:val="405"/>
        </w:trPr>
        <w:tc>
          <w:tcPr>
            <w:tcW w:w="8971" w:type="dxa"/>
            <w:vAlign w:val="center"/>
          </w:tcPr>
          <w:p w:rsidR="00B05910" w:rsidRPr="00F23B10" w:rsidRDefault="00B05910">
            <w:pPr>
              <w:widowControl w:val="0"/>
              <w:tabs>
                <w:tab w:val="left" w:pos="3060"/>
              </w:tabs>
              <w:jc w:val="both"/>
            </w:pPr>
          </w:p>
        </w:tc>
      </w:tr>
    </w:tbl>
    <w:p w:rsidR="00B05910" w:rsidRPr="004B1F41" w:rsidRDefault="00B05910">
      <w:pPr>
        <w:widowControl w:val="0"/>
        <w:tabs>
          <w:tab w:val="left" w:pos="3060"/>
        </w:tabs>
        <w:jc w:val="both"/>
      </w:pPr>
    </w:p>
    <w:p w:rsidR="00B05910" w:rsidRPr="004B1F41" w:rsidRDefault="00B05910">
      <w:pPr>
        <w:widowControl w:val="0"/>
        <w:tabs>
          <w:tab w:val="left" w:pos="3060"/>
        </w:tabs>
        <w:spacing w:after="120"/>
        <w:jc w:val="both"/>
        <w:rPr>
          <w:b/>
          <w:smallCaps/>
        </w:rPr>
      </w:pPr>
    </w:p>
    <w:p w:rsidR="00B05910" w:rsidRPr="004B1F41" w:rsidRDefault="00B05910">
      <w:pPr>
        <w:widowControl w:val="0"/>
        <w:tabs>
          <w:tab w:val="left" w:pos="3060"/>
        </w:tabs>
        <w:spacing w:after="120"/>
        <w:jc w:val="both"/>
      </w:pPr>
    </w:p>
    <w:p w:rsidR="00B05910" w:rsidRPr="004B1F41" w:rsidRDefault="00B05910">
      <w:pPr>
        <w:widowControl w:val="0"/>
        <w:tabs>
          <w:tab w:val="left" w:pos="3060"/>
        </w:tabs>
        <w:jc w:val="both"/>
      </w:pPr>
    </w:p>
    <w:p w:rsidR="00B05910" w:rsidRPr="004B1F41" w:rsidRDefault="00B05910">
      <w:pPr>
        <w:widowControl w:val="0"/>
        <w:tabs>
          <w:tab w:val="left" w:pos="3060"/>
        </w:tabs>
        <w:jc w:val="both"/>
      </w:pPr>
    </w:p>
    <w:p w:rsidR="00B05910" w:rsidRPr="004B1F41" w:rsidRDefault="00B05910">
      <w:pPr>
        <w:widowControl w:val="0"/>
        <w:tabs>
          <w:tab w:val="left" w:pos="3060"/>
        </w:tabs>
        <w:jc w:val="both"/>
      </w:pPr>
    </w:p>
    <w:p w:rsidR="00B05910" w:rsidRPr="004B1F41" w:rsidRDefault="00B05910">
      <w:pPr>
        <w:widowControl w:val="0"/>
        <w:tabs>
          <w:tab w:val="left" w:pos="3060"/>
        </w:tabs>
        <w:jc w:val="both"/>
        <w:rPr>
          <w:b/>
        </w:rPr>
      </w:pPr>
      <w:r w:rsidRPr="004B1F41">
        <w:rPr>
          <w:b/>
        </w:rPr>
        <w:br w:type="page"/>
      </w:r>
    </w:p>
    <w:p w:rsidR="00B05910" w:rsidRPr="004B1F41" w:rsidRDefault="00B05910">
      <w:pPr>
        <w:widowControl w:val="0"/>
        <w:tabs>
          <w:tab w:val="left" w:pos="3060"/>
        </w:tabs>
        <w:jc w:val="center"/>
        <w:outlineLvl w:val="0"/>
        <w:rPr>
          <w:b/>
        </w:rPr>
      </w:pPr>
    </w:p>
    <w:p w:rsidR="00B05910" w:rsidRDefault="00B05910" w:rsidP="00F5406D">
      <w:pPr>
        <w:pStyle w:val="Newpage"/>
      </w:pPr>
      <w:r>
        <w:t>Abbreviations</w:t>
      </w:r>
    </w:p>
    <w:p w:rsidR="00B05910" w:rsidRDefault="00B05910">
      <w:pPr>
        <w:widowControl w:val="0"/>
        <w:tabs>
          <w:tab w:val="left" w:pos="3060"/>
        </w:tabs>
        <w:rPr>
          <w:b/>
        </w:rPr>
      </w:pPr>
    </w:p>
    <w:p w:rsidR="00B05910" w:rsidRDefault="00B05910">
      <w:pPr>
        <w:widowControl w:val="0"/>
        <w:tabs>
          <w:tab w:val="left" w:pos="3060"/>
        </w:tabs>
        <w:jc w:val="both"/>
        <w:rPr>
          <w:b/>
        </w:rPr>
      </w:pPr>
    </w:p>
    <w:tbl>
      <w:tblPr>
        <w:tblW w:w="8970" w:type="dxa"/>
        <w:tblLayout w:type="fixed"/>
        <w:tblLook w:val="0000"/>
      </w:tblPr>
      <w:tblGrid>
        <w:gridCol w:w="1809"/>
        <w:gridCol w:w="7161"/>
      </w:tblGrid>
      <w:tr w:rsidR="007B7E00">
        <w:trPr>
          <w:cantSplit/>
        </w:trPr>
        <w:tc>
          <w:tcPr>
            <w:tcW w:w="1809" w:type="dxa"/>
          </w:tcPr>
          <w:p w:rsidR="007B7E00" w:rsidRDefault="00183E80">
            <w:pPr>
              <w:pStyle w:val="ABBR"/>
              <w:widowControl w:val="0"/>
            </w:pPr>
            <w:r w:rsidRPr="004C3984">
              <w:t>bpo</w:t>
            </w:r>
          </w:p>
        </w:tc>
        <w:tc>
          <w:tcPr>
            <w:tcW w:w="7161" w:type="dxa"/>
            <w:vAlign w:val="bottom"/>
          </w:tcPr>
          <w:p w:rsidR="007B7E00" w:rsidRDefault="004C3984">
            <w:pPr>
              <w:pStyle w:val="AbbrDesc"/>
              <w:widowControl w:val="0"/>
            </w:pPr>
            <w:r w:rsidRPr="004C3984">
              <w:t>Business Process Outsourcing</w:t>
            </w:r>
          </w:p>
        </w:tc>
      </w:tr>
      <w:tr w:rsidR="006D23E6">
        <w:trPr>
          <w:cantSplit/>
        </w:trPr>
        <w:tc>
          <w:tcPr>
            <w:tcW w:w="1809" w:type="dxa"/>
          </w:tcPr>
          <w:p w:rsidR="006D23E6" w:rsidRDefault="006D23E6">
            <w:pPr>
              <w:pStyle w:val="ABBR"/>
              <w:widowControl w:val="0"/>
            </w:pPr>
            <w:r>
              <w:t>BCI</w:t>
            </w:r>
          </w:p>
        </w:tc>
        <w:tc>
          <w:tcPr>
            <w:tcW w:w="7161" w:type="dxa"/>
            <w:vAlign w:val="bottom"/>
          </w:tcPr>
          <w:p w:rsidR="006D23E6" w:rsidRDefault="006D23E6">
            <w:pPr>
              <w:pStyle w:val="AbbrDesc"/>
              <w:widowControl w:val="0"/>
            </w:pPr>
            <w:r>
              <w:t>Business Climate Initiative</w:t>
            </w:r>
          </w:p>
        </w:tc>
      </w:tr>
      <w:tr w:rsidR="006D23E6">
        <w:trPr>
          <w:cantSplit/>
        </w:trPr>
        <w:tc>
          <w:tcPr>
            <w:tcW w:w="1809" w:type="dxa"/>
          </w:tcPr>
          <w:p w:rsidR="006D23E6" w:rsidRDefault="006D23E6">
            <w:pPr>
              <w:pStyle w:val="ABBR"/>
              <w:widowControl w:val="0"/>
              <w:rPr>
                <w:caps w:val="0"/>
              </w:rPr>
            </w:pPr>
            <w:r>
              <w:rPr>
                <w:caps w:val="0"/>
              </w:rPr>
              <w:t>CPC</w:t>
            </w:r>
          </w:p>
        </w:tc>
        <w:tc>
          <w:tcPr>
            <w:tcW w:w="7161" w:type="dxa"/>
            <w:vAlign w:val="bottom"/>
          </w:tcPr>
          <w:p w:rsidR="006D23E6" w:rsidRDefault="006D23E6" w:rsidP="009F18CB">
            <w:pPr>
              <w:pStyle w:val="AbbrDesc"/>
              <w:widowControl w:val="0"/>
            </w:pPr>
            <w:r>
              <w:t>Chief Parliamentary Coun</w:t>
            </w:r>
            <w:r w:rsidR="009F18CB">
              <w:t>sel</w:t>
            </w:r>
          </w:p>
        </w:tc>
      </w:tr>
      <w:tr w:rsidR="006D23E6">
        <w:trPr>
          <w:cantSplit/>
        </w:trPr>
        <w:tc>
          <w:tcPr>
            <w:tcW w:w="1809" w:type="dxa"/>
          </w:tcPr>
          <w:p w:rsidR="006D23E6" w:rsidRDefault="006D23E6">
            <w:pPr>
              <w:pStyle w:val="ABBR"/>
              <w:widowControl w:val="0"/>
              <w:rPr>
                <w:caps w:val="0"/>
              </w:rPr>
            </w:pPr>
            <w:r>
              <w:rPr>
                <w:szCs w:val="24"/>
              </w:rPr>
              <w:t>COFAB</w:t>
            </w:r>
          </w:p>
        </w:tc>
        <w:tc>
          <w:tcPr>
            <w:tcW w:w="7161" w:type="dxa"/>
            <w:vAlign w:val="bottom"/>
          </w:tcPr>
          <w:p w:rsidR="006D23E6" w:rsidRDefault="00797F3B">
            <w:pPr>
              <w:pStyle w:val="AbbrDesc"/>
              <w:widowControl w:val="0"/>
            </w:pPr>
            <w:r w:rsidRPr="008E173F">
              <w:t>Co</w:t>
            </w:r>
            <w:r w:rsidR="009F18CB">
              <w:t>-</w:t>
            </w:r>
            <w:r w:rsidRPr="008E173F">
              <w:t xml:space="preserve">financing Contribution </w:t>
            </w:r>
            <w:r>
              <w:t>Administered by the Bank</w:t>
            </w:r>
          </w:p>
        </w:tc>
      </w:tr>
      <w:tr w:rsidR="006D23E6">
        <w:trPr>
          <w:cantSplit/>
        </w:trPr>
        <w:tc>
          <w:tcPr>
            <w:tcW w:w="1809" w:type="dxa"/>
          </w:tcPr>
          <w:p w:rsidR="006D23E6" w:rsidRDefault="006D23E6">
            <w:pPr>
              <w:pStyle w:val="ABBR"/>
              <w:widowControl w:val="0"/>
              <w:rPr>
                <w:caps w:val="0"/>
              </w:rPr>
            </w:pPr>
            <w:r>
              <w:rPr>
                <w:caps w:val="0"/>
              </w:rPr>
              <w:t>DBJ</w:t>
            </w:r>
          </w:p>
        </w:tc>
        <w:tc>
          <w:tcPr>
            <w:tcW w:w="7161" w:type="dxa"/>
            <w:vAlign w:val="bottom"/>
          </w:tcPr>
          <w:p w:rsidR="006D23E6" w:rsidRDefault="006D23E6">
            <w:pPr>
              <w:pStyle w:val="AbbrDesc"/>
              <w:widowControl w:val="0"/>
            </w:pPr>
            <w:r>
              <w:t>Development Bank of Jamaica</w:t>
            </w:r>
          </w:p>
        </w:tc>
      </w:tr>
      <w:tr w:rsidR="006D23E6">
        <w:trPr>
          <w:cantSplit/>
        </w:trPr>
        <w:tc>
          <w:tcPr>
            <w:tcW w:w="1809" w:type="dxa"/>
          </w:tcPr>
          <w:p w:rsidR="006D23E6" w:rsidRDefault="006D23E6">
            <w:pPr>
              <w:pStyle w:val="ABBR"/>
              <w:widowControl w:val="0"/>
              <w:rPr>
                <w:caps w:val="0"/>
              </w:rPr>
            </w:pPr>
            <w:r>
              <w:rPr>
                <w:szCs w:val="24"/>
              </w:rPr>
              <w:t>DFID</w:t>
            </w:r>
          </w:p>
        </w:tc>
        <w:tc>
          <w:tcPr>
            <w:tcW w:w="7161" w:type="dxa"/>
            <w:vAlign w:val="bottom"/>
          </w:tcPr>
          <w:p w:rsidR="006D23E6" w:rsidRDefault="00797F3B">
            <w:pPr>
              <w:pStyle w:val="AbbrDesc"/>
              <w:widowControl w:val="0"/>
            </w:pPr>
            <w:r>
              <w:t>Department for International Development</w:t>
            </w:r>
          </w:p>
        </w:tc>
      </w:tr>
      <w:tr w:rsidR="006D23E6">
        <w:trPr>
          <w:cantSplit/>
        </w:trPr>
        <w:tc>
          <w:tcPr>
            <w:tcW w:w="1809" w:type="dxa"/>
          </w:tcPr>
          <w:p w:rsidR="006D23E6" w:rsidRDefault="006D23E6" w:rsidP="004B1F41">
            <w:pPr>
              <w:pStyle w:val="ABBR"/>
              <w:widowControl w:val="0"/>
              <w:rPr>
                <w:caps w:val="0"/>
              </w:rPr>
            </w:pPr>
            <w:r>
              <w:rPr>
                <w:caps w:val="0"/>
              </w:rPr>
              <w:t>ETA</w:t>
            </w:r>
          </w:p>
        </w:tc>
        <w:tc>
          <w:tcPr>
            <w:tcW w:w="7161" w:type="dxa"/>
            <w:vAlign w:val="bottom"/>
          </w:tcPr>
          <w:p w:rsidR="006D23E6" w:rsidRDefault="006D23E6">
            <w:pPr>
              <w:pStyle w:val="AbbrDesc"/>
              <w:widowControl w:val="0"/>
            </w:pPr>
            <w:r>
              <w:t>Electronic Transactions Act</w:t>
            </w:r>
          </w:p>
        </w:tc>
      </w:tr>
      <w:tr w:rsidR="006D23E6">
        <w:trPr>
          <w:cantSplit/>
        </w:trPr>
        <w:tc>
          <w:tcPr>
            <w:tcW w:w="1809" w:type="dxa"/>
          </w:tcPr>
          <w:p w:rsidR="006D23E6" w:rsidRDefault="006D23E6">
            <w:pPr>
              <w:pStyle w:val="ABBR"/>
              <w:widowControl w:val="0"/>
              <w:rPr>
                <w:caps w:val="0"/>
              </w:rPr>
            </w:pPr>
            <w:r>
              <w:rPr>
                <w:caps w:val="0"/>
              </w:rPr>
              <w:t>EU</w:t>
            </w:r>
          </w:p>
        </w:tc>
        <w:tc>
          <w:tcPr>
            <w:tcW w:w="7161" w:type="dxa"/>
            <w:vAlign w:val="bottom"/>
          </w:tcPr>
          <w:p w:rsidR="006D23E6" w:rsidRDefault="006D23E6">
            <w:pPr>
              <w:pStyle w:val="AbbrDesc"/>
              <w:widowControl w:val="0"/>
            </w:pPr>
            <w:r>
              <w:t>European Union</w:t>
            </w:r>
          </w:p>
        </w:tc>
      </w:tr>
      <w:tr w:rsidR="006D23E6">
        <w:trPr>
          <w:cantSplit/>
        </w:trPr>
        <w:tc>
          <w:tcPr>
            <w:tcW w:w="1809" w:type="dxa"/>
          </w:tcPr>
          <w:p w:rsidR="006D23E6" w:rsidRDefault="006D23E6">
            <w:pPr>
              <w:pStyle w:val="ABBR"/>
              <w:widowControl w:val="0"/>
              <w:rPr>
                <w:caps w:val="0"/>
              </w:rPr>
            </w:pPr>
            <w:r>
              <w:rPr>
                <w:caps w:val="0"/>
              </w:rPr>
              <w:t>FSC</w:t>
            </w:r>
          </w:p>
        </w:tc>
        <w:tc>
          <w:tcPr>
            <w:tcW w:w="7161" w:type="dxa"/>
            <w:vAlign w:val="bottom"/>
          </w:tcPr>
          <w:p w:rsidR="006D23E6" w:rsidRDefault="006D23E6">
            <w:pPr>
              <w:pStyle w:val="AbbrDesc"/>
              <w:widowControl w:val="0"/>
            </w:pPr>
            <w:r>
              <w:t>Financial Services Commission</w:t>
            </w:r>
          </w:p>
        </w:tc>
      </w:tr>
      <w:tr w:rsidR="006D23E6">
        <w:trPr>
          <w:cantSplit/>
        </w:trPr>
        <w:tc>
          <w:tcPr>
            <w:tcW w:w="1809" w:type="dxa"/>
          </w:tcPr>
          <w:p w:rsidR="006D23E6" w:rsidRDefault="006D23E6">
            <w:pPr>
              <w:pStyle w:val="ABBR"/>
              <w:widowControl w:val="0"/>
              <w:rPr>
                <w:caps w:val="0"/>
              </w:rPr>
            </w:pPr>
            <w:r>
              <w:rPr>
                <w:caps w:val="0"/>
              </w:rPr>
              <w:t>GDP</w:t>
            </w:r>
          </w:p>
        </w:tc>
        <w:tc>
          <w:tcPr>
            <w:tcW w:w="7161" w:type="dxa"/>
            <w:vAlign w:val="bottom"/>
          </w:tcPr>
          <w:p w:rsidR="006D23E6" w:rsidRDefault="006D23E6">
            <w:pPr>
              <w:pStyle w:val="AbbrDesc"/>
              <w:widowControl w:val="0"/>
            </w:pPr>
            <w:r>
              <w:t>Gross Domestic Product</w:t>
            </w:r>
          </w:p>
        </w:tc>
      </w:tr>
      <w:tr w:rsidR="006D23E6">
        <w:trPr>
          <w:cantSplit/>
        </w:trPr>
        <w:tc>
          <w:tcPr>
            <w:tcW w:w="1809" w:type="dxa"/>
          </w:tcPr>
          <w:p w:rsidR="006D23E6" w:rsidRDefault="006D23E6">
            <w:pPr>
              <w:pStyle w:val="ABBR"/>
              <w:widowControl w:val="0"/>
            </w:pPr>
            <w:r>
              <w:t>GoJ</w:t>
            </w:r>
          </w:p>
        </w:tc>
        <w:tc>
          <w:tcPr>
            <w:tcW w:w="7161" w:type="dxa"/>
            <w:vAlign w:val="bottom"/>
          </w:tcPr>
          <w:p w:rsidR="006D23E6" w:rsidRDefault="006D23E6">
            <w:pPr>
              <w:pStyle w:val="AbbrDesc"/>
              <w:widowControl w:val="0"/>
            </w:pPr>
            <w:r>
              <w:t>Government of Jamaica</w:t>
            </w:r>
          </w:p>
        </w:tc>
      </w:tr>
      <w:tr w:rsidR="006D23E6">
        <w:trPr>
          <w:cantSplit/>
        </w:trPr>
        <w:tc>
          <w:tcPr>
            <w:tcW w:w="1809" w:type="dxa"/>
          </w:tcPr>
          <w:p w:rsidR="006D23E6" w:rsidRDefault="006D23E6" w:rsidP="006658AD">
            <w:pPr>
              <w:pStyle w:val="AbbrDesc"/>
              <w:widowControl w:val="0"/>
            </w:pPr>
            <w:r>
              <w:t>IDB</w:t>
            </w:r>
          </w:p>
        </w:tc>
        <w:tc>
          <w:tcPr>
            <w:tcW w:w="7161" w:type="dxa"/>
            <w:vAlign w:val="bottom"/>
          </w:tcPr>
          <w:p w:rsidR="006D23E6" w:rsidRDefault="006D23E6" w:rsidP="006658AD">
            <w:pPr>
              <w:pStyle w:val="AbbrDesc"/>
              <w:widowControl w:val="0"/>
            </w:pPr>
            <w:r>
              <w:t>Inter-American Development Bank</w:t>
            </w:r>
          </w:p>
        </w:tc>
      </w:tr>
      <w:tr w:rsidR="006D23E6">
        <w:trPr>
          <w:cantSplit/>
        </w:trPr>
        <w:tc>
          <w:tcPr>
            <w:tcW w:w="1809" w:type="dxa"/>
          </w:tcPr>
          <w:p w:rsidR="006D23E6" w:rsidRDefault="006D23E6">
            <w:pPr>
              <w:pStyle w:val="ABBR"/>
              <w:widowControl w:val="0"/>
            </w:pPr>
            <w:r>
              <w:t>JTI</w:t>
            </w:r>
          </w:p>
        </w:tc>
        <w:tc>
          <w:tcPr>
            <w:tcW w:w="7161" w:type="dxa"/>
            <w:vAlign w:val="bottom"/>
          </w:tcPr>
          <w:p w:rsidR="006D23E6" w:rsidRDefault="006D23E6">
            <w:pPr>
              <w:pStyle w:val="AbbrDesc"/>
              <w:widowControl w:val="0"/>
            </w:pPr>
            <w:r>
              <w:t>Jamaica Trade and Invest</w:t>
            </w:r>
          </w:p>
        </w:tc>
      </w:tr>
      <w:tr w:rsidR="00AB6539">
        <w:trPr>
          <w:cantSplit/>
        </w:trPr>
        <w:tc>
          <w:tcPr>
            <w:tcW w:w="1809" w:type="dxa"/>
          </w:tcPr>
          <w:p w:rsidR="00AB6539" w:rsidRDefault="00AB6539">
            <w:pPr>
              <w:pStyle w:val="ABBR"/>
              <w:widowControl w:val="0"/>
            </w:pPr>
            <w:r>
              <w:t>JcEP</w:t>
            </w:r>
          </w:p>
        </w:tc>
        <w:tc>
          <w:tcPr>
            <w:tcW w:w="7161" w:type="dxa"/>
            <w:vAlign w:val="bottom"/>
          </w:tcPr>
          <w:p w:rsidR="00AB6539" w:rsidRDefault="00AB6539">
            <w:pPr>
              <w:pStyle w:val="AbbrDesc"/>
              <w:widowControl w:val="0"/>
            </w:pPr>
            <w:r w:rsidRPr="008E173F">
              <w:t>Jamaica Competitiveness Enhancements Programs</w:t>
            </w:r>
          </w:p>
        </w:tc>
      </w:tr>
      <w:tr w:rsidR="006D23E6">
        <w:trPr>
          <w:cantSplit/>
        </w:trPr>
        <w:tc>
          <w:tcPr>
            <w:tcW w:w="1809" w:type="dxa"/>
          </w:tcPr>
          <w:p w:rsidR="006D23E6" w:rsidRDefault="006D23E6">
            <w:pPr>
              <w:pStyle w:val="ABBR"/>
              <w:widowControl w:val="0"/>
            </w:pPr>
            <w:r>
              <w:t>MF&amp;PS</w:t>
            </w:r>
          </w:p>
        </w:tc>
        <w:tc>
          <w:tcPr>
            <w:tcW w:w="7161" w:type="dxa"/>
            <w:vAlign w:val="bottom"/>
          </w:tcPr>
          <w:p w:rsidR="006D23E6" w:rsidRDefault="006D23E6">
            <w:pPr>
              <w:pStyle w:val="AbbrDesc"/>
              <w:widowControl w:val="0"/>
            </w:pPr>
            <w:r>
              <w:t>Ministry of Finance and the Public Service</w:t>
            </w:r>
          </w:p>
        </w:tc>
      </w:tr>
      <w:tr w:rsidR="006D23E6">
        <w:trPr>
          <w:cantSplit/>
        </w:trPr>
        <w:tc>
          <w:tcPr>
            <w:tcW w:w="1809" w:type="dxa"/>
          </w:tcPr>
          <w:p w:rsidR="006D23E6" w:rsidRDefault="006D23E6">
            <w:pPr>
              <w:pStyle w:val="ABBR"/>
              <w:widowControl w:val="0"/>
            </w:pPr>
            <w:r>
              <w:t>NPS</w:t>
            </w:r>
          </w:p>
        </w:tc>
        <w:tc>
          <w:tcPr>
            <w:tcW w:w="7161" w:type="dxa"/>
            <w:vAlign w:val="bottom"/>
          </w:tcPr>
          <w:p w:rsidR="006D23E6" w:rsidRDefault="006D23E6">
            <w:pPr>
              <w:pStyle w:val="AbbrDesc"/>
              <w:widowControl w:val="0"/>
            </w:pPr>
            <w:r>
              <w:t>National Planning Summit</w:t>
            </w:r>
          </w:p>
        </w:tc>
      </w:tr>
      <w:tr w:rsidR="006D23E6">
        <w:trPr>
          <w:cantSplit/>
        </w:trPr>
        <w:tc>
          <w:tcPr>
            <w:tcW w:w="1809" w:type="dxa"/>
          </w:tcPr>
          <w:p w:rsidR="006D23E6" w:rsidRDefault="006D23E6">
            <w:pPr>
              <w:pStyle w:val="ABBR"/>
              <w:widowControl w:val="0"/>
            </w:pPr>
            <w:r>
              <w:t>NPSA</w:t>
            </w:r>
          </w:p>
        </w:tc>
        <w:tc>
          <w:tcPr>
            <w:tcW w:w="7161" w:type="dxa"/>
            <w:vAlign w:val="bottom"/>
          </w:tcPr>
          <w:p w:rsidR="006D23E6" w:rsidRDefault="006D23E6">
            <w:pPr>
              <w:pStyle w:val="AbbrDesc"/>
              <w:widowControl w:val="0"/>
            </w:pPr>
            <w:r>
              <w:t>National Payment Systems Act</w:t>
            </w:r>
          </w:p>
        </w:tc>
      </w:tr>
      <w:tr w:rsidR="006D23E6">
        <w:trPr>
          <w:cantSplit/>
        </w:trPr>
        <w:tc>
          <w:tcPr>
            <w:tcW w:w="1809" w:type="dxa"/>
          </w:tcPr>
          <w:p w:rsidR="006D23E6" w:rsidRDefault="006D23E6">
            <w:pPr>
              <w:pStyle w:val="AbbrDesc"/>
              <w:widowControl w:val="0"/>
            </w:pPr>
            <w:r>
              <w:t>PfT</w:t>
            </w:r>
          </w:p>
        </w:tc>
        <w:tc>
          <w:tcPr>
            <w:tcW w:w="7161" w:type="dxa"/>
            <w:vAlign w:val="bottom"/>
          </w:tcPr>
          <w:p w:rsidR="006D23E6" w:rsidRDefault="006D23E6">
            <w:pPr>
              <w:pStyle w:val="AbbrDesc"/>
              <w:widowControl w:val="0"/>
            </w:pPr>
            <w:r>
              <w:t>Partnerships for Transformation</w:t>
            </w:r>
          </w:p>
        </w:tc>
      </w:tr>
      <w:tr w:rsidR="006D23E6">
        <w:trPr>
          <w:cantSplit/>
        </w:trPr>
        <w:tc>
          <w:tcPr>
            <w:tcW w:w="1809" w:type="dxa"/>
          </w:tcPr>
          <w:p w:rsidR="006D23E6" w:rsidRDefault="006D23E6">
            <w:pPr>
              <w:pStyle w:val="AbbrDesc"/>
              <w:widowControl w:val="0"/>
            </w:pPr>
            <w:r>
              <w:t>PIOJ</w:t>
            </w:r>
          </w:p>
        </w:tc>
        <w:tc>
          <w:tcPr>
            <w:tcW w:w="7161" w:type="dxa"/>
            <w:vAlign w:val="bottom"/>
          </w:tcPr>
          <w:p w:rsidR="006D23E6" w:rsidRDefault="006D23E6">
            <w:pPr>
              <w:pStyle w:val="AbbrDesc"/>
              <w:widowControl w:val="0"/>
            </w:pPr>
            <w:r>
              <w:t>Planning Institute of Jamaica</w:t>
            </w:r>
          </w:p>
        </w:tc>
      </w:tr>
      <w:tr w:rsidR="006D23E6">
        <w:trPr>
          <w:cantSplit/>
        </w:trPr>
        <w:tc>
          <w:tcPr>
            <w:tcW w:w="1809" w:type="dxa"/>
          </w:tcPr>
          <w:p w:rsidR="006D23E6" w:rsidRDefault="006D23E6">
            <w:pPr>
              <w:pStyle w:val="AbbrDesc"/>
              <w:widowControl w:val="0"/>
            </w:pPr>
            <w:r>
              <w:t>PSA</w:t>
            </w:r>
          </w:p>
        </w:tc>
        <w:tc>
          <w:tcPr>
            <w:tcW w:w="7161" w:type="dxa"/>
            <w:vAlign w:val="bottom"/>
          </w:tcPr>
          <w:p w:rsidR="006D23E6" w:rsidRDefault="006D23E6">
            <w:pPr>
              <w:pStyle w:val="AbbrDesc"/>
              <w:widowControl w:val="0"/>
            </w:pPr>
            <w:r>
              <w:t>Private Sector Assessment</w:t>
            </w:r>
          </w:p>
        </w:tc>
      </w:tr>
      <w:tr w:rsidR="006D23E6">
        <w:trPr>
          <w:cantSplit/>
        </w:trPr>
        <w:tc>
          <w:tcPr>
            <w:tcW w:w="1809" w:type="dxa"/>
          </w:tcPr>
          <w:p w:rsidR="006D23E6" w:rsidRDefault="006D23E6">
            <w:pPr>
              <w:pStyle w:val="AbbrDesc"/>
              <w:widowControl w:val="0"/>
            </w:pPr>
            <w:r>
              <w:t>PSD</w:t>
            </w:r>
          </w:p>
        </w:tc>
        <w:tc>
          <w:tcPr>
            <w:tcW w:w="7161" w:type="dxa"/>
            <w:vAlign w:val="bottom"/>
          </w:tcPr>
          <w:p w:rsidR="006D23E6" w:rsidRDefault="00797F3B">
            <w:pPr>
              <w:pStyle w:val="AbbrDesc"/>
              <w:widowControl w:val="0"/>
            </w:pPr>
            <w:r>
              <w:rPr>
                <w:szCs w:val="24"/>
              </w:rPr>
              <w:t>Private Sector D</w:t>
            </w:r>
            <w:r w:rsidRPr="004B5AF7">
              <w:rPr>
                <w:szCs w:val="24"/>
              </w:rPr>
              <w:t>evelopment</w:t>
            </w:r>
          </w:p>
        </w:tc>
      </w:tr>
      <w:tr w:rsidR="006D23E6">
        <w:trPr>
          <w:cantSplit/>
        </w:trPr>
        <w:tc>
          <w:tcPr>
            <w:tcW w:w="1809" w:type="dxa"/>
          </w:tcPr>
          <w:p w:rsidR="006D23E6" w:rsidRDefault="006D23E6">
            <w:pPr>
              <w:pStyle w:val="AbbrDesc"/>
              <w:widowControl w:val="0"/>
            </w:pPr>
            <w:r>
              <w:t>PSOJ</w:t>
            </w:r>
          </w:p>
        </w:tc>
        <w:tc>
          <w:tcPr>
            <w:tcW w:w="7161" w:type="dxa"/>
            <w:vAlign w:val="bottom"/>
          </w:tcPr>
          <w:p w:rsidR="006D23E6" w:rsidRDefault="006D23E6">
            <w:pPr>
              <w:pStyle w:val="AbbrDesc"/>
              <w:widowControl w:val="0"/>
            </w:pPr>
            <w:r>
              <w:t>Private Sector Organization of Jamaica</w:t>
            </w:r>
          </w:p>
        </w:tc>
      </w:tr>
      <w:tr w:rsidR="006D23E6">
        <w:trPr>
          <w:cantSplit/>
        </w:trPr>
        <w:tc>
          <w:tcPr>
            <w:tcW w:w="1809" w:type="dxa"/>
          </w:tcPr>
          <w:p w:rsidR="006D23E6" w:rsidRDefault="006D23E6">
            <w:pPr>
              <w:pStyle w:val="AbbrDesc"/>
              <w:widowControl w:val="0"/>
            </w:pPr>
            <w:r>
              <w:t>PPPs</w:t>
            </w:r>
          </w:p>
        </w:tc>
        <w:tc>
          <w:tcPr>
            <w:tcW w:w="7161" w:type="dxa"/>
            <w:vAlign w:val="bottom"/>
          </w:tcPr>
          <w:p w:rsidR="006D23E6" w:rsidRDefault="00797F3B">
            <w:pPr>
              <w:pStyle w:val="AbbrDesc"/>
              <w:widowControl w:val="0"/>
            </w:pPr>
            <w:r w:rsidRPr="00710541">
              <w:t>Public Private Partnerships</w:t>
            </w:r>
          </w:p>
        </w:tc>
      </w:tr>
    </w:tbl>
    <w:p w:rsidR="00B05910" w:rsidRDefault="00B05910">
      <w:pPr>
        <w:widowControl w:val="0"/>
        <w:tabs>
          <w:tab w:val="left" w:pos="1440"/>
          <w:tab w:val="left" w:pos="3060"/>
        </w:tabs>
        <w:jc w:val="both"/>
      </w:pPr>
    </w:p>
    <w:p w:rsidR="00B05910" w:rsidRDefault="00B05910">
      <w:pPr>
        <w:pStyle w:val="AbbrDesc"/>
        <w:widowControl w:val="0"/>
        <w:tabs>
          <w:tab w:val="left" w:pos="1440"/>
        </w:tabs>
        <w:sectPr w:rsidR="00B05910">
          <w:headerReference w:type="first" r:id="rId20"/>
          <w:pgSz w:w="12240" w:h="15840" w:code="1"/>
          <w:pgMar w:top="1440" w:right="1800" w:bottom="1440" w:left="1800" w:header="706" w:footer="706" w:gutter="0"/>
          <w:pgNumType w:fmt="lowerRoman" w:start="1"/>
          <w:cols w:space="720"/>
          <w:formProt w:val="0"/>
          <w:titlePg/>
        </w:sectPr>
      </w:pPr>
      <w:bookmarkStart w:id="2" w:name="ESSectionPages0"/>
      <w:bookmarkEnd w:id="2"/>
    </w:p>
    <w:p w:rsidR="00F23B10" w:rsidRDefault="004B1F41">
      <w:pPr>
        <w:widowControl w:val="0"/>
        <w:tabs>
          <w:tab w:val="left" w:pos="1440"/>
          <w:tab w:val="left" w:pos="2995"/>
          <w:tab w:val="left" w:pos="4680"/>
          <w:tab w:val="left" w:pos="5155"/>
          <w:tab w:val="left" w:pos="7675"/>
          <w:tab w:val="left" w:pos="10555"/>
        </w:tabs>
        <w:spacing w:before="120"/>
        <w:jc w:val="center"/>
        <w:rPr>
          <w:b/>
        </w:rPr>
      </w:pPr>
      <w:r>
        <w:rPr>
          <w:b/>
        </w:rPr>
        <w:lastRenderedPageBreak/>
        <w:t>JAMAICA</w:t>
      </w:r>
    </w:p>
    <w:p w:rsidR="00F23B10" w:rsidRDefault="00224AE4">
      <w:pPr>
        <w:widowControl w:val="0"/>
        <w:tabs>
          <w:tab w:val="left" w:pos="1440"/>
          <w:tab w:val="left" w:pos="2995"/>
          <w:tab w:val="left" w:pos="4680"/>
          <w:tab w:val="left" w:pos="5155"/>
          <w:tab w:val="left" w:pos="7675"/>
          <w:tab w:val="left" w:pos="10555"/>
        </w:tabs>
        <w:spacing w:before="120"/>
        <w:jc w:val="center"/>
        <w:rPr>
          <w:szCs w:val="24"/>
        </w:rPr>
      </w:pPr>
      <w:r>
        <w:rPr>
          <w:b/>
          <w:smallCaps/>
          <w:szCs w:val="24"/>
        </w:rPr>
        <w:t>Assessment</w:t>
      </w:r>
      <w:r w:rsidR="004B1F41">
        <w:rPr>
          <w:b/>
          <w:smallCaps/>
          <w:szCs w:val="24"/>
        </w:rPr>
        <w:t xml:space="preserve"> and Implementation of Business Climate Reforms in Jamaica</w:t>
      </w:r>
    </w:p>
    <w:p w:rsidR="00F23B10" w:rsidRDefault="00490CF1">
      <w:pPr>
        <w:widowControl w:val="0"/>
        <w:tabs>
          <w:tab w:val="left" w:pos="1440"/>
          <w:tab w:val="left" w:pos="2995"/>
          <w:tab w:val="left" w:pos="4680"/>
          <w:tab w:val="left" w:pos="5155"/>
          <w:tab w:val="left" w:pos="7675"/>
          <w:tab w:val="left" w:pos="10555"/>
        </w:tabs>
        <w:spacing w:before="120"/>
        <w:jc w:val="center"/>
        <w:rPr>
          <w:b/>
          <w:szCs w:val="24"/>
        </w:rPr>
      </w:pPr>
      <w:r>
        <w:rPr>
          <w:b/>
          <w:szCs w:val="24"/>
        </w:rPr>
        <w:t>(</w:t>
      </w:r>
      <w:r w:rsidR="0027451F">
        <w:rPr>
          <w:b/>
          <w:szCs w:val="24"/>
        </w:rPr>
        <w:t>JA-X1002</w:t>
      </w:r>
      <w:r>
        <w:rPr>
          <w:b/>
          <w:szCs w:val="24"/>
        </w:rPr>
        <w:t>)</w:t>
      </w:r>
    </w:p>
    <w:p w:rsidR="00B05910" w:rsidRDefault="00B05910" w:rsidP="00F5406D">
      <w:pPr>
        <w:pStyle w:val="Chapter"/>
      </w:pPr>
      <w:bookmarkStart w:id="3" w:name="_Toc103508161"/>
      <w:bookmarkStart w:id="4" w:name="_Toc103574862"/>
      <w:bookmarkStart w:id="5" w:name="_Toc103575784"/>
      <w:bookmarkStart w:id="6" w:name="_Toc182232638"/>
      <w:bookmarkStart w:id="7" w:name="_Toc204581711"/>
      <w:r>
        <w:t>Executive Summary</w:t>
      </w:r>
      <w:bookmarkEnd w:id="3"/>
      <w:bookmarkEnd w:id="4"/>
      <w:bookmarkEnd w:id="5"/>
      <w:bookmarkEnd w:id="6"/>
      <w:bookmarkEnd w:id="7"/>
    </w:p>
    <w:tbl>
      <w:tblPr>
        <w:tblW w:w="0" w:type="auto"/>
        <w:tblLayout w:type="fixed"/>
        <w:tblCellMar>
          <w:left w:w="122" w:type="dxa"/>
          <w:right w:w="122" w:type="dxa"/>
        </w:tblCellMar>
        <w:tblLook w:val="0000"/>
      </w:tblPr>
      <w:tblGrid>
        <w:gridCol w:w="2282"/>
        <w:gridCol w:w="3285"/>
        <w:gridCol w:w="3285"/>
      </w:tblGrid>
      <w:tr w:rsidR="00B05910">
        <w:tc>
          <w:tcPr>
            <w:tcW w:w="2282" w:type="dxa"/>
          </w:tcPr>
          <w:p w:rsidR="00B05910" w:rsidRDefault="00B05910">
            <w:pPr>
              <w:pStyle w:val="Footer"/>
              <w:widowControl w:val="0"/>
              <w:tabs>
                <w:tab w:val="clear" w:pos="4320"/>
                <w:tab w:val="clear" w:pos="8640"/>
                <w:tab w:val="left" w:pos="1440"/>
                <w:tab w:val="left" w:pos="2995"/>
                <w:tab w:val="left" w:pos="4680"/>
                <w:tab w:val="left" w:pos="5155"/>
                <w:tab w:val="left" w:pos="7675"/>
                <w:tab w:val="left" w:pos="10555"/>
              </w:tabs>
              <w:spacing w:after="120"/>
              <w:rPr>
                <w:b/>
                <w:szCs w:val="24"/>
              </w:rPr>
            </w:pPr>
            <w:r>
              <w:rPr>
                <w:b/>
                <w:szCs w:val="24"/>
              </w:rPr>
              <w:t>Beneficiary:</w:t>
            </w:r>
          </w:p>
        </w:tc>
        <w:tc>
          <w:tcPr>
            <w:tcW w:w="6570" w:type="dxa"/>
            <w:gridSpan w:val="2"/>
          </w:tcPr>
          <w:p w:rsidR="00B05910" w:rsidRDefault="00B05910" w:rsidP="0027451F">
            <w:pPr>
              <w:widowControl w:val="0"/>
              <w:tabs>
                <w:tab w:val="left" w:pos="1440"/>
                <w:tab w:val="left" w:pos="2995"/>
                <w:tab w:val="left" w:pos="4680"/>
                <w:tab w:val="left" w:pos="5155"/>
                <w:tab w:val="left" w:pos="7675"/>
                <w:tab w:val="left" w:pos="10555"/>
              </w:tabs>
              <w:spacing w:after="120"/>
              <w:jc w:val="both"/>
              <w:rPr>
                <w:szCs w:val="24"/>
              </w:rPr>
            </w:pPr>
            <w:r>
              <w:rPr>
                <w:szCs w:val="24"/>
              </w:rPr>
              <w:t xml:space="preserve">Government of </w:t>
            </w:r>
            <w:r w:rsidR="0027451F">
              <w:rPr>
                <w:szCs w:val="24"/>
              </w:rPr>
              <w:t>Jamaica</w:t>
            </w:r>
          </w:p>
        </w:tc>
      </w:tr>
      <w:tr w:rsidR="00E5109E" w:rsidRPr="006B40A2">
        <w:trPr>
          <w:cantSplit/>
        </w:trPr>
        <w:tc>
          <w:tcPr>
            <w:tcW w:w="2282" w:type="dxa"/>
          </w:tcPr>
          <w:p w:rsidR="00E5109E" w:rsidRDefault="00E5109E">
            <w:pPr>
              <w:widowControl w:val="0"/>
              <w:tabs>
                <w:tab w:val="left" w:pos="1440"/>
                <w:tab w:val="left" w:pos="2995"/>
                <w:tab w:val="left" w:pos="4680"/>
                <w:tab w:val="left" w:pos="5155"/>
                <w:tab w:val="left" w:pos="7675"/>
                <w:tab w:val="left" w:pos="10555"/>
              </w:tabs>
              <w:spacing w:after="120"/>
              <w:rPr>
                <w:b/>
                <w:szCs w:val="24"/>
              </w:rPr>
            </w:pPr>
            <w:r>
              <w:rPr>
                <w:b/>
                <w:szCs w:val="24"/>
              </w:rPr>
              <w:t>Team Leader/ Members:</w:t>
            </w:r>
          </w:p>
        </w:tc>
        <w:tc>
          <w:tcPr>
            <w:tcW w:w="6570" w:type="dxa"/>
            <w:gridSpan w:val="2"/>
          </w:tcPr>
          <w:p w:rsidR="005759FB" w:rsidRDefault="00670283" w:rsidP="009F23BF">
            <w:pPr>
              <w:widowControl w:val="0"/>
              <w:tabs>
                <w:tab w:val="left" w:pos="1440"/>
                <w:tab w:val="left" w:pos="2995"/>
                <w:tab w:val="left" w:pos="4680"/>
                <w:tab w:val="left" w:pos="5155"/>
                <w:tab w:val="left" w:pos="7675"/>
                <w:tab w:val="left" w:pos="10555"/>
              </w:tabs>
              <w:spacing w:after="120"/>
              <w:jc w:val="both"/>
              <w:rPr>
                <w:szCs w:val="24"/>
              </w:rPr>
            </w:pPr>
            <w:r>
              <w:rPr>
                <w:szCs w:val="24"/>
              </w:rPr>
              <w:t>Claudia Stevenson (ICF</w:t>
            </w:r>
            <w:r w:rsidR="00815472">
              <w:rPr>
                <w:szCs w:val="24"/>
              </w:rPr>
              <w:t>/</w:t>
            </w:r>
            <w:r>
              <w:rPr>
                <w:szCs w:val="24"/>
              </w:rPr>
              <w:t>CMF), Team Leader; Jose Jorge Saavedra (CMF/</w:t>
            </w:r>
            <w:r w:rsidR="00183E80" w:rsidRPr="00183E80">
              <w:rPr>
                <w:szCs w:val="24"/>
              </w:rPr>
              <w:t xml:space="preserve">CBA); </w:t>
            </w:r>
            <w:r w:rsidR="006B40A2">
              <w:rPr>
                <w:szCs w:val="24"/>
              </w:rPr>
              <w:t>Jaiwattie</w:t>
            </w:r>
            <w:r w:rsidR="00183E80" w:rsidRPr="00183E80">
              <w:rPr>
                <w:szCs w:val="24"/>
              </w:rPr>
              <w:t xml:space="preserve"> Anganu </w:t>
            </w:r>
            <w:r w:rsidR="006B40A2">
              <w:rPr>
                <w:szCs w:val="24"/>
              </w:rPr>
              <w:t>(</w:t>
            </w:r>
            <w:r w:rsidR="00183E80" w:rsidRPr="00183E80">
              <w:rPr>
                <w:szCs w:val="24"/>
              </w:rPr>
              <w:t>CMF/CJA)</w:t>
            </w:r>
            <w:r w:rsidR="00883103">
              <w:rPr>
                <w:szCs w:val="24"/>
              </w:rPr>
              <w:t>;</w:t>
            </w:r>
            <w:r w:rsidR="00B031B4">
              <w:rPr>
                <w:szCs w:val="24"/>
              </w:rPr>
              <w:t xml:space="preserve"> Gregory Dunbar (CCB/CJA);</w:t>
            </w:r>
            <w:r w:rsidR="00883103">
              <w:rPr>
                <w:szCs w:val="24"/>
              </w:rPr>
              <w:t xml:space="preserve"> Hyun Jung Lee (LEG/SGO); and </w:t>
            </w:r>
            <w:r w:rsidR="009F23BF">
              <w:rPr>
                <w:szCs w:val="24"/>
              </w:rPr>
              <w:t>Marina Massini</w:t>
            </w:r>
            <w:r w:rsidR="00883103">
              <w:rPr>
                <w:szCs w:val="24"/>
              </w:rPr>
              <w:t xml:space="preserve"> (ICF/CMF)</w:t>
            </w:r>
            <w:r w:rsidR="00F23B10">
              <w:rPr>
                <w:szCs w:val="24"/>
              </w:rPr>
              <w:t>.</w:t>
            </w:r>
          </w:p>
        </w:tc>
      </w:tr>
      <w:tr w:rsidR="00B05910">
        <w:trPr>
          <w:cantSplit/>
        </w:trPr>
        <w:tc>
          <w:tcPr>
            <w:tcW w:w="2282" w:type="dxa"/>
          </w:tcPr>
          <w:p w:rsidR="00B05910" w:rsidRDefault="00B05910">
            <w:pPr>
              <w:widowControl w:val="0"/>
              <w:tabs>
                <w:tab w:val="left" w:pos="1440"/>
                <w:tab w:val="left" w:pos="2995"/>
                <w:tab w:val="left" w:pos="4680"/>
                <w:tab w:val="left" w:pos="5155"/>
                <w:tab w:val="left" w:pos="7675"/>
                <w:tab w:val="left" w:pos="10555"/>
              </w:tabs>
              <w:spacing w:after="120"/>
              <w:rPr>
                <w:b/>
                <w:szCs w:val="24"/>
              </w:rPr>
            </w:pPr>
            <w:r>
              <w:rPr>
                <w:b/>
                <w:szCs w:val="24"/>
              </w:rPr>
              <w:t>Executing agency:</w:t>
            </w:r>
          </w:p>
        </w:tc>
        <w:tc>
          <w:tcPr>
            <w:tcW w:w="6570" w:type="dxa"/>
            <w:gridSpan w:val="2"/>
          </w:tcPr>
          <w:p w:rsidR="00B05910" w:rsidRDefault="00B05910">
            <w:pPr>
              <w:widowControl w:val="0"/>
              <w:tabs>
                <w:tab w:val="left" w:pos="1440"/>
                <w:tab w:val="left" w:pos="2995"/>
                <w:tab w:val="left" w:pos="4680"/>
                <w:tab w:val="left" w:pos="5155"/>
                <w:tab w:val="left" w:pos="7675"/>
                <w:tab w:val="left" w:pos="10555"/>
              </w:tabs>
              <w:spacing w:after="120"/>
              <w:jc w:val="both"/>
              <w:rPr>
                <w:szCs w:val="24"/>
              </w:rPr>
            </w:pPr>
            <w:r>
              <w:rPr>
                <w:szCs w:val="24"/>
              </w:rPr>
              <w:t>Inter-American Development Bank (IDB)</w:t>
            </w:r>
            <w:r w:rsidR="0027451F">
              <w:rPr>
                <w:szCs w:val="24"/>
              </w:rPr>
              <w:t>, through ICF/CMF</w:t>
            </w:r>
          </w:p>
        </w:tc>
      </w:tr>
      <w:tr w:rsidR="00B05910">
        <w:trPr>
          <w:cantSplit/>
        </w:trPr>
        <w:tc>
          <w:tcPr>
            <w:tcW w:w="2282" w:type="dxa"/>
          </w:tcPr>
          <w:p w:rsidR="00B05910" w:rsidRDefault="00B05910">
            <w:pPr>
              <w:widowControl w:val="0"/>
              <w:tabs>
                <w:tab w:val="left" w:pos="1440"/>
                <w:tab w:val="left" w:pos="2995"/>
                <w:tab w:val="left" w:pos="4680"/>
                <w:tab w:val="left" w:pos="5155"/>
                <w:tab w:val="left" w:pos="7675"/>
                <w:tab w:val="left" w:pos="10555"/>
              </w:tabs>
              <w:spacing w:after="120"/>
              <w:rPr>
                <w:b/>
                <w:szCs w:val="24"/>
              </w:rPr>
            </w:pPr>
            <w:r>
              <w:rPr>
                <w:b/>
                <w:szCs w:val="24"/>
              </w:rPr>
              <w:t>Target Beneficiaries:</w:t>
            </w:r>
          </w:p>
        </w:tc>
        <w:tc>
          <w:tcPr>
            <w:tcW w:w="6570" w:type="dxa"/>
            <w:gridSpan w:val="2"/>
          </w:tcPr>
          <w:p w:rsidR="00E8203B" w:rsidRDefault="002D4C22">
            <w:pPr>
              <w:widowControl w:val="0"/>
              <w:tabs>
                <w:tab w:val="left" w:pos="58"/>
                <w:tab w:val="left" w:pos="4680"/>
                <w:tab w:val="left" w:pos="5155"/>
                <w:tab w:val="left" w:pos="7675"/>
                <w:tab w:val="left" w:pos="10555"/>
              </w:tabs>
              <w:spacing w:after="120"/>
              <w:jc w:val="both"/>
              <w:rPr>
                <w:szCs w:val="24"/>
              </w:rPr>
            </w:pPr>
            <w:r>
              <w:t xml:space="preserve">The direct beneficiaries </w:t>
            </w:r>
            <w:r w:rsidR="003F7070">
              <w:t>are</w:t>
            </w:r>
            <w:r>
              <w:t xml:space="preserve"> government institutions and</w:t>
            </w:r>
            <w:r w:rsidR="003F7070">
              <w:t xml:space="preserve"> private sector organizations, </w:t>
            </w:r>
            <w:r>
              <w:t xml:space="preserve">chambers of commerce, </w:t>
            </w:r>
            <w:r w:rsidRPr="003F5119">
              <w:rPr>
                <w:szCs w:val="24"/>
              </w:rPr>
              <w:t>labour unions and academia</w:t>
            </w:r>
            <w:r>
              <w:rPr>
                <w:szCs w:val="24"/>
              </w:rPr>
              <w:t>.</w:t>
            </w:r>
            <w:r w:rsidR="0001005A">
              <w:rPr>
                <w:szCs w:val="24"/>
              </w:rPr>
              <w:t xml:space="preserve"> </w:t>
            </w:r>
            <w:r>
              <w:rPr>
                <w:szCs w:val="24"/>
              </w:rPr>
              <w:t>The ultimate beneficiaries will be investors,</w:t>
            </w:r>
            <w:r>
              <w:t xml:space="preserve"> business owners and men and women in Jamaica</w:t>
            </w:r>
            <w:r w:rsidR="00241F9B">
              <w:t>.</w:t>
            </w:r>
          </w:p>
        </w:tc>
      </w:tr>
      <w:tr w:rsidR="0021731B">
        <w:trPr>
          <w:cantSplit/>
          <w:trHeight w:val="288"/>
        </w:trPr>
        <w:tc>
          <w:tcPr>
            <w:tcW w:w="2282" w:type="dxa"/>
          </w:tcPr>
          <w:p w:rsidR="00F23B10" w:rsidRDefault="0021731B">
            <w:pPr>
              <w:widowControl w:val="0"/>
              <w:tabs>
                <w:tab w:val="left" w:pos="1440"/>
                <w:tab w:val="left" w:pos="2995"/>
                <w:tab w:val="left" w:pos="4680"/>
                <w:tab w:val="left" w:pos="5155"/>
                <w:tab w:val="left" w:pos="7675"/>
                <w:tab w:val="left" w:pos="10555"/>
              </w:tabs>
              <w:rPr>
                <w:b/>
                <w:szCs w:val="24"/>
              </w:rPr>
            </w:pPr>
            <w:r>
              <w:rPr>
                <w:b/>
                <w:szCs w:val="24"/>
              </w:rPr>
              <w:t>Financing:</w:t>
            </w:r>
          </w:p>
        </w:tc>
        <w:tc>
          <w:tcPr>
            <w:tcW w:w="3285" w:type="dxa"/>
          </w:tcPr>
          <w:p w:rsidR="0021731B" w:rsidRDefault="0021731B" w:rsidP="0021731B">
            <w:pPr>
              <w:widowControl w:val="0"/>
              <w:tabs>
                <w:tab w:val="left" w:pos="1440"/>
                <w:tab w:val="left" w:pos="2995"/>
                <w:tab w:val="left" w:pos="4680"/>
                <w:tab w:val="left" w:pos="5155"/>
                <w:tab w:val="left" w:pos="7675"/>
                <w:tab w:val="left" w:pos="10555"/>
              </w:tabs>
              <w:jc w:val="both"/>
              <w:rPr>
                <w:rFonts w:ascii="Batang" w:eastAsia="Batang" w:hAnsi="Batang" w:cs="Batang"/>
                <w:szCs w:val="24"/>
              </w:rPr>
            </w:pPr>
            <w:r>
              <w:rPr>
                <w:szCs w:val="24"/>
              </w:rPr>
              <w:t>IDB</w:t>
            </w:r>
            <w:r w:rsidR="009F18CB">
              <w:rPr>
                <w:szCs w:val="24"/>
              </w:rPr>
              <w:t xml:space="preserve"> </w:t>
            </w:r>
            <w:r>
              <w:rPr>
                <w:szCs w:val="24"/>
              </w:rPr>
              <w:t>-</w:t>
            </w:r>
            <w:r w:rsidR="009F18CB">
              <w:rPr>
                <w:szCs w:val="24"/>
              </w:rPr>
              <w:t xml:space="preserve"> </w:t>
            </w:r>
            <w:r>
              <w:rPr>
                <w:szCs w:val="24"/>
              </w:rPr>
              <w:t>(COFAB with DFID):</w:t>
            </w:r>
          </w:p>
        </w:tc>
        <w:tc>
          <w:tcPr>
            <w:tcW w:w="3285" w:type="dxa"/>
          </w:tcPr>
          <w:p w:rsidR="00F23B10" w:rsidRDefault="0021731B">
            <w:pPr>
              <w:widowControl w:val="0"/>
              <w:tabs>
                <w:tab w:val="left" w:pos="1440"/>
                <w:tab w:val="left" w:pos="2995"/>
                <w:tab w:val="left" w:pos="4680"/>
                <w:tab w:val="left" w:pos="5155"/>
                <w:tab w:val="left" w:pos="7675"/>
                <w:tab w:val="left" w:pos="10555"/>
              </w:tabs>
              <w:jc w:val="both"/>
              <w:rPr>
                <w:rFonts w:ascii="Batang" w:eastAsia="Batang" w:hAnsi="Batang" w:cs="Batang"/>
                <w:szCs w:val="24"/>
              </w:rPr>
            </w:pPr>
            <w:r>
              <w:rPr>
                <w:szCs w:val="24"/>
              </w:rPr>
              <w:t>£ 406,250</w:t>
            </w:r>
            <w:r>
              <w:rPr>
                <w:rStyle w:val="EndnoteReference"/>
                <w:szCs w:val="24"/>
              </w:rPr>
              <w:endnoteReference w:id="1"/>
            </w:r>
            <w:r w:rsidR="00AA5E77">
              <w:rPr>
                <w:szCs w:val="24"/>
              </w:rPr>
              <w:t xml:space="preserve">      US$ 657,231</w:t>
            </w:r>
          </w:p>
        </w:tc>
      </w:tr>
      <w:tr w:rsidR="006D23E6">
        <w:trPr>
          <w:cantSplit/>
          <w:trHeight w:val="252"/>
        </w:trPr>
        <w:tc>
          <w:tcPr>
            <w:tcW w:w="2282" w:type="dxa"/>
          </w:tcPr>
          <w:p w:rsidR="00F23B10" w:rsidRDefault="00F23B10">
            <w:pPr>
              <w:widowControl w:val="0"/>
              <w:tabs>
                <w:tab w:val="left" w:pos="1440"/>
                <w:tab w:val="left" w:pos="2995"/>
                <w:tab w:val="left" w:pos="4680"/>
                <w:tab w:val="left" w:pos="5155"/>
                <w:tab w:val="left" w:pos="7675"/>
                <w:tab w:val="left" w:pos="10555"/>
              </w:tabs>
              <w:rPr>
                <w:b/>
                <w:szCs w:val="24"/>
              </w:rPr>
            </w:pPr>
          </w:p>
        </w:tc>
        <w:tc>
          <w:tcPr>
            <w:tcW w:w="3285" w:type="dxa"/>
          </w:tcPr>
          <w:p w:rsidR="0021731B" w:rsidRDefault="006D23E6">
            <w:pPr>
              <w:widowControl w:val="0"/>
              <w:tabs>
                <w:tab w:val="left" w:pos="1440"/>
                <w:tab w:val="left" w:pos="2995"/>
                <w:tab w:val="left" w:pos="4680"/>
                <w:tab w:val="left" w:pos="5155"/>
                <w:tab w:val="left" w:pos="7675"/>
                <w:tab w:val="left" w:pos="10555"/>
              </w:tabs>
              <w:jc w:val="both"/>
              <w:rPr>
                <w:szCs w:val="24"/>
              </w:rPr>
            </w:pPr>
            <w:r>
              <w:rPr>
                <w:szCs w:val="24"/>
              </w:rPr>
              <w:t>Local counterpart:</w:t>
            </w:r>
          </w:p>
        </w:tc>
        <w:tc>
          <w:tcPr>
            <w:tcW w:w="3285" w:type="dxa"/>
          </w:tcPr>
          <w:p w:rsidR="0021731B" w:rsidRDefault="006D23E6">
            <w:pPr>
              <w:widowControl w:val="0"/>
              <w:tabs>
                <w:tab w:val="left" w:pos="1440"/>
                <w:tab w:val="left" w:pos="2995"/>
                <w:tab w:val="left" w:pos="4680"/>
                <w:tab w:val="left" w:pos="5155"/>
                <w:tab w:val="left" w:pos="7675"/>
                <w:tab w:val="left" w:pos="10555"/>
              </w:tabs>
              <w:jc w:val="both"/>
              <w:rPr>
                <w:szCs w:val="24"/>
              </w:rPr>
            </w:pPr>
            <w:r>
              <w:rPr>
                <w:szCs w:val="24"/>
              </w:rPr>
              <w:t>£   62,500       US$ 100,000</w:t>
            </w:r>
          </w:p>
        </w:tc>
      </w:tr>
      <w:tr w:rsidR="006D23E6">
        <w:trPr>
          <w:cantSplit/>
        </w:trPr>
        <w:tc>
          <w:tcPr>
            <w:tcW w:w="2282" w:type="dxa"/>
          </w:tcPr>
          <w:p w:rsidR="00F23B10" w:rsidRDefault="00F23B10">
            <w:pPr>
              <w:widowControl w:val="0"/>
              <w:tabs>
                <w:tab w:val="left" w:pos="1440"/>
                <w:tab w:val="left" w:pos="2995"/>
                <w:tab w:val="left" w:pos="4680"/>
                <w:tab w:val="left" w:pos="5155"/>
                <w:tab w:val="left" w:pos="7675"/>
                <w:tab w:val="left" w:pos="10555"/>
              </w:tabs>
              <w:rPr>
                <w:b/>
                <w:szCs w:val="24"/>
              </w:rPr>
            </w:pPr>
          </w:p>
        </w:tc>
        <w:tc>
          <w:tcPr>
            <w:tcW w:w="3285" w:type="dxa"/>
          </w:tcPr>
          <w:p w:rsidR="00434969" w:rsidRPr="00434969" w:rsidRDefault="006D23E6">
            <w:pPr>
              <w:widowControl w:val="0"/>
              <w:tabs>
                <w:tab w:val="left" w:pos="1440"/>
                <w:tab w:val="left" w:pos="2995"/>
                <w:tab w:val="left" w:pos="4680"/>
                <w:tab w:val="left" w:pos="5155"/>
                <w:tab w:val="left" w:pos="7675"/>
                <w:tab w:val="left" w:pos="10555"/>
              </w:tabs>
              <w:jc w:val="both"/>
              <w:rPr>
                <w:szCs w:val="24"/>
              </w:rPr>
            </w:pPr>
            <w:r>
              <w:rPr>
                <w:szCs w:val="24"/>
              </w:rPr>
              <w:t>Total:</w:t>
            </w:r>
          </w:p>
        </w:tc>
        <w:tc>
          <w:tcPr>
            <w:tcW w:w="3285" w:type="dxa"/>
          </w:tcPr>
          <w:p w:rsidR="00434969" w:rsidRDefault="00AA5E77">
            <w:pPr>
              <w:widowControl w:val="0"/>
              <w:tabs>
                <w:tab w:val="left" w:pos="1440"/>
                <w:tab w:val="left" w:pos="2995"/>
                <w:tab w:val="left" w:pos="4680"/>
                <w:tab w:val="left" w:pos="5155"/>
                <w:tab w:val="left" w:pos="7675"/>
                <w:tab w:val="left" w:pos="10555"/>
              </w:tabs>
              <w:jc w:val="both"/>
              <w:rPr>
                <w:szCs w:val="24"/>
              </w:rPr>
            </w:pPr>
            <w:r>
              <w:rPr>
                <w:szCs w:val="24"/>
              </w:rPr>
              <w:t>£ 468,750       US$ 757</w:t>
            </w:r>
            <w:r w:rsidR="006D23E6">
              <w:rPr>
                <w:szCs w:val="24"/>
              </w:rPr>
              <w:t>,</w:t>
            </w:r>
            <w:r>
              <w:rPr>
                <w:szCs w:val="24"/>
              </w:rPr>
              <w:t>231</w:t>
            </w:r>
          </w:p>
        </w:tc>
      </w:tr>
      <w:tr w:rsidR="00B05910">
        <w:tc>
          <w:tcPr>
            <w:tcW w:w="2282" w:type="dxa"/>
          </w:tcPr>
          <w:p w:rsidR="00F23B10" w:rsidRDefault="00956C61">
            <w:pPr>
              <w:widowControl w:val="0"/>
              <w:tabs>
                <w:tab w:val="left" w:pos="1440"/>
                <w:tab w:val="left" w:pos="2995"/>
                <w:tab w:val="left" w:pos="4680"/>
                <w:tab w:val="left" w:pos="5155"/>
                <w:tab w:val="left" w:pos="7675"/>
                <w:tab w:val="left" w:pos="10555"/>
              </w:tabs>
              <w:spacing w:before="40" w:after="120"/>
              <w:rPr>
                <w:b/>
                <w:szCs w:val="24"/>
              </w:rPr>
            </w:pPr>
            <w:r>
              <w:rPr>
                <w:b/>
                <w:szCs w:val="24"/>
              </w:rPr>
              <w:t>Objective</w:t>
            </w:r>
          </w:p>
        </w:tc>
        <w:tc>
          <w:tcPr>
            <w:tcW w:w="6570" w:type="dxa"/>
            <w:gridSpan w:val="2"/>
          </w:tcPr>
          <w:p w:rsidR="00F23B10" w:rsidRDefault="00B05910" w:rsidP="00B031B4">
            <w:pPr>
              <w:widowControl w:val="0"/>
              <w:tabs>
                <w:tab w:val="left" w:pos="1440"/>
                <w:tab w:val="left" w:pos="2995"/>
                <w:tab w:val="left" w:pos="4680"/>
                <w:tab w:val="left" w:pos="5155"/>
                <w:tab w:val="left" w:pos="7675"/>
                <w:tab w:val="left" w:pos="10555"/>
              </w:tabs>
              <w:spacing w:before="40" w:after="120"/>
              <w:jc w:val="both"/>
              <w:rPr>
                <w:szCs w:val="24"/>
              </w:rPr>
            </w:pPr>
            <w:r>
              <w:rPr>
                <w:szCs w:val="24"/>
              </w:rPr>
              <w:t xml:space="preserve">The objective </w:t>
            </w:r>
            <w:r w:rsidR="00956C61">
              <w:t xml:space="preserve">is to support the improvement of the business climate in Jamaica. The specific objectives are: </w:t>
            </w:r>
            <w:r w:rsidR="00224AE4">
              <w:t>(i) e</w:t>
            </w:r>
            <w:r w:rsidR="00224AE4">
              <w:rPr>
                <w:szCs w:val="24"/>
              </w:rPr>
              <w:t>nhance</w:t>
            </w:r>
            <w:r w:rsidR="003875B5">
              <w:rPr>
                <w:szCs w:val="24"/>
              </w:rPr>
              <w:t>d</w:t>
            </w:r>
            <w:r w:rsidR="00224AE4" w:rsidRPr="004B5AF7">
              <w:rPr>
                <w:szCs w:val="24"/>
              </w:rPr>
              <w:t xml:space="preserve"> knowledge on </w:t>
            </w:r>
            <w:r w:rsidR="00224AE4">
              <w:rPr>
                <w:szCs w:val="24"/>
              </w:rPr>
              <w:t>the major</w:t>
            </w:r>
            <w:r w:rsidR="00224AE4" w:rsidRPr="004B5AF7">
              <w:rPr>
                <w:szCs w:val="24"/>
              </w:rPr>
              <w:t xml:space="preserve"> </w:t>
            </w:r>
            <w:r w:rsidR="006D23E6" w:rsidRPr="004B5AF7">
              <w:rPr>
                <w:szCs w:val="24"/>
              </w:rPr>
              <w:t>constrain</w:t>
            </w:r>
            <w:r w:rsidR="006D23E6">
              <w:rPr>
                <w:szCs w:val="24"/>
              </w:rPr>
              <w:t>ts</w:t>
            </w:r>
            <w:r w:rsidR="006D23E6" w:rsidRPr="004B5AF7">
              <w:rPr>
                <w:szCs w:val="24"/>
              </w:rPr>
              <w:t xml:space="preserve"> to</w:t>
            </w:r>
            <w:r w:rsidR="00224AE4">
              <w:rPr>
                <w:szCs w:val="24"/>
              </w:rPr>
              <w:t xml:space="preserve"> </w:t>
            </w:r>
            <w:r w:rsidR="00B031B4">
              <w:rPr>
                <w:szCs w:val="24"/>
              </w:rPr>
              <w:t>P</w:t>
            </w:r>
            <w:r w:rsidR="00B031B4" w:rsidRPr="004B5AF7">
              <w:rPr>
                <w:szCs w:val="24"/>
              </w:rPr>
              <w:t xml:space="preserve">rivate </w:t>
            </w:r>
            <w:r w:rsidR="00B031B4">
              <w:rPr>
                <w:szCs w:val="24"/>
              </w:rPr>
              <w:t>S</w:t>
            </w:r>
            <w:r w:rsidR="00B031B4" w:rsidRPr="004B5AF7">
              <w:rPr>
                <w:szCs w:val="24"/>
              </w:rPr>
              <w:t xml:space="preserve">ector </w:t>
            </w:r>
            <w:r w:rsidR="00B031B4">
              <w:rPr>
                <w:szCs w:val="24"/>
              </w:rPr>
              <w:t>D</w:t>
            </w:r>
            <w:r w:rsidR="00B031B4" w:rsidRPr="004B5AF7">
              <w:rPr>
                <w:szCs w:val="24"/>
              </w:rPr>
              <w:t xml:space="preserve">evelopment </w:t>
            </w:r>
            <w:r w:rsidR="00224AE4" w:rsidRPr="004B5AF7">
              <w:rPr>
                <w:szCs w:val="24"/>
              </w:rPr>
              <w:t>(PSD); (ii) increase</w:t>
            </w:r>
            <w:r w:rsidR="00224AE4">
              <w:rPr>
                <w:szCs w:val="24"/>
              </w:rPr>
              <w:t>d</w:t>
            </w:r>
            <w:r w:rsidR="00224AE4" w:rsidRPr="004B5AF7">
              <w:rPr>
                <w:szCs w:val="24"/>
              </w:rPr>
              <w:t xml:space="preserve"> access to finance</w:t>
            </w:r>
            <w:r w:rsidR="00224AE4">
              <w:rPr>
                <w:szCs w:val="24"/>
              </w:rPr>
              <w:t xml:space="preserve"> </w:t>
            </w:r>
            <w:r w:rsidR="003F7070">
              <w:rPr>
                <w:szCs w:val="24"/>
              </w:rPr>
              <w:t xml:space="preserve">by </w:t>
            </w:r>
            <w:r w:rsidR="00224AE4">
              <w:rPr>
                <w:szCs w:val="24"/>
              </w:rPr>
              <w:t>the implementation of a secured transactions framework</w:t>
            </w:r>
            <w:r w:rsidR="00224AE4" w:rsidRPr="004B5AF7">
              <w:rPr>
                <w:szCs w:val="24"/>
              </w:rPr>
              <w:t>; (iii</w:t>
            </w:r>
            <w:r w:rsidR="006D23E6" w:rsidRPr="004B5AF7">
              <w:rPr>
                <w:szCs w:val="24"/>
              </w:rPr>
              <w:t>)</w:t>
            </w:r>
            <w:r w:rsidR="006D23E6">
              <w:rPr>
                <w:szCs w:val="24"/>
              </w:rPr>
              <w:t> </w:t>
            </w:r>
            <w:r w:rsidR="00224AE4">
              <w:t>increase</w:t>
            </w:r>
            <w:r w:rsidR="003875B5">
              <w:t>d</w:t>
            </w:r>
            <w:r w:rsidR="00224AE4">
              <w:t xml:space="preserve"> financing for</w:t>
            </w:r>
            <w:r w:rsidR="00224AE4" w:rsidRPr="00710541">
              <w:t xml:space="preserve"> infrastructure </w:t>
            </w:r>
            <w:r w:rsidR="00224AE4">
              <w:t xml:space="preserve">projects </w:t>
            </w:r>
            <w:r w:rsidR="003F7070">
              <w:t>by</w:t>
            </w:r>
            <w:r w:rsidR="003F7070" w:rsidRPr="00710541">
              <w:t xml:space="preserve"> </w:t>
            </w:r>
            <w:r w:rsidR="00224AE4" w:rsidRPr="00710541">
              <w:t>Public Private Partnerships (PPPs)</w:t>
            </w:r>
            <w:r w:rsidR="00224AE4" w:rsidRPr="004B5AF7">
              <w:rPr>
                <w:szCs w:val="24"/>
              </w:rPr>
              <w:t>; and (iv</w:t>
            </w:r>
            <w:r w:rsidR="006D23E6" w:rsidRPr="004B5AF7">
              <w:rPr>
                <w:szCs w:val="24"/>
              </w:rPr>
              <w:t>)</w:t>
            </w:r>
            <w:r w:rsidR="00E5109E">
              <w:rPr>
                <w:szCs w:val="24"/>
              </w:rPr>
              <w:t xml:space="preserve"> </w:t>
            </w:r>
            <w:r w:rsidR="00224AE4" w:rsidRPr="004B5AF7">
              <w:rPr>
                <w:szCs w:val="24"/>
              </w:rPr>
              <w:t xml:space="preserve">increased Public-Private consensus and focus on strategic </w:t>
            </w:r>
            <w:r w:rsidR="002163F1" w:rsidRPr="004B5AF7">
              <w:rPr>
                <w:szCs w:val="24"/>
              </w:rPr>
              <w:t>interventions</w:t>
            </w:r>
            <w:r w:rsidR="003F7070">
              <w:rPr>
                <w:szCs w:val="24"/>
              </w:rPr>
              <w:t>.</w:t>
            </w:r>
          </w:p>
        </w:tc>
      </w:tr>
      <w:tr w:rsidR="00B05910">
        <w:tc>
          <w:tcPr>
            <w:tcW w:w="2282" w:type="dxa"/>
          </w:tcPr>
          <w:p w:rsidR="00B05910" w:rsidRDefault="00B05910">
            <w:pPr>
              <w:widowControl w:val="0"/>
              <w:tabs>
                <w:tab w:val="left" w:pos="1440"/>
                <w:tab w:val="left" w:pos="2995"/>
                <w:tab w:val="left" w:pos="4680"/>
                <w:tab w:val="left" w:pos="5155"/>
                <w:tab w:val="left" w:pos="7675"/>
                <w:tab w:val="left" w:pos="10555"/>
              </w:tabs>
              <w:spacing w:after="120"/>
              <w:rPr>
                <w:b/>
                <w:szCs w:val="24"/>
              </w:rPr>
            </w:pPr>
            <w:r>
              <w:rPr>
                <w:b/>
                <w:szCs w:val="24"/>
              </w:rPr>
              <w:t>Execution Period:</w:t>
            </w:r>
          </w:p>
        </w:tc>
        <w:tc>
          <w:tcPr>
            <w:tcW w:w="6570" w:type="dxa"/>
            <w:gridSpan w:val="2"/>
          </w:tcPr>
          <w:p w:rsidR="00B05910" w:rsidRDefault="00F61D68" w:rsidP="00F92E2C">
            <w:pPr>
              <w:widowControl w:val="0"/>
              <w:tabs>
                <w:tab w:val="left" w:pos="1440"/>
                <w:tab w:val="left" w:pos="2995"/>
                <w:tab w:val="left" w:pos="4680"/>
                <w:tab w:val="left" w:pos="5155"/>
                <w:tab w:val="left" w:pos="7675"/>
                <w:tab w:val="left" w:pos="10555"/>
              </w:tabs>
              <w:spacing w:after="120"/>
              <w:jc w:val="both"/>
              <w:rPr>
                <w:szCs w:val="24"/>
              </w:rPr>
            </w:pPr>
            <w:r>
              <w:rPr>
                <w:szCs w:val="24"/>
              </w:rPr>
              <w:t xml:space="preserve">The TC will be executed in </w:t>
            </w:r>
            <w:r w:rsidR="00F92E2C">
              <w:rPr>
                <w:szCs w:val="24"/>
              </w:rPr>
              <w:t xml:space="preserve">24 </w:t>
            </w:r>
            <w:r w:rsidR="00B05910">
              <w:rPr>
                <w:szCs w:val="24"/>
              </w:rPr>
              <w:t xml:space="preserve">months and disbursed in </w:t>
            </w:r>
            <w:r w:rsidR="00F92E2C">
              <w:rPr>
                <w:szCs w:val="24"/>
              </w:rPr>
              <w:t xml:space="preserve">30 </w:t>
            </w:r>
            <w:r w:rsidR="00B05910">
              <w:rPr>
                <w:szCs w:val="24"/>
              </w:rPr>
              <w:t>months.</w:t>
            </w:r>
          </w:p>
        </w:tc>
      </w:tr>
      <w:tr w:rsidR="00B05910">
        <w:tc>
          <w:tcPr>
            <w:tcW w:w="2282" w:type="dxa"/>
          </w:tcPr>
          <w:p w:rsidR="00B05910" w:rsidRDefault="00B05910">
            <w:pPr>
              <w:pStyle w:val="Footer"/>
              <w:widowControl w:val="0"/>
              <w:tabs>
                <w:tab w:val="clear" w:pos="4320"/>
                <w:tab w:val="clear" w:pos="8640"/>
                <w:tab w:val="left" w:pos="1440"/>
                <w:tab w:val="left" w:pos="2995"/>
                <w:tab w:val="left" w:pos="4680"/>
                <w:tab w:val="left" w:pos="5155"/>
                <w:tab w:val="left" w:pos="7675"/>
                <w:tab w:val="left" w:pos="10555"/>
              </w:tabs>
              <w:spacing w:after="120"/>
              <w:rPr>
                <w:b/>
                <w:szCs w:val="24"/>
              </w:rPr>
            </w:pPr>
            <w:r>
              <w:rPr>
                <w:b/>
                <w:szCs w:val="24"/>
              </w:rPr>
              <w:t>Special conditions:</w:t>
            </w:r>
          </w:p>
        </w:tc>
        <w:tc>
          <w:tcPr>
            <w:tcW w:w="6570" w:type="dxa"/>
            <w:gridSpan w:val="2"/>
          </w:tcPr>
          <w:p w:rsidR="00B05910" w:rsidRDefault="00B05910">
            <w:pPr>
              <w:widowControl w:val="0"/>
              <w:tabs>
                <w:tab w:val="left" w:pos="1440"/>
                <w:tab w:val="left" w:pos="2995"/>
                <w:tab w:val="left" w:pos="4680"/>
                <w:tab w:val="left" w:pos="5155"/>
                <w:tab w:val="left" w:pos="7675"/>
                <w:tab w:val="left" w:pos="10555"/>
              </w:tabs>
              <w:spacing w:after="120"/>
              <w:jc w:val="both"/>
              <w:rPr>
                <w:szCs w:val="24"/>
              </w:rPr>
            </w:pPr>
            <w:r>
              <w:rPr>
                <w:szCs w:val="24"/>
              </w:rPr>
              <w:t>None</w:t>
            </w:r>
          </w:p>
        </w:tc>
      </w:tr>
      <w:tr w:rsidR="00B05910">
        <w:tc>
          <w:tcPr>
            <w:tcW w:w="2282" w:type="dxa"/>
          </w:tcPr>
          <w:p w:rsidR="00B05910" w:rsidRDefault="00B05910">
            <w:pPr>
              <w:pStyle w:val="Footer"/>
              <w:widowControl w:val="0"/>
              <w:tabs>
                <w:tab w:val="clear" w:pos="4320"/>
                <w:tab w:val="clear" w:pos="8640"/>
                <w:tab w:val="left" w:pos="2995"/>
                <w:tab w:val="left" w:pos="4680"/>
                <w:tab w:val="left" w:pos="5155"/>
                <w:tab w:val="left" w:pos="7675"/>
                <w:tab w:val="left" w:pos="10555"/>
              </w:tabs>
              <w:spacing w:after="120"/>
              <w:rPr>
                <w:b/>
                <w:szCs w:val="24"/>
              </w:rPr>
            </w:pPr>
            <w:r>
              <w:rPr>
                <w:b/>
                <w:szCs w:val="24"/>
              </w:rPr>
              <w:t>Exceptions:</w:t>
            </w:r>
          </w:p>
        </w:tc>
        <w:tc>
          <w:tcPr>
            <w:tcW w:w="6570" w:type="dxa"/>
            <w:gridSpan w:val="2"/>
          </w:tcPr>
          <w:p w:rsidR="00B05910" w:rsidRDefault="00B05910">
            <w:pPr>
              <w:widowControl w:val="0"/>
              <w:tabs>
                <w:tab w:val="left" w:pos="1440"/>
                <w:tab w:val="left" w:pos="2995"/>
                <w:tab w:val="left" w:pos="4680"/>
                <w:tab w:val="left" w:pos="5155"/>
                <w:tab w:val="left" w:pos="7675"/>
                <w:tab w:val="left" w:pos="10555"/>
              </w:tabs>
              <w:spacing w:after="120"/>
              <w:jc w:val="both"/>
              <w:rPr>
                <w:szCs w:val="24"/>
              </w:rPr>
            </w:pPr>
            <w:r>
              <w:rPr>
                <w:szCs w:val="24"/>
              </w:rPr>
              <w:t xml:space="preserve">None </w:t>
            </w:r>
          </w:p>
        </w:tc>
      </w:tr>
      <w:tr w:rsidR="00B05910">
        <w:tc>
          <w:tcPr>
            <w:tcW w:w="2282" w:type="dxa"/>
          </w:tcPr>
          <w:p w:rsidR="00B05910" w:rsidRDefault="00B05910">
            <w:pPr>
              <w:pStyle w:val="Footer"/>
              <w:widowControl w:val="0"/>
              <w:tabs>
                <w:tab w:val="clear" w:pos="4320"/>
                <w:tab w:val="clear" w:pos="8640"/>
                <w:tab w:val="left" w:pos="2995"/>
                <w:tab w:val="left" w:pos="4680"/>
                <w:tab w:val="left" w:pos="5155"/>
                <w:tab w:val="left" w:pos="7675"/>
                <w:tab w:val="left" w:pos="10555"/>
              </w:tabs>
              <w:spacing w:after="120"/>
              <w:rPr>
                <w:b/>
                <w:szCs w:val="24"/>
              </w:rPr>
            </w:pPr>
            <w:r>
              <w:rPr>
                <w:b/>
                <w:szCs w:val="24"/>
              </w:rPr>
              <w:t>Procurement Arrangements</w:t>
            </w:r>
            <w:r w:rsidR="00B0226A">
              <w:rPr>
                <w:b/>
                <w:szCs w:val="24"/>
              </w:rPr>
              <w:t>:</w:t>
            </w:r>
          </w:p>
        </w:tc>
        <w:tc>
          <w:tcPr>
            <w:tcW w:w="6570" w:type="dxa"/>
            <w:gridSpan w:val="2"/>
          </w:tcPr>
          <w:p w:rsidR="00B05910" w:rsidRDefault="00B05910">
            <w:pPr>
              <w:widowControl w:val="0"/>
              <w:tabs>
                <w:tab w:val="left" w:pos="1440"/>
                <w:tab w:val="left" w:pos="2995"/>
                <w:tab w:val="left" w:pos="4680"/>
                <w:tab w:val="left" w:pos="5155"/>
                <w:tab w:val="left" w:pos="7675"/>
                <w:tab w:val="left" w:pos="10555"/>
              </w:tabs>
              <w:spacing w:after="120"/>
              <w:jc w:val="both"/>
              <w:rPr>
                <w:szCs w:val="24"/>
              </w:rPr>
            </w:pPr>
            <w:r>
              <w:rPr>
                <w:szCs w:val="24"/>
              </w:rPr>
              <w:t>The contracting of the project consultants will be carried out by ICF</w:t>
            </w:r>
            <w:r w:rsidR="00B0226A">
              <w:rPr>
                <w:szCs w:val="24"/>
              </w:rPr>
              <w:t>/CMF</w:t>
            </w:r>
            <w:r>
              <w:rPr>
                <w:szCs w:val="24"/>
              </w:rPr>
              <w:t xml:space="preserve"> in accordance with the Bank’s policies and procedures set forth in document GN-2350-7 (</w:t>
            </w:r>
            <w:r>
              <w:rPr>
                <w:i/>
                <w:iCs/>
                <w:szCs w:val="24"/>
              </w:rPr>
              <w:t>Policies for the Selection and Procurement of Consulting Services Financed by the IDB</w:t>
            </w:r>
            <w:r>
              <w:rPr>
                <w:szCs w:val="24"/>
              </w:rPr>
              <w:t xml:space="preserve">).  </w:t>
            </w:r>
          </w:p>
        </w:tc>
      </w:tr>
      <w:tr w:rsidR="00B05910">
        <w:tc>
          <w:tcPr>
            <w:tcW w:w="2282" w:type="dxa"/>
          </w:tcPr>
          <w:p w:rsidR="00B05910" w:rsidRDefault="00126482">
            <w:pPr>
              <w:widowControl w:val="0"/>
              <w:tabs>
                <w:tab w:val="left" w:pos="1440"/>
                <w:tab w:val="left" w:pos="2995"/>
                <w:tab w:val="left" w:pos="4680"/>
                <w:tab w:val="left" w:pos="5155"/>
                <w:tab w:val="left" w:pos="7675"/>
                <w:tab w:val="left" w:pos="10555"/>
              </w:tabs>
              <w:rPr>
                <w:b/>
                <w:szCs w:val="24"/>
              </w:rPr>
            </w:pPr>
            <w:r>
              <w:rPr>
                <w:b/>
                <w:szCs w:val="24"/>
              </w:rPr>
              <w:t>Environmental and</w:t>
            </w:r>
          </w:p>
          <w:p w:rsidR="00B05910" w:rsidRDefault="00B05910">
            <w:pPr>
              <w:widowControl w:val="0"/>
              <w:tabs>
                <w:tab w:val="left" w:pos="1440"/>
                <w:tab w:val="left" w:pos="2995"/>
                <w:tab w:val="left" w:pos="4680"/>
                <w:tab w:val="left" w:pos="5155"/>
                <w:tab w:val="left" w:pos="7675"/>
                <w:tab w:val="left" w:pos="10555"/>
              </w:tabs>
              <w:spacing w:after="120"/>
              <w:rPr>
                <w:b/>
                <w:szCs w:val="24"/>
              </w:rPr>
            </w:pPr>
            <w:r>
              <w:rPr>
                <w:b/>
                <w:szCs w:val="24"/>
              </w:rPr>
              <w:t xml:space="preserve">Social Review: </w:t>
            </w:r>
          </w:p>
        </w:tc>
        <w:tc>
          <w:tcPr>
            <w:tcW w:w="6570" w:type="dxa"/>
            <w:gridSpan w:val="2"/>
          </w:tcPr>
          <w:p w:rsidR="00B05910" w:rsidRDefault="00B05910" w:rsidP="00F23B10">
            <w:pPr>
              <w:widowControl w:val="0"/>
              <w:tabs>
                <w:tab w:val="left" w:pos="1440"/>
                <w:tab w:val="left" w:pos="2995"/>
                <w:tab w:val="left" w:pos="4680"/>
                <w:tab w:val="left" w:pos="5155"/>
                <w:tab w:val="left" w:pos="7675"/>
                <w:tab w:val="left" w:pos="10555"/>
              </w:tabs>
              <w:spacing w:after="120"/>
              <w:ind w:right="-115"/>
              <w:jc w:val="both"/>
              <w:rPr>
                <w:szCs w:val="24"/>
              </w:rPr>
            </w:pPr>
            <w:r>
              <w:rPr>
                <w:szCs w:val="24"/>
              </w:rPr>
              <w:t xml:space="preserve">The TC profile was </w:t>
            </w:r>
            <w:r w:rsidR="00000A3B">
              <w:rPr>
                <w:szCs w:val="24"/>
              </w:rPr>
              <w:t xml:space="preserve">reviewed by ESR on </w:t>
            </w:r>
            <w:r w:rsidR="003D23D9">
              <w:rPr>
                <w:szCs w:val="24"/>
              </w:rPr>
              <w:t>December 8</w:t>
            </w:r>
            <w:r w:rsidR="00183E80" w:rsidRPr="00183E80">
              <w:rPr>
                <w:szCs w:val="24"/>
                <w:vertAlign w:val="superscript"/>
              </w:rPr>
              <w:t>th</w:t>
            </w:r>
            <w:r w:rsidR="003D23D9">
              <w:rPr>
                <w:szCs w:val="24"/>
              </w:rPr>
              <w:t>, 2009</w:t>
            </w:r>
            <w:r w:rsidR="00000A3B">
              <w:rPr>
                <w:szCs w:val="24"/>
              </w:rPr>
              <w:t xml:space="preserve">. </w:t>
            </w:r>
            <w:r>
              <w:rPr>
                <w:szCs w:val="24"/>
              </w:rPr>
              <w:t>No further actions are required</w:t>
            </w:r>
            <w:r w:rsidR="00B0226A">
              <w:rPr>
                <w:szCs w:val="24"/>
              </w:rPr>
              <w:t xml:space="preserve"> (see ¶</w:t>
            </w:r>
            <w:r w:rsidR="00F119A7">
              <w:rPr>
                <w:szCs w:val="24"/>
              </w:rPr>
              <w:fldChar w:fldCharType="begin"/>
            </w:r>
            <w:r w:rsidR="00B0226A">
              <w:rPr>
                <w:szCs w:val="24"/>
              </w:rPr>
              <w:instrText xml:space="preserve"> REF _Ref204582086 \r \h </w:instrText>
            </w:r>
            <w:r w:rsidR="00F119A7">
              <w:rPr>
                <w:szCs w:val="24"/>
              </w:rPr>
            </w:r>
            <w:r w:rsidR="00F119A7">
              <w:rPr>
                <w:szCs w:val="24"/>
              </w:rPr>
              <w:fldChar w:fldCharType="separate"/>
            </w:r>
            <w:r w:rsidR="003875B5">
              <w:rPr>
                <w:szCs w:val="24"/>
              </w:rPr>
              <w:t>8.1</w:t>
            </w:r>
            <w:r w:rsidR="00F119A7">
              <w:rPr>
                <w:szCs w:val="24"/>
              </w:rPr>
              <w:fldChar w:fldCharType="end"/>
            </w:r>
            <w:r w:rsidR="00B0226A">
              <w:rPr>
                <w:szCs w:val="24"/>
              </w:rPr>
              <w:t>).</w:t>
            </w:r>
          </w:p>
        </w:tc>
      </w:tr>
      <w:tr w:rsidR="00B05910">
        <w:trPr>
          <w:cantSplit/>
        </w:trPr>
        <w:tc>
          <w:tcPr>
            <w:tcW w:w="2282" w:type="dxa"/>
          </w:tcPr>
          <w:p w:rsidR="00B05910" w:rsidRDefault="00B05910">
            <w:pPr>
              <w:widowControl w:val="0"/>
              <w:tabs>
                <w:tab w:val="left" w:pos="1440"/>
                <w:tab w:val="left" w:pos="2995"/>
                <w:tab w:val="left" w:pos="4680"/>
                <w:tab w:val="left" w:pos="5155"/>
                <w:tab w:val="left" w:pos="7675"/>
                <w:tab w:val="left" w:pos="10555"/>
              </w:tabs>
              <w:spacing w:after="120"/>
              <w:rPr>
                <w:b/>
                <w:szCs w:val="24"/>
              </w:rPr>
            </w:pPr>
            <w:r>
              <w:rPr>
                <w:b/>
                <w:szCs w:val="24"/>
              </w:rPr>
              <w:t>Coordination with other Institutions:</w:t>
            </w:r>
          </w:p>
        </w:tc>
        <w:tc>
          <w:tcPr>
            <w:tcW w:w="6570" w:type="dxa"/>
            <w:gridSpan w:val="2"/>
          </w:tcPr>
          <w:p w:rsidR="0021731B" w:rsidRDefault="00321A64" w:rsidP="00321A64">
            <w:pPr>
              <w:widowControl w:val="0"/>
              <w:tabs>
                <w:tab w:val="left" w:pos="1440"/>
                <w:tab w:val="left" w:pos="2995"/>
                <w:tab w:val="left" w:pos="4680"/>
                <w:tab w:val="left" w:pos="5155"/>
                <w:tab w:val="left" w:pos="7675"/>
                <w:tab w:val="left" w:pos="10555"/>
              </w:tabs>
              <w:spacing w:after="120"/>
              <w:jc w:val="both"/>
              <w:rPr>
                <w:szCs w:val="24"/>
              </w:rPr>
            </w:pPr>
            <w:r>
              <w:t>The program will be coordinated with other development partners such t</w:t>
            </w:r>
            <w:r w:rsidRPr="00462AC3">
              <w:t xml:space="preserve">he World </w:t>
            </w:r>
            <w:r w:rsidRPr="00AB6539">
              <w:t xml:space="preserve">Bank, </w:t>
            </w:r>
            <w:r w:rsidRPr="00183E80">
              <w:t>USAID</w:t>
            </w:r>
            <w:r>
              <w:t xml:space="preserve"> and </w:t>
            </w:r>
            <w:r w:rsidRPr="00462AC3">
              <w:t>the European Union</w:t>
            </w:r>
            <w:r w:rsidR="000A127F">
              <w:rPr>
                <w:szCs w:val="24"/>
              </w:rPr>
              <w:t xml:space="preserve"> </w:t>
            </w:r>
            <w:r w:rsidR="002163F1">
              <w:rPr>
                <w:szCs w:val="24"/>
              </w:rPr>
              <w:t>(see¶</w:t>
            </w:r>
            <w:r w:rsidR="000A127F">
              <w:rPr>
                <w:szCs w:val="24"/>
              </w:rPr>
              <w:t xml:space="preserve"> </w:t>
            </w:r>
            <w:r w:rsidR="00F119A7">
              <w:rPr>
                <w:szCs w:val="24"/>
              </w:rPr>
              <w:fldChar w:fldCharType="begin"/>
            </w:r>
            <w:r w:rsidR="000A127F">
              <w:rPr>
                <w:szCs w:val="24"/>
              </w:rPr>
              <w:instrText xml:space="preserve"> REF _Ref259179302 \r \h </w:instrText>
            </w:r>
            <w:r w:rsidR="00F119A7">
              <w:rPr>
                <w:szCs w:val="24"/>
              </w:rPr>
            </w:r>
            <w:r w:rsidR="00F119A7">
              <w:rPr>
                <w:szCs w:val="24"/>
              </w:rPr>
              <w:fldChar w:fldCharType="separate"/>
            </w:r>
            <w:r w:rsidR="003875B5">
              <w:rPr>
                <w:szCs w:val="24"/>
              </w:rPr>
              <w:t>2.11</w:t>
            </w:r>
            <w:r w:rsidR="00F119A7">
              <w:rPr>
                <w:szCs w:val="24"/>
              </w:rPr>
              <w:fldChar w:fldCharType="end"/>
            </w:r>
            <w:r w:rsidR="000A127F">
              <w:rPr>
                <w:szCs w:val="24"/>
              </w:rPr>
              <w:t xml:space="preserve">- </w:t>
            </w:r>
            <w:r w:rsidR="00F119A7">
              <w:rPr>
                <w:szCs w:val="24"/>
              </w:rPr>
              <w:fldChar w:fldCharType="begin"/>
            </w:r>
            <w:r w:rsidR="000A127F">
              <w:rPr>
                <w:szCs w:val="24"/>
              </w:rPr>
              <w:instrText xml:space="preserve"> REF _Ref259179308 \r \h </w:instrText>
            </w:r>
            <w:r w:rsidR="00F119A7">
              <w:rPr>
                <w:szCs w:val="24"/>
              </w:rPr>
            </w:r>
            <w:r w:rsidR="00F119A7">
              <w:rPr>
                <w:szCs w:val="24"/>
              </w:rPr>
              <w:fldChar w:fldCharType="separate"/>
            </w:r>
            <w:r w:rsidR="003875B5">
              <w:rPr>
                <w:szCs w:val="24"/>
              </w:rPr>
              <w:t>2.13</w:t>
            </w:r>
            <w:r w:rsidR="00F119A7">
              <w:rPr>
                <w:szCs w:val="24"/>
              </w:rPr>
              <w:fldChar w:fldCharType="end"/>
            </w:r>
            <w:r w:rsidR="002163F1">
              <w:rPr>
                <w:szCs w:val="24"/>
              </w:rPr>
              <w:t>)</w:t>
            </w:r>
            <w:r w:rsidR="006D02B8">
              <w:rPr>
                <w:szCs w:val="24"/>
              </w:rPr>
              <w:t>.</w:t>
            </w:r>
          </w:p>
        </w:tc>
      </w:tr>
    </w:tbl>
    <w:p w:rsidR="004D5195" w:rsidRDefault="00434969" w:rsidP="00434969">
      <w:pPr>
        <w:pStyle w:val="Chapter"/>
        <w:numPr>
          <w:ilvl w:val="0"/>
          <w:numId w:val="0"/>
        </w:numPr>
        <w:jc w:val="left"/>
        <w:sectPr w:rsidR="004D5195">
          <w:headerReference w:type="even" r:id="rId21"/>
          <w:headerReference w:type="default" r:id="rId22"/>
          <w:footerReference w:type="even" r:id="rId23"/>
          <w:footerReference w:type="default" r:id="rId24"/>
          <w:headerReference w:type="first" r:id="rId25"/>
          <w:footerReference w:type="first" r:id="rId26"/>
          <w:pgSz w:w="12240" w:h="15840" w:code="1"/>
          <w:pgMar w:top="1440" w:right="1800" w:bottom="1440" w:left="1800" w:header="706" w:footer="706" w:gutter="0"/>
          <w:pgNumType w:start="1"/>
          <w:cols w:space="720"/>
          <w:formProt w:val="0"/>
          <w:titlePg/>
          <w:docGrid w:linePitch="326"/>
        </w:sectPr>
      </w:pPr>
      <w:bookmarkStart w:id="8" w:name="ESSectionPages"/>
      <w:bookmarkStart w:id="9" w:name="_Toc429646037"/>
      <w:bookmarkStart w:id="10" w:name="_Toc429652569"/>
      <w:bookmarkStart w:id="11" w:name="_Toc429655305"/>
      <w:bookmarkStart w:id="12" w:name="_Toc429655340"/>
      <w:bookmarkStart w:id="13" w:name="_Toc429655484"/>
      <w:bookmarkStart w:id="14" w:name="_Toc429655681"/>
      <w:bookmarkStart w:id="15" w:name="_Toc429657374"/>
      <w:bookmarkStart w:id="16" w:name="_Toc430679367"/>
      <w:bookmarkStart w:id="17" w:name="_Toc430679391"/>
      <w:bookmarkStart w:id="18" w:name="_Toc434845948"/>
      <w:bookmarkStart w:id="19" w:name="_Toc434846216"/>
      <w:bookmarkStart w:id="20" w:name="_Toc434846929"/>
      <w:bookmarkStart w:id="21" w:name="_Toc437759757"/>
      <w:bookmarkStart w:id="22" w:name="_Toc444883298"/>
      <w:bookmarkStart w:id="23" w:name="_Toc445703749"/>
      <w:bookmarkStart w:id="24" w:name="_Toc445703968"/>
      <w:bookmarkStart w:id="25" w:name="_Toc454879418"/>
      <w:bookmarkStart w:id="26" w:name="_Toc456437335"/>
      <w:bookmarkStart w:id="27" w:name="_Toc456438389"/>
      <w:bookmarkStart w:id="28" w:name="_Toc456441623"/>
      <w:bookmarkStart w:id="29" w:name="_Toc457383659"/>
      <w:bookmarkStart w:id="30" w:name="_Toc457884569"/>
      <w:bookmarkStart w:id="31" w:name="_Toc461010068"/>
      <w:bookmarkStart w:id="32" w:name="_Toc461010239"/>
      <w:bookmarkStart w:id="33" w:name="_Toc461356842"/>
      <w:bookmarkStart w:id="34" w:name="_Toc461356882"/>
      <w:bookmarkStart w:id="35" w:name="_Toc464387439"/>
      <w:bookmarkStart w:id="36" w:name="_Toc103508163"/>
      <w:bookmarkStart w:id="37" w:name="_Toc103574864"/>
      <w:bookmarkStart w:id="38" w:name="_Toc182232639"/>
      <w:bookmarkEnd w:id="8"/>
      <w:r w:rsidRPr="00434969">
        <w:rPr>
          <w:rStyle w:val="EndnoteReference"/>
          <w:sz w:val="16"/>
          <w:szCs w:val="16"/>
        </w:rPr>
        <w:lastRenderedPageBreak/>
        <w:footnoteRef/>
      </w:r>
      <w:r w:rsidRPr="00434969">
        <w:rPr>
          <w:sz w:val="16"/>
          <w:szCs w:val="16"/>
        </w:rPr>
        <w:t xml:space="preserve">  </w:t>
      </w:r>
      <w:r w:rsidRPr="00434969">
        <w:rPr>
          <w:b w:val="0"/>
          <w:smallCaps w:val="0"/>
          <w:sz w:val="16"/>
          <w:szCs w:val="16"/>
        </w:rPr>
        <w:t>The exchange rate used for the calculations is 1£= US$1.6</w:t>
      </w:r>
      <w:r w:rsidR="00AA5E77">
        <w:rPr>
          <w:b w:val="0"/>
          <w:smallCaps w:val="0"/>
          <w:sz w:val="16"/>
          <w:szCs w:val="16"/>
        </w:rPr>
        <w:t>6</w:t>
      </w:r>
      <w:r w:rsidR="000A7404">
        <w:rPr>
          <w:b w:val="0"/>
          <w:smallCaps w:val="0"/>
          <w:sz w:val="16"/>
          <w:szCs w:val="16"/>
        </w:rPr>
        <w:t xml:space="preserve"> March 2010</w:t>
      </w:r>
    </w:p>
    <w:p w:rsidR="004D5195" w:rsidRDefault="004D5195" w:rsidP="00F5406D">
      <w:pPr>
        <w:pStyle w:val="Chapter"/>
      </w:pPr>
      <w:bookmarkStart w:id="39" w:name="_Toc204581713"/>
      <w:r>
        <w:lastRenderedPageBreak/>
        <w:t>Background and Justification</w:t>
      </w:r>
      <w:bookmarkEnd w:id="39"/>
    </w:p>
    <w:p w:rsidR="004D5195" w:rsidRPr="004D5195" w:rsidRDefault="00F119A7" w:rsidP="004D5195">
      <w:pPr>
        <w:pStyle w:val="FirstHeading"/>
      </w:pPr>
      <w:r>
        <w:fldChar w:fldCharType="begin"/>
      </w:r>
      <w:r w:rsidR="004D5195">
        <w:instrText xml:space="preserve"> SEQ "</w:instrText>
      </w:r>
      <w:fldSimple w:instr=" SECTION  \* MERGEFORMAT ">
        <w:r w:rsidR="003875B5">
          <w:instrText>4</w:instrText>
        </w:r>
      </w:fldSimple>
      <w:r w:rsidR="004D5195">
        <w:instrText xml:space="preserve">#"\* ALPHABETIC \* MERGEFORMAT </w:instrText>
      </w:r>
      <w:r>
        <w:fldChar w:fldCharType="separate"/>
      </w:r>
      <w:bookmarkStart w:id="40" w:name="_Toc204580345"/>
      <w:bookmarkStart w:id="41" w:name="_Toc204581714"/>
      <w:r w:rsidR="003875B5">
        <w:rPr>
          <w:noProof/>
        </w:rPr>
        <w:t>A</w:t>
      </w:r>
      <w:r>
        <w:fldChar w:fldCharType="end"/>
      </w:r>
      <w:r w:rsidR="004D5195">
        <w:t>.</w:t>
      </w:r>
      <w:r w:rsidR="004D5195">
        <w:tab/>
      </w:r>
      <w:bookmarkEnd w:id="40"/>
      <w:bookmarkEnd w:id="41"/>
      <w:r w:rsidR="00E97AD6">
        <w:t>Macroeconomic outlook and private sector led growth</w:t>
      </w:r>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rsidR="005759FB" w:rsidRPr="00434969" w:rsidRDefault="00224AE4">
      <w:pPr>
        <w:pStyle w:val="Paragraph"/>
        <w:rPr>
          <w:spacing w:val="-2"/>
        </w:rPr>
      </w:pPr>
      <w:r w:rsidRPr="00434969">
        <w:rPr>
          <w:spacing w:val="-2"/>
          <w:szCs w:val="24"/>
        </w:rPr>
        <w:t>The</w:t>
      </w:r>
      <w:r w:rsidRPr="00434969">
        <w:rPr>
          <w:spacing w:val="-2"/>
        </w:rPr>
        <w:t xml:space="preserve"> sharp rise in commodity prices between late 2006 </w:t>
      </w:r>
      <w:r w:rsidR="003716F3">
        <w:rPr>
          <w:spacing w:val="-2"/>
        </w:rPr>
        <w:t>and</w:t>
      </w:r>
      <w:r w:rsidR="003716F3" w:rsidRPr="00434969">
        <w:rPr>
          <w:spacing w:val="-2"/>
        </w:rPr>
        <w:t xml:space="preserve"> </w:t>
      </w:r>
      <w:r w:rsidRPr="00434969">
        <w:rPr>
          <w:spacing w:val="-2"/>
        </w:rPr>
        <w:t>mid</w:t>
      </w:r>
      <w:r w:rsidRPr="00434969">
        <w:rPr>
          <w:spacing w:val="-2"/>
          <w:szCs w:val="24"/>
        </w:rPr>
        <w:t>-</w:t>
      </w:r>
      <w:r w:rsidRPr="00434969">
        <w:rPr>
          <w:spacing w:val="-2"/>
        </w:rPr>
        <w:t xml:space="preserve">2008, </w:t>
      </w:r>
      <w:r w:rsidRPr="00434969">
        <w:rPr>
          <w:spacing w:val="-2"/>
          <w:szCs w:val="24"/>
        </w:rPr>
        <w:t>natural disasters</w:t>
      </w:r>
      <w:r w:rsidRPr="00434969">
        <w:rPr>
          <w:spacing w:val="-2"/>
        </w:rPr>
        <w:t xml:space="preserve"> and</w:t>
      </w:r>
      <w:r w:rsidR="003716F3">
        <w:rPr>
          <w:spacing w:val="-2"/>
        </w:rPr>
        <w:t>,</w:t>
      </w:r>
      <w:r w:rsidRPr="00434969">
        <w:rPr>
          <w:spacing w:val="-2"/>
        </w:rPr>
        <w:t xml:space="preserve"> most recently</w:t>
      </w:r>
      <w:r w:rsidR="003716F3">
        <w:rPr>
          <w:spacing w:val="-2"/>
        </w:rPr>
        <w:t>,</w:t>
      </w:r>
      <w:r w:rsidRPr="00434969">
        <w:rPr>
          <w:spacing w:val="-2"/>
        </w:rPr>
        <w:t xml:space="preserve"> the international financial crisis, has put increased pressure on Jamaica’s already difficult macroeconomic situation. </w:t>
      </w:r>
      <w:r w:rsidR="00CD3CD3" w:rsidRPr="00BA2B38">
        <w:t>The impact of the global financial crisis on Jamaica has intensified during 2008-</w:t>
      </w:r>
      <w:r w:rsidR="00CD3CD3">
        <w:t>200</w:t>
      </w:r>
      <w:r w:rsidR="00CD3CD3" w:rsidRPr="00BA2B38">
        <w:t>9. Economic growth stopped in the third quarter of 2007</w:t>
      </w:r>
      <w:r w:rsidR="00CD3CD3">
        <w:t xml:space="preserve"> and contracted by 0.6% in 2008</w:t>
      </w:r>
      <w:r w:rsidR="00CD3CD3" w:rsidRPr="00BA2B38">
        <w:t>; the decrease in economic activity was around 4% in the first half of 2009 and is projected to decrease more than 4% in 2009.</w:t>
      </w:r>
      <w:r w:rsidR="00CD3CD3">
        <w:t xml:space="preserve"> </w:t>
      </w:r>
      <w:r w:rsidR="00CD3CD3" w:rsidRPr="00BA2B38">
        <w:t>Economic growth is expected to resume only in 2011</w:t>
      </w:r>
      <w:r w:rsidRPr="00434969">
        <w:rPr>
          <w:spacing w:val="-2"/>
        </w:rPr>
        <w:t>.</w:t>
      </w:r>
      <w:r w:rsidRPr="00434969">
        <w:rPr>
          <w:spacing w:val="-2"/>
          <w:szCs w:val="24"/>
        </w:rPr>
        <w:t xml:space="preserve"> </w:t>
      </w:r>
      <w:r w:rsidRPr="00434969">
        <w:rPr>
          <w:spacing w:val="-2"/>
        </w:rPr>
        <w:t>In addition, government revenues are below projected levels and the deficit is expected to surpass the g</w:t>
      </w:r>
      <w:r w:rsidRPr="00434969">
        <w:rPr>
          <w:spacing w:val="-2"/>
          <w:szCs w:val="24"/>
        </w:rPr>
        <w:t>overnment’s</w:t>
      </w:r>
      <w:r w:rsidRPr="00434969">
        <w:rPr>
          <w:spacing w:val="-2"/>
        </w:rPr>
        <w:t xml:space="preserve"> estimates for </w:t>
      </w:r>
      <w:r w:rsidR="00801CBE" w:rsidRPr="00434969">
        <w:rPr>
          <w:spacing w:val="-2"/>
        </w:rPr>
        <w:t>FY</w:t>
      </w:r>
      <w:r w:rsidRPr="00434969">
        <w:rPr>
          <w:spacing w:val="-2"/>
        </w:rPr>
        <w:t xml:space="preserve"> 2009/</w:t>
      </w:r>
      <w:r w:rsidR="0021731B" w:rsidRPr="00434969">
        <w:rPr>
          <w:spacing w:val="-2"/>
        </w:rPr>
        <w:t>20</w:t>
      </w:r>
      <w:r w:rsidRPr="00434969">
        <w:rPr>
          <w:spacing w:val="-2"/>
        </w:rPr>
        <w:t>10.</w:t>
      </w:r>
      <w:r w:rsidRPr="00434969">
        <w:rPr>
          <w:spacing w:val="-2"/>
          <w:szCs w:val="24"/>
        </w:rPr>
        <w:t xml:space="preserve"> The debt overhang</w:t>
      </w:r>
      <w:r w:rsidR="003716F3">
        <w:rPr>
          <w:spacing w:val="-2"/>
          <w:szCs w:val="24"/>
        </w:rPr>
        <w:t>,</w:t>
      </w:r>
      <w:r w:rsidRPr="00434969">
        <w:rPr>
          <w:spacing w:val="-2"/>
          <w:szCs w:val="24"/>
        </w:rPr>
        <w:t xml:space="preserve"> at 132%</w:t>
      </w:r>
      <w:r w:rsidRPr="00434969">
        <w:rPr>
          <w:spacing w:val="-2"/>
        </w:rPr>
        <w:t xml:space="preserve"> of </w:t>
      </w:r>
      <w:r w:rsidR="00801CBE" w:rsidRPr="00434969">
        <w:rPr>
          <w:spacing w:val="-2"/>
          <w:szCs w:val="24"/>
        </w:rPr>
        <w:t>GDP</w:t>
      </w:r>
      <w:r w:rsidRPr="00434969">
        <w:rPr>
          <w:spacing w:val="-2"/>
          <w:szCs w:val="24"/>
        </w:rPr>
        <w:t xml:space="preserve"> at December 2009, limits the range of policy actions</w:t>
      </w:r>
      <w:r w:rsidRPr="00434969">
        <w:rPr>
          <w:spacing w:val="-2"/>
        </w:rPr>
        <w:t xml:space="preserve"> to </w:t>
      </w:r>
      <w:r w:rsidRPr="00434969">
        <w:rPr>
          <w:spacing w:val="-2"/>
          <w:szCs w:val="24"/>
        </w:rPr>
        <w:t>respond to the economic turmoil, given that about 60% of</w:t>
      </w:r>
      <w:r w:rsidRPr="00434969">
        <w:rPr>
          <w:spacing w:val="-2"/>
        </w:rPr>
        <w:t xml:space="preserve"> total </w:t>
      </w:r>
      <w:r w:rsidRPr="00434969">
        <w:rPr>
          <w:spacing w:val="-2"/>
          <w:szCs w:val="24"/>
        </w:rPr>
        <w:t>spending goes to debt service</w:t>
      </w:r>
      <w:r w:rsidRPr="00434969">
        <w:rPr>
          <w:spacing w:val="-2"/>
        </w:rPr>
        <w:t>.</w:t>
      </w:r>
      <w:r w:rsidRPr="00434969">
        <w:rPr>
          <w:spacing w:val="-2"/>
          <w:szCs w:val="24"/>
        </w:rPr>
        <w:t xml:space="preserve"> The Government of Jamaica has taken a set of fiscal measures to address the situation and </w:t>
      </w:r>
      <w:r w:rsidR="0063668E">
        <w:rPr>
          <w:spacing w:val="-2"/>
          <w:szCs w:val="24"/>
        </w:rPr>
        <w:t>has signed</w:t>
      </w:r>
      <w:r w:rsidRPr="00434969">
        <w:rPr>
          <w:spacing w:val="-2"/>
          <w:szCs w:val="24"/>
        </w:rPr>
        <w:t xml:space="preserve"> </w:t>
      </w:r>
      <w:r w:rsidR="0021731B" w:rsidRPr="00434969">
        <w:rPr>
          <w:spacing w:val="-2"/>
          <w:szCs w:val="24"/>
        </w:rPr>
        <w:t>a</w:t>
      </w:r>
      <w:r w:rsidRPr="00434969">
        <w:rPr>
          <w:spacing w:val="-2"/>
          <w:szCs w:val="24"/>
        </w:rPr>
        <w:t xml:space="preserve"> </w:t>
      </w:r>
      <w:r w:rsidR="003716F3">
        <w:rPr>
          <w:spacing w:val="-2"/>
          <w:szCs w:val="24"/>
        </w:rPr>
        <w:t>S</w:t>
      </w:r>
      <w:r w:rsidRPr="00434969">
        <w:rPr>
          <w:spacing w:val="-2"/>
          <w:szCs w:val="24"/>
        </w:rPr>
        <w:t>tand-</w:t>
      </w:r>
      <w:r w:rsidR="0021731B" w:rsidRPr="00434969">
        <w:rPr>
          <w:spacing w:val="-2"/>
          <w:szCs w:val="24"/>
        </w:rPr>
        <w:t>b</w:t>
      </w:r>
      <w:r w:rsidRPr="00434969">
        <w:rPr>
          <w:spacing w:val="-2"/>
          <w:szCs w:val="24"/>
        </w:rPr>
        <w:t xml:space="preserve">y </w:t>
      </w:r>
      <w:r w:rsidR="003716F3">
        <w:rPr>
          <w:spacing w:val="-2"/>
          <w:szCs w:val="24"/>
        </w:rPr>
        <w:t>A</w:t>
      </w:r>
      <w:r w:rsidRPr="00434969">
        <w:rPr>
          <w:spacing w:val="-2"/>
          <w:szCs w:val="24"/>
        </w:rPr>
        <w:t>rrangement</w:t>
      </w:r>
      <w:r w:rsidR="003716F3">
        <w:rPr>
          <w:spacing w:val="-2"/>
          <w:szCs w:val="24"/>
        </w:rPr>
        <w:t xml:space="preserve"> (SBA)</w:t>
      </w:r>
      <w:r w:rsidRPr="00434969">
        <w:rPr>
          <w:spacing w:val="-2"/>
          <w:szCs w:val="24"/>
        </w:rPr>
        <w:t xml:space="preserve"> with the IMF backed by a comprehensive set of further fiscal measures and a voluntary exchange of its domestic debt to reduce interest rates and increase maturities. The total package may result in overall net fiscal savings of 6.5% of </w:t>
      </w:r>
      <w:r w:rsidR="00801CBE" w:rsidRPr="00434969">
        <w:rPr>
          <w:spacing w:val="-2"/>
          <w:szCs w:val="24"/>
        </w:rPr>
        <w:t>GDP</w:t>
      </w:r>
      <w:r w:rsidRPr="00434969">
        <w:rPr>
          <w:spacing w:val="-2"/>
          <w:szCs w:val="24"/>
        </w:rPr>
        <w:t xml:space="preserve"> per </w:t>
      </w:r>
      <w:bookmarkStart w:id="42" w:name="OLE_LINK1"/>
      <w:bookmarkStart w:id="43" w:name="OLE_LINK2"/>
      <w:r w:rsidRPr="00434969">
        <w:rPr>
          <w:spacing w:val="-2"/>
          <w:szCs w:val="24"/>
        </w:rPr>
        <w:t>annum</w:t>
      </w:r>
      <w:bookmarkEnd w:id="42"/>
      <w:bookmarkEnd w:id="43"/>
      <w:r w:rsidRPr="00434969">
        <w:rPr>
          <w:spacing w:val="-2"/>
          <w:szCs w:val="24"/>
        </w:rPr>
        <w:t>. The primary fiscal surplus is targeted to reach 6% in 2010/</w:t>
      </w:r>
      <w:r w:rsidR="003C5C13" w:rsidRPr="00434969">
        <w:rPr>
          <w:spacing w:val="-2"/>
          <w:szCs w:val="24"/>
        </w:rPr>
        <w:t>20</w:t>
      </w:r>
      <w:r w:rsidRPr="00434969">
        <w:rPr>
          <w:spacing w:val="-2"/>
          <w:szCs w:val="24"/>
        </w:rPr>
        <w:t>11 and is projected to rise</w:t>
      </w:r>
      <w:r w:rsidR="0063668E">
        <w:rPr>
          <w:spacing w:val="-2"/>
          <w:szCs w:val="24"/>
        </w:rPr>
        <w:t>,</w:t>
      </w:r>
      <w:r w:rsidRPr="00434969">
        <w:rPr>
          <w:spacing w:val="-2"/>
          <w:szCs w:val="24"/>
        </w:rPr>
        <w:t xml:space="preserve"> over time</w:t>
      </w:r>
      <w:r w:rsidR="0063668E">
        <w:rPr>
          <w:spacing w:val="-2"/>
          <w:szCs w:val="24"/>
        </w:rPr>
        <w:t>,</w:t>
      </w:r>
      <w:r w:rsidRPr="00434969">
        <w:rPr>
          <w:spacing w:val="-2"/>
          <w:szCs w:val="24"/>
        </w:rPr>
        <w:t xml:space="preserve"> to some 9% of GDP in 2013/</w:t>
      </w:r>
      <w:r w:rsidR="003C5C13" w:rsidRPr="00434969">
        <w:rPr>
          <w:spacing w:val="-2"/>
          <w:szCs w:val="24"/>
        </w:rPr>
        <w:t>20</w:t>
      </w:r>
      <w:r w:rsidRPr="00434969">
        <w:rPr>
          <w:spacing w:val="-2"/>
          <w:szCs w:val="24"/>
        </w:rPr>
        <w:t xml:space="preserve">14 as the economy recovers. The debt to GDP ratio is expected to fall from a peak of 140% at the end of </w:t>
      </w:r>
      <w:r w:rsidR="0063668E">
        <w:rPr>
          <w:spacing w:val="-2"/>
          <w:szCs w:val="24"/>
        </w:rPr>
        <w:t xml:space="preserve">the </w:t>
      </w:r>
      <w:r w:rsidRPr="00434969">
        <w:rPr>
          <w:spacing w:val="-2"/>
          <w:szCs w:val="24"/>
        </w:rPr>
        <w:t>2009/</w:t>
      </w:r>
      <w:r w:rsidR="003C5C13" w:rsidRPr="00434969">
        <w:rPr>
          <w:spacing w:val="-2"/>
          <w:szCs w:val="24"/>
        </w:rPr>
        <w:t>20</w:t>
      </w:r>
      <w:r w:rsidRPr="00434969">
        <w:rPr>
          <w:spacing w:val="-2"/>
          <w:szCs w:val="24"/>
        </w:rPr>
        <w:t>10 fiscal year to under 120% by 2014</w:t>
      </w:r>
      <w:r w:rsidRPr="00434969" w:rsidDel="00224AE4">
        <w:rPr>
          <w:spacing w:val="-2"/>
        </w:rPr>
        <w:t xml:space="preserve"> </w:t>
      </w:r>
      <w:r w:rsidR="00E97AD6" w:rsidRPr="009F23BF">
        <w:rPr>
          <w:spacing w:val="-2"/>
        </w:rPr>
        <w:t>(</w:t>
      </w:r>
      <w:r w:rsidR="00801CBE" w:rsidRPr="009F23BF">
        <w:rPr>
          <w:spacing w:val="-2"/>
        </w:rPr>
        <w:t>BPO</w:t>
      </w:r>
      <w:r w:rsidR="00E97AD6" w:rsidRPr="009F23BF">
        <w:rPr>
          <w:spacing w:val="-2"/>
        </w:rPr>
        <w:t>).</w:t>
      </w:r>
    </w:p>
    <w:p w:rsidR="005759FB" w:rsidRDefault="00E97AD6">
      <w:pPr>
        <w:pStyle w:val="Paragraph"/>
      </w:pPr>
      <w:r w:rsidRPr="008E173F">
        <w:t xml:space="preserve">The Bank-sponsored Private Sector </w:t>
      </w:r>
      <w:r w:rsidRPr="00AB6539">
        <w:t>Assessment (</w:t>
      </w:r>
      <w:r w:rsidR="00801CBE" w:rsidRPr="00AB6539">
        <w:t>PSA</w:t>
      </w:r>
      <w:r w:rsidRPr="00AB6539">
        <w:t>)</w:t>
      </w:r>
      <w:r w:rsidRPr="008E173F">
        <w:t xml:space="preserve"> completed in 2006</w:t>
      </w:r>
      <w:r w:rsidR="00362D00">
        <w:t xml:space="preserve"> </w:t>
      </w:r>
      <w:r w:rsidRPr="008E173F">
        <w:t>identified the following aspects that hinder private sector development in Jamaica: (i) over-involvement of the state in the economy; (ii) distortions due to incentives and inequitable tax systems; (iii)</w:t>
      </w:r>
      <w:r>
        <w:t> </w:t>
      </w:r>
      <w:r w:rsidRPr="008E173F">
        <w:t>underdevelopment of financial markets;</w:t>
      </w:r>
      <w:r w:rsidR="003C5C13">
        <w:t xml:space="preserve"> </w:t>
      </w:r>
      <w:r w:rsidRPr="008E173F">
        <w:t>(iv</w:t>
      </w:r>
      <w:r w:rsidR="007B7E00" w:rsidRPr="008E173F">
        <w:t>)</w:t>
      </w:r>
      <w:r w:rsidR="007B7E00">
        <w:t> </w:t>
      </w:r>
      <w:r w:rsidRPr="008E173F">
        <w:t xml:space="preserve">costly and cumbersome processes for land registration; (v) excess of regulation and procedures; (vi) inefficient legal system; and (vii) inadequate infrastructure. Under this framework, </w:t>
      </w:r>
      <w:r w:rsidRPr="00AB6539">
        <w:t xml:space="preserve">the </w:t>
      </w:r>
      <w:r w:rsidR="00801CBE" w:rsidRPr="00AB6539">
        <w:t>GoJ</w:t>
      </w:r>
      <w:r w:rsidRPr="008E173F">
        <w:t xml:space="preserve"> has undertaken a series of measures to promote private sector-led growth to improve the economic performance of the economy.</w:t>
      </w:r>
    </w:p>
    <w:p w:rsidR="00F23B10" w:rsidRDefault="00E97AD6">
      <w:pPr>
        <w:pStyle w:val="Paragraph"/>
      </w:pPr>
      <w:r w:rsidRPr="008E173F">
        <w:t>The measures undertaken by the G</w:t>
      </w:r>
      <w:r w:rsidR="009D68E3">
        <w:t>o</w:t>
      </w:r>
      <w:r w:rsidRPr="008E173F">
        <w:t>J have been supported by the Bank with three policy</w:t>
      </w:r>
      <w:r>
        <w:t>-</w:t>
      </w:r>
      <w:r w:rsidRPr="008E173F">
        <w:t>based lending operations (</w:t>
      </w:r>
      <w:r w:rsidR="00801CBE" w:rsidRPr="00AB6539">
        <w:t>PBLs</w:t>
      </w:r>
      <w:r w:rsidRPr="00AB6539">
        <w:t>)</w:t>
      </w:r>
      <w:r w:rsidR="0063668E">
        <w:t>,</w:t>
      </w:r>
      <w:r w:rsidRPr="008E173F">
        <w:t xml:space="preserve"> conceived under the programmatic modality</w:t>
      </w:r>
      <w:r w:rsidR="0063668E">
        <w:t>, known collectively as the</w:t>
      </w:r>
      <w:r w:rsidRPr="008E173F">
        <w:t xml:space="preserve"> Jamaica Competitiveness Enhancement Program (</w:t>
      </w:r>
      <w:r w:rsidR="00801CBE" w:rsidRPr="00AB6539">
        <w:t>JCEP</w:t>
      </w:r>
      <w:r w:rsidRPr="00AB6539">
        <w:t>).</w:t>
      </w:r>
      <w:r w:rsidRPr="008E173F">
        <w:t xml:space="preserve"> The first loan for US$30 million dollars was approved in 2008</w:t>
      </w:r>
      <w:r w:rsidR="002575E1">
        <w:t>.</w:t>
      </w:r>
      <w:r w:rsidRPr="008E173F">
        <w:t xml:space="preserve"> </w:t>
      </w:r>
      <w:r w:rsidR="002575E1">
        <w:t>T</w:t>
      </w:r>
      <w:r w:rsidRPr="008E173F">
        <w:t xml:space="preserve">he second </w:t>
      </w:r>
      <w:r>
        <w:t xml:space="preserve">loan for </w:t>
      </w:r>
      <w:r w:rsidRPr="008E173F">
        <w:t xml:space="preserve">US$60 million </w:t>
      </w:r>
      <w:r w:rsidR="00AC03D9">
        <w:t>was</w:t>
      </w:r>
      <w:r w:rsidR="004F712B">
        <w:t xml:space="preserve"> approved</w:t>
      </w:r>
      <w:r w:rsidR="00802229">
        <w:t xml:space="preserve"> and disbursed</w:t>
      </w:r>
      <w:r w:rsidRPr="008E173F">
        <w:t xml:space="preserve"> </w:t>
      </w:r>
      <w:r w:rsidR="00241F9B">
        <w:t>in 2010</w:t>
      </w:r>
      <w:r w:rsidR="00AC03D9">
        <w:t xml:space="preserve"> with</w:t>
      </w:r>
      <w:r>
        <w:t xml:space="preserve"> the </w:t>
      </w:r>
      <w:r w:rsidRPr="008E173F">
        <w:t>objective of supporting the GoJ long-term policy reform initiatives in the areas of:</w:t>
      </w:r>
      <w:r w:rsidR="009A1782">
        <w:t xml:space="preserve"> </w:t>
      </w:r>
      <w:r w:rsidRPr="008E173F">
        <w:t>(i) competitiveness framework; (ii</w:t>
      </w:r>
      <w:r w:rsidR="007B7E00" w:rsidRPr="008E173F">
        <w:t>)</w:t>
      </w:r>
      <w:r w:rsidR="007B7E00">
        <w:t> </w:t>
      </w:r>
      <w:r w:rsidRPr="008E173F">
        <w:t>tax expenditure reform</w:t>
      </w:r>
      <w:r>
        <w:t xml:space="preserve">; </w:t>
      </w:r>
      <w:r w:rsidRPr="008E173F">
        <w:t>(iii)</w:t>
      </w:r>
      <w:r w:rsidR="000B39A0">
        <w:t xml:space="preserve"> </w:t>
      </w:r>
      <w:r w:rsidRPr="008E173F">
        <w:t>access to finance</w:t>
      </w:r>
      <w:r w:rsidR="007F6755">
        <w:t>; and (iv) land property rights</w:t>
      </w:r>
      <w:r w:rsidR="002575E1">
        <w:t>. T</w:t>
      </w:r>
      <w:r w:rsidR="002A1831">
        <w:t xml:space="preserve">he third loan is currently in preparation. </w:t>
      </w:r>
    </w:p>
    <w:p w:rsidR="00F23B10" w:rsidRDefault="00F119A7">
      <w:pPr>
        <w:pStyle w:val="FirstHeading"/>
        <w:rPr>
          <w:szCs w:val="24"/>
        </w:rPr>
      </w:pPr>
      <w:r>
        <w:lastRenderedPageBreak/>
        <w:fldChar w:fldCharType="begin"/>
      </w:r>
      <w:r w:rsidR="000B39A0">
        <w:instrText xml:space="preserve"> SEQ "</w:instrText>
      </w:r>
      <w:fldSimple w:instr=" SECTION  \* MERGEFORMAT ">
        <w:r w:rsidR="003875B5">
          <w:instrText>4</w:instrText>
        </w:r>
      </w:fldSimple>
      <w:r w:rsidR="000B39A0">
        <w:instrText xml:space="preserve">#"\* ALPHABETIC \* MERGEFORMAT </w:instrText>
      </w:r>
      <w:r>
        <w:fldChar w:fldCharType="separate"/>
      </w:r>
      <w:r w:rsidR="003875B5">
        <w:rPr>
          <w:noProof/>
        </w:rPr>
        <w:t>B</w:t>
      </w:r>
      <w:r>
        <w:fldChar w:fldCharType="end"/>
      </w:r>
      <w:r w:rsidR="000B39A0">
        <w:t>.</w:t>
      </w:r>
      <w:r w:rsidR="000B39A0">
        <w:tab/>
      </w:r>
      <w:r w:rsidR="00E97AD6">
        <w:t>Private Sector Development Strategy, Ac</w:t>
      </w:r>
      <w:r w:rsidR="00670283">
        <w:t>cess</w:t>
      </w:r>
      <w:r w:rsidR="00E97AD6">
        <w:t xml:space="preserve"> to Finance and Public </w:t>
      </w:r>
      <w:r w:rsidR="00D65F0E">
        <w:t xml:space="preserve">Private </w:t>
      </w:r>
      <w:r w:rsidR="00E97AD6">
        <w:t>Dialogue</w:t>
      </w:r>
    </w:p>
    <w:p w:rsidR="005759FB" w:rsidRDefault="00362D00">
      <w:pPr>
        <w:pStyle w:val="Paragraph"/>
      </w:pPr>
      <w:r w:rsidRPr="00362D00">
        <w:rPr>
          <w:b/>
        </w:rPr>
        <w:t>Private Sector Development Strategy</w:t>
      </w:r>
      <w:r>
        <w:t>. R</w:t>
      </w:r>
      <w:r w:rsidR="00E97AD6">
        <w:t>ecent stu</w:t>
      </w:r>
      <w:r w:rsidR="00670283">
        <w:t>dies have des</w:t>
      </w:r>
      <w:r w:rsidR="00E97AD6">
        <w:t>cribed the problems that hinder competitiveness and growth in Jamaica.</w:t>
      </w:r>
      <w:r w:rsidR="00E97AD6">
        <w:rPr>
          <w:rStyle w:val="FootnoteReference"/>
        </w:rPr>
        <w:footnoteReference w:id="1"/>
      </w:r>
      <w:r w:rsidR="00E97AD6">
        <w:t xml:space="preserve"> </w:t>
      </w:r>
      <w:r w:rsidR="00E97AD6" w:rsidRPr="00BA2B38">
        <w:t>Jamaica ranks 91 out of 133 countries in the Global Competitiveness Index according to the Global Competitiveness Report for 2009-2010. Among the factors that especially limit business’ competitiveness are: (i)</w:t>
      </w:r>
      <w:r w:rsidR="007B7E00">
        <w:t xml:space="preserve"> </w:t>
      </w:r>
      <w:r w:rsidR="00E97AD6" w:rsidRPr="00BA2B38">
        <w:t xml:space="preserve">access to financing; (ii) tax regulation; (iii) tax rates; (iv) </w:t>
      </w:r>
      <w:r w:rsidR="00E97AD6">
        <w:t xml:space="preserve">the </w:t>
      </w:r>
      <w:r w:rsidR="00E97AD6" w:rsidRPr="00BA2B38">
        <w:t>cost of crime and violence</w:t>
      </w:r>
      <w:r w:rsidR="00E97AD6">
        <w:t xml:space="preserve"> to business</w:t>
      </w:r>
      <w:r w:rsidR="00E97AD6" w:rsidRPr="00BA2B38">
        <w:t xml:space="preserve">; (v) </w:t>
      </w:r>
      <w:r w:rsidR="00E97AD6">
        <w:t xml:space="preserve">the </w:t>
      </w:r>
      <w:r w:rsidR="00E97AD6" w:rsidRPr="00BA2B38">
        <w:t xml:space="preserve">informal sector; </w:t>
      </w:r>
      <w:r w:rsidR="003C5C13">
        <w:t xml:space="preserve">    </w:t>
      </w:r>
      <w:r w:rsidR="00E97AD6" w:rsidRPr="00BA2B38">
        <w:t>(vi</w:t>
      </w:r>
      <w:r w:rsidR="007B7E00" w:rsidRPr="00BA2B38">
        <w:t>)</w:t>
      </w:r>
      <w:r w:rsidR="007B7E00">
        <w:t> </w:t>
      </w:r>
      <w:r w:rsidR="00E97AD6" w:rsidRPr="00BA2B38">
        <w:t xml:space="preserve">inadequate supply of infrastructure; and (vii) </w:t>
      </w:r>
      <w:r w:rsidR="002575E1">
        <w:t xml:space="preserve">the </w:t>
      </w:r>
      <w:r w:rsidR="00E97AD6" w:rsidRPr="00BA2B38">
        <w:t>burden of economic</w:t>
      </w:r>
      <w:r w:rsidR="00670283" w:rsidRPr="00670283">
        <w:rPr>
          <w:szCs w:val="24"/>
        </w:rPr>
        <w:t xml:space="preserve"> </w:t>
      </w:r>
      <w:r w:rsidR="00E97AD6" w:rsidRPr="00BA2B38">
        <w:t>regulation. Other factors that affect the competitiveness of Jamaican companies are the macroeconomic environment and public institutions</w:t>
      </w:r>
      <w:r w:rsidR="003C5C13">
        <w:t>.</w:t>
      </w:r>
      <w:r w:rsidR="00E97AD6">
        <w:t xml:space="preserve"> Other factors that affect the competitiveness of the Jamaican companies are the indices related to macroeconomic environment and public institutions.</w:t>
      </w:r>
      <w:r>
        <w:t xml:space="preserve"> </w:t>
      </w:r>
      <w:r w:rsidR="002575E1">
        <w:t>As</w:t>
      </w:r>
      <w:r w:rsidR="00E97AD6">
        <w:t xml:space="preserve"> almost four years have passed since the last Private Sector Assessment and the external crisis ha</w:t>
      </w:r>
      <w:r w:rsidR="002575E1">
        <w:t>s</w:t>
      </w:r>
      <w:r w:rsidR="00E97AD6">
        <w:t xml:space="preserve"> afflicted severely the macroeconomic conditions of the country, an updated assessment of the conditions for fostering private sector led growth</w:t>
      </w:r>
      <w:r w:rsidR="002575E1">
        <w:t xml:space="preserve"> is needed</w:t>
      </w:r>
      <w:r>
        <w:t>.</w:t>
      </w:r>
    </w:p>
    <w:p w:rsidR="00362D00" w:rsidRDefault="00362D00" w:rsidP="00E97AD6">
      <w:pPr>
        <w:pStyle w:val="Paragraph"/>
      </w:pPr>
      <w:r w:rsidRPr="00362D00">
        <w:rPr>
          <w:b/>
        </w:rPr>
        <w:t>Secured Transactions</w:t>
      </w:r>
      <w:r w:rsidR="00D65F0E">
        <w:rPr>
          <w:b/>
        </w:rPr>
        <w:t xml:space="preserve"> to Increase Access to Finance</w:t>
      </w:r>
      <w:r>
        <w:t xml:space="preserve">. </w:t>
      </w:r>
      <w:r w:rsidRPr="00BA2B38">
        <w:t>A strong legal and institutional framework for enhancing the security of loans, by pledging and rapidly foreclosing on moveable property assets, can decrease the risk of loss to banks</w:t>
      </w:r>
      <w:r w:rsidR="00D65F0E">
        <w:t>,</w:t>
      </w:r>
      <w:r w:rsidRPr="00BA2B38">
        <w:t xml:space="preserve"> and thereby broaden the universe of attractive credit applicants. Although the current Jamaican legal system allows for various forms of secured lending, </w:t>
      </w:r>
      <w:r w:rsidR="00D65F0E">
        <w:t>all have</w:t>
      </w:r>
      <w:r w:rsidRPr="00BA2B38">
        <w:t xml:space="preserve"> restrictions on the type of collateral</w:t>
      </w:r>
      <w:r w:rsidR="0018356F">
        <w:t xml:space="preserve"> that</w:t>
      </w:r>
      <w:r w:rsidRPr="00BA2B38">
        <w:t xml:space="preserve"> debtor</w:t>
      </w:r>
      <w:r w:rsidR="0018356F">
        <w:t>s</w:t>
      </w:r>
      <w:r w:rsidRPr="00BA2B38">
        <w:t xml:space="preserve"> </w:t>
      </w:r>
      <w:r w:rsidR="0018356F">
        <w:t xml:space="preserve">can pledge to </w:t>
      </w:r>
      <w:r w:rsidRPr="00BA2B38">
        <w:t>creditor</w:t>
      </w:r>
      <w:r w:rsidR="0018356F">
        <w:t>s,</w:t>
      </w:r>
      <w:r w:rsidR="00D65F0E">
        <w:t xml:space="preserve"> as well as</w:t>
      </w:r>
      <w:r w:rsidRPr="00BA2B38">
        <w:t xml:space="preserve"> different costs and procedures. Each option comes with its own set of rules for creating security, some of which are very </w:t>
      </w:r>
      <w:r w:rsidR="00D65F0E">
        <w:t>complex</w:t>
      </w:r>
      <w:r w:rsidRPr="00BA2B38">
        <w:t xml:space="preserve">. In addition, some of the options are subject to the Stamp Duty Act and some are effectively only available to corporations, excluding individuals and smaller companies. Thus, a single and simple set of rules for creating security in movable property of any nature, </w:t>
      </w:r>
      <w:r w:rsidR="00D65F0E">
        <w:t>allowing</w:t>
      </w:r>
      <w:r w:rsidRPr="00BA2B38">
        <w:t xml:space="preserve"> any corporation or individual to give or take security in the form of movable property, would </w:t>
      </w:r>
      <w:r w:rsidR="00D65F0E">
        <w:t>increase</w:t>
      </w:r>
      <w:r w:rsidR="00D65F0E" w:rsidRPr="00BA2B38">
        <w:t xml:space="preserve"> </w:t>
      </w:r>
      <w:r w:rsidRPr="00BA2B38">
        <w:t xml:space="preserve">access to credit. Commercial banks </w:t>
      </w:r>
      <w:r w:rsidR="00FA42B6">
        <w:t xml:space="preserve">currently </w:t>
      </w:r>
      <w:r w:rsidRPr="00BA2B38">
        <w:t xml:space="preserve">exclude </w:t>
      </w:r>
      <w:r w:rsidR="00FA42B6">
        <w:t xml:space="preserve">a </w:t>
      </w:r>
      <w:r w:rsidRPr="00BA2B38">
        <w:t xml:space="preserve">substantial </w:t>
      </w:r>
      <w:r w:rsidR="00FA42B6">
        <w:t xml:space="preserve">number </w:t>
      </w:r>
      <w:r w:rsidRPr="00BA2B38">
        <w:t xml:space="preserve">of borrowers </w:t>
      </w:r>
      <w:r w:rsidR="00FA42B6">
        <w:t>because they</w:t>
      </w:r>
      <w:r w:rsidR="00FA42B6" w:rsidRPr="00BA2B38">
        <w:t xml:space="preserve"> </w:t>
      </w:r>
      <w:r w:rsidR="00FA42B6">
        <w:t xml:space="preserve">do not offer </w:t>
      </w:r>
      <w:r w:rsidRPr="00BA2B38">
        <w:t xml:space="preserve">financial instruments that are commonplace in other countries. The modernization of Jamaica’s financial system involves reforming the framework for pledging collateral security for loans. </w:t>
      </w:r>
      <w:r w:rsidR="00FA42B6">
        <w:t>Given that the use of</w:t>
      </w:r>
      <w:r w:rsidRPr="00BA2B38">
        <w:t xml:space="preserve"> moveable property as collateral is poorly understood, the</w:t>
      </w:r>
      <w:r w:rsidR="00FA42B6">
        <w:t xml:space="preserve">re is </w:t>
      </w:r>
      <w:r w:rsidR="00121D0E">
        <w:t xml:space="preserve">also </w:t>
      </w:r>
      <w:r w:rsidR="00FA42B6">
        <w:t>a need to</w:t>
      </w:r>
      <w:r w:rsidRPr="00BA2B38">
        <w:t xml:space="preserve"> build</w:t>
      </w:r>
      <w:r w:rsidR="00B210B6">
        <w:t xml:space="preserve"> </w:t>
      </w:r>
      <w:r w:rsidRPr="00BA2B38">
        <w:t>public awareness</w:t>
      </w:r>
      <w:r w:rsidR="00FA42B6">
        <w:t>.</w:t>
      </w:r>
    </w:p>
    <w:p w:rsidR="00B05910" w:rsidRPr="00362D00" w:rsidRDefault="00362D00" w:rsidP="00E97AD6">
      <w:pPr>
        <w:pStyle w:val="Paragraph"/>
        <w:widowControl w:val="0"/>
        <w:rPr>
          <w:szCs w:val="24"/>
        </w:rPr>
      </w:pPr>
      <w:r w:rsidRPr="00362D00">
        <w:rPr>
          <w:b/>
        </w:rPr>
        <w:t>Public</w:t>
      </w:r>
      <w:r w:rsidR="00AB468D">
        <w:rPr>
          <w:b/>
        </w:rPr>
        <w:t>-</w:t>
      </w:r>
      <w:r w:rsidRPr="00362D00">
        <w:rPr>
          <w:b/>
        </w:rPr>
        <w:t>Private Dialogue</w:t>
      </w:r>
      <w:r>
        <w:t xml:space="preserve">. </w:t>
      </w:r>
      <w:r w:rsidR="00E97AD6" w:rsidRPr="00BA2B38">
        <w:t xml:space="preserve">Currently, Jamaica has several councils that engage in public-private dialogue on competitiveness issues. The “National Planning Summit” </w:t>
      </w:r>
      <w:r w:rsidR="00E97AD6" w:rsidRPr="00AB6539">
        <w:t>(</w:t>
      </w:r>
      <w:r w:rsidR="00183E80" w:rsidRPr="00183E80">
        <w:t>NPS</w:t>
      </w:r>
      <w:r w:rsidR="00E97AD6" w:rsidRPr="00AB6539">
        <w:t>),</w:t>
      </w:r>
      <w:r w:rsidR="00E97AD6" w:rsidRPr="00BA2B38">
        <w:t xml:space="preserve"> hosted by </w:t>
      </w:r>
      <w:r w:rsidR="00E97AD6" w:rsidRPr="00AB6539">
        <w:t xml:space="preserve">the </w:t>
      </w:r>
      <w:r w:rsidR="00183E80" w:rsidRPr="00183E80">
        <w:t>GoJ</w:t>
      </w:r>
      <w:r w:rsidR="00E97AD6" w:rsidRPr="00BA2B38">
        <w:t xml:space="preserve"> with participation from the major private sector and labor organizations, created an advisory board of nine senior public, private, and labor officials to address the recommendations emanating from the </w:t>
      </w:r>
      <w:r w:rsidR="00E97AD6" w:rsidRPr="00BA2B38">
        <w:lastRenderedPageBreak/>
        <w:t>Summit. This board is a promising forum for continuing, effective public-private dialogue and action on</w:t>
      </w:r>
      <w:r>
        <w:t xml:space="preserve"> competitiveness policy issues. </w:t>
      </w:r>
      <w:r w:rsidR="00E97AD6">
        <w:t>T</w:t>
      </w:r>
      <w:r w:rsidR="00E97AD6" w:rsidRPr="00BA2B38">
        <w:t>he “Partnership for Transformation” (</w:t>
      </w:r>
      <w:r w:rsidR="00183E80" w:rsidRPr="00183E80">
        <w:t>PfT</w:t>
      </w:r>
      <w:r w:rsidR="00E97AD6" w:rsidRPr="00AB6539">
        <w:t>)</w:t>
      </w:r>
      <w:r w:rsidR="00E97AD6" w:rsidRPr="00BA2B38">
        <w:t xml:space="preserve"> </w:t>
      </w:r>
      <w:r w:rsidR="00E97AD6">
        <w:t xml:space="preserve">was formed </w:t>
      </w:r>
      <w:r w:rsidR="008654BB">
        <w:t xml:space="preserve">after extensive consultation and discussion </w:t>
      </w:r>
      <w:r w:rsidR="00EF3C22">
        <w:t xml:space="preserve">between </w:t>
      </w:r>
      <w:r w:rsidR="00E97AD6">
        <w:t xml:space="preserve">the two major </w:t>
      </w:r>
      <w:r w:rsidR="00E97AD6" w:rsidRPr="00BA2B38">
        <w:t>private sector organizations (PSOJ and JCC)</w:t>
      </w:r>
      <w:r w:rsidR="00CC7E18">
        <w:t>, the trade u</w:t>
      </w:r>
      <w:r w:rsidR="00EF3C22">
        <w:t>nions</w:t>
      </w:r>
      <w:r w:rsidR="00AC266F">
        <w:t>,</w:t>
      </w:r>
      <w:r w:rsidR="00EF3C22">
        <w:t xml:space="preserve"> and the Opposition</w:t>
      </w:r>
      <w:r w:rsidR="00E97AD6" w:rsidRPr="00BA2B38">
        <w:t xml:space="preserve"> as a result of their concerns over the current economic situation</w:t>
      </w:r>
      <w:r w:rsidR="00E97AD6">
        <w:t xml:space="preserve"> and</w:t>
      </w:r>
      <w:r w:rsidR="00E97AD6" w:rsidRPr="00BA2B38">
        <w:t xml:space="preserve"> the international financial crisis.</w:t>
      </w:r>
      <w:r w:rsidR="00EF3C22">
        <w:t xml:space="preserve"> The Planning Institute of Jamaica (PIOJ) initiat</w:t>
      </w:r>
      <w:r w:rsidR="001616E9">
        <w:t>ed</w:t>
      </w:r>
      <w:r w:rsidR="00EF3C22">
        <w:t xml:space="preserve"> this consensus building </w:t>
      </w:r>
      <w:r w:rsidR="00CB2916">
        <w:t>process</w:t>
      </w:r>
      <w:r w:rsidR="001616E9">
        <w:t xml:space="preserve"> through the preparation of the first Draft of the Social Partnership document which it called Partnership for Transformation (PfT)</w:t>
      </w:r>
      <w:r w:rsidR="00EF3C22">
        <w:t>.</w:t>
      </w:r>
      <w:r w:rsidR="00E97AD6" w:rsidRPr="00BA2B38">
        <w:t xml:space="preserve"> </w:t>
      </w:r>
      <w:r w:rsidR="007B42A1">
        <w:t>As a result</w:t>
      </w:r>
      <w:r w:rsidR="00CB2916">
        <w:t>,</w:t>
      </w:r>
      <w:r w:rsidR="007B42A1">
        <w:t xml:space="preserve"> t</w:t>
      </w:r>
      <w:r w:rsidR="00E97AD6" w:rsidRPr="00BA2B38">
        <w:t xml:space="preserve">he </w:t>
      </w:r>
      <w:r w:rsidR="00183E80" w:rsidRPr="00183E80">
        <w:t>PfT</w:t>
      </w:r>
      <w:r w:rsidR="00E97AD6" w:rsidRPr="00BA2B38">
        <w:t xml:space="preserve"> Committee consists of representatives from the public </w:t>
      </w:r>
      <w:r w:rsidR="00E97AD6">
        <w:t>and</w:t>
      </w:r>
      <w:r w:rsidR="00E97AD6" w:rsidRPr="00BA2B38">
        <w:t xml:space="preserve"> private sector</w:t>
      </w:r>
      <w:r w:rsidR="00E97AD6">
        <w:t>s</w:t>
      </w:r>
      <w:r w:rsidR="00E97AD6" w:rsidRPr="00BA2B38">
        <w:t xml:space="preserve">, </w:t>
      </w:r>
      <w:r w:rsidR="00CC7E18">
        <w:t>t</w:t>
      </w:r>
      <w:r w:rsidR="00E97AD6" w:rsidRPr="00BA2B38">
        <w:t xml:space="preserve">rade </w:t>
      </w:r>
      <w:r w:rsidR="00CC7E18">
        <w:t>u</w:t>
      </w:r>
      <w:r w:rsidR="00E97AD6" w:rsidRPr="00BA2B38">
        <w:t>nions, political parties</w:t>
      </w:r>
      <w:r w:rsidR="00E97AD6">
        <w:t>,</w:t>
      </w:r>
      <w:r w:rsidR="00E97AD6" w:rsidRPr="00BA2B38">
        <w:t xml:space="preserve"> and civil society. Even though both the </w:t>
      </w:r>
      <w:r w:rsidR="00183E80" w:rsidRPr="00183E80">
        <w:t>PfT</w:t>
      </w:r>
      <w:r w:rsidR="00E97AD6" w:rsidRPr="00AB6539">
        <w:t xml:space="preserve"> and </w:t>
      </w:r>
      <w:r w:rsidR="00183E80" w:rsidRPr="00183E80">
        <w:t>NPS</w:t>
      </w:r>
      <w:r w:rsidR="00E97AD6" w:rsidRPr="00BA2B38">
        <w:t xml:space="preserve"> forums are operating independently, they share the </w:t>
      </w:r>
      <w:r w:rsidR="00E97AD6">
        <w:t xml:space="preserve">same </w:t>
      </w:r>
      <w:r w:rsidR="00E97AD6" w:rsidRPr="00BA2B38">
        <w:t xml:space="preserve">technical secretariat that is chaired at the Jamaica Trade and </w:t>
      </w:r>
      <w:r w:rsidR="00E97AD6" w:rsidRPr="00AB6539">
        <w:t>Invest (</w:t>
      </w:r>
      <w:r w:rsidR="00183E80" w:rsidRPr="00183E80">
        <w:t>JTI</w:t>
      </w:r>
      <w:r w:rsidR="00E97AD6" w:rsidRPr="00AB6539">
        <w:t>),</w:t>
      </w:r>
      <w:r w:rsidR="00E97AD6" w:rsidRPr="00BA2B38">
        <w:t xml:space="preserve"> and it is envisioned that both forums will merge over time.</w:t>
      </w:r>
    </w:p>
    <w:p w:rsidR="002121B6" w:rsidRDefault="00362D00" w:rsidP="0054152E">
      <w:pPr>
        <w:pStyle w:val="Paragraph"/>
        <w:widowControl w:val="0"/>
      </w:pPr>
      <w:r w:rsidRPr="00B367BA">
        <w:rPr>
          <w:b/>
        </w:rPr>
        <w:t>Public Private Partnerships</w:t>
      </w:r>
      <w:r w:rsidR="00EB47BC">
        <w:rPr>
          <w:b/>
        </w:rPr>
        <w:t xml:space="preserve"> (PPP)</w:t>
      </w:r>
      <w:r w:rsidRPr="00B367BA">
        <w:rPr>
          <w:szCs w:val="24"/>
        </w:rPr>
        <w:t xml:space="preserve">. </w:t>
      </w:r>
      <w:r w:rsidR="00547A8F" w:rsidRPr="00B367BA">
        <w:rPr>
          <w:szCs w:val="24"/>
        </w:rPr>
        <w:t xml:space="preserve">A recent study on the status of the institutional </w:t>
      </w:r>
      <w:r w:rsidR="00556788">
        <w:rPr>
          <w:szCs w:val="24"/>
        </w:rPr>
        <w:t xml:space="preserve">and regulatory </w:t>
      </w:r>
      <w:r w:rsidR="00547A8F" w:rsidRPr="00B367BA">
        <w:rPr>
          <w:szCs w:val="24"/>
        </w:rPr>
        <w:t>framework for PPPs</w:t>
      </w:r>
      <w:r w:rsidR="0054152E">
        <w:rPr>
          <w:szCs w:val="24"/>
        </w:rPr>
        <w:t xml:space="preserve"> in the Caribbean</w:t>
      </w:r>
      <w:r w:rsidR="00547A8F">
        <w:rPr>
          <w:rStyle w:val="FootnoteReference"/>
          <w:szCs w:val="24"/>
        </w:rPr>
        <w:footnoteReference w:id="2"/>
      </w:r>
      <w:r w:rsidR="00547A8F" w:rsidRPr="00B367BA">
        <w:rPr>
          <w:szCs w:val="24"/>
        </w:rPr>
        <w:t xml:space="preserve"> showed that </w:t>
      </w:r>
      <w:r w:rsidR="00556788">
        <w:t>t</w:t>
      </w:r>
      <w:r w:rsidR="00547A8F" w:rsidRPr="00C9221F">
        <w:t>he size of the Jamaican economy</w:t>
      </w:r>
      <w:r w:rsidR="0054152E">
        <w:t>, as well as</w:t>
      </w:r>
      <w:r w:rsidR="00547A8F" w:rsidRPr="00C9221F">
        <w:t xml:space="preserve"> the</w:t>
      </w:r>
      <w:r w:rsidR="0054152E">
        <w:t xml:space="preserve"> </w:t>
      </w:r>
      <w:r w:rsidR="00556788">
        <w:t>number and</w:t>
      </w:r>
      <w:r w:rsidR="00547A8F" w:rsidRPr="00C9221F">
        <w:t xml:space="preserve"> scale of </w:t>
      </w:r>
      <w:r w:rsidR="00556788">
        <w:t>potential</w:t>
      </w:r>
      <w:r w:rsidR="00556788" w:rsidRPr="00C9221F">
        <w:t xml:space="preserve"> </w:t>
      </w:r>
      <w:r w:rsidR="00547A8F" w:rsidRPr="00C9221F">
        <w:t xml:space="preserve">infrastructure projects </w:t>
      </w:r>
      <w:r w:rsidR="0054152E">
        <w:t xml:space="preserve">create an opportunity for GOJ to attract private sector investments </w:t>
      </w:r>
      <w:r w:rsidR="00B367BA">
        <w:t>under the PPP scheme</w:t>
      </w:r>
      <w:r w:rsidR="00547A8F" w:rsidRPr="00C9221F">
        <w:t>.</w:t>
      </w:r>
    </w:p>
    <w:p w:rsidR="00547A8F" w:rsidRDefault="00B753E3" w:rsidP="0054152E">
      <w:pPr>
        <w:pStyle w:val="Paragraph"/>
        <w:widowControl w:val="0"/>
      </w:pPr>
      <w:r>
        <w:t>Jamaica might be able to attract private investments given that it has</w:t>
      </w:r>
      <w:r w:rsidR="00547A8F" w:rsidRPr="00C9221F">
        <w:t xml:space="preserve"> </w:t>
      </w:r>
      <w:r>
        <w:t xml:space="preserve">shown to be politically stable, </w:t>
      </w:r>
      <w:r w:rsidR="00B673D3">
        <w:t>and that it has a</w:t>
      </w:r>
      <w:r w:rsidR="00547A8F" w:rsidRPr="00C9221F">
        <w:t xml:space="preserve"> legal and regulatory system </w:t>
      </w:r>
      <w:r w:rsidR="00B673D3">
        <w:t xml:space="preserve">conducive to the </w:t>
      </w:r>
      <w:r w:rsidR="00547A8F" w:rsidRPr="00C9221F">
        <w:t xml:space="preserve">introduction of </w:t>
      </w:r>
      <w:r w:rsidR="00183E80" w:rsidRPr="00183E80">
        <w:t>PPP</w:t>
      </w:r>
      <w:r w:rsidR="00547A8F" w:rsidRPr="00C9221F">
        <w:t xml:space="preserve"> procurement methodologies. </w:t>
      </w:r>
      <w:r w:rsidR="00B367BA">
        <w:t xml:space="preserve">However, the </w:t>
      </w:r>
      <w:r w:rsidR="00183E80" w:rsidRPr="00183E80">
        <w:t>GoJ</w:t>
      </w:r>
      <w:r w:rsidR="00B367BA">
        <w:t xml:space="preserve"> </w:t>
      </w:r>
      <w:r w:rsidR="00B673D3">
        <w:t xml:space="preserve">would still need to make some important regulatory reforms as well as </w:t>
      </w:r>
      <w:r w:rsidR="000D65CE">
        <w:t>strength</w:t>
      </w:r>
      <w:r w:rsidR="007B42A1">
        <w:t>en</w:t>
      </w:r>
      <w:r w:rsidR="00B673D3">
        <w:t xml:space="preserve"> the</w:t>
      </w:r>
      <w:r w:rsidR="00547A8F" w:rsidRPr="00C9221F">
        <w:t xml:space="preserve"> technical </w:t>
      </w:r>
      <w:r w:rsidR="00B673D3">
        <w:t>expertise needed</w:t>
      </w:r>
      <w:r w:rsidR="00B673D3" w:rsidRPr="00C9221F">
        <w:t xml:space="preserve"> </w:t>
      </w:r>
      <w:r w:rsidR="00547A8F" w:rsidRPr="00C9221F">
        <w:t>to manage complex procurement processes</w:t>
      </w:r>
      <w:r w:rsidR="00B367BA">
        <w:t xml:space="preserve"> and </w:t>
      </w:r>
      <w:r w:rsidR="00B673D3">
        <w:t>contingent</w:t>
      </w:r>
      <w:r w:rsidR="00B367BA">
        <w:t xml:space="preserve"> liabilities.</w:t>
      </w:r>
      <w:r w:rsidR="007B42A1">
        <w:t xml:space="preserve"> Furthermore it is important that PPP initiatives </w:t>
      </w:r>
      <w:r w:rsidR="00041972">
        <w:t xml:space="preserve">be viewed within the context of </w:t>
      </w:r>
      <w:r w:rsidR="007B42A1">
        <w:t xml:space="preserve">the recently enacted </w:t>
      </w:r>
      <w:r w:rsidR="00041972">
        <w:t>f</w:t>
      </w:r>
      <w:r w:rsidR="007B42A1">
        <w:t xml:space="preserve">iscal </w:t>
      </w:r>
      <w:r w:rsidR="00041972">
        <w:t>responsibility l</w:t>
      </w:r>
      <w:r w:rsidR="007B42A1">
        <w:t xml:space="preserve">egislation </w:t>
      </w:r>
      <w:r w:rsidR="00041972">
        <w:t xml:space="preserve">and do not result in deferred financing or contingent liabilities. </w:t>
      </w:r>
    </w:p>
    <w:p w:rsidR="004D5195" w:rsidRDefault="00F119A7" w:rsidP="004D5195">
      <w:pPr>
        <w:pStyle w:val="FirstHeading"/>
      </w:pPr>
      <w:r>
        <w:fldChar w:fldCharType="begin"/>
      </w:r>
      <w:r w:rsidR="004D5195">
        <w:instrText xml:space="preserve"> SEQ "</w:instrText>
      </w:r>
      <w:fldSimple w:instr=" SECTION  \* MERGEFORMAT ">
        <w:r w:rsidR="003875B5">
          <w:instrText>4</w:instrText>
        </w:r>
      </w:fldSimple>
      <w:r w:rsidR="004D5195">
        <w:instrText xml:space="preserve">#"\* ALPHABETIC \* MERGEFORMAT </w:instrText>
      </w:r>
      <w:r>
        <w:fldChar w:fldCharType="separate"/>
      </w:r>
      <w:bookmarkStart w:id="44" w:name="_Toc204581716"/>
      <w:r w:rsidR="003875B5">
        <w:rPr>
          <w:noProof/>
        </w:rPr>
        <w:t>C</w:t>
      </w:r>
      <w:r>
        <w:fldChar w:fldCharType="end"/>
      </w:r>
      <w:r w:rsidR="004D5195">
        <w:t>.</w:t>
      </w:r>
      <w:r w:rsidR="004D5195">
        <w:tab/>
        <w:t>The Bank’s and Country’s Strategies</w:t>
      </w:r>
      <w:bookmarkEnd w:id="44"/>
    </w:p>
    <w:p w:rsidR="00B05910" w:rsidRPr="0007769A" w:rsidRDefault="00B367BA" w:rsidP="0007769A">
      <w:pPr>
        <w:pStyle w:val="Paragraph"/>
        <w:widowControl w:val="0"/>
        <w:rPr>
          <w:szCs w:val="24"/>
        </w:rPr>
      </w:pPr>
      <w:r w:rsidRPr="00BA2B38">
        <w:t xml:space="preserve">The Bank’s country strategy for the 2006-2009 period, approved in August 2006 (GN-2422-1) </w:t>
      </w:r>
      <w:r>
        <w:t xml:space="preserve">and updated in November 2008 (GN-2422-3) </w:t>
      </w:r>
      <w:r w:rsidRPr="00BA2B38">
        <w:t xml:space="preserve">recognizes the importance of a stable macroeconomic framework as the cornerstone for future growth. The private sector development component of the strategy identifies a process of public-private dialogue and several sector-level reforms </w:t>
      </w:r>
      <w:r w:rsidRPr="003062A5">
        <w:t>(</w:t>
      </w:r>
      <w:r w:rsidR="00183E80" w:rsidRPr="00183E80">
        <w:t>discussed below</w:t>
      </w:r>
      <w:r w:rsidRPr="00BA2B38">
        <w:t>) as necessary to improv</w:t>
      </w:r>
      <w:r>
        <w:t>e</w:t>
      </w:r>
      <w:r w:rsidRPr="00BA2B38">
        <w:t xml:space="preserve"> the business climate</w:t>
      </w:r>
      <w:r w:rsidR="00B05910">
        <w:rPr>
          <w:szCs w:val="24"/>
        </w:rPr>
        <w:t>.</w:t>
      </w:r>
      <w:r w:rsidR="0007769A">
        <w:rPr>
          <w:szCs w:val="24"/>
        </w:rPr>
        <w:t xml:space="preserve"> </w:t>
      </w:r>
      <w:r w:rsidR="00B05910" w:rsidRPr="0007769A">
        <w:rPr>
          <w:szCs w:val="24"/>
        </w:rPr>
        <w:t xml:space="preserve">The TC is </w:t>
      </w:r>
      <w:r w:rsidR="0007769A" w:rsidRPr="0007769A">
        <w:rPr>
          <w:szCs w:val="24"/>
        </w:rPr>
        <w:t>consistent</w:t>
      </w:r>
      <w:r w:rsidR="00B05910" w:rsidRPr="0007769A">
        <w:rPr>
          <w:szCs w:val="24"/>
        </w:rPr>
        <w:t xml:space="preserve"> with </w:t>
      </w:r>
      <w:r w:rsidR="00041972">
        <w:rPr>
          <w:szCs w:val="24"/>
        </w:rPr>
        <w:t xml:space="preserve">the </w:t>
      </w:r>
      <w:r w:rsidR="00B05910" w:rsidRPr="0007769A">
        <w:rPr>
          <w:szCs w:val="24"/>
        </w:rPr>
        <w:t>Bank</w:t>
      </w:r>
      <w:r w:rsidR="000F2E62" w:rsidRPr="0007769A">
        <w:rPr>
          <w:szCs w:val="24"/>
        </w:rPr>
        <w:t>’s</w:t>
      </w:r>
      <w:r w:rsidR="00B05910" w:rsidRPr="0007769A">
        <w:rPr>
          <w:szCs w:val="24"/>
        </w:rPr>
        <w:t xml:space="preserve"> sector and </w:t>
      </w:r>
      <w:r w:rsidR="000F2E62" w:rsidRPr="0007769A">
        <w:rPr>
          <w:szCs w:val="24"/>
        </w:rPr>
        <w:t>c</w:t>
      </w:r>
      <w:r w:rsidR="00B05910" w:rsidRPr="0007769A">
        <w:rPr>
          <w:szCs w:val="24"/>
        </w:rPr>
        <w:t>ountry</w:t>
      </w:r>
      <w:r w:rsidR="000F2E62" w:rsidRPr="0007769A">
        <w:rPr>
          <w:szCs w:val="24"/>
        </w:rPr>
        <w:t xml:space="preserve"> </w:t>
      </w:r>
      <w:r w:rsidR="00B05910" w:rsidRPr="0007769A">
        <w:rPr>
          <w:szCs w:val="24"/>
        </w:rPr>
        <w:t>strateg</w:t>
      </w:r>
      <w:r w:rsidR="000F2E62" w:rsidRPr="0007769A">
        <w:rPr>
          <w:szCs w:val="24"/>
        </w:rPr>
        <w:t>ies</w:t>
      </w:r>
      <w:r w:rsidR="00B05910" w:rsidRPr="0007769A">
        <w:rPr>
          <w:szCs w:val="24"/>
        </w:rPr>
        <w:t xml:space="preserve">, as well as with the country policy </w:t>
      </w:r>
      <w:r w:rsidR="0007769A" w:rsidRPr="0007769A">
        <w:rPr>
          <w:szCs w:val="24"/>
        </w:rPr>
        <w:t>o</w:t>
      </w:r>
      <w:r w:rsidR="00B05910" w:rsidRPr="0007769A">
        <w:rPr>
          <w:szCs w:val="24"/>
        </w:rPr>
        <w:t>n competitiveness</w:t>
      </w:r>
      <w:r w:rsidR="0007769A" w:rsidRPr="0007769A">
        <w:rPr>
          <w:szCs w:val="24"/>
        </w:rPr>
        <w:t>.</w:t>
      </w:r>
    </w:p>
    <w:p w:rsidR="00B05910" w:rsidRPr="00B367BA" w:rsidRDefault="00F119A7" w:rsidP="004D5195">
      <w:pPr>
        <w:pStyle w:val="FirstHeading"/>
      </w:pPr>
      <w:r>
        <w:fldChar w:fldCharType="begin"/>
      </w:r>
      <w:r w:rsidR="004D5195">
        <w:instrText xml:space="preserve"> SEQ "</w:instrText>
      </w:r>
      <w:fldSimple w:instr=" SECTION  \* MERGEFORMAT ">
        <w:r w:rsidR="003875B5">
          <w:instrText>4</w:instrText>
        </w:r>
      </w:fldSimple>
      <w:r w:rsidR="004D5195">
        <w:instrText xml:space="preserve">#"\* ALPHABETIC \* MERGEFORMAT </w:instrText>
      </w:r>
      <w:r>
        <w:fldChar w:fldCharType="separate"/>
      </w:r>
      <w:bookmarkStart w:id="45" w:name="_Toc204581717"/>
      <w:r w:rsidR="003875B5">
        <w:rPr>
          <w:noProof/>
        </w:rPr>
        <w:t>D</w:t>
      </w:r>
      <w:r>
        <w:fldChar w:fldCharType="end"/>
      </w:r>
      <w:r w:rsidR="004D5195">
        <w:t>.</w:t>
      </w:r>
      <w:r w:rsidR="004D5195">
        <w:tab/>
      </w:r>
      <w:bookmarkStart w:id="46" w:name="_Toc103574872"/>
      <w:bookmarkStart w:id="47" w:name="_Toc182232643"/>
      <w:r w:rsidR="00B05910" w:rsidRPr="00B367BA">
        <w:t>Government’s, Bank’s and other agencies’ initiatives</w:t>
      </w:r>
      <w:bookmarkEnd w:id="45"/>
      <w:bookmarkEnd w:id="46"/>
      <w:bookmarkEnd w:id="47"/>
    </w:p>
    <w:p w:rsidR="005B0A50" w:rsidRDefault="00E375A1" w:rsidP="00B367BA">
      <w:pPr>
        <w:pStyle w:val="Paragraph"/>
        <w:widowControl w:val="0"/>
        <w:rPr>
          <w:color w:val="000000"/>
          <w:szCs w:val="24"/>
        </w:rPr>
      </w:pPr>
      <w:r>
        <w:rPr>
          <w:szCs w:val="24"/>
        </w:rPr>
        <w:t>T</w:t>
      </w:r>
      <w:r w:rsidR="00B05910" w:rsidRPr="00B367BA">
        <w:rPr>
          <w:szCs w:val="24"/>
        </w:rPr>
        <w:t xml:space="preserve">he Bank </w:t>
      </w:r>
      <w:r>
        <w:rPr>
          <w:szCs w:val="24"/>
        </w:rPr>
        <w:t>is now</w:t>
      </w:r>
      <w:r w:rsidR="000D65CE">
        <w:rPr>
          <w:szCs w:val="24"/>
        </w:rPr>
        <w:t xml:space="preserve"> </w:t>
      </w:r>
      <w:r>
        <w:rPr>
          <w:szCs w:val="24"/>
        </w:rPr>
        <w:t>preparing</w:t>
      </w:r>
      <w:r w:rsidR="00B05910" w:rsidRPr="00B367BA">
        <w:rPr>
          <w:szCs w:val="24"/>
        </w:rPr>
        <w:t xml:space="preserve"> the </w:t>
      </w:r>
      <w:r w:rsidR="004F712B">
        <w:rPr>
          <w:szCs w:val="24"/>
        </w:rPr>
        <w:t>third</w:t>
      </w:r>
      <w:r w:rsidR="00367524">
        <w:rPr>
          <w:szCs w:val="24"/>
        </w:rPr>
        <w:t xml:space="preserve"> phase of </w:t>
      </w:r>
      <w:r>
        <w:rPr>
          <w:szCs w:val="24"/>
        </w:rPr>
        <w:t>the</w:t>
      </w:r>
      <w:r w:rsidRPr="00B367BA">
        <w:rPr>
          <w:szCs w:val="24"/>
        </w:rPr>
        <w:t xml:space="preserve"> </w:t>
      </w:r>
      <w:r w:rsidR="00B05910" w:rsidRPr="00B367BA">
        <w:rPr>
          <w:szCs w:val="24"/>
        </w:rPr>
        <w:t>Competitiveness Program</w:t>
      </w:r>
      <w:r w:rsidR="00F343CE" w:rsidRPr="00B367BA">
        <w:rPr>
          <w:szCs w:val="24"/>
        </w:rPr>
        <w:t xml:space="preserve"> </w:t>
      </w:r>
      <w:r w:rsidR="009A1782">
        <w:rPr>
          <w:szCs w:val="24"/>
        </w:rPr>
        <w:t xml:space="preserve">         </w:t>
      </w:r>
      <w:r w:rsidR="00F343CE" w:rsidRPr="00B367BA">
        <w:rPr>
          <w:szCs w:val="24"/>
        </w:rPr>
        <w:t>(</w:t>
      </w:r>
      <w:r w:rsidR="004F712B">
        <w:rPr>
          <w:szCs w:val="24"/>
        </w:rPr>
        <w:t>JA-L1014</w:t>
      </w:r>
      <w:r w:rsidR="00F343CE" w:rsidRPr="00B367BA">
        <w:rPr>
          <w:szCs w:val="24"/>
        </w:rPr>
        <w:t>)</w:t>
      </w:r>
      <w:r w:rsidR="00B05910" w:rsidRPr="00B367BA">
        <w:rPr>
          <w:szCs w:val="24"/>
        </w:rPr>
        <w:t>, through a programmatic approach that supports institutional and regulatory reforms</w:t>
      </w:r>
      <w:r w:rsidR="00B367BA" w:rsidRPr="00B367BA">
        <w:rPr>
          <w:szCs w:val="24"/>
        </w:rPr>
        <w:t>.</w:t>
      </w:r>
      <w:r w:rsidR="00B367BA">
        <w:rPr>
          <w:szCs w:val="24"/>
        </w:rPr>
        <w:t xml:space="preserve"> </w:t>
      </w:r>
      <w:r w:rsidR="00B05910" w:rsidRPr="00B367BA">
        <w:rPr>
          <w:color w:val="000000"/>
          <w:szCs w:val="24"/>
        </w:rPr>
        <w:t xml:space="preserve">This TC </w:t>
      </w:r>
      <w:r w:rsidR="002225EE">
        <w:rPr>
          <w:color w:val="000000"/>
          <w:szCs w:val="24"/>
        </w:rPr>
        <w:t xml:space="preserve">will </w:t>
      </w:r>
      <w:r>
        <w:rPr>
          <w:color w:val="000000"/>
          <w:szCs w:val="24"/>
        </w:rPr>
        <w:t>support the agreed</w:t>
      </w:r>
      <w:r w:rsidR="00D70C5B">
        <w:rPr>
          <w:color w:val="000000"/>
          <w:szCs w:val="24"/>
        </w:rPr>
        <w:t xml:space="preserve"> reforms.</w:t>
      </w:r>
    </w:p>
    <w:p w:rsidR="005B0A50" w:rsidRPr="00DD24EB" w:rsidRDefault="005B0A50" w:rsidP="000A46A0">
      <w:pPr>
        <w:pStyle w:val="Paragraph"/>
        <w:rPr>
          <w:color w:val="000000"/>
          <w:szCs w:val="24"/>
        </w:rPr>
      </w:pPr>
      <w:bookmarkStart w:id="48" w:name="_Ref259179302"/>
      <w:r>
        <w:rPr>
          <w:color w:val="000000"/>
          <w:szCs w:val="24"/>
        </w:rPr>
        <w:lastRenderedPageBreak/>
        <w:t>T</w:t>
      </w:r>
      <w:r w:rsidRPr="001E653D">
        <w:rPr>
          <w:color w:val="000000"/>
          <w:szCs w:val="24"/>
        </w:rPr>
        <w:t xml:space="preserve">his TC is </w:t>
      </w:r>
      <w:r w:rsidR="000A46A0">
        <w:rPr>
          <w:color w:val="000000"/>
          <w:szCs w:val="24"/>
        </w:rPr>
        <w:t>also directly related to</w:t>
      </w:r>
      <w:r w:rsidRPr="001E653D">
        <w:rPr>
          <w:color w:val="000000"/>
          <w:szCs w:val="24"/>
        </w:rPr>
        <w:t xml:space="preserve"> the </w:t>
      </w:r>
      <w:r w:rsidR="000D65CE">
        <w:rPr>
          <w:color w:val="000000"/>
          <w:szCs w:val="24"/>
        </w:rPr>
        <w:t>Compete Caribbean Program</w:t>
      </w:r>
      <w:r w:rsidRPr="001E653D">
        <w:rPr>
          <w:color w:val="000000"/>
          <w:szCs w:val="24"/>
        </w:rPr>
        <w:t xml:space="preserve"> (RG-X1044)</w:t>
      </w:r>
      <w:r w:rsidRPr="001E653D">
        <w:rPr>
          <w:rStyle w:val="FootnoteReference"/>
          <w:color w:val="000000"/>
          <w:szCs w:val="24"/>
        </w:rPr>
        <w:footnoteReference w:id="3"/>
      </w:r>
      <w:r>
        <w:rPr>
          <w:color w:val="000000"/>
          <w:szCs w:val="24"/>
        </w:rPr>
        <w:t>, operation</w:t>
      </w:r>
      <w:r w:rsidRPr="001E653D">
        <w:rPr>
          <w:color w:val="000000"/>
          <w:szCs w:val="24"/>
        </w:rPr>
        <w:t xml:space="preserve"> currently under preparation</w:t>
      </w:r>
      <w:r w:rsidR="000A46A0">
        <w:rPr>
          <w:color w:val="000000"/>
          <w:szCs w:val="24"/>
        </w:rPr>
        <w:t xml:space="preserve"> that will</w:t>
      </w:r>
      <w:r w:rsidR="000A46A0" w:rsidRPr="000A46A0">
        <w:rPr>
          <w:color w:val="000000"/>
          <w:szCs w:val="24"/>
        </w:rPr>
        <w:t xml:space="preserve"> establish a</w:t>
      </w:r>
      <w:r w:rsidR="004C7BDC">
        <w:rPr>
          <w:color w:val="000000"/>
          <w:szCs w:val="24"/>
        </w:rPr>
        <w:t xml:space="preserve"> </w:t>
      </w:r>
      <w:r w:rsidR="000A46A0" w:rsidRPr="000A46A0">
        <w:rPr>
          <w:color w:val="000000"/>
          <w:szCs w:val="24"/>
        </w:rPr>
        <w:t xml:space="preserve">US$32.55 million dollar grant program to provide technical assistance and investment funding to support productive development policies, business climate reforms, clustering initiatives and </w:t>
      </w:r>
      <w:r w:rsidR="00183E80" w:rsidRPr="00183E80">
        <w:rPr>
          <w:color w:val="000000"/>
          <w:szCs w:val="24"/>
        </w:rPr>
        <w:t>SME</w:t>
      </w:r>
      <w:r w:rsidR="000A46A0" w:rsidRPr="000A46A0">
        <w:rPr>
          <w:color w:val="000000"/>
          <w:szCs w:val="24"/>
        </w:rPr>
        <w:t xml:space="preserve"> development activities within a comprehensive private sector development framework. The </w:t>
      </w:r>
      <w:r w:rsidR="00241F9B">
        <w:rPr>
          <w:color w:val="000000"/>
          <w:szCs w:val="24"/>
        </w:rPr>
        <w:t>Compete Caribbean</w:t>
      </w:r>
      <w:r w:rsidR="00041972">
        <w:rPr>
          <w:color w:val="000000"/>
          <w:szCs w:val="24"/>
        </w:rPr>
        <w:t>,</w:t>
      </w:r>
      <w:r w:rsidR="00241F9B">
        <w:rPr>
          <w:color w:val="000000"/>
          <w:szCs w:val="24"/>
        </w:rPr>
        <w:t xml:space="preserve"> a program to support private sector development and competitiveness in the </w:t>
      </w:r>
      <w:r w:rsidR="00041972">
        <w:rPr>
          <w:color w:val="000000"/>
          <w:szCs w:val="24"/>
        </w:rPr>
        <w:t>C</w:t>
      </w:r>
      <w:r w:rsidR="000A46A0" w:rsidRPr="000A46A0">
        <w:rPr>
          <w:color w:val="000000"/>
          <w:szCs w:val="24"/>
        </w:rPr>
        <w:t>aribbean</w:t>
      </w:r>
      <w:r w:rsidR="00041972">
        <w:rPr>
          <w:color w:val="000000"/>
          <w:szCs w:val="24"/>
        </w:rPr>
        <w:t>,</w:t>
      </w:r>
      <w:r w:rsidR="000A46A0" w:rsidRPr="000A46A0">
        <w:rPr>
          <w:color w:val="000000"/>
          <w:szCs w:val="24"/>
        </w:rPr>
        <w:t xml:space="preserve"> will develop and implement projects in all 15 CARIFORUM countries</w:t>
      </w:r>
      <w:r w:rsidR="00241F9B">
        <w:rPr>
          <w:color w:val="000000"/>
          <w:szCs w:val="24"/>
        </w:rPr>
        <w:t>,</w:t>
      </w:r>
      <w:r w:rsidR="000A46A0" w:rsidRPr="000A46A0">
        <w:rPr>
          <w:color w:val="000000"/>
          <w:szCs w:val="24"/>
        </w:rPr>
        <w:t xml:space="preserve"> </w:t>
      </w:r>
      <w:r w:rsidR="000A46A0">
        <w:rPr>
          <w:color w:val="000000"/>
          <w:szCs w:val="24"/>
        </w:rPr>
        <w:t xml:space="preserve">and </w:t>
      </w:r>
      <w:r w:rsidRPr="000A46A0">
        <w:rPr>
          <w:color w:val="000000"/>
          <w:szCs w:val="24"/>
        </w:rPr>
        <w:t xml:space="preserve">is jointly financed by the Bank, the </w:t>
      </w:r>
      <w:r>
        <w:t>Canadian International Development Agency (</w:t>
      </w:r>
      <w:r w:rsidR="00183E80" w:rsidRPr="00183E80">
        <w:t>CIDA</w:t>
      </w:r>
      <w:r w:rsidRPr="00AB6539">
        <w:t>)</w:t>
      </w:r>
      <w:r>
        <w:t xml:space="preserve"> and the Department for International Development (</w:t>
      </w:r>
      <w:r w:rsidR="00183E80" w:rsidRPr="00183E80">
        <w:t>DFID</w:t>
      </w:r>
      <w:r w:rsidRPr="00AB6539">
        <w:t>).</w:t>
      </w:r>
      <w:bookmarkEnd w:id="48"/>
    </w:p>
    <w:p w:rsidR="00DD24EB" w:rsidRPr="00462AC3" w:rsidRDefault="00241F9B" w:rsidP="00241F9B">
      <w:pPr>
        <w:pStyle w:val="Paragraph"/>
        <w:rPr>
          <w:color w:val="000000"/>
          <w:szCs w:val="24"/>
        </w:rPr>
      </w:pPr>
      <w:r>
        <w:t>This</w:t>
      </w:r>
      <w:r w:rsidR="00DD24EB">
        <w:t xml:space="preserve"> TC will </w:t>
      </w:r>
      <w:r>
        <w:t xml:space="preserve">also </w:t>
      </w:r>
      <w:r w:rsidR="00DD24EB">
        <w:t xml:space="preserve">complement three </w:t>
      </w:r>
      <w:r w:rsidR="00183E80" w:rsidRPr="00183E80">
        <w:t>MIF</w:t>
      </w:r>
      <w:r w:rsidR="00DD24EB" w:rsidRPr="00AB6539">
        <w:t xml:space="preserve"> initiatives</w:t>
      </w:r>
      <w:r w:rsidR="00DD24EB">
        <w:t xml:space="preserve">: (i) Strengthening the Jamaica </w:t>
      </w:r>
      <w:r w:rsidR="007E731A">
        <w:t>F</w:t>
      </w:r>
      <w:r w:rsidR="00DD24EB">
        <w:t xml:space="preserve">air Trading Commission (JA-M1002); (ii) Strengthening Competition in </w:t>
      </w:r>
      <w:r>
        <w:t>T</w:t>
      </w:r>
      <w:r w:rsidR="00DD24EB">
        <w:t>elecommunications (JA-M1004)</w:t>
      </w:r>
      <w:r>
        <w:t xml:space="preserve">; </w:t>
      </w:r>
      <w:r w:rsidR="00DD24EB">
        <w:t>and (iii) Productive Integration Micro-Enterprises (</w:t>
      </w:r>
      <w:r w:rsidR="00183E80" w:rsidRPr="00183E80">
        <w:t>MES</w:t>
      </w:r>
      <w:r w:rsidR="00DD24EB" w:rsidRPr="00AB6539">
        <w:t>).</w:t>
      </w:r>
    </w:p>
    <w:p w:rsidR="00DC79EA" w:rsidRPr="00DD24EB" w:rsidRDefault="002F408D" w:rsidP="00DD24EB">
      <w:pPr>
        <w:pStyle w:val="Paragraph"/>
        <w:rPr>
          <w:color w:val="000000"/>
          <w:szCs w:val="24"/>
        </w:rPr>
      </w:pPr>
      <w:bookmarkStart w:id="49" w:name="_Ref259179308"/>
      <w:r>
        <w:t>The project team will coordinate with other development partners to generate synergies among projects</w:t>
      </w:r>
      <w:r w:rsidR="005D54B4">
        <w:t xml:space="preserve"> with t</w:t>
      </w:r>
      <w:r w:rsidR="00462AC3" w:rsidRPr="00462AC3">
        <w:t xml:space="preserve">he World </w:t>
      </w:r>
      <w:r w:rsidR="00462AC3" w:rsidRPr="00AB6539">
        <w:t>Bank</w:t>
      </w:r>
      <w:r w:rsidR="00DC79EA" w:rsidRPr="00AB6539">
        <w:t xml:space="preserve">, </w:t>
      </w:r>
      <w:r w:rsidR="00183E80" w:rsidRPr="00183E80">
        <w:t>USAID</w:t>
      </w:r>
      <w:r w:rsidR="00DC79EA">
        <w:t xml:space="preserve"> and </w:t>
      </w:r>
      <w:r w:rsidR="00462AC3" w:rsidRPr="00462AC3">
        <w:t>the European Union</w:t>
      </w:r>
      <w:r w:rsidR="00DC79EA">
        <w:t xml:space="preserve">. In </w:t>
      </w:r>
      <w:r w:rsidR="00545B94">
        <w:t>particular</w:t>
      </w:r>
      <w:r w:rsidR="005D54B4">
        <w:t>,</w:t>
      </w:r>
      <w:r w:rsidR="00DC79EA">
        <w:t xml:space="preserve"> the team will strive to collaborate with </w:t>
      </w:r>
      <w:r w:rsidR="0026555C">
        <w:t xml:space="preserve">the </w:t>
      </w:r>
      <w:r w:rsidR="00462AC3" w:rsidRPr="00462AC3">
        <w:t xml:space="preserve">Private Sector Development </w:t>
      </w:r>
      <w:r w:rsidR="00462AC3" w:rsidRPr="00AB6539">
        <w:t>Programme (</w:t>
      </w:r>
      <w:r w:rsidR="00183E80" w:rsidRPr="00183E80">
        <w:t>PSDP</w:t>
      </w:r>
      <w:r w:rsidR="00462AC3" w:rsidRPr="00AB6539">
        <w:t>)</w:t>
      </w:r>
      <w:r w:rsidR="00DC79EA" w:rsidRPr="00AB6539">
        <w:t>,</w:t>
      </w:r>
      <w:r w:rsidR="00DC79EA">
        <w:t xml:space="preserve"> financed by the European Union and implemented by</w:t>
      </w:r>
      <w:r w:rsidR="00462AC3" w:rsidRPr="00462AC3">
        <w:t xml:space="preserve"> </w:t>
      </w:r>
      <w:r w:rsidR="00545B94" w:rsidRPr="00462AC3">
        <w:t>J</w:t>
      </w:r>
      <w:r w:rsidR="00545B94">
        <w:t>TI</w:t>
      </w:r>
      <w:r w:rsidR="007E731A">
        <w:t>, and with</w:t>
      </w:r>
      <w:r w:rsidR="007B7E00">
        <w:t xml:space="preserve"> </w:t>
      </w:r>
      <w:r w:rsidR="007B7E00" w:rsidRPr="00462AC3">
        <w:t>USAID’s</w:t>
      </w:r>
      <w:r w:rsidR="00462AC3" w:rsidRPr="00462AC3">
        <w:t xml:space="preserve"> Legislation, Regulations and Process Improvement Project, </w:t>
      </w:r>
      <w:r w:rsidR="00DD24EB">
        <w:t>being</w:t>
      </w:r>
      <w:r w:rsidR="00DC79EA">
        <w:t xml:space="preserve"> implemented </w:t>
      </w:r>
      <w:r w:rsidR="00462AC3" w:rsidRPr="00462AC3">
        <w:t>by the Jamaica Chamber of Commerce.</w:t>
      </w:r>
      <w:bookmarkEnd w:id="49"/>
      <w:r w:rsidR="00462AC3" w:rsidRPr="00462AC3">
        <w:t xml:space="preserve"> </w:t>
      </w:r>
    </w:p>
    <w:p w:rsidR="00C76171" w:rsidRPr="00100095" w:rsidRDefault="00C76171">
      <w:pPr>
        <w:pStyle w:val="Paragraph"/>
        <w:widowControl w:val="0"/>
        <w:rPr>
          <w:szCs w:val="24"/>
        </w:rPr>
        <w:sectPr w:rsidR="00C76171" w:rsidRPr="00100095">
          <w:type w:val="continuous"/>
          <w:pgSz w:w="12240" w:h="15840" w:code="1"/>
          <w:pgMar w:top="1440" w:right="1800" w:bottom="1440" w:left="1800" w:header="706" w:footer="706" w:gutter="0"/>
          <w:pgNumType w:start="1"/>
          <w:cols w:space="720"/>
          <w:formProt w:val="0"/>
          <w:docGrid w:linePitch="326"/>
        </w:sectPr>
      </w:pPr>
    </w:p>
    <w:p w:rsidR="00C76171" w:rsidRDefault="00C76171" w:rsidP="00F5406D">
      <w:pPr>
        <w:pStyle w:val="Chapter"/>
      </w:pPr>
      <w:bookmarkStart w:id="50" w:name="_Toc204581718"/>
      <w:r>
        <w:lastRenderedPageBreak/>
        <w:t>Program Description</w:t>
      </w:r>
      <w:bookmarkEnd w:id="50"/>
    </w:p>
    <w:bookmarkStart w:id="51" w:name="_Toc429646044"/>
    <w:bookmarkStart w:id="52" w:name="_Toc429652576"/>
    <w:bookmarkStart w:id="53" w:name="_Toc429655312"/>
    <w:bookmarkStart w:id="54" w:name="_Toc429655347"/>
    <w:bookmarkStart w:id="55" w:name="_Toc429655491"/>
    <w:bookmarkStart w:id="56" w:name="_Toc429655688"/>
    <w:bookmarkStart w:id="57" w:name="_Toc429657381"/>
    <w:bookmarkStart w:id="58" w:name="_Toc430679374"/>
    <w:bookmarkStart w:id="59" w:name="_Toc430679398"/>
    <w:bookmarkStart w:id="60" w:name="_Toc434845955"/>
    <w:bookmarkStart w:id="61" w:name="_Toc434846223"/>
    <w:bookmarkStart w:id="62" w:name="_Toc434846936"/>
    <w:bookmarkStart w:id="63" w:name="_Toc437759764"/>
    <w:bookmarkStart w:id="64" w:name="_Toc444883305"/>
    <w:bookmarkStart w:id="65" w:name="_Toc445703756"/>
    <w:bookmarkStart w:id="66" w:name="_Toc445703975"/>
    <w:bookmarkStart w:id="67" w:name="_Toc454879425"/>
    <w:bookmarkStart w:id="68" w:name="_Toc456437342"/>
    <w:bookmarkStart w:id="69" w:name="_Toc456438396"/>
    <w:bookmarkStart w:id="70" w:name="_Toc456441630"/>
    <w:bookmarkStart w:id="71" w:name="_Toc457383666"/>
    <w:bookmarkStart w:id="72" w:name="_Toc457884576"/>
    <w:bookmarkStart w:id="73" w:name="_Toc461010075"/>
    <w:bookmarkStart w:id="74" w:name="_Toc461010246"/>
    <w:bookmarkStart w:id="75" w:name="_Toc461356849"/>
    <w:bookmarkStart w:id="76" w:name="_Toc461356889"/>
    <w:bookmarkStart w:id="77" w:name="_Toc464387446"/>
    <w:bookmarkStart w:id="78" w:name="_Toc103508170"/>
    <w:bookmarkStart w:id="79" w:name="_Toc103574874"/>
    <w:bookmarkStart w:id="80" w:name="_Toc182232645"/>
    <w:p w:rsidR="00B05910" w:rsidRDefault="00F119A7" w:rsidP="00C76171">
      <w:pPr>
        <w:pStyle w:val="FirstHeading"/>
      </w:pPr>
      <w:r>
        <w:fldChar w:fldCharType="begin"/>
      </w:r>
      <w:r w:rsidR="00C76171">
        <w:instrText xml:space="preserve"> SEQ "</w:instrText>
      </w:r>
      <w:fldSimple w:instr=" SECTION  \* MERGEFORMAT ">
        <w:r w:rsidR="003875B5">
          <w:instrText>5</w:instrText>
        </w:r>
      </w:fldSimple>
      <w:r w:rsidR="00C76171">
        <w:instrText>#"\*</w:instrText>
      </w:r>
      <w:r w:rsidR="002326B5" w:rsidRPr="002326B5">
        <w:rPr>
          <w:szCs w:val="24"/>
        </w:rPr>
        <w:instrText xml:space="preserve"> A</w:instrText>
      </w:r>
      <w:r w:rsidR="00C76171">
        <w:instrText xml:space="preserve">LPHABETIC \* MERGEFORMAT </w:instrText>
      </w:r>
      <w:r>
        <w:fldChar w:fldCharType="separate"/>
      </w:r>
      <w:bookmarkStart w:id="81" w:name="_Toc204581719"/>
      <w:r w:rsidR="003875B5">
        <w:rPr>
          <w:noProof/>
        </w:rPr>
        <w:t>A</w:t>
      </w:r>
      <w:r>
        <w:fldChar w:fldCharType="end"/>
      </w:r>
      <w:r w:rsidR="00C76171">
        <w:t>.</w:t>
      </w:r>
      <w:r w:rsidR="00C76171">
        <w:tab/>
      </w:r>
      <w:bookmarkStart w:id="82" w:name="_Toc101756020"/>
      <w:bookmarkStart w:id="83" w:name="_Toc10194266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B05910">
        <w:t>Program Goal and Purpose</w:t>
      </w:r>
      <w:bookmarkEnd w:id="79"/>
      <w:bookmarkEnd w:id="80"/>
      <w:bookmarkEnd w:id="81"/>
      <w:bookmarkEnd w:id="82"/>
      <w:bookmarkEnd w:id="83"/>
    </w:p>
    <w:p w:rsidR="00B05910" w:rsidRPr="004302E3" w:rsidRDefault="004302E3" w:rsidP="004302E3">
      <w:pPr>
        <w:pStyle w:val="Paragraph"/>
        <w:widowControl w:val="0"/>
        <w:rPr>
          <w:szCs w:val="24"/>
        </w:rPr>
      </w:pPr>
      <w:r w:rsidRPr="008E173F">
        <w:t xml:space="preserve">The objective of </w:t>
      </w:r>
      <w:r>
        <w:t xml:space="preserve">this </w:t>
      </w:r>
      <w:r w:rsidRPr="008E173F">
        <w:t xml:space="preserve">technical cooperation is to support the improvement of the business climate in Jamaica. The specific objectives are: </w:t>
      </w:r>
      <w:r w:rsidR="00C556C9" w:rsidRPr="004B5AF7">
        <w:rPr>
          <w:szCs w:val="24"/>
        </w:rPr>
        <w:t xml:space="preserve">(i) </w:t>
      </w:r>
      <w:r w:rsidR="00C556C9">
        <w:rPr>
          <w:szCs w:val="24"/>
        </w:rPr>
        <w:t>enhance</w:t>
      </w:r>
      <w:r w:rsidR="00C556C9" w:rsidRPr="004B5AF7">
        <w:rPr>
          <w:szCs w:val="24"/>
        </w:rPr>
        <w:t xml:space="preserve"> knowledge on </w:t>
      </w:r>
      <w:r w:rsidR="00C556C9">
        <w:rPr>
          <w:szCs w:val="24"/>
        </w:rPr>
        <w:t>the major</w:t>
      </w:r>
      <w:r w:rsidR="00C556C9" w:rsidRPr="004B5AF7">
        <w:rPr>
          <w:szCs w:val="24"/>
        </w:rPr>
        <w:t xml:space="preserve"> </w:t>
      </w:r>
      <w:r w:rsidR="00545B94" w:rsidRPr="004B5AF7">
        <w:rPr>
          <w:szCs w:val="24"/>
        </w:rPr>
        <w:t>constrain</w:t>
      </w:r>
      <w:r w:rsidR="00545B94">
        <w:rPr>
          <w:szCs w:val="24"/>
        </w:rPr>
        <w:t>ts</w:t>
      </w:r>
      <w:r w:rsidR="00545B94" w:rsidRPr="004B5AF7">
        <w:rPr>
          <w:szCs w:val="24"/>
        </w:rPr>
        <w:t xml:space="preserve"> to</w:t>
      </w:r>
      <w:r w:rsidR="00C556C9">
        <w:rPr>
          <w:szCs w:val="24"/>
        </w:rPr>
        <w:t xml:space="preserve"> </w:t>
      </w:r>
      <w:r w:rsidR="00C556C9" w:rsidRPr="004B5AF7">
        <w:rPr>
          <w:szCs w:val="24"/>
        </w:rPr>
        <w:t>private sector development (PSD); (ii) increase</w:t>
      </w:r>
      <w:r w:rsidR="00C556C9">
        <w:rPr>
          <w:szCs w:val="24"/>
        </w:rPr>
        <w:t>d</w:t>
      </w:r>
      <w:r w:rsidR="00C556C9" w:rsidRPr="004B5AF7">
        <w:rPr>
          <w:szCs w:val="24"/>
        </w:rPr>
        <w:t xml:space="preserve"> access to finance</w:t>
      </w:r>
      <w:r w:rsidR="00C556C9">
        <w:rPr>
          <w:szCs w:val="24"/>
        </w:rPr>
        <w:t xml:space="preserve"> through the implementation of a secured transactions framework</w:t>
      </w:r>
      <w:r w:rsidR="00C556C9" w:rsidRPr="004B5AF7">
        <w:rPr>
          <w:szCs w:val="24"/>
        </w:rPr>
        <w:t xml:space="preserve">; (iii) </w:t>
      </w:r>
      <w:r w:rsidR="00142E68">
        <w:t>increase financing for</w:t>
      </w:r>
      <w:r w:rsidR="00C556C9" w:rsidRPr="00710541">
        <w:t xml:space="preserve"> infrastructure </w:t>
      </w:r>
      <w:r w:rsidR="00142E68">
        <w:t xml:space="preserve">projects </w:t>
      </w:r>
      <w:r w:rsidR="00C556C9" w:rsidRPr="00710541">
        <w:t>through Public Private Partnerships (PPPs)</w:t>
      </w:r>
      <w:r w:rsidR="00C556C9" w:rsidRPr="004B5AF7">
        <w:rPr>
          <w:szCs w:val="24"/>
        </w:rPr>
        <w:t>; and (iv) increased Public-Private consensus and focus on strategic interventions to promote private sector development.</w:t>
      </w:r>
      <w:r w:rsidRPr="008E173F">
        <w:t xml:space="preserve"> These actions have been identified by the GoJ as critical </w:t>
      </w:r>
      <w:r w:rsidR="007E731A">
        <w:t>in</w:t>
      </w:r>
      <w:r w:rsidR="007E731A" w:rsidRPr="008E173F">
        <w:t xml:space="preserve"> </w:t>
      </w:r>
      <w:r w:rsidR="00C556C9">
        <w:t>foster</w:t>
      </w:r>
      <w:r w:rsidR="007E731A">
        <w:t>ing</w:t>
      </w:r>
      <w:r w:rsidR="00C556C9">
        <w:t xml:space="preserve"> </w:t>
      </w:r>
      <w:r w:rsidRPr="008E173F">
        <w:t xml:space="preserve">private sector-led growth and are </w:t>
      </w:r>
      <w:r w:rsidR="007E731A">
        <w:t>key</w:t>
      </w:r>
      <w:r w:rsidRPr="008E173F">
        <w:t xml:space="preserve"> actions that the GoJ </w:t>
      </w:r>
      <w:r w:rsidR="007E731A">
        <w:t xml:space="preserve">has </w:t>
      </w:r>
      <w:r w:rsidR="00361230">
        <w:t>prioritized</w:t>
      </w:r>
      <w:r w:rsidRPr="008E173F">
        <w:t xml:space="preserve"> </w:t>
      </w:r>
      <w:r w:rsidR="00220CC7">
        <w:t>to promote</w:t>
      </w:r>
      <w:r w:rsidRPr="008E173F">
        <w:t xml:space="preserve"> private sector development</w:t>
      </w:r>
      <w:r w:rsidR="00B05910" w:rsidRPr="004302E3">
        <w:rPr>
          <w:szCs w:val="24"/>
        </w:rPr>
        <w:t>.</w:t>
      </w:r>
    </w:p>
    <w:bookmarkStart w:id="84" w:name="_Toc429646046"/>
    <w:bookmarkStart w:id="85" w:name="_Toc429652578"/>
    <w:bookmarkStart w:id="86" w:name="_Toc429655314"/>
    <w:bookmarkStart w:id="87" w:name="_Toc429655349"/>
    <w:bookmarkStart w:id="88" w:name="_Toc429655493"/>
    <w:bookmarkStart w:id="89" w:name="_Toc429655690"/>
    <w:bookmarkStart w:id="90" w:name="_Toc429657383"/>
    <w:bookmarkStart w:id="91" w:name="_Toc430679376"/>
    <w:bookmarkStart w:id="92" w:name="_Toc430679400"/>
    <w:bookmarkStart w:id="93" w:name="_Toc434845957"/>
    <w:bookmarkStart w:id="94" w:name="_Toc434846225"/>
    <w:bookmarkStart w:id="95" w:name="_Toc434846938"/>
    <w:bookmarkStart w:id="96" w:name="_Toc437759766"/>
    <w:bookmarkStart w:id="97" w:name="_Toc444883307"/>
    <w:bookmarkStart w:id="98" w:name="_Toc445703758"/>
    <w:bookmarkStart w:id="99" w:name="_Toc445703977"/>
    <w:bookmarkStart w:id="100" w:name="_Toc454879427"/>
    <w:bookmarkStart w:id="101" w:name="_Toc456437344"/>
    <w:bookmarkStart w:id="102" w:name="_Toc456438398"/>
    <w:bookmarkStart w:id="103" w:name="_Toc456441632"/>
    <w:bookmarkStart w:id="104" w:name="_Toc457383668"/>
    <w:bookmarkStart w:id="105" w:name="_Toc457884578"/>
    <w:bookmarkStart w:id="106" w:name="_Toc461010077"/>
    <w:bookmarkStart w:id="107" w:name="_Toc461010248"/>
    <w:bookmarkStart w:id="108" w:name="_Toc461356851"/>
    <w:bookmarkStart w:id="109" w:name="_Toc461356891"/>
    <w:bookmarkStart w:id="110" w:name="_Toc464387447"/>
    <w:bookmarkStart w:id="111" w:name="_Toc103508171"/>
    <w:bookmarkStart w:id="112" w:name="_Toc103574875"/>
    <w:bookmarkStart w:id="113" w:name="_Toc182232646"/>
    <w:p w:rsidR="00B05910" w:rsidRDefault="00F119A7" w:rsidP="00F5406D">
      <w:pPr>
        <w:pStyle w:val="FirstHeading"/>
      </w:pPr>
      <w:r>
        <w:fldChar w:fldCharType="begin"/>
      </w:r>
      <w:r w:rsidR="00F5406D">
        <w:instrText xml:space="preserve"> SEQ "</w:instrText>
      </w:r>
      <w:fldSimple w:instr=" SECTION  \* MERGEFORMAT ">
        <w:r w:rsidR="003875B5">
          <w:instrText>5</w:instrText>
        </w:r>
      </w:fldSimple>
      <w:r w:rsidR="00F5406D">
        <w:instrText xml:space="preserve">#"\* ALPHABETIC \* MERGEFORMAT </w:instrText>
      </w:r>
      <w:r>
        <w:fldChar w:fldCharType="separate"/>
      </w:r>
      <w:bookmarkStart w:id="114" w:name="_Toc204581720"/>
      <w:r w:rsidR="003875B5">
        <w:rPr>
          <w:noProof/>
        </w:rPr>
        <w:t>B</w:t>
      </w:r>
      <w:r>
        <w:fldChar w:fldCharType="end"/>
      </w:r>
      <w:r w:rsidR="00F5406D">
        <w:t>.</w:t>
      </w:r>
      <w:r w:rsidR="00F5406D">
        <w:tab/>
      </w:r>
      <w:r w:rsidR="00B05910">
        <w:t>Components</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4302E3" w:rsidRPr="008E173F" w:rsidRDefault="004302E3" w:rsidP="00D26174">
      <w:pPr>
        <w:pStyle w:val="Paragraph"/>
      </w:pPr>
      <w:r w:rsidRPr="0028368D">
        <w:rPr>
          <w:b/>
        </w:rPr>
        <w:t>Component 1:</w:t>
      </w:r>
      <w:r w:rsidRPr="00606DEA">
        <w:rPr>
          <w:b/>
        </w:rPr>
        <w:t xml:space="preserve"> Private Sector Development Strategy</w:t>
      </w:r>
      <w:r w:rsidR="006B5F74">
        <w:rPr>
          <w:b/>
        </w:rPr>
        <w:t xml:space="preserve"> and Action Plan</w:t>
      </w:r>
      <w:r w:rsidRPr="00606DEA">
        <w:rPr>
          <w:b/>
        </w:rPr>
        <w:t xml:space="preserve"> (US$110,000).</w:t>
      </w:r>
      <w:r w:rsidR="00A231A2">
        <w:rPr>
          <w:b/>
        </w:rPr>
        <w:t xml:space="preserve"> </w:t>
      </w:r>
      <w:r w:rsidR="00670283">
        <w:t>In order to complement the Vision 2030 National Development Plan, the objective</w:t>
      </w:r>
      <w:r w:rsidR="00B961B9">
        <w:t xml:space="preserve"> of this component is to develop a Private Sector Development Strategy and Action Plan. </w:t>
      </w:r>
      <w:r w:rsidRPr="008E173F">
        <w:t>The activities will include</w:t>
      </w:r>
      <w:r>
        <w:t xml:space="preserve">: </w:t>
      </w:r>
      <w:r w:rsidRPr="008E173F">
        <w:t xml:space="preserve"> </w:t>
      </w:r>
      <w:r>
        <w:t xml:space="preserve">(i) </w:t>
      </w:r>
      <w:r w:rsidRPr="008E173F">
        <w:t>the review and update of the Private Sector Diagnostic commissioned by the Bank in 2006, including assessments of the initiatives implemented by the Bank and other development agencies (EU, US</w:t>
      </w:r>
      <w:r>
        <w:t>AID World Bank, IFC and others); (ii)</w:t>
      </w:r>
      <w:r w:rsidRPr="008E173F">
        <w:t xml:space="preserve"> </w:t>
      </w:r>
      <w:r>
        <w:t xml:space="preserve">the review and analysis of </w:t>
      </w:r>
      <w:r w:rsidRPr="008E173F">
        <w:t>recent data and statistics from a variety of sources, to analyze and present firm-level trends in light of current macro conditions</w:t>
      </w:r>
      <w:r w:rsidR="00BE4E60">
        <w:t xml:space="preserve"> and impact of the global recession;</w:t>
      </w:r>
      <w:r w:rsidRPr="008E173F">
        <w:t xml:space="preserve"> </w:t>
      </w:r>
      <w:r>
        <w:t xml:space="preserve">(iii) </w:t>
      </w:r>
      <w:r w:rsidR="008529FB">
        <w:t xml:space="preserve">organization of workshops to reach consensus on an Action Plan to reduce the main constraints to private sector development </w:t>
      </w:r>
      <w:r>
        <w:t xml:space="preserve">; and (iv) the </w:t>
      </w:r>
      <w:r w:rsidR="008529FB">
        <w:t xml:space="preserve">drafting of </w:t>
      </w:r>
      <w:r>
        <w:t xml:space="preserve">a new </w:t>
      </w:r>
      <w:r w:rsidR="008529FB">
        <w:t xml:space="preserve">PSD </w:t>
      </w:r>
      <w:r>
        <w:t>strategy</w:t>
      </w:r>
      <w:r w:rsidR="002118C4">
        <w:t xml:space="preserve"> for GoJ</w:t>
      </w:r>
      <w:r>
        <w:t>.</w:t>
      </w:r>
    </w:p>
    <w:p w:rsidR="004302E3" w:rsidRPr="008E173F" w:rsidRDefault="004302E3" w:rsidP="00241F9B">
      <w:pPr>
        <w:pStyle w:val="Paragraph"/>
      </w:pPr>
      <w:r w:rsidRPr="0028368D">
        <w:rPr>
          <w:b/>
        </w:rPr>
        <w:t>Component 2:</w:t>
      </w:r>
      <w:r w:rsidRPr="00606DEA">
        <w:rPr>
          <w:b/>
        </w:rPr>
        <w:t xml:space="preserve"> Implementation of </w:t>
      </w:r>
      <w:r w:rsidR="00D40582">
        <w:rPr>
          <w:b/>
        </w:rPr>
        <w:t>a</w:t>
      </w:r>
      <w:r w:rsidRPr="00606DEA">
        <w:rPr>
          <w:b/>
        </w:rPr>
        <w:t xml:space="preserve"> </w:t>
      </w:r>
      <w:r w:rsidR="00D40582">
        <w:rPr>
          <w:b/>
        </w:rPr>
        <w:t>S</w:t>
      </w:r>
      <w:r w:rsidRPr="00606DEA">
        <w:rPr>
          <w:b/>
        </w:rPr>
        <w:t xml:space="preserve">ecured </w:t>
      </w:r>
      <w:r w:rsidR="00D40582">
        <w:rPr>
          <w:b/>
        </w:rPr>
        <w:t>T</w:t>
      </w:r>
      <w:r w:rsidRPr="00606DEA">
        <w:rPr>
          <w:b/>
        </w:rPr>
        <w:t xml:space="preserve">ransactions </w:t>
      </w:r>
      <w:r w:rsidR="00D40582">
        <w:rPr>
          <w:b/>
        </w:rPr>
        <w:t xml:space="preserve">Framework to Increase Access to Finance. </w:t>
      </w:r>
      <w:r w:rsidR="00504BC0">
        <w:rPr>
          <w:b/>
        </w:rPr>
        <w:t>(US$200,</w:t>
      </w:r>
      <w:r w:rsidRPr="00606DEA">
        <w:rPr>
          <w:b/>
        </w:rPr>
        <w:t>000).</w:t>
      </w:r>
      <w:r w:rsidRPr="008E173F">
        <w:t xml:space="preserve"> </w:t>
      </w:r>
      <w:r>
        <w:t xml:space="preserve">The objective of this component is to </w:t>
      </w:r>
      <w:r w:rsidR="00A9082B">
        <w:t xml:space="preserve">implement reforms so that GoJ can adopt </w:t>
      </w:r>
      <w:r w:rsidR="004777EB">
        <w:t>a secured</w:t>
      </w:r>
      <w:r>
        <w:t xml:space="preserve"> transactions </w:t>
      </w:r>
      <w:r w:rsidR="004777EB">
        <w:t>framework</w:t>
      </w:r>
      <w:r w:rsidR="00A9082B">
        <w:t xml:space="preserve"> that will enhance access to finance in Jamaica. </w:t>
      </w:r>
      <w:r w:rsidRPr="008E173F">
        <w:t>T</w:t>
      </w:r>
      <w:r w:rsidR="004777EB">
        <w:t>h</w:t>
      </w:r>
      <w:r>
        <w:t>e activities in t</w:t>
      </w:r>
      <w:r w:rsidRPr="008E173F">
        <w:t>his component will include</w:t>
      </w:r>
      <w:r>
        <w:t>: (i)</w:t>
      </w:r>
      <w:r w:rsidRPr="008E173F">
        <w:t xml:space="preserve"> the review of </w:t>
      </w:r>
      <w:r w:rsidR="004777EB">
        <w:t>existing diagnostics and recommendations on the topic</w:t>
      </w:r>
      <w:r>
        <w:t xml:space="preserve"> in Jamaica: (a) </w:t>
      </w:r>
      <w:r w:rsidRPr="008E173F">
        <w:t xml:space="preserve">diagnostic of the current </w:t>
      </w:r>
      <w:r w:rsidR="00EB69F9">
        <w:t>legal and institutional framework</w:t>
      </w:r>
      <w:r w:rsidRPr="008E173F">
        <w:t>,</w:t>
      </w:r>
      <w:r>
        <w:t xml:space="preserve"> including the initial report and Action Plan </w:t>
      </w:r>
      <w:r w:rsidR="00095D06">
        <w:t xml:space="preserve">prepared </w:t>
      </w:r>
      <w:r>
        <w:t>by IDB in 2007</w:t>
      </w:r>
      <w:r>
        <w:rPr>
          <w:rStyle w:val="FootnoteReference"/>
        </w:rPr>
        <w:footnoteReference w:id="4"/>
      </w:r>
      <w:r>
        <w:t xml:space="preserve">; (b) </w:t>
      </w:r>
      <w:r w:rsidR="004777EB">
        <w:t xml:space="preserve">results from the </w:t>
      </w:r>
      <w:r>
        <w:t xml:space="preserve">dialogue and consensus building </w:t>
      </w:r>
      <w:r w:rsidR="00EB69F9">
        <w:t>activities</w:t>
      </w:r>
      <w:r>
        <w:t xml:space="preserve"> </w:t>
      </w:r>
      <w:r w:rsidR="00EB69F9">
        <w:t xml:space="preserve">that led to the </w:t>
      </w:r>
      <w:r w:rsidR="004777EB">
        <w:t xml:space="preserve">submission </w:t>
      </w:r>
      <w:r w:rsidR="00EB69F9">
        <w:t>of a Cabinet paper</w:t>
      </w:r>
      <w:r w:rsidR="004777EB">
        <w:t xml:space="preserve"> on Secured Transactions</w:t>
      </w:r>
      <w:r w:rsidR="00EB69F9">
        <w:rPr>
          <w:rStyle w:val="FootnoteReference"/>
        </w:rPr>
        <w:footnoteReference w:id="5"/>
      </w:r>
      <w:r w:rsidR="00EB69F9">
        <w:t xml:space="preserve">; and </w:t>
      </w:r>
      <w:r w:rsidR="00241F9B">
        <w:t>(</w:t>
      </w:r>
      <w:r w:rsidR="00EB69F9">
        <w:t xml:space="preserve">c) </w:t>
      </w:r>
      <w:r w:rsidR="004777EB">
        <w:t xml:space="preserve">results of a study on </w:t>
      </w:r>
      <w:r w:rsidR="00EB69F9">
        <w:t xml:space="preserve">gender issues </w:t>
      </w:r>
      <w:r w:rsidR="004777EB">
        <w:t xml:space="preserve">and </w:t>
      </w:r>
      <w:r w:rsidR="00EB69F9">
        <w:t>access</w:t>
      </w:r>
      <w:r w:rsidR="004777EB">
        <w:t xml:space="preserve"> to</w:t>
      </w:r>
      <w:r w:rsidR="00EB69F9">
        <w:t xml:space="preserve"> financ</w:t>
      </w:r>
      <w:r w:rsidR="004777EB">
        <w:t>e</w:t>
      </w:r>
      <w:r w:rsidR="00EB69F9">
        <w:rPr>
          <w:rStyle w:val="FootnoteReference"/>
        </w:rPr>
        <w:footnoteReference w:id="6"/>
      </w:r>
      <w:r w:rsidR="00241F9B">
        <w:t xml:space="preserve">, among others; </w:t>
      </w:r>
      <w:r w:rsidR="00EB69F9">
        <w:t xml:space="preserve">(ii) </w:t>
      </w:r>
      <w:r w:rsidR="002D0417">
        <w:t>organization of seminars and workshops on the topic</w:t>
      </w:r>
      <w:r w:rsidRPr="008E173F">
        <w:t>,</w:t>
      </w:r>
      <w:r w:rsidR="00C63F7A">
        <w:t xml:space="preserve"> (iii)</w:t>
      </w:r>
      <w:r w:rsidRPr="008E173F">
        <w:t xml:space="preserve"> </w:t>
      </w:r>
      <w:r w:rsidR="00C63F7A">
        <w:t xml:space="preserve">support </w:t>
      </w:r>
      <w:r w:rsidR="00095D06">
        <w:t xml:space="preserve">for </w:t>
      </w:r>
      <w:r w:rsidR="00C63F7A">
        <w:t xml:space="preserve">the </w:t>
      </w:r>
      <w:r w:rsidR="00562718">
        <w:t>Chief Parliamentary Counsel (</w:t>
      </w:r>
      <w:r w:rsidR="00C63F7A">
        <w:t>CPC</w:t>
      </w:r>
      <w:r w:rsidR="00562718">
        <w:t>)</w:t>
      </w:r>
      <w:r w:rsidR="00C63F7A">
        <w:t xml:space="preserve"> </w:t>
      </w:r>
      <w:r w:rsidR="00C63F7A">
        <w:lastRenderedPageBreak/>
        <w:t xml:space="preserve">in the </w:t>
      </w:r>
      <w:r w:rsidRPr="008E173F">
        <w:t xml:space="preserve">drafting of </w:t>
      </w:r>
      <w:r w:rsidR="00562718">
        <w:t>a</w:t>
      </w:r>
      <w:r w:rsidRPr="008E173F">
        <w:t xml:space="preserve"> </w:t>
      </w:r>
      <w:r>
        <w:t>b</w:t>
      </w:r>
      <w:r w:rsidRPr="008E173F">
        <w:t xml:space="preserve">ill </w:t>
      </w:r>
      <w:r w:rsidR="00562718">
        <w:t xml:space="preserve">establishing a new secured transactions framework </w:t>
      </w:r>
      <w:r w:rsidRPr="008E173F">
        <w:t>and</w:t>
      </w:r>
      <w:r w:rsidR="00C63F7A">
        <w:t xml:space="preserve">; </w:t>
      </w:r>
      <w:r w:rsidR="007F6755">
        <w:t xml:space="preserve">      </w:t>
      </w:r>
      <w:r w:rsidR="00C63F7A">
        <w:t>(v)</w:t>
      </w:r>
      <w:r w:rsidRPr="008E173F">
        <w:t xml:space="preserve"> the design and implementation of a central registry of pledged assets.</w:t>
      </w:r>
    </w:p>
    <w:p w:rsidR="004302E3" w:rsidRPr="00376C44" w:rsidRDefault="004302E3" w:rsidP="00241F9B">
      <w:pPr>
        <w:pStyle w:val="Paragraph"/>
      </w:pPr>
      <w:r w:rsidRPr="0028368D">
        <w:rPr>
          <w:b/>
        </w:rPr>
        <w:t>Component 3:</w:t>
      </w:r>
      <w:r w:rsidRPr="008E173F">
        <w:t xml:space="preserve"> </w:t>
      </w:r>
      <w:r w:rsidRPr="00606DEA">
        <w:rPr>
          <w:b/>
        </w:rPr>
        <w:t xml:space="preserve">Strengthening the </w:t>
      </w:r>
      <w:r w:rsidR="00173312">
        <w:rPr>
          <w:b/>
        </w:rPr>
        <w:t>R</w:t>
      </w:r>
      <w:r w:rsidRPr="00606DEA">
        <w:rPr>
          <w:b/>
        </w:rPr>
        <w:t xml:space="preserve">egulatory and </w:t>
      </w:r>
      <w:r w:rsidR="00173312">
        <w:rPr>
          <w:b/>
        </w:rPr>
        <w:t>I</w:t>
      </w:r>
      <w:r w:rsidRPr="00606DEA">
        <w:rPr>
          <w:b/>
        </w:rPr>
        <w:t xml:space="preserve">nstitutional </w:t>
      </w:r>
      <w:r w:rsidR="00173312">
        <w:rPr>
          <w:b/>
        </w:rPr>
        <w:t>F</w:t>
      </w:r>
      <w:r w:rsidRPr="00606DEA">
        <w:rPr>
          <w:b/>
        </w:rPr>
        <w:t xml:space="preserve">ramework </w:t>
      </w:r>
      <w:r w:rsidR="00173312">
        <w:rPr>
          <w:b/>
        </w:rPr>
        <w:t xml:space="preserve">to </w:t>
      </w:r>
      <w:r w:rsidR="00376C44">
        <w:rPr>
          <w:b/>
        </w:rPr>
        <w:t>Implement</w:t>
      </w:r>
      <w:r w:rsidR="00D02B05" w:rsidRPr="00606DEA">
        <w:rPr>
          <w:b/>
        </w:rPr>
        <w:t xml:space="preserve"> </w:t>
      </w:r>
      <w:r w:rsidRPr="00606DEA">
        <w:rPr>
          <w:b/>
        </w:rPr>
        <w:t>P</w:t>
      </w:r>
      <w:r w:rsidR="00427A3A">
        <w:rPr>
          <w:b/>
        </w:rPr>
        <w:t xml:space="preserve">ublic </w:t>
      </w:r>
      <w:r w:rsidRPr="00606DEA">
        <w:rPr>
          <w:b/>
        </w:rPr>
        <w:t>P</w:t>
      </w:r>
      <w:r w:rsidR="00427A3A">
        <w:rPr>
          <w:b/>
        </w:rPr>
        <w:t xml:space="preserve">rivate </w:t>
      </w:r>
      <w:r w:rsidRPr="00606DEA">
        <w:rPr>
          <w:b/>
        </w:rPr>
        <w:t>P</w:t>
      </w:r>
      <w:r w:rsidR="00427A3A">
        <w:rPr>
          <w:b/>
        </w:rPr>
        <w:t>artnerships</w:t>
      </w:r>
      <w:r w:rsidR="00885C15">
        <w:rPr>
          <w:b/>
        </w:rPr>
        <w:t xml:space="preserve"> (PPP)</w:t>
      </w:r>
      <w:r w:rsidRPr="00606DEA">
        <w:rPr>
          <w:b/>
        </w:rPr>
        <w:t xml:space="preserve"> (US$200,000).</w:t>
      </w:r>
      <w:r w:rsidRPr="008E173F">
        <w:t xml:space="preserve"> </w:t>
      </w:r>
      <w:r w:rsidR="00C63F7A">
        <w:t xml:space="preserve">The objective of this component is to strengthen the institutional framework for carrying out PPPs. </w:t>
      </w:r>
      <w:r w:rsidRPr="008E173F">
        <w:t>This component will finance</w:t>
      </w:r>
      <w:r>
        <w:t>:</w:t>
      </w:r>
      <w:r w:rsidRPr="008E173F">
        <w:t xml:space="preserve"> (i) the assessment of the institutional, legal and regulatory framework to implement PPPs</w:t>
      </w:r>
      <w:r w:rsidR="00885C15">
        <w:t xml:space="preserve"> </w:t>
      </w:r>
      <w:r w:rsidR="00E9467A">
        <w:t xml:space="preserve">and divestiture of government assets </w:t>
      </w:r>
      <w:r w:rsidR="00885C15">
        <w:t>in Jamaica</w:t>
      </w:r>
      <w:r w:rsidRPr="008E173F">
        <w:t xml:space="preserve">, (ii) </w:t>
      </w:r>
      <w:r w:rsidR="002A18F8">
        <w:t>evaluation</w:t>
      </w:r>
      <w:r w:rsidR="00C2400B">
        <w:t xml:space="preserve"> and </w:t>
      </w:r>
      <w:r w:rsidR="00C2400B" w:rsidRPr="00376C44">
        <w:t>recommendation of the most pertinent</w:t>
      </w:r>
      <w:r w:rsidRPr="00376C44">
        <w:t xml:space="preserve"> institutional framework for developing PPPs</w:t>
      </w:r>
      <w:r w:rsidR="00E9467A">
        <w:t xml:space="preserve"> and handling state divestitures</w:t>
      </w:r>
      <w:r w:rsidRPr="00376C44">
        <w:t xml:space="preserve">; (iii) </w:t>
      </w:r>
      <w:r w:rsidR="00C2400B" w:rsidRPr="00376C44">
        <w:t>drafting</w:t>
      </w:r>
      <w:r w:rsidRPr="00376C44">
        <w:t xml:space="preserve"> of a methodology for project </w:t>
      </w:r>
      <w:r w:rsidR="00C2400B" w:rsidRPr="00376C44">
        <w:t xml:space="preserve">identification </w:t>
      </w:r>
      <w:r w:rsidRPr="00376C44">
        <w:t xml:space="preserve">and selection; and (iv) </w:t>
      </w:r>
      <w:r w:rsidR="002326B5" w:rsidRPr="00376C44">
        <w:t xml:space="preserve">an assessment of the </w:t>
      </w:r>
      <w:r w:rsidR="00376C44" w:rsidRPr="00376C44">
        <w:t xml:space="preserve">fiscal </w:t>
      </w:r>
      <w:r w:rsidR="002326B5" w:rsidRPr="00376C44">
        <w:t xml:space="preserve">costs associated with using the PPP model, including the management </w:t>
      </w:r>
      <w:r w:rsidR="00241F9B">
        <w:t>by the MoF&amp;PS of contingent and</w:t>
      </w:r>
      <w:r w:rsidR="009A1782">
        <w:t xml:space="preserve"> </w:t>
      </w:r>
      <w:r w:rsidR="002326B5" w:rsidRPr="00376C44">
        <w:t>non-contingent liabilities</w:t>
      </w:r>
      <w:r w:rsidR="00E9467A">
        <w:t xml:space="preserve"> for both PPPs and divested entities</w:t>
      </w:r>
      <w:r w:rsidR="002326B5" w:rsidRPr="00376C44">
        <w:t xml:space="preserve">. In addition, this component will support </w:t>
      </w:r>
      <w:r w:rsidR="00376C44" w:rsidRPr="00376C44">
        <w:t xml:space="preserve">innovative PPP proposals such as the support of </w:t>
      </w:r>
      <w:r w:rsidR="00376C44">
        <w:t xml:space="preserve">ongoing initiatives of </w:t>
      </w:r>
      <w:r w:rsidR="00376C44" w:rsidRPr="00376C44">
        <w:t xml:space="preserve">the </w:t>
      </w:r>
      <w:r w:rsidR="00504BC0">
        <w:t>National Education Trust (NET)</w:t>
      </w:r>
      <w:r w:rsidR="002326B5" w:rsidRPr="00376C44">
        <w:t>.</w:t>
      </w:r>
    </w:p>
    <w:p w:rsidR="00C94C81" w:rsidRDefault="004302E3" w:rsidP="00C94C81">
      <w:pPr>
        <w:pStyle w:val="Paragraph"/>
        <w:spacing w:after="0"/>
      </w:pPr>
      <w:r w:rsidRPr="0028368D">
        <w:rPr>
          <w:b/>
        </w:rPr>
        <w:t>Component 4:</w:t>
      </w:r>
      <w:r w:rsidRPr="008E173F">
        <w:t xml:space="preserve"> </w:t>
      </w:r>
      <w:r w:rsidRPr="00606DEA">
        <w:rPr>
          <w:b/>
        </w:rPr>
        <w:t xml:space="preserve">Support to Public Private Dialogue on issues on </w:t>
      </w:r>
      <w:r w:rsidR="0010105D">
        <w:rPr>
          <w:b/>
        </w:rPr>
        <w:t>P</w:t>
      </w:r>
      <w:r w:rsidRPr="00606DEA">
        <w:rPr>
          <w:b/>
        </w:rPr>
        <w:t xml:space="preserve">rivate </w:t>
      </w:r>
      <w:r w:rsidR="0010105D">
        <w:rPr>
          <w:b/>
        </w:rPr>
        <w:t>S</w:t>
      </w:r>
      <w:r w:rsidRPr="00606DEA">
        <w:rPr>
          <w:b/>
        </w:rPr>
        <w:t xml:space="preserve">ector </w:t>
      </w:r>
      <w:r w:rsidR="0010105D">
        <w:rPr>
          <w:b/>
        </w:rPr>
        <w:t>D</w:t>
      </w:r>
      <w:r w:rsidR="00AA5E77">
        <w:rPr>
          <w:b/>
        </w:rPr>
        <w:t>evelopment (US$156,869</w:t>
      </w:r>
      <w:r w:rsidRPr="00606DEA">
        <w:rPr>
          <w:b/>
        </w:rPr>
        <w:t>).</w:t>
      </w:r>
      <w:r w:rsidRPr="008E173F">
        <w:t xml:space="preserve"> </w:t>
      </w:r>
      <w:r w:rsidR="008A48FA">
        <w:t xml:space="preserve">The objective is to </w:t>
      </w:r>
      <w:r w:rsidR="008A48FA" w:rsidRPr="002A2F69">
        <w:rPr>
          <w:szCs w:val="24"/>
        </w:rPr>
        <w:t>increase the Public-Private consensus and focus on strategic interventions to promote private sector development</w:t>
      </w:r>
      <w:r w:rsidR="008A48FA">
        <w:t>.</w:t>
      </w:r>
      <w:r w:rsidR="00F63162">
        <w:t xml:space="preserve"> </w:t>
      </w:r>
      <w:r w:rsidRPr="008E173F">
        <w:t>This component will support</w:t>
      </w:r>
      <w:r w:rsidR="00F63162">
        <w:t>:</w:t>
      </w:r>
      <w:r w:rsidRPr="008E173F">
        <w:t xml:space="preserve"> </w:t>
      </w:r>
      <w:r w:rsidR="00F63162">
        <w:t xml:space="preserve">(i) institutional strengthening of </w:t>
      </w:r>
      <w:r w:rsidRPr="008E173F">
        <w:t>the Technical Secretariat of both the “National Planning Summit” (NPS), and the “Partnership for Transformation” (PfT)</w:t>
      </w:r>
      <w:r w:rsidR="00F63162">
        <w:t xml:space="preserve">; and (ii) </w:t>
      </w:r>
      <w:r w:rsidRPr="008E173F">
        <w:t xml:space="preserve">the development of </w:t>
      </w:r>
      <w:r w:rsidR="006C315D">
        <w:t xml:space="preserve">PSD </w:t>
      </w:r>
      <w:r w:rsidRPr="008E173F">
        <w:t xml:space="preserve">technical studies. The Secretariat will be responsible for organizing and implementing the validation process of the Private Sector Development </w:t>
      </w:r>
      <w:r w:rsidR="00CB2916">
        <w:t>S</w:t>
      </w:r>
      <w:r w:rsidRPr="008E173F">
        <w:t xml:space="preserve">trategy financed under </w:t>
      </w:r>
      <w:r>
        <w:t>C</w:t>
      </w:r>
      <w:r w:rsidRPr="008E173F">
        <w:t>omponent 1.</w:t>
      </w:r>
      <w:bookmarkStart w:id="115" w:name="_Toc204581721"/>
    </w:p>
    <w:p w:rsidR="00C94C81" w:rsidRDefault="00C94C81">
      <w:r>
        <w:br w:type="page"/>
      </w:r>
    </w:p>
    <w:p w:rsidR="0043709A" w:rsidRDefault="0043709A" w:rsidP="00504BC0">
      <w:pPr>
        <w:pStyle w:val="Chapter"/>
        <w:spacing w:before="600"/>
      </w:pPr>
      <w:r>
        <w:lastRenderedPageBreak/>
        <w:t>Cost and Financing</w:t>
      </w:r>
      <w:bookmarkEnd w:id="115"/>
    </w:p>
    <w:p w:rsidR="0043709A" w:rsidRDefault="0043709A">
      <w:pPr>
        <w:pStyle w:val="Paragraph"/>
        <w:widowControl w:val="0"/>
        <w:numPr>
          <w:ilvl w:val="0"/>
          <w:numId w:val="0"/>
        </w:numPr>
        <w:rPr>
          <w:szCs w:val="24"/>
        </w:rPr>
        <w:sectPr w:rsidR="0043709A">
          <w:type w:val="continuous"/>
          <w:pgSz w:w="12240" w:h="15840" w:code="1"/>
          <w:pgMar w:top="1440" w:right="1800" w:bottom="1440" w:left="1800" w:header="706" w:footer="706" w:gutter="0"/>
          <w:cols w:space="720"/>
          <w:formProt w:val="0"/>
          <w:titlePg/>
        </w:sectPr>
      </w:pPr>
    </w:p>
    <w:p w:rsidR="00C63F7A" w:rsidRDefault="00C63F7A" w:rsidP="00C63F7A">
      <w:pPr>
        <w:pStyle w:val="Paragraph"/>
      </w:pPr>
      <w:bookmarkStart w:id="116" w:name="_Toc434845963"/>
      <w:bookmarkStart w:id="117" w:name="_Toc434846231"/>
      <w:bookmarkStart w:id="118" w:name="_Toc434846944"/>
      <w:bookmarkStart w:id="119" w:name="_Toc437759772"/>
      <w:bookmarkStart w:id="120" w:name="_Toc444883313"/>
      <w:bookmarkStart w:id="121" w:name="_Toc445703765"/>
      <w:bookmarkStart w:id="122" w:name="_Toc445703983"/>
      <w:bookmarkStart w:id="123" w:name="_Toc454879433"/>
      <w:bookmarkStart w:id="124" w:name="_Toc456437350"/>
      <w:bookmarkStart w:id="125" w:name="_Toc456438404"/>
      <w:bookmarkStart w:id="126" w:name="_Toc456441638"/>
      <w:bookmarkStart w:id="127" w:name="_Toc457383674"/>
      <w:bookmarkStart w:id="128" w:name="_Toc457884584"/>
      <w:bookmarkStart w:id="129" w:name="_Toc461010083"/>
      <w:bookmarkStart w:id="130" w:name="_Toc461010254"/>
      <w:bookmarkStart w:id="131" w:name="_Toc461356857"/>
      <w:bookmarkStart w:id="132" w:name="_Toc461356897"/>
      <w:r w:rsidRPr="008E173F">
        <w:lastRenderedPageBreak/>
        <w:t>The total cost of the project is US$750,000.00, out of which £406,2</w:t>
      </w:r>
      <w:r>
        <w:t xml:space="preserve">50 </w:t>
      </w:r>
      <w:r w:rsidRPr="008E173F">
        <w:t>(approximately</w:t>
      </w:r>
      <w:r>
        <w:t xml:space="preserve"> </w:t>
      </w:r>
      <w:r w:rsidRPr="008E173F">
        <w:t>US$650,000</w:t>
      </w:r>
      <w:r w:rsidR="000A7404">
        <w:rPr>
          <w:rStyle w:val="FootnoteReference"/>
        </w:rPr>
        <w:footnoteReference w:id="7"/>
      </w:r>
      <w:r>
        <w:t xml:space="preserve">) </w:t>
      </w:r>
      <w:r w:rsidRPr="008E173F">
        <w:t xml:space="preserve">will be financed </w:t>
      </w:r>
      <w:r>
        <w:t xml:space="preserve">in a non-reimbursable form </w:t>
      </w:r>
      <w:r w:rsidRPr="008E173F">
        <w:t>with resources from a Grant Co</w:t>
      </w:r>
      <w:r w:rsidR="00CB2916">
        <w:t>-</w:t>
      </w:r>
      <w:r w:rsidRPr="008E173F">
        <w:t xml:space="preserve">financing Contribution </w:t>
      </w:r>
      <w:r>
        <w:t>Administered by the Bank (</w:t>
      </w:r>
      <w:r w:rsidRPr="008E173F">
        <w:t>COFAB</w:t>
      </w:r>
      <w:r>
        <w:t>)</w:t>
      </w:r>
      <w:r w:rsidRPr="008E173F">
        <w:t xml:space="preserve"> to </w:t>
      </w:r>
      <w:r w:rsidR="00E375A1">
        <w:t>be provided by</w:t>
      </w:r>
      <w:r w:rsidRPr="008E173F">
        <w:t xml:space="preserve"> the Department for International Development (DFID) from the United Kingdom. </w:t>
      </w:r>
    </w:p>
    <w:p w:rsidR="00C63F7A" w:rsidRPr="008E173F" w:rsidRDefault="00C63F7A" w:rsidP="00C63F7A">
      <w:pPr>
        <w:pStyle w:val="Paragraph"/>
      </w:pPr>
      <w:r w:rsidRPr="008E173F">
        <w:t xml:space="preserve">The resources of </w:t>
      </w:r>
      <w:r>
        <w:t>the COFAB are</w:t>
      </w:r>
      <w:r w:rsidRPr="008E173F">
        <w:t xml:space="preserve"> regulated under the “Operational Procedures for Grant Co</w:t>
      </w:r>
      <w:r w:rsidR="00CB2916">
        <w:t>-</w:t>
      </w:r>
      <w:r w:rsidRPr="008E173F">
        <w:t xml:space="preserve">financing Contributions Administered by the Bank” (Document </w:t>
      </w:r>
      <w:r w:rsidR="00AB6539">
        <w:t xml:space="preserve">         </w:t>
      </w:r>
      <w:r w:rsidRPr="008E173F">
        <w:t>CC-5732)</w:t>
      </w:r>
      <w:r>
        <w:t xml:space="preserve">, for which </w:t>
      </w:r>
      <w:r w:rsidRPr="008E173F">
        <w:t>an Administrative Arrangement between the IDB and the Government of the United Kingdom, represented by DFID, under the “Cooperation Framework Arrangement” (the “UK Framework Arrangement”) dated October 3, 2004. In accordance with the provisions of the UK Framework Arrangement, upon receipt of a contribution from DFID, the Bank will charge an administrative fee of five percent (5%) of the contribution, which is duly identified in the budget of this technical cooperation</w:t>
      </w:r>
      <w:r>
        <w:t>. The local counterpart will amount to US$100,000, and will consist of in-kind contributions estimat</w:t>
      </w:r>
      <w:r w:rsidR="005C4338">
        <w:t>ed in approximately US$50,000</w:t>
      </w:r>
      <w:r>
        <w:t xml:space="preserve"> and ca</w:t>
      </w:r>
      <w:r w:rsidR="005C4338">
        <w:t>sh contributions of US$50,000</w:t>
      </w:r>
      <w:r>
        <w:t>.</w:t>
      </w:r>
      <w:r w:rsidR="00E375A1">
        <w:t xml:space="preserve"> The cash contributions correspond to the full time coordinator provided by the PIO</w:t>
      </w:r>
      <w:r w:rsidR="005C4338">
        <w:t>J and the in-</w:t>
      </w:r>
      <w:r w:rsidR="00E375A1">
        <w:t xml:space="preserve">kind contributions correspond to the research products that </w:t>
      </w:r>
      <w:r w:rsidR="00CB2916">
        <w:t>have been</w:t>
      </w:r>
      <w:r w:rsidR="00E375A1">
        <w:t xml:space="preserve"> carried out by PSOJ. </w:t>
      </w:r>
    </w:p>
    <w:p w:rsidR="00C63F7A" w:rsidRPr="008F1956" w:rsidRDefault="00C63F7A" w:rsidP="00C63F7A">
      <w:pPr>
        <w:ind w:left="720"/>
        <w:jc w:val="center"/>
        <w:rPr>
          <w:b/>
          <w:szCs w:val="24"/>
        </w:rPr>
      </w:pPr>
      <w:r w:rsidRPr="008F1956">
        <w:rPr>
          <w:b/>
          <w:szCs w:val="24"/>
        </w:rPr>
        <w:t>Table 1</w:t>
      </w:r>
      <w:r w:rsidR="002A1831">
        <w:rPr>
          <w:b/>
          <w:szCs w:val="24"/>
        </w:rPr>
        <w:t xml:space="preserve"> *</w:t>
      </w:r>
    </w:p>
    <w:tbl>
      <w:tblPr>
        <w:tblW w:w="81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1080"/>
        <w:gridCol w:w="1260"/>
        <w:gridCol w:w="1080"/>
        <w:gridCol w:w="1350"/>
      </w:tblGrid>
      <w:tr w:rsidR="00C63F7A" w:rsidRPr="009A632F">
        <w:trPr>
          <w:trHeight w:val="530"/>
        </w:trPr>
        <w:tc>
          <w:tcPr>
            <w:tcW w:w="3420" w:type="dxa"/>
            <w:shd w:val="pct15" w:color="auto" w:fill="FFFFFF"/>
            <w:noWrap/>
            <w:vAlign w:val="center"/>
          </w:tcPr>
          <w:p w:rsidR="00C63F7A" w:rsidRPr="009A632F" w:rsidRDefault="00C63F7A" w:rsidP="006B0346">
            <w:pPr>
              <w:jc w:val="center"/>
              <w:rPr>
                <w:b/>
                <w:sz w:val="20"/>
              </w:rPr>
            </w:pPr>
            <w:r w:rsidRPr="009A632F">
              <w:rPr>
                <w:b/>
                <w:sz w:val="20"/>
              </w:rPr>
              <w:t>Activity</w:t>
            </w:r>
          </w:p>
        </w:tc>
        <w:tc>
          <w:tcPr>
            <w:tcW w:w="1080" w:type="dxa"/>
            <w:shd w:val="pct15" w:color="auto" w:fill="FFFFFF"/>
            <w:noWrap/>
            <w:vAlign w:val="center"/>
          </w:tcPr>
          <w:p w:rsidR="00C63F7A" w:rsidRDefault="00C63F7A" w:rsidP="006B0346">
            <w:pPr>
              <w:jc w:val="center"/>
              <w:rPr>
                <w:b/>
                <w:sz w:val="20"/>
              </w:rPr>
            </w:pPr>
            <w:r w:rsidRPr="009A632F">
              <w:rPr>
                <w:b/>
                <w:sz w:val="20"/>
              </w:rPr>
              <w:t>Cost</w:t>
            </w:r>
          </w:p>
          <w:p w:rsidR="002A1831" w:rsidRPr="009A632F" w:rsidRDefault="002A1831" w:rsidP="006B0346">
            <w:pPr>
              <w:jc w:val="center"/>
              <w:rPr>
                <w:b/>
                <w:sz w:val="20"/>
              </w:rPr>
            </w:pPr>
            <w:r>
              <w:rPr>
                <w:b/>
                <w:sz w:val="20"/>
              </w:rPr>
              <w:t>USD</w:t>
            </w:r>
          </w:p>
        </w:tc>
        <w:tc>
          <w:tcPr>
            <w:tcW w:w="1260" w:type="dxa"/>
            <w:shd w:val="pct15" w:color="auto" w:fill="FFFFFF"/>
            <w:vAlign w:val="center"/>
          </w:tcPr>
          <w:p w:rsidR="00C63F7A" w:rsidRPr="009A632F" w:rsidRDefault="0042071A" w:rsidP="006B0346">
            <w:pPr>
              <w:jc w:val="center"/>
              <w:rPr>
                <w:b/>
                <w:sz w:val="20"/>
              </w:rPr>
            </w:pPr>
            <w:r>
              <w:rPr>
                <w:b/>
                <w:sz w:val="20"/>
              </w:rPr>
              <w:t>COFAB</w:t>
            </w:r>
          </w:p>
          <w:p w:rsidR="00C63F7A" w:rsidRPr="009A632F" w:rsidRDefault="00C63F7A" w:rsidP="006B0346">
            <w:pPr>
              <w:jc w:val="center"/>
              <w:rPr>
                <w:b/>
                <w:sz w:val="20"/>
              </w:rPr>
            </w:pPr>
            <w:r w:rsidRPr="009A632F">
              <w:rPr>
                <w:b/>
                <w:sz w:val="20"/>
              </w:rPr>
              <w:t>USD</w:t>
            </w:r>
            <w:r w:rsidR="00AF29FB">
              <w:rPr>
                <w:b/>
                <w:sz w:val="20"/>
              </w:rPr>
              <w:t xml:space="preserve"> </w:t>
            </w:r>
            <w:r w:rsidR="002326B5" w:rsidRPr="002326B5">
              <w:rPr>
                <w:b/>
                <w:sz w:val="16"/>
              </w:rPr>
              <w:t>(1£=1.6</w:t>
            </w:r>
            <w:r w:rsidR="00AA5E77">
              <w:rPr>
                <w:b/>
                <w:sz w:val="16"/>
              </w:rPr>
              <w:t>6</w:t>
            </w:r>
            <w:r w:rsidR="002326B5" w:rsidRPr="002326B5">
              <w:rPr>
                <w:b/>
                <w:sz w:val="16"/>
              </w:rPr>
              <w:t>US$)</w:t>
            </w:r>
          </w:p>
        </w:tc>
        <w:tc>
          <w:tcPr>
            <w:tcW w:w="1080" w:type="dxa"/>
            <w:shd w:val="pct15" w:color="auto" w:fill="FFFFFF"/>
            <w:vAlign w:val="center"/>
          </w:tcPr>
          <w:p w:rsidR="00C63F7A" w:rsidRPr="009A632F" w:rsidRDefault="0042071A" w:rsidP="006B0346">
            <w:pPr>
              <w:jc w:val="center"/>
              <w:rPr>
                <w:b/>
                <w:sz w:val="20"/>
              </w:rPr>
            </w:pPr>
            <w:r>
              <w:rPr>
                <w:b/>
                <w:sz w:val="20"/>
              </w:rPr>
              <w:t>COFAB</w:t>
            </w:r>
          </w:p>
          <w:p w:rsidR="00C63F7A" w:rsidRPr="009A632F" w:rsidRDefault="00C63F7A" w:rsidP="006B0346">
            <w:pPr>
              <w:jc w:val="center"/>
              <w:rPr>
                <w:b/>
                <w:sz w:val="20"/>
              </w:rPr>
            </w:pPr>
            <w:r w:rsidRPr="009A632F">
              <w:rPr>
                <w:b/>
                <w:sz w:val="20"/>
              </w:rPr>
              <w:t>£</w:t>
            </w:r>
          </w:p>
        </w:tc>
        <w:tc>
          <w:tcPr>
            <w:tcW w:w="1350" w:type="dxa"/>
            <w:shd w:val="pct15" w:color="auto" w:fill="FFFFFF"/>
            <w:vAlign w:val="center"/>
          </w:tcPr>
          <w:p w:rsidR="00C63F7A" w:rsidRDefault="00C63F7A" w:rsidP="006B0346">
            <w:pPr>
              <w:jc w:val="center"/>
              <w:rPr>
                <w:b/>
                <w:sz w:val="20"/>
              </w:rPr>
            </w:pPr>
            <w:r w:rsidRPr="009A632F">
              <w:rPr>
                <w:b/>
                <w:sz w:val="20"/>
              </w:rPr>
              <w:t>Local Counterpart</w:t>
            </w:r>
          </w:p>
          <w:p w:rsidR="000E6247" w:rsidRPr="009A632F" w:rsidRDefault="000E6247" w:rsidP="006B0346">
            <w:pPr>
              <w:jc w:val="center"/>
              <w:rPr>
                <w:b/>
                <w:sz w:val="20"/>
              </w:rPr>
            </w:pPr>
            <w:r>
              <w:rPr>
                <w:b/>
                <w:sz w:val="20"/>
              </w:rPr>
              <w:t>USD</w:t>
            </w:r>
          </w:p>
        </w:tc>
      </w:tr>
      <w:tr w:rsidR="00C63F7A" w:rsidRPr="009A632F">
        <w:trPr>
          <w:trHeight w:val="255"/>
        </w:trPr>
        <w:tc>
          <w:tcPr>
            <w:tcW w:w="3420" w:type="dxa"/>
            <w:shd w:val="clear" w:color="auto" w:fill="FFFFFF"/>
            <w:noWrap/>
            <w:vAlign w:val="bottom"/>
          </w:tcPr>
          <w:p w:rsidR="00C63F7A" w:rsidRPr="009A632F" w:rsidRDefault="00C63F7A" w:rsidP="006B0346">
            <w:pPr>
              <w:rPr>
                <w:sz w:val="20"/>
              </w:rPr>
            </w:pPr>
            <w:r w:rsidRPr="009A632F">
              <w:rPr>
                <w:sz w:val="20"/>
              </w:rPr>
              <w:t>Component 1</w:t>
            </w:r>
          </w:p>
        </w:tc>
        <w:tc>
          <w:tcPr>
            <w:tcW w:w="1080" w:type="dxa"/>
            <w:shd w:val="clear" w:color="auto" w:fill="FFFFFF"/>
            <w:noWrap/>
            <w:vAlign w:val="bottom"/>
          </w:tcPr>
          <w:p w:rsidR="00C63F7A" w:rsidRPr="009A632F" w:rsidRDefault="00C63F7A" w:rsidP="006B0346">
            <w:pPr>
              <w:jc w:val="center"/>
              <w:rPr>
                <w:sz w:val="20"/>
              </w:rPr>
            </w:pPr>
            <w:r w:rsidRPr="009A632F">
              <w:rPr>
                <w:sz w:val="20"/>
              </w:rPr>
              <w:t>110,000</w:t>
            </w:r>
          </w:p>
        </w:tc>
        <w:tc>
          <w:tcPr>
            <w:tcW w:w="1260" w:type="dxa"/>
            <w:shd w:val="clear" w:color="auto" w:fill="FFFFFF"/>
            <w:noWrap/>
            <w:vAlign w:val="bottom"/>
          </w:tcPr>
          <w:p w:rsidR="00C63F7A" w:rsidRPr="009A632F" w:rsidRDefault="00C63F7A" w:rsidP="006B0346">
            <w:pPr>
              <w:jc w:val="center"/>
              <w:rPr>
                <w:sz w:val="20"/>
              </w:rPr>
            </w:pPr>
            <w:r w:rsidRPr="009A632F">
              <w:rPr>
                <w:sz w:val="20"/>
              </w:rPr>
              <w:t>110,000</w:t>
            </w:r>
          </w:p>
        </w:tc>
        <w:tc>
          <w:tcPr>
            <w:tcW w:w="1080" w:type="dxa"/>
            <w:shd w:val="clear" w:color="auto" w:fill="FFFFFF"/>
          </w:tcPr>
          <w:p w:rsidR="00C63F7A" w:rsidRPr="009A632F" w:rsidRDefault="00C63F7A" w:rsidP="006B0346">
            <w:pPr>
              <w:jc w:val="center"/>
              <w:rPr>
                <w:sz w:val="20"/>
              </w:rPr>
            </w:pPr>
            <w:r w:rsidRPr="009A632F">
              <w:rPr>
                <w:sz w:val="20"/>
              </w:rPr>
              <w:t>68,750</w:t>
            </w:r>
          </w:p>
        </w:tc>
        <w:tc>
          <w:tcPr>
            <w:tcW w:w="1350" w:type="dxa"/>
            <w:shd w:val="clear" w:color="auto" w:fill="FFFFFF"/>
            <w:noWrap/>
            <w:vAlign w:val="bottom"/>
          </w:tcPr>
          <w:p w:rsidR="00C63F7A" w:rsidRPr="009A632F" w:rsidRDefault="00C63F7A" w:rsidP="006B0346">
            <w:pPr>
              <w:jc w:val="center"/>
              <w:rPr>
                <w:sz w:val="20"/>
              </w:rPr>
            </w:pPr>
            <w:r w:rsidRPr="009A632F">
              <w:rPr>
                <w:sz w:val="20"/>
              </w:rPr>
              <w:t>0</w:t>
            </w:r>
          </w:p>
        </w:tc>
      </w:tr>
      <w:tr w:rsidR="00C63F7A" w:rsidRPr="009A632F">
        <w:trPr>
          <w:trHeight w:val="255"/>
        </w:trPr>
        <w:tc>
          <w:tcPr>
            <w:tcW w:w="3420" w:type="dxa"/>
            <w:shd w:val="clear" w:color="auto" w:fill="FFFFFF"/>
            <w:noWrap/>
            <w:vAlign w:val="bottom"/>
          </w:tcPr>
          <w:p w:rsidR="00C63F7A" w:rsidRPr="009A632F" w:rsidRDefault="00C63F7A" w:rsidP="006B0346">
            <w:pPr>
              <w:rPr>
                <w:sz w:val="20"/>
              </w:rPr>
            </w:pPr>
            <w:r w:rsidRPr="009A632F">
              <w:rPr>
                <w:sz w:val="20"/>
              </w:rPr>
              <w:t>Component 2</w:t>
            </w:r>
          </w:p>
        </w:tc>
        <w:tc>
          <w:tcPr>
            <w:tcW w:w="1080" w:type="dxa"/>
            <w:shd w:val="clear" w:color="auto" w:fill="FFFFFF"/>
            <w:noWrap/>
            <w:vAlign w:val="bottom"/>
          </w:tcPr>
          <w:p w:rsidR="00C63F7A" w:rsidRPr="009A632F" w:rsidRDefault="00C63F7A" w:rsidP="006B0346">
            <w:pPr>
              <w:jc w:val="center"/>
              <w:rPr>
                <w:sz w:val="20"/>
              </w:rPr>
            </w:pPr>
            <w:r w:rsidRPr="009A632F">
              <w:rPr>
                <w:sz w:val="20"/>
              </w:rPr>
              <w:t>200,000</w:t>
            </w:r>
          </w:p>
        </w:tc>
        <w:tc>
          <w:tcPr>
            <w:tcW w:w="1260" w:type="dxa"/>
            <w:shd w:val="clear" w:color="auto" w:fill="FFFFFF"/>
            <w:noWrap/>
            <w:vAlign w:val="bottom"/>
          </w:tcPr>
          <w:p w:rsidR="00C63F7A" w:rsidRPr="009A632F" w:rsidRDefault="00C63F7A" w:rsidP="006B0346">
            <w:pPr>
              <w:jc w:val="center"/>
              <w:rPr>
                <w:sz w:val="20"/>
              </w:rPr>
            </w:pPr>
            <w:r w:rsidRPr="009A632F">
              <w:rPr>
                <w:sz w:val="20"/>
              </w:rPr>
              <w:t>200,000</w:t>
            </w:r>
          </w:p>
        </w:tc>
        <w:tc>
          <w:tcPr>
            <w:tcW w:w="1080" w:type="dxa"/>
            <w:shd w:val="clear" w:color="auto" w:fill="FFFFFF"/>
          </w:tcPr>
          <w:p w:rsidR="00C63F7A" w:rsidRPr="009A632F" w:rsidRDefault="00C63F7A" w:rsidP="006B0346">
            <w:pPr>
              <w:jc w:val="center"/>
              <w:rPr>
                <w:sz w:val="20"/>
              </w:rPr>
            </w:pPr>
            <w:r w:rsidRPr="009A632F">
              <w:rPr>
                <w:sz w:val="20"/>
              </w:rPr>
              <w:t>125,000</w:t>
            </w:r>
          </w:p>
        </w:tc>
        <w:tc>
          <w:tcPr>
            <w:tcW w:w="1350" w:type="dxa"/>
            <w:shd w:val="clear" w:color="auto" w:fill="FFFFFF"/>
            <w:noWrap/>
            <w:vAlign w:val="bottom"/>
          </w:tcPr>
          <w:p w:rsidR="00C63F7A" w:rsidRPr="009A632F" w:rsidRDefault="00C63F7A" w:rsidP="006B0346">
            <w:pPr>
              <w:jc w:val="center"/>
              <w:rPr>
                <w:sz w:val="20"/>
              </w:rPr>
            </w:pPr>
            <w:r w:rsidRPr="009A632F">
              <w:rPr>
                <w:sz w:val="20"/>
              </w:rPr>
              <w:t>0</w:t>
            </w:r>
          </w:p>
        </w:tc>
      </w:tr>
      <w:tr w:rsidR="00C63F7A" w:rsidRPr="009A632F">
        <w:trPr>
          <w:trHeight w:val="390"/>
        </w:trPr>
        <w:tc>
          <w:tcPr>
            <w:tcW w:w="3420" w:type="dxa"/>
            <w:shd w:val="clear" w:color="auto" w:fill="FFFFFF"/>
            <w:noWrap/>
            <w:vAlign w:val="bottom"/>
          </w:tcPr>
          <w:p w:rsidR="00C63F7A" w:rsidRPr="009A632F" w:rsidRDefault="00C63F7A" w:rsidP="006B0346">
            <w:pPr>
              <w:rPr>
                <w:sz w:val="20"/>
              </w:rPr>
            </w:pPr>
            <w:r w:rsidRPr="009A632F">
              <w:rPr>
                <w:sz w:val="20"/>
              </w:rPr>
              <w:t>Component 3</w:t>
            </w:r>
          </w:p>
        </w:tc>
        <w:tc>
          <w:tcPr>
            <w:tcW w:w="1080" w:type="dxa"/>
            <w:shd w:val="clear" w:color="auto" w:fill="FFFFFF"/>
            <w:noWrap/>
            <w:vAlign w:val="bottom"/>
          </w:tcPr>
          <w:p w:rsidR="00C63F7A" w:rsidRPr="009A632F" w:rsidRDefault="00C63F7A" w:rsidP="006B0346">
            <w:pPr>
              <w:jc w:val="center"/>
              <w:rPr>
                <w:sz w:val="20"/>
              </w:rPr>
            </w:pPr>
            <w:r w:rsidRPr="009A632F">
              <w:rPr>
                <w:sz w:val="20"/>
              </w:rPr>
              <w:t>200,000</w:t>
            </w:r>
          </w:p>
        </w:tc>
        <w:tc>
          <w:tcPr>
            <w:tcW w:w="1260" w:type="dxa"/>
            <w:shd w:val="clear" w:color="auto" w:fill="FFFFFF"/>
            <w:noWrap/>
            <w:vAlign w:val="bottom"/>
          </w:tcPr>
          <w:p w:rsidR="00C63F7A" w:rsidRPr="009A632F" w:rsidRDefault="00C63F7A" w:rsidP="006B0346">
            <w:pPr>
              <w:jc w:val="center"/>
              <w:rPr>
                <w:sz w:val="20"/>
              </w:rPr>
            </w:pPr>
            <w:r w:rsidRPr="009A632F">
              <w:rPr>
                <w:sz w:val="20"/>
              </w:rPr>
              <w:t>200,000</w:t>
            </w:r>
          </w:p>
        </w:tc>
        <w:tc>
          <w:tcPr>
            <w:tcW w:w="1080" w:type="dxa"/>
            <w:shd w:val="clear" w:color="auto" w:fill="FFFFFF"/>
          </w:tcPr>
          <w:p w:rsidR="00C63F7A" w:rsidRPr="009A632F" w:rsidRDefault="00C63F7A" w:rsidP="006B0346">
            <w:pPr>
              <w:jc w:val="center"/>
              <w:rPr>
                <w:sz w:val="20"/>
              </w:rPr>
            </w:pPr>
            <w:r w:rsidRPr="009A632F">
              <w:rPr>
                <w:sz w:val="20"/>
              </w:rPr>
              <w:t>125,000</w:t>
            </w:r>
          </w:p>
        </w:tc>
        <w:tc>
          <w:tcPr>
            <w:tcW w:w="1350" w:type="dxa"/>
            <w:shd w:val="clear" w:color="auto" w:fill="FFFFFF"/>
            <w:noWrap/>
            <w:vAlign w:val="bottom"/>
          </w:tcPr>
          <w:p w:rsidR="00C63F7A" w:rsidRPr="009A632F" w:rsidRDefault="00C63F7A" w:rsidP="006B0346">
            <w:pPr>
              <w:jc w:val="center"/>
              <w:rPr>
                <w:sz w:val="20"/>
              </w:rPr>
            </w:pPr>
            <w:r w:rsidRPr="009A632F">
              <w:rPr>
                <w:sz w:val="20"/>
              </w:rPr>
              <w:t>0</w:t>
            </w:r>
          </w:p>
        </w:tc>
      </w:tr>
      <w:tr w:rsidR="00C63F7A" w:rsidRPr="009A632F">
        <w:trPr>
          <w:trHeight w:val="255"/>
        </w:trPr>
        <w:tc>
          <w:tcPr>
            <w:tcW w:w="3420" w:type="dxa"/>
            <w:shd w:val="clear" w:color="auto" w:fill="FFFFFF"/>
            <w:noWrap/>
            <w:vAlign w:val="bottom"/>
          </w:tcPr>
          <w:p w:rsidR="00C63F7A" w:rsidRPr="009A632F" w:rsidRDefault="00C63F7A" w:rsidP="006B0346">
            <w:pPr>
              <w:rPr>
                <w:sz w:val="20"/>
              </w:rPr>
            </w:pPr>
            <w:r w:rsidRPr="009A632F">
              <w:rPr>
                <w:sz w:val="20"/>
              </w:rPr>
              <w:t>Component 4</w:t>
            </w:r>
          </w:p>
        </w:tc>
        <w:tc>
          <w:tcPr>
            <w:tcW w:w="1080" w:type="dxa"/>
            <w:shd w:val="clear" w:color="auto" w:fill="FFFFFF"/>
            <w:noWrap/>
            <w:vAlign w:val="bottom"/>
          </w:tcPr>
          <w:p w:rsidR="00C63F7A" w:rsidRPr="009A632F" w:rsidRDefault="00AA5E77" w:rsidP="006B0346">
            <w:pPr>
              <w:jc w:val="center"/>
              <w:rPr>
                <w:sz w:val="20"/>
              </w:rPr>
            </w:pPr>
            <w:r>
              <w:rPr>
                <w:sz w:val="20"/>
              </w:rPr>
              <w:t>156,869</w:t>
            </w:r>
          </w:p>
        </w:tc>
        <w:tc>
          <w:tcPr>
            <w:tcW w:w="1260" w:type="dxa"/>
            <w:shd w:val="clear" w:color="auto" w:fill="FFFFFF"/>
            <w:noWrap/>
            <w:vAlign w:val="bottom"/>
          </w:tcPr>
          <w:p w:rsidR="00C63F7A" w:rsidRPr="009A632F" w:rsidRDefault="00AA5E77" w:rsidP="006B0346">
            <w:pPr>
              <w:jc w:val="center"/>
              <w:rPr>
                <w:sz w:val="20"/>
              </w:rPr>
            </w:pPr>
            <w:r>
              <w:rPr>
                <w:sz w:val="20"/>
              </w:rPr>
              <w:t>106,869</w:t>
            </w:r>
          </w:p>
        </w:tc>
        <w:tc>
          <w:tcPr>
            <w:tcW w:w="1080" w:type="dxa"/>
            <w:shd w:val="clear" w:color="auto" w:fill="FFFFFF"/>
          </w:tcPr>
          <w:p w:rsidR="00C63F7A" w:rsidRPr="009A632F" w:rsidRDefault="00C63F7A" w:rsidP="006B0346">
            <w:pPr>
              <w:jc w:val="center"/>
              <w:rPr>
                <w:sz w:val="20"/>
              </w:rPr>
            </w:pPr>
            <w:r>
              <w:rPr>
                <w:sz w:val="20"/>
              </w:rPr>
              <w:t>6</w:t>
            </w:r>
            <w:r w:rsidRPr="009A632F">
              <w:rPr>
                <w:sz w:val="20"/>
              </w:rPr>
              <w:t>2</w:t>
            </w:r>
            <w:r>
              <w:rPr>
                <w:sz w:val="20"/>
              </w:rPr>
              <w:t>,</w:t>
            </w:r>
            <w:r w:rsidRPr="009A632F">
              <w:rPr>
                <w:sz w:val="20"/>
              </w:rPr>
              <w:t>500</w:t>
            </w:r>
          </w:p>
        </w:tc>
        <w:tc>
          <w:tcPr>
            <w:tcW w:w="1350" w:type="dxa"/>
            <w:shd w:val="clear" w:color="auto" w:fill="FFFFFF"/>
            <w:noWrap/>
            <w:vAlign w:val="bottom"/>
          </w:tcPr>
          <w:p w:rsidR="00C63F7A" w:rsidRPr="009A632F" w:rsidRDefault="00C63F7A" w:rsidP="006B0346">
            <w:pPr>
              <w:jc w:val="center"/>
              <w:rPr>
                <w:sz w:val="20"/>
              </w:rPr>
            </w:pPr>
            <w:r w:rsidRPr="009A632F">
              <w:rPr>
                <w:sz w:val="20"/>
              </w:rPr>
              <w:t>50,000</w:t>
            </w:r>
          </w:p>
        </w:tc>
      </w:tr>
      <w:tr w:rsidR="00C63F7A" w:rsidRPr="009A632F">
        <w:trPr>
          <w:trHeight w:val="350"/>
        </w:trPr>
        <w:tc>
          <w:tcPr>
            <w:tcW w:w="3420" w:type="dxa"/>
            <w:shd w:val="clear" w:color="auto" w:fill="FFFFFF"/>
            <w:noWrap/>
            <w:vAlign w:val="bottom"/>
          </w:tcPr>
          <w:p w:rsidR="00C63F7A" w:rsidRPr="009A632F" w:rsidRDefault="00C63F7A" w:rsidP="006B0346">
            <w:pPr>
              <w:rPr>
                <w:sz w:val="20"/>
              </w:rPr>
            </w:pPr>
            <w:r w:rsidRPr="009A632F">
              <w:rPr>
                <w:sz w:val="20"/>
              </w:rPr>
              <w:t>Coordination and Supervision</w:t>
            </w:r>
          </w:p>
        </w:tc>
        <w:tc>
          <w:tcPr>
            <w:tcW w:w="1080" w:type="dxa"/>
            <w:shd w:val="clear" w:color="auto" w:fill="FFFFFF"/>
            <w:noWrap/>
            <w:vAlign w:val="bottom"/>
          </w:tcPr>
          <w:p w:rsidR="00C63F7A" w:rsidRPr="009A632F" w:rsidRDefault="00C63F7A" w:rsidP="006B0346">
            <w:pPr>
              <w:jc w:val="center"/>
              <w:rPr>
                <w:sz w:val="20"/>
              </w:rPr>
            </w:pPr>
            <w:r w:rsidRPr="009A632F">
              <w:rPr>
                <w:sz w:val="20"/>
              </w:rPr>
              <w:t>50,000</w:t>
            </w:r>
          </w:p>
        </w:tc>
        <w:tc>
          <w:tcPr>
            <w:tcW w:w="1260" w:type="dxa"/>
            <w:shd w:val="clear" w:color="auto" w:fill="FFFFFF"/>
            <w:noWrap/>
            <w:vAlign w:val="bottom"/>
          </w:tcPr>
          <w:p w:rsidR="00C63F7A" w:rsidRPr="009A632F" w:rsidRDefault="00C63F7A" w:rsidP="006B0346">
            <w:pPr>
              <w:jc w:val="center"/>
              <w:rPr>
                <w:sz w:val="20"/>
              </w:rPr>
            </w:pPr>
          </w:p>
        </w:tc>
        <w:tc>
          <w:tcPr>
            <w:tcW w:w="1080" w:type="dxa"/>
            <w:shd w:val="clear" w:color="auto" w:fill="FFFFFF"/>
          </w:tcPr>
          <w:p w:rsidR="00C63F7A" w:rsidRPr="009A632F" w:rsidRDefault="00C63F7A" w:rsidP="006B0346">
            <w:pPr>
              <w:jc w:val="center"/>
              <w:rPr>
                <w:sz w:val="20"/>
              </w:rPr>
            </w:pPr>
          </w:p>
        </w:tc>
        <w:tc>
          <w:tcPr>
            <w:tcW w:w="1350" w:type="dxa"/>
            <w:shd w:val="clear" w:color="auto" w:fill="FFFFFF"/>
            <w:noWrap/>
            <w:vAlign w:val="bottom"/>
          </w:tcPr>
          <w:p w:rsidR="00C63F7A" w:rsidRPr="009A632F" w:rsidRDefault="00C63F7A" w:rsidP="006B0346">
            <w:pPr>
              <w:jc w:val="center"/>
              <w:rPr>
                <w:sz w:val="20"/>
              </w:rPr>
            </w:pPr>
            <w:r w:rsidRPr="009A632F">
              <w:rPr>
                <w:sz w:val="20"/>
              </w:rPr>
              <w:t>50,000</w:t>
            </w:r>
          </w:p>
        </w:tc>
      </w:tr>
      <w:tr w:rsidR="00C63F7A" w:rsidRPr="009A632F">
        <w:trPr>
          <w:trHeight w:val="255"/>
        </w:trPr>
        <w:tc>
          <w:tcPr>
            <w:tcW w:w="3420" w:type="dxa"/>
            <w:shd w:val="clear" w:color="auto" w:fill="FFFFFF"/>
            <w:noWrap/>
            <w:vAlign w:val="bottom"/>
          </w:tcPr>
          <w:p w:rsidR="00C63F7A" w:rsidRPr="009A632F" w:rsidRDefault="00C63F7A" w:rsidP="006B0346">
            <w:pPr>
              <w:rPr>
                <w:sz w:val="20"/>
              </w:rPr>
            </w:pPr>
            <w:r w:rsidRPr="009A632F">
              <w:rPr>
                <w:sz w:val="20"/>
              </w:rPr>
              <w:t>Contingencies</w:t>
            </w:r>
          </w:p>
        </w:tc>
        <w:tc>
          <w:tcPr>
            <w:tcW w:w="1080" w:type="dxa"/>
            <w:shd w:val="clear" w:color="auto" w:fill="FFFFFF"/>
            <w:noWrap/>
            <w:vAlign w:val="bottom"/>
          </w:tcPr>
          <w:p w:rsidR="00C63F7A" w:rsidRPr="009A632F" w:rsidRDefault="00C63F7A" w:rsidP="006B0346">
            <w:pPr>
              <w:jc w:val="center"/>
              <w:rPr>
                <w:sz w:val="20"/>
              </w:rPr>
            </w:pPr>
            <w:r w:rsidRPr="009A632F">
              <w:rPr>
                <w:sz w:val="20"/>
              </w:rPr>
              <w:t>7,500</w:t>
            </w:r>
          </w:p>
        </w:tc>
        <w:tc>
          <w:tcPr>
            <w:tcW w:w="1260" w:type="dxa"/>
            <w:shd w:val="clear" w:color="auto" w:fill="FFFFFF"/>
            <w:noWrap/>
            <w:vAlign w:val="bottom"/>
          </w:tcPr>
          <w:p w:rsidR="00C63F7A" w:rsidRPr="009A632F" w:rsidRDefault="00C63F7A" w:rsidP="006B0346">
            <w:pPr>
              <w:jc w:val="center"/>
              <w:rPr>
                <w:sz w:val="20"/>
              </w:rPr>
            </w:pPr>
            <w:r w:rsidRPr="009A632F">
              <w:rPr>
                <w:sz w:val="20"/>
              </w:rPr>
              <w:t>7,500</w:t>
            </w:r>
          </w:p>
        </w:tc>
        <w:tc>
          <w:tcPr>
            <w:tcW w:w="1080" w:type="dxa"/>
            <w:shd w:val="clear" w:color="auto" w:fill="FFFFFF"/>
          </w:tcPr>
          <w:p w:rsidR="00C63F7A" w:rsidRPr="009A632F" w:rsidRDefault="00C63F7A" w:rsidP="006B0346">
            <w:pPr>
              <w:jc w:val="center"/>
              <w:rPr>
                <w:sz w:val="20"/>
              </w:rPr>
            </w:pPr>
            <w:r w:rsidRPr="009A632F">
              <w:rPr>
                <w:sz w:val="20"/>
              </w:rPr>
              <w:t>4,687.5</w:t>
            </w:r>
          </w:p>
        </w:tc>
        <w:tc>
          <w:tcPr>
            <w:tcW w:w="1350" w:type="dxa"/>
            <w:shd w:val="clear" w:color="auto" w:fill="FFFFFF"/>
            <w:noWrap/>
            <w:vAlign w:val="bottom"/>
          </w:tcPr>
          <w:p w:rsidR="00C63F7A" w:rsidRPr="009A632F" w:rsidRDefault="00C63F7A" w:rsidP="006B0346">
            <w:pPr>
              <w:jc w:val="center"/>
              <w:rPr>
                <w:sz w:val="20"/>
              </w:rPr>
            </w:pPr>
          </w:p>
        </w:tc>
      </w:tr>
      <w:tr w:rsidR="00C63F7A" w:rsidRPr="009A632F">
        <w:trPr>
          <w:trHeight w:val="197"/>
        </w:trPr>
        <w:tc>
          <w:tcPr>
            <w:tcW w:w="3420" w:type="dxa"/>
            <w:shd w:val="clear" w:color="auto" w:fill="FFFFFF"/>
            <w:noWrap/>
            <w:vAlign w:val="bottom"/>
          </w:tcPr>
          <w:p w:rsidR="00C63F7A" w:rsidRPr="009A632F" w:rsidRDefault="00C63F7A" w:rsidP="006B0346">
            <w:pPr>
              <w:rPr>
                <w:sz w:val="20"/>
              </w:rPr>
            </w:pPr>
            <w:r w:rsidRPr="009A632F">
              <w:rPr>
                <w:sz w:val="20"/>
              </w:rPr>
              <w:t>COFAB Management Fee -DFID (5%)</w:t>
            </w:r>
          </w:p>
        </w:tc>
        <w:tc>
          <w:tcPr>
            <w:tcW w:w="1080" w:type="dxa"/>
            <w:shd w:val="clear" w:color="auto" w:fill="FFFFFF"/>
            <w:noWrap/>
            <w:vAlign w:val="bottom"/>
          </w:tcPr>
          <w:p w:rsidR="00C63F7A" w:rsidRPr="009A632F" w:rsidRDefault="00AA5E77" w:rsidP="006B0346">
            <w:pPr>
              <w:jc w:val="center"/>
              <w:rPr>
                <w:sz w:val="20"/>
              </w:rPr>
            </w:pPr>
            <w:r>
              <w:rPr>
                <w:sz w:val="20"/>
              </w:rPr>
              <w:t>32,862</w:t>
            </w:r>
          </w:p>
        </w:tc>
        <w:tc>
          <w:tcPr>
            <w:tcW w:w="1260" w:type="dxa"/>
            <w:shd w:val="clear" w:color="auto" w:fill="FFFFFF"/>
            <w:noWrap/>
            <w:vAlign w:val="bottom"/>
          </w:tcPr>
          <w:p w:rsidR="00C63F7A" w:rsidRPr="009A632F" w:rsidRDefault="00C63F7A" w:rsidP="006B0346">
            <w:pPr>
              <w:jc w:val="center"/>
              <w:rPr>
                <w:sz w:val="20"/>
              </w:rPr>
            </w:pPr>
            <w:r w:rsidRPr="009A632F">
              <w:rPr>
                <w:sz w:val="20"/>
              </w:rPr>
              <w:t>32,</w:t>
            </w:r>
            <w:r w:rsidR="00AA5E77">
              <w:rPr>
                <w:sz w:val="20"/>
              </w:rPr>
              <w:t>862</w:t>
            </w:r>
          </w:p>
        </w:tc>
        <w:tc>
          <w:tcPr>
            <w:tcW w:w="1080" w:type="dxa"/>
            <w:shd w:val="clear" w:color="auto" w:fill="FFFFFF"/>
          </w:tcPr>
          <w:p w:rsidR="00C63F7A" w:rsidRPr="009A632F" w:rsidRDefault="00C63F7A" w:rsidP="006B0346">
            <w:pPr>
              <w:jc w:val="center"/>
              <w:rPr>
                <w:sz w:val="20"/>
              </w:rPr>
            </w:pPr>
            <w:r w:rsidRPr="009A632F">
              <w:rPr>
                <w:sz w:val="20"/>
              </w:rPr>
              <w:t>20,312.5</w:t>
            </w:r>
          </w:p>
        </w:tc>
        <w:tc>
          <w:tcPr>
            <w:tcW w:w="1350" w:type="dxa"/>
            <w:shd w:val="clear" w:color="auto" w:fill="FFFFFF"/>
            <w:noWrap/>
            <w:vAlign w:val="bottom"/>
          </w:tcPr>
          <w:p w:rsidR="00C63F7A" w:rsidRPr="009A632F" w:rsidRDefault="00C63F7A" w:rsidP="006B0346">
            <w:pPr>
              <w:jc w:val="center"/>
              <w:rPr>
                <w:sz w:val="20"/>
              </w:rPr>
            </w:pPr>
            <w:r w:rsidRPr="009A632F">
              <w:rPr>
                <w:sz w:val="20"/>
              </w:rPr>
              <w:t>0</w:t>
            </w:r>
          </w:p>
        </w:tc>
      </w:tr>
      <w:tr w:rsidR="00C63F7A" w:rsidRPr="009A632F">
        <w:trPr>
          <w:trHeight w:val="255"/>
        </w:trPr>
        <w:tc>
          <w:tcPr>
            <w:tcW w:w="3420" w:type="dxa"/>
            <w:shd w:val="clear" w:color="auto" w:fill="FFFFFF"/>
            <w:noWrap/>
            <w:vAlign w:val="bottom"/>
          </w:tcPr>
          <w:p w:rsidR="00C63F7A" w:rsidRPr="009A632F" w:rsidRDefault="00C63F7A" w:rsidP="006B0346">
            <w:pPr>
              <w:rPr>
                <w:b/>
                <w:sz w:val="20"/>
              </w:rPr>
            </w:pPr>
            <w:r w:rsidRPr="009A632F">
              <w:rPr>
                <w:b/>
                <w:sz w:val="20"/>
              </w:rPr>
              <w:t>Total</w:t>
            </w:r>
          </w:p>
        </w:tc>
        <w:tc>
          <w:tcPr>
            <w:tcW w:w="1080" w:type="dxa"/>
            <w:shd w:val="clear" w:color="auto" w:fill="FFFFFF"/>
            <w:noWrap/>
            <w:vAlign w:val="bottom"/>
          </w:tcPr>
          <w:p w:rsidR="00C63F7A" w:rsidRPr="009A632F" w:rsidRDefault="00AA5E77" w:rsidP="006B0346">
            <w:pPr>
              <w:jc w:val="center"/>
              <w:rPr>
                <w:b/>
                <w:sz w:val="20"/>
              </w:rPr>
            </w:pPr>
            <w:r>
              <w:rPr>
                <w:b/>
                <w:sz w:val="20"/>
              </w:rPr>
              <w:t>757,231</w:t>
            </w:r>
          </w:p>
        </w:tc>
        <w:tc>
          <w:tcPr>
            <w:tcW w:w="1260" w:type="dxa"/>
            <w:shd w:val="clear" w:color="auto" w:fill="FFFFFF"/>
            <w:noWrap/>
            <w:vAlign w:val="bottom"/>
          </w:tcPr>
          <w:p w:rsidR="00C63F7A" w:rsidRPr="009A632F" w:rsidRDefault="00AA5E77" w:rsidP="006B0346">
            <w:pPr>
              <w:jc w:val="center"/>
              <w:rPr>
                <w:b/>
                <w:sz w:val="20"/>
              </w:rPr>
            </w:pPr>
            <w:r>
              <w:rPr>
                <w:b/>
                <w:sz w:val="20"/>
              </w:rPr>
              <w:t>657,231</w:t>
            </w:r>
          </w:p>
        </w:tc>
        <w:tc>
          <w:tcPr>
            <w:tcW w:w="1080" w:type="dxa"/>
            <w:shd w:val="clear" w:color="auto" w:fill="FFFFFF"/>
          </w:tcPr>
          <w:p w:rsidR="00C63F7A" w:rsidRPr="009A632F" w:rsidRDefault="00C63F7A" w:rsidP="006B0346">
            <w:pPr>
              <w:jc w:val="center"/>
              <w:rPr>
                <w:b/>
                <w:sz w:val="20"/>
              </w:rPr>
            </w:pPr>
            <w:r w:rsidRPr="009A632F">
              <w:rPr>
                <w:b/>
                <w:sz w:val="20"/>
              </w:rPr>
              <w:t>406,250</w:t>
            </w:r>
          </w:p>
        </w:tc>
        <w:tc>
          <w:tcPr>
            <w:tcW w:w="1350" w:type="dxa"/>
            <w:shd w:val="clear" w:color="auto" w:fill="FFFFFF"/>
            <w:noWrap/>
            <w:vAlign w:val="bottom"/>
          </w:tcPr>
          <w:p w:rsidR="00C63F7A" w:rsidRPr="009A632F" w:rsidRDefault="00C63F7A" w:rsidP="006B0346">
            <w:pPr>
              <w:jc w:val="center"/>
              <w:rPr>
                <w:b/>
                <w:sz w:val="20"/>
              </w:rPr>
            </w:pPr>
            <w:r w:rsidRPr="009A632F">
              <w:rPr>
                <w:b/>
                <w:sz w:val="20"/>
              </w:rPr>
              <w:t>100,000</w:t>
            </w:r>
          </w:p>
        </w:tc>
      </w:tr>
    </w:tbl>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rsidR="00B05910" w:rsidRDefault="002A1831" w:rsidP="002A1831">
      <w:pPr>
        <w:pStyle w:val="Paragraph"/>
        <w:widowControl w:val="0"/>
        <w:numPr>
          <w:ilvl w:val="0"/>
          <w:numId w:val="0"/>
        </w:numPr>
        <w:spacing w:before="0" w:after="0"/>
        <w:ind w:left="720" w:hanging="720"/>
        <w:rPr>
          <w:sz w:val="18"/>
          <w:szCs w:val="18"/>
        </w:rPr>
      </w:pPr>
      <w:r>
        <w:rPr>
          <w:sz w:val="18"/>
          <w:szCs w:val="18"/>
        </w:rPr>
        <w:t xml:space="preserve">            *</w:t>
      </w:r>
      <w:r w:rsidR="00B05910">
        <w:rPr>
          <w:sz w:val="18"/>
          <w:szCs w:val="18"/>
        </w:rPr>
        <w:t xml:space="preserve">See Annex </w:t>
      </w:r>
      <w:r w:rsidR="00D060F4">
        <w:rPr>
          <w:sz w:val="18"/>
          <w:szCs w:val="18"/>
        </w:rPr>
        <w:t>I</w:t>
      </w:r>
      <w:r w:rsidR="00874656">
        <w:rPr>
          <w:sz w:val="18"/>
          <w:szCs w:val="18"/>
        </w:rPr>
        <w:t>I</w:t>
      </w:r>
      <w:r w:rsidR="00B05910">
        <w:rPr>
          <w:sz w:val="18"/>
          <w:szCs w:val="18"/>
        </w:rPr>
        <w:t xml:space="preserve">, Detailed </w:t>
      </w:r>
      <w:r w:rsidR="0071587A">
        <w:rPr>
          <w:sz w:val="18"/>
          <w:szCs w:val="18"/>
        </w:rPr>
        <w:t xml:space="preserve">Program </w:t>
      </w:r>
      <w:r w:rsidR="00874656">
        <w:rPr>
          <w:sz w:val="18"/>
          <w:szCs w:val="18"/>
        </w:rPr>
        <w:t>Budget</w:t>
      </w:r>
    </w:p>
    <w:p w:rsidR="003C14E3" w:rsidRDefault="003C14E3">
      <w:pPr>
        <w:pStyle w:val="Paragraph"/>
        <w:widowControl w:val="0"/>
        <w:numPr>
          <w:ilvl w:val="0"/>
          <w:numId w:val="0"/>
        </w:numPr>
        <w:spacing w:before="0" w:after="0"/>
        <w:rPr>
          <w:szCs w:val="24"/>
        </w:rPr>
        <w:sectPr w:rsidR="003C14E3">
          <w:type w:val="continuous"/>
          <w:pgSz w:w="12240" w:h="15840" w:code="1"/>
          <w:pgMar w:top="1440" w:right="1800" w:bottom="1440" w:left="1800" w:header="706" w:footer="706" w:gutter="0"/>
          <w:cols w:space="720"/>
          <w:formProt w:val="0"/>
          <w:titlePg/>
        </w:sectPr>
      </w:pPr>
    </w:p>
    <w:p w:rsidR="00B05910" w:rsidRDefault="003C14E3" w:rsidP="003C14E3">
      <w:pPr>
        <w:pStyle w:val="Chapter"/>
      </w:pPr>
      <w:bookmarkStart w:id="133" w:name="_Toc204581722"/>
      <w:r>
        <w:lastRenderedPageBreak/>
        <w:t>Executi</w:t>
      </w:r>
      <w:r w:rsidR="008B1CDA">
        <w:t>ng</w:t>
      </w:r>
      <w:r>
        <w:t xml:space="preserve"> Agency and Mechanism</w:t>
      </w:r>
      <w:bookmarkEnd w:id="133"/>
    </w:p>
    <w:bookmarkStart w:id="134" w:name="_Toc429646053"/>
    <w:bookmarkStart w:id="135" w:name="_Toc429652585"/>
    <w:bookmarkStart w:id="136" w:name="_Toc429655321"/>
    <w:bookmarkStart w:id="137" w:name="_Toc429655356"/>
    <w:bookmarkStart w:id="138" w:name="_Toc429655500"/>
    <w:bookmarkStart w:id="139" w:name="_Toc429655697"/>
    <w:bookmarkStart w:id="140" w:name="_Toc429657390"/>
    <w:bookmarkStart w:id="141" w:name="_Toc430679383"/>
    <w:bookmarkStart w:id="142" w:name="_Toc430679407"/>
    <w:bookmarkStart w:id="143" w:name="_Toc434845964"/>
    <w:bookmarkStart w:id="144" w:name="_Toc434846232"/>
    <w:bookmarkStart w:id="145" w:name="_Toc434846945"/>
    <w:bookmarkStart w:id="146" w:name="_Toc437759773"/>
    <w:bookmarkStart w:id="147" w:name="_Toc444883314"/>
    <w:bookmarkStart w:id="148" w:name="_Toc445703766"/>
    <w:bookmarkStart w:id="149" w:name="_Toc445703984"/>
    <w:bookmarkStart w:id="150" w:name="_Toc454879434"/>
    <w:bookmarkStart w:id="151" w:name="_Toc456437351"/>
    <w:bookmarkStart w:id="152" w:name="_Toc456438405"/>
    <w:bookmarkStart w:id="153" w:name="_Toc456441639"/>
    <w:bookmarkStart w:id="154" w:name="_Toc457383675"/>
    <w:bookmarkStart w:id="155" w:name="_Toc457884585"/>
    <w:bookmarkStart w:id="156" w:name="_Toc461010084"/>
    <w:bookmarkStart w:id="157" w:name="_Toc461010255"/>
    <w:bookmarkStart w:id="158" w:name="_Toc461356858"/>
    <w:bookmarkStart w:id="159" w:name="_Toc461356898"/>
    <w:bookmarkStart w:id="160" w:name="_Toc464387454"/>
    <w:bookmarkStart w:id="161" w:name="_Toc101756023"/>
    <w:bookmarkStart w:id="162" w:name="_Toc101942664"/>
    <w:bookmarkStart w:id="163" w:name="_Toc103574877"/>
    <w:p w:rsidR="00C76AC3" w:rsidRDefault="00F119A7" w:rsidP="00C76AC3">
      <w:pPr>
        <w:pStyle w:val="FirstHeading"/>
        <w:rPr>
          <w:szCs w:val="24"/>
        </w:rPr>
      </w:pPr>
      <w:r>
        <w:fldChar w:fldCharType="begin"/>
      </w:r>
      <w:r w:rsidR="00C76AC3">
        <w:instrText xml:space="preserve"> SEQ "</w:instrText>
      </w:r>
      <w:fldSimple w:instr=" SECTION  \* MERGEFORMAT ">
        <w:r w:rsidR="003875B5">
          <w:instrText>7</w:instrText>
        </w:r>
      </w:fldSimple>
      <w:r w:rsidR="00C76AC3">
        <w:instrText xml:space="preserve">#"\* ALPHABETIC \* MERGEFORMAT </w:instrText>
      </w:r>
      <w:r>
        <w:fldChar w:fldCharType="separate"/>
      </w:r>
      <w:bookmarkStart w:id="164" w:name="_Toc204581723"/>
      <w:r w:rsidR="003875B5">
        <w:rPr>
          <w:noProof/>
        </w:rPr>
        <w:t>A</w:t>
      </w:r>
      <w:r>
        <w:fldChar w:fldCharType="end"/>
      </w:r>
      <w:r w:rsidR="00C76AC3">
        <w:t>.</w:t>
      </w:r>
      <w:r w:rsidR="00C76AC3">
        <w:tab/>
        <w:t>Executing Agency</w:t>
      </w:r>
      <w:bookmarkStart w:id="165" w:name="_Toc429646055"/>
      <w:bookmarkStart w:id="166" w:name="_Toc429652587"/>
      <w:bookmarkStart w:id="167" w:name="_Toc429655323"/>
      <w:bookmarkStart w:id="168" w:name="_Toc429655358"/>
      <w:bookmarkStart w:id="169" w:name="_Toc429655502"/>
      <w:bookmarkStart w:id="170" w:name="_Toc429655699"/>
      <w:bookmarkStart w:id="171" w:name="_Toc429657392"/>
      <w:bookmarkStart w:id="172" w:name="_Toc430679385"/>
      <w:bookmarkStart w:id="173" w:name="_Toc430679409"/>
      <w:bookmarkStart w:id="174" w:name="_Toc434845966"/>
      <w:bookmarkStart w:id="175" w:name="_Toc434846234"/>
      <w:bookmarkStart w:id="176" w:name="_Toc434846947"/>
      <w:bookmarkStart w:id="177" w:name="_Toc437759775"/>
      <w:bookmarkStart w:id="178" w:name="_Toc444883316"/>
      <w:bookmarkStart w:id="179" w:name="_Toc445703768"/>
      <w:bookmarkStart w:id="180" w:name="_Toc445703986"/>
      <w:bookmarkStart w:id="181" w:name="_Toc454879436"/>
      <w:bookmarkStart w:id="182" w:name="_Toc456437353"/>
      <w:bookmarkStart w:id="183" w:name="_Toc456438407"/>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B05910" w:rsidRDefault="00C63F7A">
      <w:pPr>
        <w:pStyle w:val="Paragraph"/>
        <w:widowControl w:val="0"/>
        <w:rPr>
          <w:szCs w:val="24"/>
        </w:rPr>
      </w:pPr>
      <w:r>
        <w:t xml:space="preserve">The Executing Agency will be the </w:t>
      </w:r>
      <w:r w:rsidRPr="00C03D76">
        <w:t xml:space="preserve">Inter-American Development Bank, through </w:t>
      </w:r>
      <w:r>
        <w:t xml:space="preserve">the Capital Markets and Financial Institutions Division of the Institutional Capacity and Finance Sector, </w:t>
      </w:r>
      <w:r w:rsidRPr="00C03D76">
        <w:t>ICF/CMF</w:t>
      </w:r>
      <w:r w:rsidR="00B05910">
        <w:rPr>
          <w:szCs w:val="24"/>
        </w:rPr>
        <w:t>. ICF</w:t>
      </w:r>
      <w:r w:rsidR="00BE2E8E">
        <w:rPr>
          <w:szCs w:val="24"/>
        </w:rPr>
        <w:t>/CMF</w:t>
      </w:r>
      <w:r w:rsidR="00B05910">
        <w:rPr>
          <w:szCs w:val="24"/>
        </w:rPr>
        <w:t xml:space="preserve"> will also be responsible for disbursements and basic administration.  </w:t>
      </w:r>
    </w:p>
    <w:bookmarkStart w:id="184" w:name="_Toc456441641"/>
    <w:bookmarkStart w:id="185" w:name="_Toc457383677"/>
    <w:bookmarkStart w:id="186" w:name="_Toc457884587"/>
    <w:bookmarkStart w:id="187" w:name="_Toc461010086"/>
    <w:bookmarkStart w:id="188" w:name="_Toc461010257"/>
    <w:bookmarkStart w:id="189" w:name="_Toc461356860"/>
    <w:bookmarkStart w:id="190" w:name="_Toc461356900"/>
    <w:bookmarkStart w:id="191" w:name="_Toc464387456"/>
    <w:bookmarkStart w:id="192" w:name="_Toc103508180"/>
    <w:bookmarkStart w:id="193" w:name="_Toc103574879"/>
    <w:bookmarkStart w:id="194" w:name="_Toc182232650"/>
    <w:p w:rsidR="00B05910" w:rsidRDefault="00F119A7" w:rsidP="00BE2E8E">
      <w:pPr>
        <w:pStyle w:val="FirstHeading"/>
      </w:pPr>
      <w:r>
        <w:fldChar w:fldCharType="begin"/>
      </w:r>
      <w:r w:rsidR="00BE2E8E">
        <w:instrText xml:space="preserve"> SEQ "</w:instrText>
      </w:r>
      <w:fldSimple w:instr=" SECTION  \* MERGEFORMAT ">
        <w:r w:rsidR="003875B5">
          <w:instrText>7</w:instrText>
        </w:r>
      </w:fldSimple>
      <w:r w:rsidR="00BE2E8E">
        <w:instrText xml:space="preserve">#"\* ALPHABETIC \* MERGEFORMAT </w:instrText>
      </w:r>
      <w:r>
        <w:fldChar w:fldCharType="separate"/>
      </w:r>
      <w:bookmarkStart w:id="195" w:name="_Toc204581724"/>
      <w:r w:rsidR="003875B5">
        <w:rPr>
          <w:noProof/>
        </w:rPr>
        <w:t>B</w:t>
      </w:r>
      <w:r>
        <w:fldChar w:fldCharType="end"/>
      </w:r>
      <w:r w:rsidR="00BE2E8E">
        <w:t>.</w:t>
      </w:r>
      <w:r w:rsidR="00BE2E8E">
        <w:tab/>
      </w:r>
      <w:r w:rsidR="00B05910">
        <w:t>Executing Mechanism</w:t>
      </w:r>
      <w:bookmarkEnd w:id="184"/>
      <w:bookmarkEnd w:id="185"/>
      <w:bookmarkEnd w:id="186"/>
      <w:bookmarkEnd w:id="187"/>
      <w:bookmarkEnd w:id="188"/>
      <w:bookmarkEnd w:id="189"/>
      <w:bookmarkEnd w:id="190"/>
      <w:bookmarkEnd w:id="191"/>
      <w:bookmarkEnd w:id="192"/>
      <w:bookmarkEnd w:id="193"/>
      <w:bookmarkEnd w:id="194"/>
      <w:bookmarkEnd w:id="195"/>
    </w:p>
    <w:p w:rsidR="00B05910" w:rsidRDefault="00D23D62">
      <w:pPr>
        <w:pStyle w:val="Paragraph"/>
        <w:widowControl w:val="0"/>
        <w:rPr>
          <w:szCs w:val="24"/>
        </w:rPr>
      </w:pPr>
      <w:bookmarkStart w:id="196" w:name="_Ref98922119"/>
      <w:r>
        <w:rPr>
          <w:szCs w:val="24"/>
        </w:rPr>
        <w:t xml:space="preserve">For the effective implementation of the TC, the </w:t>
      </w:r>
      <w:r w:rsidR="00B05910">
        <w:rPr>
          <w:szCs w:val="24"/>
        </w:rPr>
        <w:t xml:space="preserve">Bank will </w:t>
      </w:r>
      <w:r w:rsidR="00C63F7A">
        <w:rPr>
          <w:szCs w:val="24"/>
        </w:rPr>
        <w:t>coordinate with</w:t>
      </w:r>
      <w:bookmarkEnd w:id="196"/>
      <w:r>
        <w:rPr>
          <w:szCs w:val="24"/>
        </w:rPr>
        <w:t xml:space="preserve"> the Planning Institute of Jamaica</w:t>
      </w:r>
      <w:r w:rsidR="00C63F7A">
        <w:rPr>
          <w:szCs w:val="24"/>
        </w:rPr>
        <w:t xml:space="preserve"> </w:t>
      </w:r>
      <w:r>
        <w:rPr>
          <w:szCs w:val="24"/>
        </w:rPr>
        <w:t>(</w:t>
      </w:r>
      <w:r w:rsidR="00C63F7A">
        <w:rPr>
          <w:szCs w:val="24"/>
        </w:rPr>
        <w:t>PIOJ</w:t>
      </w:r>
      <w:r>
        <w:rPr>
          <w:szCs w:val="24"/>
        </w:rPr>
        <w:t>)</w:t>
      </w:r>
      <w:r w:rsidR="00E375A1">
        <w:rPr>
          <w:szCs w:val="24"/>
        </w:rPr>
        <w:t xml:space="preserve"> which will</w:t>
      </w:r>
      <w:r w:rsidR="00DA5F8B">
        <w:rPr>
          <w:szCs w:val="24"/>
        </w:rPr>
        <w:t>,</w:t>
      </w:r>
      <w:r w:rsidR="00E375A1">
        <w:rPr>
          <w:szCs w:val="24"/>
        </w:rPr>
        <w:t xml:space="preserve"> in turn</w:t>
      </w:r>
      <w:r w:rsidR="00DA5F8B">
        <w:rPr>
          <w:szCs w:val="24"/>
        </w:rPr>
        <w:t>,</w:t>
      </w:r>
      <w:r w:rsidR="00E375A1">
        <w:rPr>
          <w:szCs w:val="24"/>
        </w:rPr>
        <w:t xml:space="preserve"> coordinate with all the relevant government stakeholders</w:t>
      </w:r>
      <w:r w:rsidR="00DA5F8B">
        <w:rPr>
          <w:szCs w:val="24"/>
        </w:rPr>
        <w:t>,</w:t>
      </w:r>
      <w:r w:rsidR="00E375A1">
        <w:rPr>
          <w:szCs w:val="24"/>
        </w:rPr>
        <w:t xml:space="preserve"> such as </w:t>
      </w:r>
      <w:r w:rsidR="00C63F7A">
        <w:rPr>
          <w:szCs w:val="24"/>
        </w:rPr>
        <w:t xml:space="preserve">Jamaica Trade and Invest and </w:t>
      </w:r>
      <w:r>
        <w:rPr>
          <w:szCs w:val="24"/>
        </w:rPr>
        <w:t xml:space="preserve">the </w:t>
      </w:r>
      <w:r>
        <w:t>Ministry of Finance and the Public Service</w:t>
      </w:r>
      <w:r>
        <w:rPr>
          <w:szCs w:val="24"/>
        </w:rPr>
        <w:t xml:space="preserve"> (</w:t>
      </w:r>
      <w:r w:rsidR="00C63F7A">
        <w:rPr>
          <w:szCs w:val="24"/>
        </w:rPr>
        <w:t>MoF&amp;P</w:t>
      </w:r>
      <w:r w:rsidR="00DA5F8B">
        <w:rPr>
          <w:szCs w:val="24"/>
        </w:rPr>
        <w:t>S</w:t>
      </w:r>
      <w:r>
        <w:rPr>
          <w:szCs w:val="24"/>
        </w:rPr>
        <w:t xml:space="preserve">). </w:t>
      </w:r>
      <w:r w:rsidR="00C63F7A">
        <w:rPr>
          <w:szCs w:val="24"/>
        </w:rPr>
        <w:t xml:space="preserve">The PIOJ will support the monitoring </w:t>
      </w:r>
      <w:r w:rsidR="00E375A1">
        <w:rPr>
          <w:szCs w:val="24"/>
        </w:rPr>
        <w:t xml:space="preserve">and supervision </w:t>
      </w:r>
      <w:r w:rsidR="00C63F7A">
        <w:rPr>
          <w:szCs w:val="24"/>
        </w:rPr>
        <w:t xml:space="preserve">of the consultant’s activities </w:t>
      </w:r>
      <w:r w:rsidR="00E375A1">
        <w:rPr>
          <w:szCs w:val="24"/>
        </w:rPr>
        <w:t xml:space="preserve">and </w:t>
      </w:r>
      <w:r w:rsidR="00C63F7A">
        <w:rPr>
          <w:szCs w:val="24"/>
        </w:rPr>
        <w:t xml:space="preserve">coordination with the </w:t>
      </w:r>
      <w:r w:rsidR="00CF7B20">
        <w:rPr>
          <w:szCs w:val="24"/>
        </w:rPr>
        <w:t xml:space="preserve">multiple </w:t>
      </w:r>
      <w:r w:rsidR="00C63F7A">
        <w:rPr>
          <w:szCs w:val="24"/>
        </w:rPr>
        <w:t>stakeholders</w:t>
      </w:r>
      <w:r w:rsidR="00E375A1">
        <w:rPr>
          <w:szCs w:val="24"/>
        </w:rPr>
        <w:t xml:space="preserve"> and will provide a full time expert for carrying out th</w:t>
      </w:r>
      <w:r w:rsidR="00DA5F8B">
        <w:rPr>
          <w:szCs w:val="24"/>
        </w:rPr>
        <w:t>e</w:t>
      </w:r>
      <w:r w:rsidR="00E375A1">
        <w:rPr>
          <w:szCs w:val="24"/>
        </w:rPr>
        <w:t>s</w:t>
      </w:r>
      <w:r w:rsidR="00DA5F8B">
        <w:rPr>
          <w:szCs w:val="24"/>
        </w:rPr>
        <w:t>e</w:t>
      </w:r>
      <w:r w:rsidR="00E375A1">
        <w:rPr>
          <w:szCs w:val="24"/>
        </w:rPr>
        <w:t xml:space="preserve"> activities</w:t>
      </w:r>
      <w:r w:rsidR="00C63F7A">
        <w:rPr>
          <w:szCs w:val="24"/>
        </w:rPr>
        <w:t>.</w:t>
      </w:r>
      <w:r w:rsidR="00545B94">
        <w:rPr>
          <w:szCs w:val="24"/>
        </w:rPr>
        <w:t xml:space="preserve"> </w:t>
      </w:r>
      <w:r w:rsidR="00B05910">
        <w:rPr>
          <w:szCs w:val="24"/>
        </w:rPr>
        <w:t xml:space="preserve"> </w:t>
      </w:r>
      <w:r w:rsidR="00545B94" w:rsidRPr="00BA2B38">
        <w:t>The PIOJ reports to the Office of the Prime Minister and is in charge of coordinating development policy in Jamaica. The PIOJ has experience in coordinating multiple public and private and international development agencies to reach development goals and has experience in managing external cooperation programs</w:t>
      </w:r>
      <w:r w:rsidR="00E375A1">
        <w:t xml:space="preserve"> and has also assisted in the facilitation of Public Private Dialogue</w:t>
      </w:r>
      <w:r w:rsidR="00DA5F8B">
        <w:t>,</w:t>
      </w:r>
      <w:r w:rsidR="00E375A1">
        <w:t xml:space="preserve"> working closely with JT</w:t>
      </w:r>
      <w:r w:rsidR="00CF5C31">
        <w:t>I</w:t>
      </w:r>
      <w:r w:rsidR="00E375A1">
        <w:t xml:space="preserve"> and PSOJ</w:t>
      </w:r>
      <w:r w:rsidR="00545B94" w:rsidRPr="00BA2B38">
        <w:t xml:space="preserve">. Also, the PIOJ has had prior experience with the Bank in designing, coordinating and executing investment loans and programmatic operations, including the </w:t>
      </w:r>
      <w:r w:rsidR="00545B94">
        <w:t>two</w:t>
      </w:r>
      <w:r w:rsidR="00545B94" w:rsidRPr="00BA2B38">
        <w:t xml:space="preserve"> PBL</w:t>
      </w:r>
      <w:r w:rsidR="00545B94">
        <w:t>s</w:t>
      </w:r>
      <w:r w:rsidR="00545B94" w:rsidRPr="00BA2B38">
        <w:t xml:space="preserve"> for the </w:t>
      </w:r>
      <w:r w:rsidR="00545B94" w:rsidRPr="00AB6539">
        <w:t>JCEP.</w:t>
      </w:r>
      <w:r w:rsidR="00545B94">
        <w:t xml:space="preserve"> </w:t>
      </w:r>
      <w:r w:rsidR="00B05910">
        <w:rPr>
          <w:szCs w:val="24"/>
        </w:rPr>
        <w:t>Wherever possible, the consultants will work with counterpart staff in a manner that will ensure a transfer of technology and knowledge.</w:t>
      </w:r>
    </w:p>
    <w:bookmarkStart w:id="197" w:name="_Toc103574880"/>
    <w:bookmarkStart w:id="198" w:name="_Toc182232651"/>
    <w:p w:rsidR="00B05910" w:rsidRDefault="00F119A7" w:rsidP="00F269C4">
      <w:pPr>
        <w:pStyle w:val="FirstHeading"/>
      </w:pPr>
      <w:r>
        <w:fldChar w:fldCharType="begin"/>
      </w:r>
      <w:r w:rsidR="00F269C4">
        <w:instrText xml:space="preserve"> SEQ "</w:instrText>
      </w:r>
      <w:fldSimple w:instr=" SECTION  \* MERGEFORMAT ">
        <w:r w:rsidR="003875B5">
          <w:instrText>7</w:instrText>
        </w:r>
      </w:fldSimple>
      <w:r w:rsidR="00F269C4">
        <w:instrText xml:space="preserve">#"\* ALPHABETIC \* MERGEFORMAT </w:instrText>
      </w:r>
      <w:r>
        <w:fldChar w:fldCharType="separate"/>
      </w:r>
      <w:bookmarkStart w:id="199" w:name="_Toc204581725"/>
      <w:r w:rsidR="003875B5">
        <w:rPr>
          <w:noProof/>
        </w:rPr>
        <w:t>C</w:t>
      </w:r>
      <w:r>
        <w:fldChar w:fldCharType="end"/>
      </w:r>
      <w:r w:rsidR="00F269C4">
        <w:t>.</w:t>
      </w:r>
      <w:r w:rsidR="00F269C4">
        <w:tab/>
      </w:r>
      <w:r w:rsidR="00B05910">
        <w:t>Program implementation readiness</w:t>
      </w:r>
      <w:bookmarkEnd w:id="197"/>
      <w:bookmarkEnd w:id="198"/>
      <w:bookmarkEnd w:id="199"/>
    </w:p>
    <w:p w:rsidR="00B05910" w:rsidRDefault="00B05910">
      <w:pPr>
        <w:pStyle w:val="Paragraph"/>
        <w:widowControl w:val="0"/>
        <w:rPr>
          <w:szCs w:val="24"/>
        </w:rPr>
      </w:pPr>
      <w:r>
        <w:rPr>
          <w:szCs w:val="24"/>
        </w:rPr>
        <w:t xml:space="preserve">This TC supports and gives </w:t>
      </w:r>
      <w:r w:rsidR="001702AA">
        <w:rPr>
          <w:szCs w:val="24"/>
        </w:rPr>
        <w:t xml:space="preserve">continuity </w:t>
      </w:r>
      <w:r w:rsidR="00C63F7A">
        <w:rPr>
          <w:szCs w:val="24"/>
        </w:rPr>
        <w:t>to activities initiated in 2005</w:t>
      </w:r>
      <w:r>
        <w:rPr>
          <w:szCs w:val="24"/>
        </w:rPr>
        <w:t xml:space="preserve"> by the Go</w:t>
      </w:r>
      <w:r w:rsidR="00C63F7A">
        <w:rPr>
          <w:szCs w:val="24"/>
        </w:rPr>
        <w:t>J and the Bank with th</w:t>
      </w:r>
      <w:r w:rsidR="00771F1A">
        <w:rPr>
          <w:szCs w:val="24"/>
        </w:rPr>
        <w:t xml:space="preserve">e </w:t>
      </w:r>
      <w:r w:rsidR="00C63F7A">
        <w:rPr>
          <w:szCs w:val="24"/>
        </w:rPr>
        <w:t xml:space="preserve">Private Sector </w:t>
      </w:r>
      <w:r w:rsidR="00771F1A">
        <w:rPr>
          <w:szCs w:val="24"/>
        </w:rPr>
        <w:t>Assessment completed in 2006</w:t>
      </w:r>
      <w:r w:rsidR="00C63F7A">
        <w:rPr>
          <w:szCs w:val="24"/>
        </w:rPr>
        <w:t xml:space="preserve"> and the subsequent PBL operations on Competitiveness (JCEP I and II) and will support the implementation of </w:t>
      </w:r>
      <w:r w:rsidR="00CF5C31">
        <w:rPr>
          <w:szCs w:val="24"/>
        </w:rPr>
        <w:t>the</w:t>
      </w:r>
      <w:r w:rsidR="00771F1A">
        <w:rPr>
          <w:szCs w:val="24"/>
        </w:rPr>
        <w:t xml:space="preserve"> </w:t>
      </w:r>
      <w:r w:rsidR="00C63F7A">
        <w:rPr>
          <w:szCs w:val="24"/>
        </w:rPr>
        <w:t xml:space="preserve">third programmatic operation. </w:t>
      </w:r>
    </w:p>
    <w:bookmarkStart w:id="200" w:name="_Toc456441643"/>
    <w:bookmarkStart w:id="201" w:name="_Toc457383679"/>
    <w:bookmarkStart w:id="202" w:name="_Toc457884589"/>
    <w:bookmarkStart w:id="203" w:name="_Toc461010088"/>
    <w:bookmarkStart w:id="204" w:name="_Toc461010259"/>
    <w:bookmarkStart w:id="205" w:name="_Toc461356862"/>
    <w:bookmarkStart w:id="206" w:name="_Toc461356902"/>
    <w:bookmarkStart w:id="207" w:name="_Toc464387458"/>
    <w:bookmarkStart w:id="208" w:name="_Toc103508182"/>
    <w:bookmarkStart w:id="209" w:name="_Toc103574881"/>
    <w:bookmarkStart w:id="210" w:name="_Toc182232652"/>
    <w:p w:rsidR="00B05910" w:rsidRDefault="00F119A7" w:rsidP="00F269C4">
      <w:pPr>
        <w:pStyle w:val="FirstHeading"/>
      </w:pPr>
      <w:r>
        <w:fldChar w:fldCharType="begin"/>
      </w:r>
      <w:r w:rsidR="00F269C4">
        <w:instrText xml:space="preserve"> SEQ "</w:instrText>
      </w:r>
      <w:fldSimple w:instr=" SECTION  \* MERGEFORMAT ">
        <w:r w:rsidR="003875B5">
          <w:instrText>7</w:instrText>
        </w:r>
      </w:fldSimple>
      <w:r w:rsidR="00F269C4">
        <w:instrText xml:space="preserve">#"\* ALPHABETIC \* MERGEFORMAT </w:instrText>
      </w:r>
      <w:r>
        <w:fldChar w:fldCharType="separate"/>
      </w:r>
      <w:bookmarkStart w:id="211" w:name="_Toc204581726"/>
      <w:r w:rsidR="003875B5">
        <w:rPr>
          <w:noProof/>
        </w:rPr>
        <w:t>D</w:t>
      </w:r>
      <w:r>
        <w:fldChar w:fldCharType="end"/>
      </w:r>
      <w:r w:rsidR="00F269C4">
        <w:t>.</w:t>
      </w:r>
      <w:r w:rsidR="00F269C4">
        <w:tab/>
      </w:r>
      <w:r w:rsidR="00B05910">
        <w:t>Execution period and disbursement schedule</w:t>
      </w:r>
      <w:bookmarkEnd w:id="200"/>
      <w:bookmarkEnd w:id="201"/>
      <w:bookmarkEnd w:id="202"/>
      <w:bookmarkEnd w:id="203"/>
      <w:bookmarkEnd w:id="204"/>
      <w:bookmarkEnd w:id="205"/>
      <w:bookmarkEnd w:id="206"/>
      <w:bookmarkEnd w:id="207"/>
      <w:bookmarkEnd w:id="208"/>
      <w:bookmarkEnd w:id="209"/>
      <w:bookmarkEnd w:id="210"/>
      <w:bookmarkEnd w:id="211"/>
    </w:p>
    <w:p w:rsidR="00B05910" w:rsidRDefault="00C63F7A" w:rsidP="00303490">
      <w:pPr>
        <w:pStyle w:val="Paragraph"/>
        <w:widowControl w:val="0"/>
        <w:spacing w:before="80"/>
        <w:rPr>
          <w:szCs w:val="24"/>
        </w:rPr>
      </w:pPr>
      <w:r>
        <w:rPr>
          <w:szCs w:val="24"/>
        </w:rPr>
        <w:t xml:space="preserve">The expected duration is </w:t>
      </w:r>
      <w:r w:rsidR="00A72429">
        <w:rPr>
          <w:szCs w:val="24"/>
        </w:rPr>
        <w:t xml:space="preserve">24 </w:t>
      </w:r>
      <w:r w:rsidR="00B05910">
        <w:rPr>
          <w:szCs w:val="24"/>
        </w:rPr>
        <w:t xml:space="preserve">months for execution and </w:t>
      </w:r>
      <w:r w:rsidR="00A72429">
        <w:rPr>
          <w:szCs w:val="24"/>
        </w:rPr>
        <w:t xml:space="preserve">30 </w:t>
      </w:r>
      <w:r w:rsidR="00B05910">
        <w:rPr>
          <w:szCs w:val="24"/>
        </w:rPr>
        <w:t>month</w:t>
      </w:r>
      <w:r w:rsidR="001702AA">
        <w:rPr>
          <w:szCs w:val="24"/>
        </w:rPr>
        <w:t>s</w:t>
      </w:r>
      <w:r w:rsidR="00B05910">
        <w:rPr>
          <w:szCs w:val="24"/>
        </w:rPr>
        <w:t xml:space="preserve"> for disbursement.</w:t>
      </w:r>
      <w:r w:rsidR="00E375A1">
        <w:rPr>
          <w:szCs w:val="24"/>
        </w:rPr>
        <w:t xml:space="preserve"> The</w:t>
      </w:r>
      <w:r w:rsidR="00CF5C31">
        <w:rPr>
          <w:szCs w:val="24"/>
        </w:rPr>
        <w:t xml:space="preserve"> starting date will be either </w:t>
      </w:r>
      <w:r w:rsidR="00E375A1">
        <w:rPr>
          <w:szCs w:val="24"/>
        </w:rPr>
        <w:t xml:space="preserve">the </w:t>
      </w:r>
      <w:r w:rsidR="00CF5C31">
        <w:rPr>
          <w:szCs w:val="24"/>
        </w:rPr>
        <w:t xml:space="preserve">date of </w:t>
      </w:r>
      <w:r w:rsidR="00E375A1">
        <w:rPr>
          <w:szCs w:val="24"/>
        </w:rPr>
        <w:t>approval of the TC or the entry into force of the Administrative Arrangement with DFID for the COFAB</w:t>
      </w:r>
      <w:r w:rsidR="00CF5C31">
        <w:rPr>
          <w:szCs w:val="24"/>
        </w:rPr>
        <w:t>, whichever occurs later</w:t>
      </w:r>
      <w:r w:rsidR="00E375A1">
        <w:rPr>
          <w:szCs w:val="24"/>
        </w:rPr>
        <w:t>.</w:t>
      </w:r>
    </w:p>
    <w:p w:rsidR="00B05910" w:rsidRDefault="00B05910">
      <w:pPr>
        <w:pStyle w:val="FirstHeading"/>
        <w:keepNext w:val="0"/>
        <w:widowControl w:val="0"/>
        <w:spacing w:after="0"/>
        <w:rPr>
          <w:szCs w:val="24"/>
        </w:rPr>
      </w:pPr>
      <w:bookmarkStart w:id="212" w:name="_Toc456441644"/>
      <w:bookmarkStart w:id="213" w:name="_Toc457383680"/>
      <w:bookmarkStart w:id="214" w:name="_Toc457884590"/>
      <w:bookmarkStart w:id="215" w:name="_Toc461010089"/>
      <w:bookmarkStart w:id="216" w:name="_Toc461010260"/>
      <w:bookmarkStart w:id="217" w:name="_Toc461356863"/>
      <w:bookmarkStart w:id="218" w:name="_Toc461356903"/>
      <w:bookmarkStart w:id="219" w:name="_Toc464387459"/>
      <w:bookmarkStart w:id="220" w:name="_Toc103508183"/>
      <w:bookmarkStart w:id="221" w:name="_Toc103574882"/>
      <w:bookmarkStart w:id="222" w:name="_Toc182232653"/>
      <w:bookmarkStart w:id="223" w:name="_Toc204581727"/>
      <w:r>
        <w:rPr>
          <w:szCs w:val="24"/>
        </w:rPr>
        <w:t>E.</w:t>
      </w:r>
      <w:r>
        <w:rPr>
          <w:szCs w:val="24"/>
        </w:rPr>
        <w:tab/>
        <w:t>Procurement</w:t>
      </w:r>
      <w:bookmarkEnd w:id="212"/>
      <w:bookmarkEnd w:id="213"/>
      <w:bookmarkEnd w:id="214"/>
      <w:bookmarkEnd w:id="215"/>
      <w:bookmarkEnd w:id="216"/>
      <w:bookmarkEnd w:id="217"/>
      <w:bookmarkEnd w:id="218"/>
      <w:bookmarkEnd w:id="219"/>
      <w:bookmarkEnd w:id="220"/>
      <w:bookmarkEnd w:id="221"/>
      <w:bookmarkEnd w:id="222"/>
      <w:bookmarkEnd w:id="223"/>
    </w:p>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225AC1" w:rsidRPr="00AB6539" w:rsidRDefault="000344F5" w:rsidP="000344F5">
      <w:pPr>
        <w:pStyle w:val="Paragraph"/>
        <w:widowControl w:val="0"/>
        <w:numPr>
          <w:ilvl w:val="0"/>
          <w:numId w:val="0"/>
        </w:numPr>
        <w:spacing w:after="240"/>
        <w:ind w:left="720" w:hanging="720"/>
        <w:rPr>
          <w:szCs w:val="24"/>
        </w:rPr>
      </w:pPr>
      <w:r>
        <w:rPr>
          <w:szCs w:val="24"/>
        </w:rPr>
        <w:t>5.5</w:t>
      </w:r>
      <w:r>
        <w:rPr>
          <w:szCs w:val="24"/>
        </w:rPr>
        <w:tab/>
      </w:r>
      <w:r w:rsidR="00B05910" w:rsidRPr="003062A5">
        <w:rPr>
          <w:szCs w:val="24"/>
        </w:rPr>
        <w:t>The contracting of the project consultants will be carried out by ICF</w:t>
      </w:r>
      <w:r w:rsidR="000942F3" w:rsidRPr="003062A5">
        <w:rPr>
          <w:szCs w:val="24"/>
        </w:rPr>
        <w:t>/CMF</w:t>
      </w:r>
      <w:r w:rsidR="00B05910" w:rsidRPr="003062A5">
        <w:rPr>
          <w:szCs w:val="24"/>
        </w:rPr>
        <w:t xml:space="preserve"> in accordance with the Bank’s policies and procedures set forth in document </w:t>
      </w:r>
      <w:r w:rsidR="00183E80" w:rsidRPr="00183E80">
        <w:rPr>
          <w:szCs w:val="24"/>
        </w:rPr>
        <w:t xml:space="preserve">       GN-2350-7 (Policies for the Selection and Procurement of Consulting Services </w:t>
      </w:r>
      <w:r w:rsidR="00183E80" w:rsidRPr="00183E80">
        <w:rPr>
          <w:szCs w:val="24"/>
        </w:rPr>
        <w:lastRenderedPageBreak/>
        <w:t>Financed by the IDB). A Procurement Plan is included with the present profile (Annex II) and should be updated every six months during project execution.</w:t>
      </w:r>
    </w:p>
    <w:p w:rsidR="003F3E31" w:rsidRPr="00AB6539" w:rsidRDefault="003F3E31">
      <w:pPr>
        <w:pStyle w:val="Paragraph"/>
        <w:widowControl w:val="0"/>
        <w:spacing w:after="240"/>
        <w:rPr>
          <w:szCs w:val="24"/>
        </w:rPr>
        <w:sectPr w:rsidR="003F3E31" w:rsidRPr="00AB6539">
          <w:type w:val="continuous"/>
          <w:pgSz w:w="12240" w:h="15840" w:code="1"/>
          <w:pgMar w:top="1440" w:right="1800" w:bottom="1440" w:left="1800" w:header="706" w:footer="706" w:gutter="0"/>
          <w:cols w:space="720"/>
          <w:formProt w:val="0"/>
          <w:docGrid w:linePitch="326"/>
        </w:sectPr>
      </w:pPr>
    </w:p>
    <w:p w:rsidR="003F3E31" w:rsidRPr="00AB6539" w:rsidRDefault="00183E80" w:rsidP="003F3E31">
      <w:pPr>
        <w:pStyle w:val="Chapter"/>
        <w:rPr>
          <w:szCs w:val="24"/>
        </w:rPr>
      </w:pPr>
      <w:bookmarkStart w:id="224" w:name="_Toc204581728"/>
      <w:r w:rsidRPr="00183E80">
        <w:rPr>
          <w:szCs w:val="24"/>
        </w:rPr>
        <w:lastRenderedPageBreak/>
        <w:t>Monitoring and Evaluation</w:t>
      </w:r>
      <w:bookmarkEnd w:id="224"/>
    </w:p>
    <w:p w:rsidR="00B05910" w:rsidRPr="00AB6539" w:rsidRDefault="00183E80">
      <w:pPr>
        <w:pStyle w:val="Paragraph"/>
        <w:widowControl w:val="0"/>
        <w:rPr>
          <w:szCs w:val="24"/>
        </w:rPr>
      </w:pPr>
      <w:r w:rsidRPr="00183E80">
        <w:rPr>
          <w:szCs w:val="24"/>
        </w:rPr>
        <w:t>ICF/CMF will supervise and manage the consultants’ contracts. The PIOJ, as part of the counterpart contribution, will provide a technical coordinator to contribute to the program’s technical supervision and to coordinate the activities  between the different gover</w:t>
      </w:r>
      <w:r w:rsidR="00DB765A">
        <w:rPr>
          <w:szCs w:val="24"/>
        </w:rPr>
        <w:t>n</w:t>
      </w:r>
      <w:r w:rsidRPr="00183E80">
        <w:rPr>
          <w:szCs w:val="24"/>
        </w:rPr>
        <w:t>ment agencies, such as the MoF&amp;PS, JTI, the Bank and the consulting firms.</w:t>
      </w:r>
    </w:p>
    <w:p w:rsidR="00426FB9" w:rsidRPr="00AB6539" w:rsidRDefault="00426FB9">
      <w:pPr>
        <w:pStyle w:val="Paragraph"/>
        <w:widowControl w:val="0"/>
        <w:numPr>
          <w:ilvl w:val="0"/>
          <w:numId w:val="0"/>
        </w:numPr>
        <w:spacing w:before="0" w:after="0"/>
        <w:rPr>
          <w:szCs w:val="24"/>
        </w:rPr>
        <w:sectPr w:rsidR="00426FB9" w:rsidRPr="00AB6539">
          <w:type w:val="continuous"/>
          <w:pgSz w:w="12240" w:h="15840" w:code="1"/>
          <w:pgMar w:top="1440" w:right="1800" w:bottom="1440" w:left="1800" w:header="706" w:footer="706" w:gutter="0"/>
          <w:cols w:space="720"/>
          <w:formProt w:val="0"/>
          <w:titlePg/>
        </w:sectPr>
      </w:pPr>
    </w:p>
    <w:p w:rsidR="00B05910" w:rsidRDefault="00183E80" w:rsidP="00426FB9">
      <w:pPr>
        <w:pStyle w:val="Chapter"/>
      </w:pPr>
      <w:bookmarkStart w:id="225" w:name="_Toc204581729"/>
      <w:r w:rsidRPr="00183E80">
        <w:rPr>
          <w:szCs w:val="24"/>
        </w:rPr>
        <w:lastRenderedPageBreak/>
        <w:t>Program</w:t>
      </w:r>
      <w:r w:rsidR="00426FB9">
        <w:t xml:space="preserve"> </w:t>
      </w:r>
      <w:r w:rsidRPr="00183E80">
        <w:rPr>
          <w:szCs w:val="24"/>
        </w:rPr>
        <w:t>B</w:t>
      </w:r>
      <w:r w:rsidR="00426FB9">
        <w:t>enefit</w:t>
      </w:r>
      <w:r w:rsidR="00EB4828">
        <w:t>s</w:t>
      </w:r>
      <w:r w:rsidR="00426FB9">
        <w:t xml:space="preserve"> and Risks</w:t>
      </w:r>
      <w:bookmarkEnd w:id="225"/>
    </w:p>
    <w:bookmarkStart w:id="226" w:name="_Toc103574886"/>
    <w:bookmarkStart w:id="227" w:name="_Toc182232655"/>
    <w:p w:rsidR="00EB4828" w:rsidRDefault="00F119A7" w:rsidP="00EB4828">
      <w:pPr>
        <w:pStyle w:val="FirstHeading"/>
        <w:rPr>
          <w:szCs w:val="24"/>
        </w:rPr>
      </w:pPr>
      <w:r>
        <w:fldChar w:fldCharType="begin"/>
      </w:r>
      <w:r w:rsidR="00EB4828">
        <w:instrText xml:space="preserve"> SEQ "</w:instrText>
      </w:r>
      <w:fldSimple w:instr=" SECTION  \* MERGEFORMAT ">
        <w:r w:rsidR="003875B5">
          <w:instrText>9</w:instrText>
        </w:r>
      </w:fldSimple>
      <w:r w:rsidR="00EB4828">
        <w:instrText xml:space="preserve">#"\* ALPHABETIC \* MERGEFORMAT </w:instrText>
      </w:r>
      <w:r>
        <w:fldChar w:fldCharType="separate"/>
      </w:r>
      <w:bookmarkStart w:id="228" w:name="_Toc204581730"/>
      <w:r w:rsidR="003875B5">
        <w:rPr>
          <w:noProof/>
        </w:rPr>
        <w:t>A</w:t>
      </w:r>
      <w:r>
        <w:fldChar w:fldCharType="end"/>
      </w:r>
      <w:r w:rsidR="00EB4828">
        <w:t>.</w:t>
      </w:r>
      <w:r w:rsidR="00EB4828">
        <w:tab/>
      </w:r>
      <w:r w:rsidR="00EB4828" w:rsidRPr="00EB4828">
        <w:t>Program benefits and developmental impact</w:t>
      </w:r>
      <w:bookmarkEnd w:id="226"/>
      <w:bookmarkEnd w:id="227"/>
      <w:bookmarkEnd w:id="228"/>
    </w:p>
    <w:p w:rsidR="002326B5" w:rsidRDefault="00B05910" w:rsidP="002326B5">
      <w:pPr>
        <w:pStyle w:val="Paragraph"/>
        <w:widowControl w:val="0"/>
        <w:rPr>
          <w:szCs w:val="24"/>
        </w:rPr>
      </w:pPr>
      <w:r>
        <w:rPr>
          <w:szCs w:val="24"/>
        </w:rPr>
        <w:t xml:space="preserve">The TC will directly contribute to </w:t>
      </w:r>
      <w:r w:rsidR="00C63F7A">
        <w:rPr>
          <w:szCs w:val="24"/>
        </w:rPr>
        <w:t>improve</w:t>
      </w:r>
      <w:r w:rsidR="00562718">
        <w:rPr>
          <w:szCs w:val="24"/>
        </w:rPr>
        <w:t>ments in</w:t>
      </w:r>
      <w:r w:rsidR="00C63F7A">
        <w:rPr>
          <w:szCs w:val="24"/>
        </w:rPr>
        <w:t xml:space="preserve"> the business climate in Jamaica by</w:t>
      </w:r>
      <w:r w:rsidR="00562718">
        <w:rPr>
          <w:szCs w:val="24"/>
        </w:rPr>
        <w:t xml:space="preserve">: </w:t>
      </w:r>
    </w:p>
    <w:p w:rsidR="002326B5" w:rsidRDefault="00562718" w:rsidP="002326B5">
      <w:pPr>
        <w:pStyle w:val="Paragraph"/>
        <w:widowControl w:val="0"/>
        <w:rPr>
          <w:szCs w:val="24"/>
        </w:rPr>
      </w:pPr>
      <w:r>
        <w:rPr>
          <w:szCs w:val="24"/>
        </w:rPr>
        <w:t>(i)</w:t>
      </w:r>
      <w:r w:rsidR="00C63F7A">
        <w:rPr>
          <w:szCs w:val="24"/>
        </w:rPr>
        <w:t xml:space="preserve"> </w:t>
      </w:r>
      <w:r w:rsidR="00CF56C0">
        <w:rPr>
          <w:szCs w:val="24"/>
        </w:rPr>
        <w:t>I</w:t>
      </w:r>
      <w:r w:rsidR="00C63F7A">
        <w:rPr>
          <w:szCs w:val="24"/>
        </w:rPr>
        <w:t xml:space="preserve">dentifying the main </w:t>
      </w:r>
      <w:r w:rsidR="00943B77">
        <w:rPr>
          <w:szCs w:val="24"/>
        </w:rPr>
        <w:t>constraints</w:t>
      </w:r>
      <w:r w:rsidR="00D300CD">
        <w:rPr>
          <w:szCs w:val="24"/>
        </w:rPr>
        <w:t xml:space="preserve"> to Private Sector D</w:t>
      </w:r>
      <w:r w:rsidR="00943B77">
        <w:rPr>
          <w:szCs w:val="24"/>
        </w:rPr>
        <w:t>evelopment and draft</w:t>
      </w:r>
      <w:r>
        <w:rPr>
          <w:szCs w:val="24"/>
        </w:rPr>
        <w:t>ing a Private Sector Development Strategy and A</w:t>
      </w:r>
      <w:r w:rsidR="00943B77">
        <w:rPr>
          <w:szCs w:val="24"/>
        </w:rPr>
        <w:t>ction Plan to address them,</w:t>
      </w:r>
      <w:r w:rsidR="00D300CD">
        <w:rPr>
          <w:szCs w:val="24"/>
        </w:rPr>
        <w:t xml:space="preserve"> which is of particular importance given the</w:t>
      </w:r>
      <w:r w:rsidR="00C63F7A">
        <w:rPr>
          <w:szCs w:val="24"/>
        </w:rPr>
        <w:t xml:space="preserve"> </w:t>
      </w:r>
      <w:r w:rsidR="00D300CD">
        <w:rPr>
          <w:szCs w:val="24"/>
        </w:rPr>
        <w:t xml:space="preserve">context of the </w:t>
      </w:r>
      <w:r w:rsidR="00C63F7A">
        <w:rPr>
          <w:szCs w:val="24"/>
        </w:rPr>
        <w:t xml:space="preserve">recent </w:t>
      </w:r>
      <w:r w:rsidR="00D300CD">
        <w:rPr>
          <w:szCs w:val="24"/>
        </w:rPr>
        <w:t>global recession and macroeconomic situation</w:t>
      </w:r>
      <w:r w:rsidR="00CF56C0">
        <w:rPr>
          <w:szCs w:val="24"/>
        </w:rPr>
        <w:t>.</w:t>
      </w:r>
      <w:r>
        <w:rPr>
          <w:szCs w:val="24"/>
        </w:rPr>
        <w:t xml:space="preserve"> </w:t>
      </w:r>
      <w:r w:rsidR="00C63F7A">
        <w:rPr>
          <w:szCs w:val="24"/>
        </w:rPr>
        <w:t xml:space="preserve"> </w:t>
      </w:r>
    </w:p>
    <w:p w:rsidR="00270DAE" w:rsidRPr="00142E68" w:rsidRDefault="00562718" w:rsidP="00142E68">
      <w:pPr>
        <w:pStyle w:val="Paragraph"/>
        <w:widowControl w:val="0"/>
        <w:rPr>
          <w:szCs w:val="24"/>
        </w:rPr>
      </w:pPr>
      <w:r>
        <w:rPr>
          <w:szCs w:val="24"/>
        </w:rPr>
        <w:t xml:space="preserve">(ii) </w:t>
      </w:r>
      <w:r w:rsidR="00CF56C0">
        <w:rPr>
          <w:szCs w:val="24"/>
        </w:rPr>
        <w:t>I</w:t>
      </w:r>
      <w:r>
        <w:rPr>
          <w:szCs w:val="24"/>
        </w:rPr>
        <w:t xml:space="preserve">ncreasing </w:t>
      </w:r>
      <w:r w:rsidRPr="004B5AF7">
        <w:rPr>
          <w:szCs w:val="24"/>
        </w:rPr>
        <w:t>access to finance</w:t>
      </w:r>
      <w:r>
        <w:rPr>
          <w:szCs w:val="24"/>
        </w:rPr>
        <w:t xml:space="preserve"> through the implementation of a secured transactions framework</w:t>
      </w:r>
      <w:r>
        <w:t xml:space="preserve"> </w:t>
      </w:r>
      <w:r w:rsidR="00CF56C0">
        <w:t xml:space="preserve">that allows movable assets to be used as collateral for credit </w:t>
      </w:r>
      <w:r>
        <w:t xml:space="preserve">and the establishment of </w:t>
      </w:r>
      <w:r w:rsidRPr="008E173F">
        <w:t>a cen</w:t>
      </w:r>
      <w:r w:rsidR="00B13094">
        <w:t>tral registry of pledged assets</w:t>
      </w:r>
      <w:r w:rsidR="00CF56C0">
        <w:t>.</w:t>
      </w:r>
      <w:r w:rsidR="00B13094">
        <w:t xml:space="preserve"> </w:t>
      </w:r>
      <w:r w:rsidR="00CF56C0" w:rsidRPr="00142E68">
        <w:rPr>
          <w:szCs w:val="24"/>
        </w:rPr>
        <w:t xml:space="preserve">Such a system of secured transactions will have </w:t>
      </w:r>
      <w:r w:rsidR="00270DAE" w:rsidRPr="00142E68">
        <w:rPr>
          <w:szCs w:val="24"/>
        </w:rPr>
        <w:t>a great impact among Small and Medium Sized E</w:t>
      </w:r>
      <w:r w:rsidR="00CF56C0" w:rsidRPr="00142E68">
        <w:rPr>
          <w:szCs w:val="24"/>
        </w:rPr>
        <w:t>nterprises (SMEs)</w:t>
      </w:r>
      <w:r w:rsidR="00270DAE" w:rsidRPr="00142E68">
        <w:rPr>
          <w:szCs w:val="24"/>
        </w:rPr>
        <w:t xml:space="preserve">, </w:t>
      </w:r>
      <w:r w:rsidR="00270DAE">
        <w:t>improving</w:t>
      </w:r>
      <w:r w:rsidR="00CF56C0">
        <w:t xml:space="preserve"> the opportunities for businesses to obtain credit</w:t>
      </w:r>
      <w:r w:rsidR="00270DAE">
        <w:t>,</w:t>
      </w:r>
      <w:r w:rsidR="00CF56C0">
        <w:t xml:space="preserve"> while at the same time reducing</w:t>
      </w:r>
      <w:r w:rsidR="00270DAE">
        <w:t xml:space="preserve"> the risks faced by private banks when providing loans to these firms. </w:t>
      </w:r>
      <w:r w:rsidR="00CF56C0">
        <w:t xml:space="preserve">In addition, the gender </w:t>
      </w:r>
      <w:r w:rsidR="00270DAE">
        <w:t>dimension of access to finance will be addressed promoting a more equitable access to credit for m</w:t>
      </w:r>
      <w:r w:rsidR="00DB765A">
        <w:t>e</w:t>
      </w:r>
      <w:r w:rsidR="00270DAE">
        <w:t>n and women.</w:t>
      </w:r>
    </w:p>
    <w:p w:rsidR="00142E68" w:rsidRPr="00142E68" w:rsidRDefault="00142E68" w:rsidP="00142E68">
      <w:pPr>
        <w:pStyle w:val="Paragraph"/>
        <w:widowControl w:val="0"/>
        <w:rPr>
          <w:szCs w:val="24"/>
        </w:rPr>
      </w:pPr>
      <w:r w:rsidRPr="00142E68">
        <w:t xml:space="preserve"> (iii) </w:t>
      </w:r>
      <w:r w:rsidR="003F6282">
        <w:t>Increasing financing for</w:t>
      </w:r>
      <w:r w:rsidR="003F6282" w:rsidRPr="00710541">
        <w:t xml:space="preserve"> infrastructure </w:t>
      </w:r>
      <w:r w:rsidR="003F6282">
        <w:t xml:space="preserve">projects </w:t>
      </w:r>
      <w:r w:rsidRPr="00142E68">
        <w:t>through Public Private Partnerships (PPPs)</w:t>
      </w:r>
      <w:r w:rsidR="00DB765A">
        <w:t xml:space="preserve"> and</w:t>
      </w:r>
      <w:r w:rsidR="003F6282">
        <w:t xml:space="preserve"> </w:t>
      </w:r>
      <w:r w:rsidRPr="00142E68">
        <w:t>GoJ’s capacity to carry out sustainable and economically feasible PPP pro</w:t>
      </w:r>
      <w:r w:rsidR="003F6282">
        <w:t>jects.</w:t>
      </w:r>
    </w:p>
    <w:p w:rsidR="003F6282" w:rsidRPr="00434969" w:rsidRDefault="003F6282" w:rsidP="00600629">
      <w:pPr>
        <w:pStyle w:val="Paragraph"/>
        <w:widowControl w:val="0"/>
        <w:rPr>
          <w:spacing w:val="-2"/>
          <w:szCs w:val="24"/>
        </w:rPr>
      </w:pPr>
      <w:r w:rsidRPr="00434969">
        <w:rPr>
          <w:spacing w:val="-2"/>
          <w:szCs w:val="24"/>
        </w:rPr>
        <w:t xml:space="preserve">(iv) </w:t>
      </w:r>
      <w:r w:rsidR="00600629" w:rsidRPr="00434969">
        <w:rPr>
          <w:spacing w:val="-2"/>
          <w:szCs w:val="24"/>
        </w:rPr>
        <w:t>Increasing the</w:t>
      </w:r>
      <w:r w:rsidRPr="00434969">
        <w:rPr>
          <w:spacing w:val="-2"/>
          <w:szCs w:val="24"/>
        </w:rPr>
        <w:t xml:space="preserve"> Public-Private consensus and focus on strategic interventions to promote private sector development</w:t>
      </w:r>
      <w:r w:rsidR="00600629" w:rsidRPr="00434969">
        <w:rPr>
          <w:spacing w:val="-2"/>
          <w:szCs w:val="24"/>
        </w:rPr>
        <w:t xml:space="preserve"> by strengthening </w:t>
      </w:r>
      <w:r w:rsidR="00A20645">
        <w:rPr>
          <w:spacing w:val="-2"/>
          <w:szCs w:val="24"/>
        </w:rPr>
        <w:t xml:space="preserve">the </w:t>
      </w:r>
      <w:r w:rsidR="00CC7E18">
        <w:rPr>
          <w:spacing w:val="-2"/>
          <w:szCs w:val="24"/>
        </w:rPr>
        <w:t xml:space="preserve">institutional and research capacity of </w:t>
      </w:r>
      <w:r w:rsidR="00600629" w:rsidRPr="00434969">
        <w:rPr>
          <w:spacing w:val="-2"/>
          <w:szCs w:val="24"/>
        </w:rPr>
        <w:t xml:space="preserve">the Technical </w:t>
      </w:r>
      <w:r w:rsidR="00DB765A">
        <w:rPr>
          <w:spacing w:val="-2"/>
          <w:szCs w:val="24"/>
        </w:rPr>
        <w:t>U</w:t>
      </w:r>
      <w:r w:rsidR="00600629" w:rsidRPr="00434969">
        <w:rPr>
          <w:spacing w:val="-2"/>
          <w:szCs w:val="24"/>
        </w:rPr>
        <w:t xml:space="preserve">nit of the </w:t>
      </w:r>
      <w:r w:rsidR="00600629" w:rsidRPr="00434969">
        <w:rPr>
          <w:spacing w:val="-2"/>
        </w:rPr>
        <w:t>“National Planning Summit” (NPS) and the “Partnership for Transformation” (PfT)</w:t>
      </w:r>
      <w:r w:rsidR="005C4338">
        <w:rPr>
          <w:spacing w:val="-2"/>
        </w:rPr>
        <w:t>.</w:t>
      </w:r>
    </w:p>
    <w:p w:rsidR="00C63F7A" w:rsidRPr="00562718" w:rsidRDefault="00C63F7A">
      <w:pPr>
        <w:pStyle w:val="Paragraph"/>
        <w:widowControl w:val="0"/>
        <w:rPr>
          <w:szCs w:val="24"/>
        </w:rPr>
      </w:pPr>
      <w:r w:rsidRPr="008E173F">
        <w:t xml:space="preserve">The critical aspect of this </w:t>
      </w:r>
      <w:r w:rsidR="00600629">
        <w:t>TC</w:t>
      </w:r>
      <w:r w:rsidRPr="008E173F">
        <w:t xml:space="preserve"> is the need for coordination of the different</w:t>
      </w:r>
      <w:r w:rsidRPr="00562718">
        <w:rPr>
          <w:szCs w:val="24"/>
        </w:rPr>
        <w:t xml:space="preserve"> </w:t>
      </w:r>
      <w:r w:rsidRPr="008E173F">
        <w:t xml:space="preserve">activities with </w:t>
      </w:r>
      <w:r w:rsidR="00600629">
        <w:t xml:space="preserve">multiple agencies and </w:t>
      </w:r>
      <w:r w:rsidRPr="008E173F">
        <w:t>stakeholders</w:t>
      </w:r>
      <w:r w:rsidR="00A20645">
        <w:t>,</w:t>
      </w:r>
      <w:r w:rsidR="00600629">
        <w:t xml:space="preserve"> as well as the</w:t>
      </w:r>
      <w:r w:rsidRPr="008E173F">
        <w:t xml:space="preserve"> technical complexity of the activities. This risk is mitigated by the </w:t>
      </w:r>
      <w:r w:rsidR="00A20645">
        <w:t xml:space="preserve">experience gained from the </w:t>
      </w:r>
      <w:r w:rsidRPr="008E173F">
        <w:t>active involvement of the PIOJ in the execution of the JCEP I and II</w:t>
      </w:r>
      <w:r w:rsidR="004E7918">
        <w:t>.</w:t>
      </w:r>
    </w:p>
    <w:bookmarkStart w:id="229" w:name="_Toc103574888"/>
    <w:bookmarkStart w:id="230" w:name="_Toc182232657"/>
    <w:p w:rsidR="00B05910" w:rsidRDefault="00F119A7" w:rsidP="00955B5E">
      <w:pPr>
        <w:pStyle w:val="FirstHeading"/>
      </w:pPr>
      <w:r>
        <w:lastRenderedPageBreak/>
        <w:fldChar w:fldCharType="begin"/>
      </w:r>
      <w:r w:rsidR="00955B5E">
        <w:instrText xml:space="preserve"> SEQ "</w:instrText>
      </w:r>
      <w:fldSimple w:instr=" SECTION  \* MERGEFORMAT ">
        <w:r w:rsidR="003875B5">
          <w:instrText>9</w:instrText>
        </w:r>
      </w:fldSimple>
      <w:r w:rsidR="00955B5E">
        <w:instrText xml:space="preserve">#"\* ALPHABETIC \* MERGEFORMAT </w:instrText>
      </w:r>
      <w:r>
        <w:fldChar w:fldCharType="separate"/>
      </w:r>
      <w:bookmarkStart w:id="231" w:name="_Toc204581731"/>
      <w:r w:rsidR="003875B5">
        <w:rPr>
          <w:noProof/>
        </w:rPr>
        <w:t>B</w:t>
      </w:r>
      <w:r>
        <w:fldChar w:fldCharType="end"/>
      </w:r>
      <w:r w:rsidR="00955B5E">
        <w:t>.</w:t>
      </w:r>
      <w:r w:rsidR="00955B5E">
        <w:tab/>
      </w:r>
      <w:r w:rsidR="00B05910">
        <w:t>Target Beneficiaries</w:t>
      </w:r>
      <w:bookmarkEnd w:id="229"/>
      <w:bookmarkEnd w:id="230"/>
      <w:bookmarkEnd w:id="231"/>
    </w:p>
    <w:p w:rsidR="003F5119" w:rsidRDefault="003F5119" w:rsidP="003F5119">
      <w:pPr>
        <w:pStyle w:val="Paragraph"/>
        <w:widowControl w:val="0"/>
        <w:rPr>
          <w:szCs w:val="24"/>
        </w:rPr>
      </w:pPr>
      <w:r>
        <w:t xml:space="preserve">The direct beneficiaries will be government institutions and private sector organizations, including chambers of commerce, </w:t>
      </w:r>
      <w:r w:rsidR="001F2E4F" w:rsidRPr="003F5119">
        <w:rPr>
          <w:szCs w:val="24"/>
        </w:rPr>
        <w:t>labour unions and academia</w:t>
      </w:r>
      <w:r>
        <w:rPr>
          <w:szCs w:val="24"/>
        </w:rPr>
        <w:t>.</w:t>
      </w:r>
    </w:p>
    <w:p w:rsidR="003F5119" w:rsidRPr="003F5119" w:rsidRDefault="003F5119" w:rsidP="003F5119">
      <w:pPr>
        <w:pStyle w:val="Paragraph"/>
        <w:widowControl w:val="0"/>
        <w:rPr>
          <w:szCs w:val="24"/>
        </w:rPr>
      </w:pPr>
      <w:r>
        <w:rPr>
          <w:szCs w:val="24"/>
        </w:rPr>
        <w:t>The ultimate beneficiaries will be investors,</w:t>
      </w:r>
      <w:r>
        <w:t xml:space="preserve"> business owners and men and women in Jamaica</w:t>
      </w:r>
      <w:r w:rsidR="002D4C22">
        <w:t>, in particular small business owners and the poorest segments of the po</w:t>
      </w:r>
      <w:r w:rsidR="00CA0F9A">
        <w:t>p</w:t>
      </w:r>
      <w:r w:rsidR="002D4C22">
        <w:t>ulation</w:t>
      </w:r>
      <w:r>
        <w:t>. These parties will benefit from a business climate more conducive to private sector growth, higher employment, increased access to finance, access to new infrastructure and a voice in the debates of private sector development and competitiveness.</w:t>
      </w:r>
    </w:p>
    <w:bookmarkStart w:id="232" w:name="_Toc103574889"/>
    <w:bookmarkStart w:id="233" w:name="_Toc182232658"/>
    <w:p w:rsidR="00B05910" w:rsidRDefault="00F119A7" w:rsidP="008A56A8">
      <w:pPr>
        <w:pStyle w:val="FirstHeading"/>
      </w:pPr>
      <w:r>
        <w:fldChar w:fldCharType="begin"/>
      </w:r>
      <w:r w:rsidR="008A56A8">
        <w:instrText xml:space="preserve"> SEQ "</w:instrText>
      </w:r>
      <w:fldSimple w:instr=" SECTION  \* MERGEFORMAT ">
        <w:r w:rsidR="003875B5">
          <w:instrText>9</w:instrText>
        </w:r>
      </w:fldSimple>
      <w:r w:rsidR="008A56A8">
        <w:instrText xml:space="preserve">#"\* ALPHABETIC \* MERGEFORMAT </w:instrText>
      </w:r>
      <w:r>
        <w:fldChar w:fldCharType="separate"/>
      </w:r>
      <w:bookmarkStart w:id="234" w:name="_Toc204581732"/>
      <w:r w:rsidR="003875B5">
        <w:rPr>
          <w:noProof/>
        </w:rPr>
        <w:t>C</w:t>
      </w:r>
      <w:r>
        <w:fldChar w:fldCharType="end"/>
      </w:r>
      <w:r w:rsidR="008A56A8">
        <w:t>.</w:t>
      </w:r>
      <w:r w:rsidR="008A56A8">
        <w:tab/>
      </w:r>
      <w:r w:rsidR="00B05910">
        <w:t>Risks</w:t>
      </w:r>
      <w:bookmarkEnd w:id="232"/>
      <w:bookmarkEnd w:id="233"/>
      <w:bookmarkEnd w:id="234"/>
    </w:p>
    <w:p w:rsidR="007274BD" w:rsidRDefault="008A56A8" w:rsidP="00545B94">
      <w:pPr>
        <w:pStyle w:val="Paragraph"/>
        <w:widowControl w:val="0"/>
        <w:rPr>
          <w:szCs w:val="24"/>
        </w:rPr>
      </w:pPr>
      <w:r w:rsidRPr="00545B94">
        <w:t>The</w:t>
      </w:r>
      <w:r w:rsidRPr="00BF704D">
        <w:rPr>
          <w:szCs w:val="24"/>
        </w:rPr>
        <w:t xml:space="preserve"> main </w:t>
      </w:r>
      <w:r w:rsidR="004F72A2" w:rsidRPr="00BF704D">
        <w:rPr>
          <w:szCs w:val="24"/>
        </w:rPr>
        <w:t xml:space="preserve">risks are: (i) </w:t>
      </w:r>
      <w:r w:rsidR="00BF704D" w:rsidRPr="00BF704D">
        <w:rPr>
          <w:szCs w:val="24"/>
        </w:rPr>
        <w:t xml:space="preserve">that GoJ does not adopt the Private Sector Development Strategy and does not implement the activities identified in the Action Plan </w:t>
      </w:r>
      <w:r w:rsidR="00CA0F9A">
        <w:rPr>
          <w:szCs w:val="24"/>
        </w:rPr>
        <w:t xml:space="preserve">due to a </w:t>
      </w:r>
      <w:r w:rsidR="00BF704D" w:rsidRPr="00BF704D">
        <w:rPr>
          <w:szCs w:val="24"/>
        </w:rPr>
        <w:t>lack of consensus on a PSD agenda</w:t>
      </w:r>
      <w:r w:rsidR="00CA0F9A">
        <w:rPr>
          <w:szCs w:val="24"/>
        </w:rPr>
        <w:t>.</w:t>
      </w:r>
      <w:r w:rsidR="00BF704D" w:rsidRPr="00BF704D">
        <w:rPr>
          <w:szCs w:val="24"/>
        </w:rPr>
        <w:t xml:space="preserve"> </w:t>
      </w:r>
      <w:r w:rsidR="00CA0F9A">
        <w:rPr>
          <w:szCs w:val="24"/>
        </w:rPr>
        <w:t>T</w:t>
      </w:r>
      <w:r w:rsidR="00BF704D" w:rsidRPr="00BF704D">
        <w:rPr>
          <w:szCs w:val="24"/>
        </w:rPr>
        <w:t xml:space="preserve">his is being mitigated </w:t>
      </w:r>
      <w:r w:rsidR="00CA0F9A">
        <w:rPr>
          <w:szCs w:val="24"/>
        </w:rPr>
        <w:t>b</w:t>
      </w:r>
      <w:r w:rsidR="00BF704D" w:rsidRPr="00BF704D">
        <w:rPr>
          <w:szCs w:val="24"/>
        </w:rPr>
        <w:t xml:space="preserve">y ensuring that the consultants working on the PSDS </w:t>
      </w:r>
      <w:r w:rsidR="00CA0F9A">
        <w:rPr>
          <w:szCs w:val="24"/>
        </w:rPr>
        <w:t>collaborate</w:t>
      </w:r>
      <w:r w:rsidR="00CA0F9A" w:rsidRPr="00BF704D">
        <w:rPr>
          <w:szCs w:val="24"/>
        </w:rPr>
        <w:t xml:space="preserve"> </w:t>
      </w:r>
      <w:r w:rsidR="00BF704D" w:rsidRPr="00BF704D">
        <w:rPr>
          <w:szCs w:val="24"/>
        </w:rPr>
        <w:t xml:space="preserve">closely with PIOJ, NPS and PfT; </w:t>
      </w:r>
      <w:r w:rsidR="00F23B10">
        <w:rPr>
          <w:szCs w:val="24"/>
        </w:rPr>
        <w:t xml:space="preserve">          </w:t>
      </w:r>
      <w:r w:rsidR="00BF704D" w:rsidRPr="00BF704D">
        <w:rPr>
          <w:szCs w:val="24"/>
        </w:rPr>
        <w:t>(ii)</w:t>
      </w:r>
      <w:r w:rsidR="002326B5" w:rsidRPr="002326B5">
        <w:rPr>
          <w:szCs w:val="24"/>
        </w:rPr>
        <w:t xml:space="preserve"> possible </w:t>
      </w:r>
      <w:r w:rsidR="007274BD">
        <w:rPr>
          <w:szCs w:val="24"/>
        </w:rPr>
        <w:t xml:space="preserve">delays </w:t>
      </w:r>
      <w:r w:rsidR="00CA0F9A">
        <w:rPr>
          <w:szCs w:val="24"/>
        </w:rPr>
        <w:t xml:space="preserve">may be imminent </w:t>
      </w:r>
      <w:r w:rsidR="007274BD">
        <w:rPr>
          <w:szCs w:val="24"/>
        </w:rPr>
        <w:t>in the adoption of the secured transactions and PPP regulatory reforms</w:t>
      </w:r>
      <w:r w:rsidR="00CA0F9A">
        <w:rPr>
          <w:szCs w:val="24"/>
        </w:rPr>
        <w:t>. T</w:t>
      </w:r>
      <w:r w:rsidR="007274BD">
        <w:rPr>
          <w:szCs w:val="24"/>
        </w:rPr>
        <w:t xml:space="preserve">his is being mitigated by establishing a close collaboration with PIOJ and </w:t>
      </w:r>
      <w:r w:rsidR="00CA0F9A">
        <w:rPr>
          <w:szCs w:val="24"/>
        </w:rPr>
        <w:t xml:space="preserve">by </w:t>
      </w:r>
      <w:r w:rsidR="007274BD">
        <w:rPr>
          <w:szCs w:val="24"/>
        </w:rPr>
        <w:t>the appoint</w:t>
      </w:r>
      <w:r w:rsidR="00CA0F9A">
        <w:rPr>
          <w:szCs w:val="24"/>
        </w:rPr>
        <w:t>ment of</w:t>
      </w:r>
      <w:r w:rsidR="007274BD">
        <w:rPr>
          <w:szCs w:val="24"/>
        </w:rPr>
        <w:t xml:space="preserve"> a coordinator to ensure the effective implementation of the activities. </w:t>
      </w:r>
    </w:p>
    <w:p w:rsidR="00BF704D" w:rsidRDefault="00BF704D">
      <w:pPr>
        <w:pStyle w:val="Paragraph"/>
        <w:widowControl w:val="0"/>
        <w:numPr>
          <w:ilvl w:val="0"/>
          <w:numId w:val="0"/>
        </w:numPr>
        <w:spacing w:before="0" w:after="0"/>
        <w:rPr>
          <w:szCs w:val="24"/>
        </w:rPr>
        <w:sectPr w:rsidR="00BF704D">
          <w:type w:val="continuous"/>
          <w:pgSz w:w="12240" w:h="15840" w:code="1"/>
          <w:pgMar w:top="1440" w:right="1800" w:bottom="1440" w:left="1800" w:header="706" w:footer="706" w:gutter="0"/>
          <w:cols w:space="720"/>
          <w:formProt w:val="0"/>
          <w:titlePg/>
        </w:sectPr>
      </w:pPr>
    </w:p>
    <w:p w:rsidR="00B05910" w:rsidRDefault="00F239F4" w:rsidP="00F239F4">
      <w:pPr>
        <w:pStyle w:val="Chapter"/>
      </w:pPr>
      <w:bookmarkStart w:id="235" w:name="_Toc204581733"/>
      <w:r>
        <w:lastRenderedPageBreak/>
        <w:t>Environmental and Social Aspects</w:t>
      </w:r>
      <w:bookmarkEnd w:id="235"/>
    </w:p>
    <w:bookmarkStart w:id="236" w:name="_Toc101756036"/>
    <w:bookmarkStart w:id="237" w:name="_Toc101942677"/>
    <w:bookmarkStart w:id="238" w:name="_Toc103574890"/>
    <w:bookmarkStart w:id="239" w:name="_Toc182232659"/>
    <w:p w:rsidR="008B1CDA" w:rsidRPr="008B1CDA" w:rsidRDefault="00F119A7" w:rsidP="008B1CDA">
      <w:pPr>
        <w:pStyle w:val="FirstHeading"/>
        <w:rPr>
          <w:szCs w:val="24"/>
        </w:rPr>
      </w:pPr>
      <w:r>
        <w:fldChar w:fldCharType="begin"/>
      </w:r>
      <w:r w:rsidR="008B1CDA">
        <w:instrText xml:space="preserve"> SEQ "</w:instrText>
      </w:r>
      <w:fldSimple w:instr=" SECTION  \* MERGEFORMAT ">
        <w:r w:rsidR="003875B5">
          <w:instrText>10</w:instrText>
        </w:r>
      </w:fldSimple>
      <w:r w:rsidR="008B1CDA">
        <w:instrText xml:space="preserve">#"\* ALPHABETIC \* MERGEFORMAT </w:instrText>
      </w:r>
      <w:r>
        <w:fldChar w:fldCharType="separate"/>
      </w:r>
      <w:bookmarkStart w:id="240" w:name="_Toc204581734"/>
      <w:r w:rsidR="003875B5">
        <w:rPr>
          <w:noProof/>
        </w:rPr>
        <w:t>A</w:t>
      </w:r>
      <w:r>
        <w:fldChar w:fldCharType="end"/>
      </w:r>
      <w:r w:rsidR="008B1CDA">
        <w:t>.</w:t>
      </w:r>
      <w:r w:rsidR="008B1CDA">
        <w:tab/>
      </w:r>
      <w:r w:rsidR="008B1CDA" w:rsidRPr="008B1CDA">
        <w:t>Date of ESR review</w:t>
      </w:r>
      <w:bookmarkEnd w:id="236"/>
      <w:bookmarkEnd w:id="237"/>
      <w:bookmarkEnd w:id="238"/>
      <w:bookmarkEnd w:id="239"/>
      <w:bookmarkEnd w:id="240"/>
    </w:p>
    <w:p w:rsidR="008B1CDA" w:rsidRDefault="00AE464F">
      <w:pPr>
        <w:pStyle w:val="Paragraph"/>
        <w:widowControl w:val="0"/>
        <w:rPr>
          <w:szCs w:val="24"/>
        </w:rPr>
      </w:pPr>
      <w:bookmarkStart w:id="241" w:name="_Ref204582086"/>
      <w:r>
        <w:rPr>
          <w:rFonts w:eastAsia="Batang"/>
          <w:color w:val="000000"/>
          <w:lang w:eastAsia="ko-KR"/>
        </w:rPr>
        <w:t>The activities to be financed in this program will have no direct negative social or environmental effects. Based on the aforementioned, and according to the ESR Safeguard Classification toolkit, the operation was classified as “C” category on</w:t>
      </w:r>
      <w:r w:rsidR="00797F3B" w:rsidRPr="00797F3B">
        <w:rPr>
          <w:szCs w:val="24"/>
          <w:highlight w:val="yellow"/>
        </w:rPr>
        <w:t xml:space="preserve"> </w:t>
      </w:r>
      <w:r w:rsidR="00797F3B" w:rsidRPr="00F23B10">
        <w:rPr>
          <w:szCs w:val="24"/>
        </w:rPr>
        <w:t>December 8</w:t>
      </w:r>
      <w:r w:rsidR="00797F3B" w:rsidRPr="00F23B10">
        <w:rPr>
          <w:szCs w:val="24"/>
          <w:vertAlign w:val="superscript"/>
        </w:rPr>
        <w:t>th</w:t>
      </w:r>
      <w:r w:rsidR="00797F3B" w:rsidRPr="00F23B10">
        <w:rPr>
          <w:szCs w:val="24"/>
        </w:rPr>
        <w:t>, 2009</w:t>
      </w:r>
      <w:r w:rsidRPr="00F23B10">
        <w:rPr>
          <w:rFonts w:eastAsia="Batang"/>
          <w:color w:val="000000"/>
          <w:lang w:eastAsia="ko-KR"/>
        </w:rPr>
        <w:t>.</w:t>
      </w:r>
      <w:bookmarkEnd w:id="241"/>
    </w:p>
    <w:p w:rsidR="001519C5" w:rsidRDefault="00F119A7" w:rsidP="008B1CDA">
      <w:pPr>
        <w:pStyle w:val="FirstHeading"/>
      </w:pPr>
      <w:r>
        <w:fldChar w:fldCharType="begin"/>
      </w:r>
      <w:r w:rsidR="008B1CDA">
        <w:instrText xml:space="preserve"> SEQ "</w:instrText>
      </w:r>
      <w:fldSimple w:instr=" SECTION  \* MERGEFORMAT ">
        <w:r w:rsidR="003875B5">
          <w:instrText>10</w:instrText>
        </w:r>
      </w:fldSimple>
      <w:r w:rsidR="008B1CDA">
        <w:instrText xml:space="preserve">#"\* ALPHABETIC \* MERGEFORMAT </w:instrText>
      </w:r>
      <w:r>
        <w:fldChar w:fldCharType="separate"/>
      </w:r>
      <w:bookmarkStart w:id="242" w:name="_Toc204581735"/>
      <w:r w:rsidR="003875B5">
        <w:rPr>
          <w:noProof/>
        </w:rPr>
        <w:t>B</w:t>
      </w:r>
      <w:r>
        <w:fldChar w:fldCharType="end"/>
      </w:r>
      <w:r w:rsidR="008B1CDA">
        <w:t>.</w:t>
      </w:r>
      <w:r w:rsidR="008B1CDA">
        <w:tab/>
      </w:r>
      <w:r w:rsidR="008B1CDA" w:rsidRPr="008B1CDA">
        <w:t>Risks and Mitigation</w:t>
      </w:r>
      <w:bookmarkEnd w:id="242"/>
    </w:p>
    <w:p w:rsidR="000A643D" w:rsidRDefault="008B17E9" w:rsidP="008B17E9">
      <w:pPr>
        <w:pStyle w:val="Paragraph"/>
        <w:widowControl w:val="0"/>
        <w:numPr>
          <w:ilvl w:val="0"/>
          <w:numId w:val="0"/>
        </w:numPr>
        <w:spacing w:before="0" w:after="0"/>
        <w:ind w:left="720" w:hanging="720"/>
        <w:rPr>
          <w:szCs w:val="24"/>
        </w:rPr>
      </w:pPr>
      <w:bookmarkStart w:id="243" w:name="_Ref204582092"/>
      <w:r>
        <w:rPr>
          <w:szCs w:val="24"/>
        </w:rPr>
        <w:t>8.2</w:t>
      </w:r>
      <w:r>
        <w:rPr>
          <w:szCs w:val="24"/>
        </w:rPr>
        <w:tab/>
      </w:r>
      <w:r w:rsidR="00B05910">
        <w:rPr>
          <w:szCs w:val="24"/>
        </w:rPr>
        <w:t xml:space="preserve">In view of the nature of the operation and the activities to be financed, the team estimates that the project will have no environmental or social impact. </w:t>
      </w:r>
      <w:bookmarkEnd w:id="243"/>
    </w:p>
    <w:p w:rsidR="00EA7606" w:rsidRPr="00EA7606" w:rsidRDefault="00EA7606" w:rsidP="00EA7606">
      <w:pPr>
        <w:pStyle w:val="Paragraph"/>
        <w:widowControl w:val="0"/>
        <w:numPr>
          <w:ilvl w:val="0"/>
          <w:numId w:val="0"/>
        </w:numPr>
        <w:spacing w:before="0" w:after="0"/>
        <w:rPr>
          <w:szCs w:val="24"/>
        </w:rPr>
        <w:sectPr w:rsidR="00EA7606" w:rsidRPr="00EA7606">
          <w:type w:val="continuous"/>
          <w:pgSz w:w="12240" w:h="15840" w:code="1"/>
          <w:pgMar w:top="1440" w:right="1800" w:bottom="1440" w:left="1800" w:header="706" w:footer="706" w:gutter="0"/>
          <w:cols w:space="720"/>
          <w:formProt w:val="0"/>
          <w:titlePg/>
        </w:sectPr>
      </w:pPr>
    </w:p>
    <w:p w:rsidR="000A643D" w:rsidRPr="00EA7606" w:rsidRDefault="000A643D" w:rsidP="000A643D">
      <w:pPr>
        <w:rPr>
          <w:szCs w:val="24"/>
        </w:rPr>
      </w:pPr>
    </w:p>
    <w:p w:rsidR="00B05910" w:rsidRPr="00EA7606" w:rsidRDefault="002326B5" w:rsidP="000A643D">
      <w:pPr>
        <w:pStyle w:val="Chapter"/>
        <w:rPr>
          <w:szCs w:val="24"/>
        </w:rPr>
      </w:pPr>
      <w:bookmarkStart w:id="244" w:name="_Toc204581736"/>
      <w:r w:rsidRPr="002326B5">
        <w:rPr>
          <w:szCs w:val="24"/>
        </w:rPr>
        <w:t>Responsibility within the Bank</w:t>
      </w:r>
      <w:bookmarkEnd w:id="244"/>
    </w:p>
    <w:p w:rsidR="00B05910" w:rsidRPr="00B55343" w:rsidRDefault="002326B5" w:rsidP="000A643D">
      <w:pPr>
        <w:pStyle w:val="Paragraph"/>
      </w:pPr>
      <w:r w:rsidRPr="002326B5">
        <w:rPr>
          <w:szCs w:val="24"/>
        </w:rPr>
        <w:t xml:space="preserve">The Capital Markets and Financial Institutions Division at the Institutional Capacity and Finance Sector (ICF/CMF) has the </w:t>
      </w:r>
      <w:r w:rsidR="00B05910">
        <w:t xml:space="preserve">responsibility for preparing and managing this TC. </w:t>
      </w:r>
      <w:r w:rsidR="00B05910">
        <w:rPr>
          <w:snapToGrid w:val="0"/>
        </w:rPr>
        <w:t>The officer</w:t>
      </w:r>
      <w:r w:rsidR="00B61F66">
        <w:rPr>
          <w:snapToGrid w:val="0"/>
        </w:rPr>
        <w:t>s</w:t>
      </w:r>
      <w:r w:rsidR="00B05910">
        <w:rPr>
          <w:snapToGrid w:val="0"/>
        </w:rPr>
        <w:t xml:space="preserve"> with direct </w:t>
      </w:r>
      <w:r w:rsidR="00B61F66">
        <w:rPr>
          <w:snapToGrid w:val="0"/>
        </w:rPr>
        <w:t xml:space="preserve">responsibility on </w:t>
      </w:r>
      <w:r w:rsidR="00B05910">
        <w:rPr>
          <w:snapToGrid w:val="0"/>
        </w:rPr>
        <w:t xml:space="preserve">technical </w:t>
      </w:r>
      <w:r w:rsidR="00B61F66">
        <w:rPr>
          <w:snapToGrid w:val="0"/>
        </w:rPr>
        <w:t xml:space="preserve">issues </w:t>
      </w:r>
      <w:r w:rsidR="00B05910">
        <w:rPr>
          <w:snapToGrid w:val="0"/>
        </w:rPr>
        <w:t>and approval of disbursement</w:t>
      </w:r>
      <w:r w:rsidR="000A643D">
        <w:rPr>
          <w:snapToGrid w:val="0"/>
        </w:rPr>
        <w:t>s</w:t>
      </w:r>
      <w:r w:rsidR="00B05910">
        <w:rPr>
          <w:snapToGrid w:val="0"/>
        </w:rPr>
        <w:t xml:space="preserve"> </w:t>
      </w:r>
      <w:r w:rsidR="00DB0A1F">
        <w:rPr>
          <w:snapToGrid w:val="0"/>
        </w:rPr>
        <w:t xml:space="preserve">are </w:t>
      </w:r>
      <w:r w:rsidR="00B05910">
        <w:rPr>
          <w:snapToGrid w:val="0"/>
        </w:rPr>
        <w:t>Claudia Stevenson (</w:t>
      </w:r>
      <w:r w:rsidR="00B61F66">
        <w:rPr>
          <w:snapToGrid w:val="0"/>
        </w:rPr>
        <w:t>ICF/CMF</w:t>
      </w:r>
      <w:r w:rsidR="00B05910">
        <w:rPr>
          <w:snapToGrid w:val="0"/>
        </w:rPr>
        <w:t>)</w:t>
      </w:r>
      <w:r w:rsidR="00B61F66">
        <w:rPr>
          <w:snapToGrid w:val="0"/>
        </w:rPr>
        <w:t xml:space="preserve">, </w:t>
      </w:r>
      <w:r w:rsidR="00B05910">
        <w:rPr>
          <w:snapToGrid w:val="0"/>
        </w:rPr>
        <w:t xml:space="preserve">e-mail: </w:t>
      </w:r>
      <w:hyperlink r:id="rId27" w:history="1">
        <w:r w:rsidR="00B05910">
          <w:rPr>
            <w:rStyle w:val="Hyperlink"/>
            <w:snapToGrid w:val="0"/>
            <w:szCs w:val="24"/>
          </w:rPr>
          <w:t>claudiast@iadb.org</w:t>
        </w:r>
      </w:hyperlink>
      <w:r w:rsidR="00B05910">
        <w:rPr>
          <w:snapToGrid w:val="0"/>
        </w:rPr>
        <w:t xml:space="preserve"> </w:t>
      </w:r>
      <w:r w:rsidR="00B55343">
        <w:rPr>
          <w:snapToGrid w:val="0"/>
        </w:rPr>
        <w:t xml:space="preserve"> and Jose Jorge Saavedra (CMF/CBA), email </w:t>
      </w:r>
      <w:hyperlink r:id="rId28" w:history="1">
        <w:r w:rsidR="00B55343" w:rsidRPr="000C022B">
          <w:rPr>
            <w:rStyle w:val="Hyperlink"/>
            <w:snapToGrid w:val="0"/>
          </w:rPr>
          <w:t>josejs@iadb.org</w:t>
        </w:r>
      </w:hyperlink>
    </w:p>
    <w:p w:rsidR="00B475CA" w:rsidRDefault="00B475CA" w:rsidP="00B475CA"/>
    <w:p w:rsidR="00395E24" w:rsidRPr="00D278C0" w:rsidRDefault="00395E24" w:rsidP="00395E24">
      <w:pPr>
        <w:pStyle w:val="Chapter"/>
        <w:keepLines/>
        <w:spacing w:before="0" w:after="0"/>
        <w:rPr>
          <w:color w:val="000000"/>
        </w:rPr>
      </w:pPr>
      <w:bookmarkStart w:id="245" w:name="_Toc204581737"/>
      <w:r w:rsidRPr="00D278C0">
        <w:rPr>
          <w:color w:val="000000"/>
        </w:rPr>
        <w:lastRenderedPageBreak/>
        <w:t>Recommendation</w:t>
      </w:r>
    </w:p>
    <w:p w:rsidR="00395E24" w:rsidRPr="00D278C0" w:rsidRDefault="00395E24" w:rsidP="00395E24">
      <w:pPr>
        <w:pStyle w:val="AbbrDesc"/>
        <w:tabs>
          <w:tab w:val="clear" w:pos="3060"/>
        </w:tabs>
        <w:rPr>
          <w:color w:val="000000"/>
        </w:rPr>
      </w:pPr>
    </w:p>
    <w:p w:rsidR="00395E24" w:rsidRDefault="00395E24" w:rsidP="00395E24">
      <w:pPr>
        <w:pStyle w:val="Paragraph"/>
        <w:spacing w:before="0" w:after="0"/>
        <w:rPr>
          <w:color w:val="000000"/>
        </w:rPr>
      </w:pPr>
      <w:r>
        <w:rPr>
          <w:color w:val="000000"/>
        </w:rPr>
        <w:t>Claudia Stevenson</w:t>
      </w:r>
      <w:r w:rsidRPr="00D278C0">
        <w:rPr>
          <w:color w:val="000000"/>
        </w:rPr>
        <w:t>, designated team leader for this project, recommends the approval of this operation and the use of resources from the</w:t>
      </w:r>
      <w:r w:rsidR="00B55343">
        <w:rPr>
          <w:color w:val="000000"/>
        </w:rPr>
        <w:t xml:space="preserve"> </w:t>
      </w:r>
      <w:r w:rsidR="00B55343" w:rsidRPr="008E173F">
        <w:t xml:space="preserve">Grant Cofinancing Contribution </w:t>
      </w:r>
      <w:r w:rsidR="00B55343">
        <w:t>Administered by the Bank (</w:t>
      </w:r>
      <w:r w:rsidR="00B55343" w:rsidRPr="008E173F">
        <w:t>COFAB</w:t>
      </w:r>
      <w:r w:rsidR="00B55343">
        <w:t>)</w:t>
      </w:r>
      <w:r w:rsidR="00B55343" w:rsidRPr="008E173F">
        <w:t xml:space="preserve"> signed with the Department for International Development (DFID) from the United Kingdom</w:t>
      </w:r>
      <w:r w:rsidRPr="00D278C0">
        <w:rPr>
          <w:color w:val="000000"/>
        </w:rPr>
        <w:t>.</w:t>
      </w:r>
    </w:p>
    <w:p w:rsidR="00395E24" w:rsidRPr="00D278C0" w:rsidRDefault="00395E24" w:rsidP="00395E24">
      <w:pPr>
        <w:pStyle w:val="AbbrDesc"/>
        <w:tabs>
          <w:tab w:val="clear" w:pos="3060"/>
        </w:tabs>
        <w:rPr>
          <w:color w:val="000000"/>
        </w:rPr>
      </w:pPr>
    </w:p>
    <w:p w:rsidR="00CB6D70" w:rsidRDefault="00072AFA" w:rsidP="00F5406D">
      <w:pPr>
        <w:pStyle w:val="Chapter"/>
      </w:pPr>
      <w:bookmarkStart w:id="246" w:name="_Toc204581738"/>
      <w:bookmarkEnd w:id="245"/>
      <w:r>
        <w:t>Approval</w:t>
      </w:r>
      <w:bookmarkEnd w:id="246"/>
    </w:p>
    <w:tbl>
      <w:tblPr>
        <w:tblW w:w="0" w:type="auto"/>
        <w:jc w:val="center"/>
        <w:tblLook w:val="01E0"/>
      </w:tblPr>
      <w:tblGrid>
        <w:gridCol w:w="4428"/>
      </w:tblGrid>
      <w:tr w:rsidR="00A66316" w:rsidRPr="00275D0F" w:rsidTr="00B23707">
        <w:trPr>
          <w:trHeight w:val="260"/>
          <w:jc w:val="center"/>
        </w:trPr>
        <w:tc>
          <w:tcPr>
            <w:tcW w:w="4428" w:type="dxa"/>
          </w:tcPr>
          <w:p w:rsidR="00A66316" w:rsidRDefault="00A66316">
            <w:pPr>
              <w:pStyle w:val="Paragraph"/>
              <w:numPr>
                <w:ilvl w:val="0"/>
                <w:numId w:val="0"/>
              </w:numPr>
              <w:tabs>
                <w:tab w:val="center" w:pos="2106"/>
                <w:tab w:val="left" w:pos="3255"/>
              </w:tabs>
              <w:spacing w:after="0"/>
              <w:jc w:val="center"/>
            </w:pPr>
          </w:p>
          <w:p w:rsidR="00B23707" w:rsidRPr="00B23707" w:rsidRDefault="00B23707">
            <w:pPr>
              <w:pStyle w:val="Paragraph"/>
              <w:numPr>
                <w:ilvl w:val="0"/>
                <w:numId w:val="0"/>
              </w:numPr>
              <w:tabs>
                <w:tab w:val="center" w:pos="2106"/>
                <w:tab w:val="left" w:pos="3255"/>
              </w:tabs>
              <w:spacing w:after="0"/>
              <w:jc w:val="center"/>
              <w:rPr>
                <w:b/>
                <w:i/>
              </w:rPr>
            </w:pPr>
            <w:r w:rsidRPr="00B23707">
              <w:rPr>
                <w:b/>
                <w:i/>
              </w:rPr>
              <w:t>(Original Signed)</w:t>
            </w:r>
          </w:p>
          <w:p w:rsidR="00B23707" w:rsidRDefault="00B23707">
            <w:pPr>
              <w:pStyle w:val="Paragraph"/>
              <w:numPr>
                <w:ilvl w:val="0"/>
                <w:numId w:val="0"/>
              </w:numPr>
              <w:tabs>
                <w:tab w:val="center" w:pos="2106"/>
                <w:tab w:val="left" w:pos="3255"/>
              </w:tabs>
              <w:spacing w:after="0"/>
              <w:jc w:val="center"/>
            </w:pPr>
            <w:r>
              <w:t>__________________________</w:t>
            </w:r>
          </w:p>
          <w:p w:rsidR="00A66316" w:rsidRDefault="00A66316">
            <w:pPr>
              <w:pStyle w:val="Paragraph"/>
              <w:numPr>
                <w:ilvl w:val="0"/>
                <w:numId w:val="0"/>
              </w:numPr>
              <w:tabs>
                <w:tab w:val="center" w:pos="2106"/>
                <w:tab w:val="left" w:pos="3255"/>
              </w:tabs>
              <w:spacing w:after="0"/>
              <w:jc w:val="center"/>
            </w:pPr>
            <w:r w:rsidRPr="00CB6D70">
              <w:t>Kurt Focke</w:t>
            </w:r>
          </w:p>
          <w:p w:rsidR="00A66316" w:rsidRDefault="00A66316">
            <w:pPr>
              <w:pStyle w:val="Paragraph"/>
              <w:numPr>
                <w:ilvl w:val="0"/>
                <w:numId w:val="0"/>
              </w:numPr>
              <w:tabs>
                <w:tab w:val="center" w:pos="2106"/>
                <w:tab w:val="left" w:pos="3255"/>
              </w:tabs>
              <w:spacing w:after="0"/>
              <w:jc w:val="center"/>
            </w:pPr>
            <w:r w:rsidRPr="00CB6D70">
              <w:t>Division Chief, ICF/CMF</w:t>
            </w:r>
          </w:p>
        </w:tc>
      </w:tr>
    </w:tbl>
    <w:p w:rsidR="00CB6D70" w:rsidRDefault="00CB6D70" w:rsidP="00B23707">
      <w:pPr>
        <w:pStyle w:val="Paragraph"/>
        <w:widowControl w:val="0"/>
        <w:numPr>
          <w:ilvl w:val="0"/>
          <w:numId w:val="0"/>
        </w:numPr>
      </w:pPr>
    </w:p>
    <w:sectPr w:rsidR="00CB6D70" w:rsidSect="009D68E3">
      <w:headerReference w:type="default" r:id="rId29"/>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4DE" w:rsidRDefault="00A934DE">
      <w:r>
        <w:separator/>
      </w:r>
    </w:p>
  </w:endnote>
  <w:endnote w:type="continuationSeparator" w:id="0">
    <w:p w:rsidR="00A934DE" w:rsidRDefault="00A934DE">
      <w:r>
        <w:continuationSeparator/>
      </w:r>
    </w:p>
  </w:endnote>
  <w:endnote w:id="1">
    <w:p w:rsidR="001616E9" w:rsidRPr="004671AF" w:rsidRDefault="001616E9" w:rsidP="004671AF">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Grande">
    <w:charset w:val="00"/>
    <w:family w:val="auto"/>
    <w:pitch w:val="variable"/>
    <w:sig w:usb0="00000003" w:usb1="00000000" w:usb2="00000000" w:usb3="00000000" w:csb0="00000001" w:csb1="00000000"/>
  </w:font>
  <w:font w:name="Gill Sans MT">
    <w:charset w:val="00"/>
    <w:family w:val="swiss"/>
    <w:pitch w:val="variable"/>
    <w:sig w:usb0="00000007" w:usb1="00000000" w:usb2="00000000" w:usb3="00000000" w:csb0="00000003"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Footer"/>
      <w:framePr w:wrap="around" w:vAnchor="text" w:hAnchor="margin" w:xAlign="right" w:y="1"/>
      <w:rPr>
        <w:rStyle w:val="PageNumber"/>
      </w:rPr>
    </w:pPr>
  </w:p>
  <w:p w:rsidR="001616E9" w:rsidRDefault="001616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Footer"/>
      <w:rPr>
        <w:sz w:val="16"/>
      </w:rPr>
    </w:pPr>
  </w:p>
  <w:p w:rsidR="001616E9" w:rsidRDefault="001616E9">
    <w:pPr>
      <w:pStyle w:val="Footer"/>
    </w:pPr>
    <w:r>
      <w:rPr>
        <w:sz w:val="16"/>
      </w:rPr>
      <w:tab/>
    </w:r>
    <w:r>
      <w:rPr>
        <w:sz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Footer"/>
      <w:rPr>
        <w:sz w:val="16"/>
      </w:rPr>
    </w:pPr>
  </w:p>
  <w:p w:rsidR="001616E9" w:rsidRDefault="001616E9">
    <w:pPr>
      <w:pStyle w:val="Footer"/>
    </w:pPr>
    <w:r>
      <w:rPr>
        <w:sz w:val="16"/>
      </w:rPr>
      <w:tab/>
    </w:r>
    <w:r>
      <w:rPr>
        <w:sz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4DE" w:rsidRDefault="00A934DE">
      <w:r>
        <w:separator/>
      </w:r>
    </w:p>
  </w:footnote>
  <w:footnote w:type="continuationSeparator" w:id="0">
    <w:p w:rsidR="00A934DE" w:rsidRDefault="00A934DE">
      <w:r>
        <w:continuationSeparator/>
      </w:r>
    </w:p>
  </w:footnote>
  <w:footnote w:id="1">
    <w:p w:rsidR="001616E9" w:rsidRDefault="001616E9" w:rsidP="002326B5">
      <w:r>
        <w:rPr>
          <w:rStyle w:val="FootnoteReference"/>
        </w:rPr>
        <w:footnoteRef/>
      </w:r>
      <w:r>
        <w:t xml:space="preserve"> </w:t>
      </w:r>
      <w:r>
        <w:rPr>
          <w:sz w:val="20"/>
        </w:rPr>
        <w:t xml:space="preserve">Measuring the Competitiveness of Selected CARICOM Countries. IDB Private Sector Development Discussion Paper #1, 2009; The </w:t>
      </w:r>
      <w:r>
        <w:rPr>
          <w:i/>
          <w:sz w:val="20"/>
        </w:rPr>
        <w:t xml:space="preserve">Global </w:t>
      </w:r>
      <w:r>
        <w:rPr>
          <w:sz w:val="20"/>
        </w:rPr>
        <w:t>Competitiveness</w:t>
      </w:r>
      <w:r>
        <w:rPr>
          <w:i/>
          <w:sz w:val="20"/>
        </w:rPr>
        <w:t xml:space="preserve"> Report</w:t>
      </w:r>
      <w:r>
        <w:rPr>
          <w:sz w:val="20"/>
        </w:rPr>
        <w:t xml:space="preserve"> 2008-2009 (World Economic Forum); The </w:t>
      </w:r>
      <w:r>
        <w:rPr>
          <w:i/>
          <w:sz w:val="20"/>
        </w:rPr>
        <w:t>Road to Sustained Growth in Jamaica</w:t>
      </w:r>
      <w:r>
        <w:rPr>
          <w:sz w:val="20"/>
        </w:rPr>
        <w:t xml:space="preserve"> (World Bank) and </w:t>
      </w:r>
      <w:r>
        <w:rPr>
          <w:i/>
          <w:sz w:val="20"/>
        </w:rPr>
        <w:t>Jamaica: A Private Sector Assessment</w:t>
      </w:r>
      <w:r>
        <w:rPr>
          <w:sz w:val="20"/>
        </w:rPr>
        <w:t xml:space="preserve"> Economic Research Institute 2006.</w:t>
      </w:r>
    </w:p>
  </w:footnote>
  <w:footnote w:id="2">
    <w:p w:rsidR="001616E9" w:rsidRDefault="001616E9">
      <w:pPr>
        <w:pStyle w:val="FootnoteText"/>
        <w:spacing w:after="0"/>
      </w:pPr>
      <w:r>
        <w:rPr>
          <w:rStyle w:val="FootnoteReference"/>
        </w:rPr>
        <w:footnoteRef/>
      </w:r>
      <w:r>
        <w:t xml:space="preserve"> PPPs in the </w:t>
      </w:r>
      <w:r w:rsidRPr="00183E80">
        <w:rPr>
          <w:smallCaps/>
        </w:rPr>
        <w:t>Caricom</w:t>
      </w:r>
      <w:r>
        <w:t>. Nicholas Livingston. 2009</w:t>
      </w:r>
    </w:p>
  </w:footnote>
  <w:footnote w:id="3">
    <w:p w:rsidR="001616E9" w:rsidRDefault="001616E9">
      <w:pPr>
        <w:pStyle w:val="FootnoteText"/>
        <w:spacing w:after="0"/>
      </w:pPr>
      <w:r>
        <w:rPr>
          <w:rStyle w:val="FootnoteReference"/>
        </w:rPr>
        <w:footnoteRef/>
      </w:r>
      <w:r>
        <w:t xml:space="preserve"> For more detail please refer to the “Information Available in the Files of ICF/CMF-under Preparation”.</w:t>
      </w:r>
    </w:p>
  </w:footnote>
  <w:footnote w:id="4">
    <w:p w:rsidR="001616E9" w:rsidRDefault="001616E9" w:rsidP="00B866BB">
      <w:pPr>
        <w:pStyle w:val="FootnoteText"/>
        <w:spacing w:after="0"/>
      </w:pPr>
      <w:r>
        <w:rPr>
          <w:rStyle w:val="FootnoteReference"/>
        </w:rPr>
        <w:footnoteRef/>
      </w:r>
      <w:r>
        <w:t xml:space="preserve"> Action Plan for Secured Lending in Jamaica. Allen Welsh 2007</w:t>
      </w:r>
    </w:p>
  </w:footnote>
  <w:footnote w:id="5">
    <w:p w:rsidR="001616E9" w:rsidRDefault="001616E9" w:rsidP="00B866BB">
      <w:pPr>
        <w:pStyle w:val="FootnoteText"/>
        <w:spacing w:after="0"/>
      </w:pPr>
      <w:r>
        <w:rPr>
          <w:rStyle w:val="FootnoteReference"/>
        </w:rPr>
        <w:footnoteRef/>
      </w:r>
      <w:r>
        <w:t xml:space="preserve"> Impleenting Secured Transactions in Jamaica, Issues and Policy Options, Paul Holden 2009</w:t>
      </w:r>
    </w:p>
  </w:footnote>
  <w:footnote w:id="6">
    <w:p w:rsidR="001616E9" w:rsidRPr="004C3984" w:rsidRDefault="001616E9" w:rsidP="003875B5">
      <w:pPr>
        <w:pStyle w:val="FootnoteText"/>
        <w:spacing w:after="0"/>
        <w:ind w:left="90" w:hanging="90"/>
      </w:pPr>
      <w:r>
        <w:rPr>
          <w:rStyle w:val="FootnoteReference"/>
        </w:rPr>
        <w:footnoteRef/>
      </w:r>
      <w:r>
        <w:t xml:space="preserve"> </w:t>
      </w:r>
      <w:r w:rsidRPr="004B1F41">
        <w:t>A</w:t>
      </w:r>
      <w:r>
        <w:t xml:space="preserve">ccess and Microfinance in Kingston, Jamaica, Perspective from “Inna Di Yard”. 2009. </w:t>
      </w:r>
      <w:r w:rsidRPr="004C3984">
        <w:t xml:space="preserve">Caroline Shenaz </w:t>
      </w:r>
      <w:r>
        <w:t xml:space="preserve">  </w:t>
      </w:r>
      <w:r w:rsidRPr="004C3984">
        <w:t>Hossein</w:t>
      </w:r>
      <w:r w:rsidRPr="004C3984">
        <w:rPr>
          <w:rStyle w:val="FootnoteReference"/>
        </w:rPr>
        <w:t xml:space="preserve"> </w:t>
      </w:r>
    </w:p>
  </w:footnote>
  <w:footnote w:id="7">
    <w:p w:rsidR="001616E9" w:rsidRDefault="001616E9">
      <w:pPr>
        <w:pStyle w:val="FootnoteText"/>
      </w:pPr>
      <w:r>
        <w:rPr>
          <w:rStyle w:val="FootnoteReference"/>
        </w:rPr>
        <w:footnoteRef/>
      </w:r>
      <w:r>
        <w:t xml:space="preserve"> The exchange rate used for the calculation is</w:t>
      </w:r>
      <w:r w:rsidRPr="00434969">
        <w:rPr>
          <w:b/>
          <w:smallCaps/>
          <w:sz w:val="16"/>
          <w:szCs w:val="16"/>
        </w:rPr>
        <w:t xml:space="preserve"> 1£= us$</w:t>
      </w:r>
      <w:r w:rsidRPr="009A1782">
        <w:t>1.6</w:t>
      </w:r>
      <w:r>
        <w:t>6</w:t>
      </w:r>
      <w:r w:rsidRPr="009A1782">
        <w:t>,</w:t>
      </w:r>
      <w:r>
        <w:t xml:space="preserve"> March</w:t>
      </w:r>
      <w:r w:rsidRPr="009A1782">
        <w:t xml:space="preserve">  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Header"/>
      <w:ind w:right="360"/>
      <w:jc w:val="center"/>
      <w:rPr>
        <w:rStyle w:val="PageNumber"/>
      </w:rPr>
    </w:pPr>
    <w:r>
      <w:rPr>
        <w:rStyle w:val="PageNumber"/>
        <w:snapToGrid w:val="0"/>
      </w:rPr>
      <w:t xml:space="preserve">- </w:t>
    </w:r>
    <w:r w:rsidR="00F119A7">
      <w:rPr>
        <w:rStyle w:val="PageNumber"/>
        <w:snapToGrid w:val="0"/>
      </w:rPr>
      <w:fldChar w:fldCharType="begin"/>
    </w:r>
    <w:r>
      <w:rPr>
        <w:rStyle w:val="PageNumber"/>
        <w:snapToGrid w:val="0"/>
      </w:rPr>
      <w:instrText xml:space="preserve"> PAGE </w:instrText>
    </w:r>
    <w:r w:rsidR="00F119A7">
      <w:rPr>
        <w:rStyle w:val="PageNumber"/>
        <w:snapToGrid w:val="0"/>
      </w:rPr>
      <w:fldChar w:fldCharType="separate"/>
    </w:r>
    <w:r>
      <w:rPr>
        <w:rStyle w:val="PageNumber"/>
        <w:noProof/>
        <w:snapToGrid w:val="0"/>
      </w:rPr>
      <w:t>x</w:t>
    </w:r>
    <w:r w:rsidR="00F119A7">
      <w:rPr>
        <w:rStyle w:val="PageNumber"/>
        <w:snapToGrid w:val="0"/>
      </w:rPr>
      <w:fldChar w:fldCharType="end"/>
    </w:r>
    <w:r>
      <w:rPr>
        <w:rStyle w:val="PageNumber"/>
        <w:snapToGrid w:val="0"/>
      </w:rPr>
      <w:t xml:space="preserve"> -</w:t>
    </w:r>
  </w:p>
  <w:p w:rsidR="001616E9" w:rsidRDefault="001616E9">
    <w:pPr>
      <w:pStyle w:val="Header"/>
      <w:ind w:right="360"/>
      <w:jc w:val="center"/>
    </w:pPr>
  </w:p>
  <w:p w:rsidR="001616E9" w:rsidRDefault="001616E9">
    <w:pPr>
      <w:pStyle w:val="Header"/>
      <w:ind w:right="36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Header"/>
      <w:jc w:val="center"/>
      <w:rPr>
        <w:snapToGrid w:val="0"/>
      </w:rPr>
    </w:pPr>
    <w:r>
      <w:rPr>
        <w:snapToGrid w:val="0"/>
      </w:rPr>
      <w:t xml:space="preserve">- </w:t>
    </w:r>
    <w:r w:rsidR="00F119A7">
      <w:rPr>
        <w:snapToGrid w:val="0"/>
      </w:rPr>
      <w:fldChar w:fldCharType="begin"/>
    </w:r>
    <w:r>
      <w:rPr>
        <w:snapToGrid w:val="0"/>
      </w:rPr>
      <w:instrText xml:space="preserve"> PAGE </w:instrText>
    </w:r>
    <w:r w:rsidR="00F119A7">
      <w:rPr>
        <w:snapToGrid w:val="0"/>
      </w:rPr>
      <w:fldChar w:fldCharType="separate"/>
    </w:r>
    <w:r w:rsidR="00111331">
      <w:rPr>
        <w:noProof/>
        <w:snapToGrid w:val="0"/>
      </w:rPr>
      <w:t>iv</w:t>
    </w:r>
    <w:r w:rsidR="00F119A7">
      <w:rPr>
        <w:snapToGrid w:val="0"/>
      </w:rPr>
      <w:fldChar w:fldCharType="end"/>
    </w:r>
    <w:r>
      <w:rPr>
        <w:snapToGrid w:val="0"/>
      </w:rPr>
      <w:t xml:space="preserve"> - </w:t>
    </w:r>
  </w:p>
  <w:p w:rsidR="001616E9" w:rsidRDefault="001616E9" w:rsidP="006D23E6">
    <w:pPr>
      <w:pStyle w:val="Header"/>
      <w:jc w:val="center"/>
      <w:rPr>
        <w:snapToGrid w:val="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Header"/>
      <w:rPr>
        <w:snapToGrid w:val="0"/>
      </w:rPr>
    </w:pPr>
  </w:p>
  <w:p w:rsidR="001616E9" w:rsidRDefault="001616E9">
    <w:pPr>
      <w:pStyle w:val="Header"/>
      <w:jc w:val="center"/>
      <w:rPr>
        <w:snapToGrid w:val="0"/>
      </w:rPr>
    </w:pPr>
  </w:p>
  <w:p w:rsidR="001616E9" w:rsidRDefault="001616E9">
    <w:pPr>
      <w:pStyle w:val="Header"/>
      <w:jc w:val="center"/>
      <w:rPr>
        <w:snapToGrid w:val="0"/>
      </w:rPr>
    </w:pPr>
  </w:p>
  <w:p w:rsidR="001616E9" w:rsidRDefault="001616E9">
    <w:pPr>
      <w:pStyle w:val="Header"/>
      <w:jc w:val="center"/>
      <w:rPr>
        <w:snapToGrid w:val="0"/>
      </w:rPr>
    </w:pPr>
  </w:p>
  <w:p w:rsidR="001616E9" w:rsidRDefault="001616E9">
    <w:pPr>
      <w:pStyle w:val="Header"/>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Header"/>
      <w:rPr>
        <w:snapToGrid w:val="0"/>
      </w:rPr>
    </w:pPr>
    <w:r>
      <w:rPr>
        <w:snapToGrid w:val="0"/>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pPr>
      <w:pStyle w:val="Header"/>
      <w:tabs>
        <w:tab w:val="clear" w:pos="8640"/>
        <w:tab w:val="left" w:pos="11250"/>
      </w:tabs>
      <w:ind w:right="360"/>
      <w:jc w:val="center"/>
      <w:rPr>
        <w:b/>
        <w:bCs/>
        <w:snapToGrid w:val="0"/>
      </w:rPr>
    </w:pPr>
    <w:r>
      <w:rPr>
        <w:snapToGrid w:val="0"/>
      </w:rPr>
      <w:tab/>
    </w:r>
    <w:r>
      <w:rPr>
        <w:snapToGrid w:val="0"/>
      </w:rPr>
      <w:tab/>
    </w:r>
    <w:r>
      <w:rPr>
        <w:b/>
        <w:bCs/>
        <w:snapToGrid w:val="0"/>
      </w:rPr>
      <w:t>ANNEX I</w:t>
    </w:r>
  </w:p>
  <w:p w:rsidR="001616E9" w:rsidRDefault="001616E9">
    <w:pPr>
      <w:pStyle w:val="Header"/>
      <w:tabs>
        <w:tab w:val="clear" w:pos="8640"/>
        <w:tab w:val="left" w:pos="11250"/>
      </w:tabs>
      <w:ind w:right="360"/>
      <w:jc w:val="center"/>
      <w:rPr>
        <w:b/>
        <w:bCs/>
        <w:snapToGrid w:val="0"/>
      </w:rPr>
    </w:pPr>
    <w:r>
      <w:rPr>
        <w:rStyle w:val="PageNumber"/>
      </w:rPr>
      <w:t xml:space="preserve">- </w:t>
    </w:r>
    <w:r w:rsidR="00F119A7">
      <w:rPr>
        <w:rStyle w:val="PageNumber"/>
      </w:rPr>
      <w:fldChar w:fldCharType="begin"/>
    </w:r>
    <w:r>
      <w:rPr>
        <w:rStyle w:val="PageNumber"/>
      </w:rPr>
      <w:instrText xml:space="preserve"> PAGE </w:instrText>
    </w:r>
    <w:r w:rsidR="00F119A7">
      <w:rPr>
        <w:rStyle w:val="PageNumber"/>
      </w:rPr>
      <w:fldChar w:fldCharType="separate"/>
    </w:r>
    <w:r>
      <w:rPr>
        <w:rStyle w:val="PageNumber"/>
        <w:noProof/>
      </w:rPr>
      <w:t>10</w:t>
    </w:r>
    <w:r w:rsidR="00F119A7">
      <w:rPr>
        <w:rStyle w:val="PageNumber"/>
      </w:rPr>
      <w:fldChar w:fldCharType="end"/>
    </w:r>
    <w:r>
      <w:rPr>
        <w:rStyle w:val="PageNumber"/>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rsidP="00E8203B">
    <w:pPr>
      <w:pStyle w:val="Header"/>
      <w:jc w:val="center"/>
    </w:pPr>
    <w:r>
      <w:t>-</w:t>
    </w:r>
    <w:sdt>
      <w:sdtPr>
        <w:id w:val="10787393"/>
        <w:docPartObj>
          <w:docPartGallery w:val="Page Numbers (Top of Page)"/>
          <w:docPartUnique/>
        </w:docPartObj>
      </w:sdtPr>
      <w:sdtContent>
        <w:fldSimple w:instr=" PAGE   \* MERGEFORMAT ">
          <w:r w:rsidR="00111331">
            <w:rPr>
              <w:noProof/>
            </w:rPr>
            <w:t>10</w:t>
          </w:r>
        </w:fldSimple>
        <w:r>
          <w:t>-</w:t>
        </w:r>
      </w:sdtContent>
    </w:sdt>
  </w:p>
  <w:p w:rsidR="001616E9" w:rsidRPr="00E8203B" w:rsidRDefault="001616E9" w:rsidP="00E8203B">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rsidP="005C4338">
    <w:pPr>
      <w:pStyle w:val="Header"/>
      <w:jc w:val="cent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E9" w:rsidRDefault="001616E9" w:rsidP="008B17E9">
    <w:pPr>
      <w:pStyle w:val="Header"/>
      <w:ind w:right="360"/>
      <w:jc w:val="center"/>
    </w:pPr>
    <w:r>
      <w:rPr>
        <w:snapToGrid w:val="0"/>
      </w:rPr>
      <w:t xml:space="preserve">- </w:t>
    </w:r>
    <w:r w:rsidR="00F119A7">
      <w:rPr>
        <w:snapToGrid w:val="0"/>
      </w:rPr>
      <w:fldChar w:fldCharType="begin"/>
    </w:r>
    <w:r>
      <w:rPr>
        <w:snapToGrid w:val="0"/>
      </w:rPr>
      <w:instrText xml:space="preserve"> PAGE </w:instrText>
    </w:r>
    <w:r w:rsidR="00F119A7">
      <w:rPr>
        <w:snapToGrid w:val="0"/>
      </w:rPr>
      <w:fldChar w:fldCharType="separate"/>
    </w:r>
    <w:r w:rsidR="00111331">
      <w:rPr>
        <w:noProof/>
        <w:snapToGrid w:val="0"/>
      </w:rPr>
      <w:t>11</w:t>
    </w:r>
    <w:r w:rsidR="00F119A7">
      <w:rPr>
        <w:snapToGrid w:val="0"/>
      </w:rPr>
      <w:fldChar w:fldCharType="end"/>
    </w:r>
    <w:r>
      <w:rPr>
        <w:snapToGrid w:val="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3B6E"/>
    <w:multiLevelType w:val="hybridMultilevel"/>
    <w:tmpl w:val="2B968922"/>
    <w:lvl w:ilvl="0" w:tplc="AD6ED364">
      <w:start w:val="1"/>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DAB7FC9"/>
    <w:multiLevelType w:val="multilevel"/>
    <w:tmpl w:val="AE3A7E72"/>
    <w:lvl w:ilvl="0">
      <w:start w:val="1"/>
      <w:numFmt w:val="decimal"/>
      <w:lvlText w:val="%1"/>
      <w:lvlJc w:val="left"/>
      <w:pPr>
        <w:ind w:left="720" w:hanging="432"/>
      </w:pPr>
      <w:rPr>
        <w:b/>
        <w:i w:val="0"/>
      </w:rPr>
    </w:lvl>
    <w:lvl w:ilvl="1">
      <w:start w:val="1"/>
      <w:numFmt w:val="decimal"/>
      <w:lvlText w:val="%1.%2"/>
      <w:lvlJc w:val="left"/>
      <w:pPr>
        <w:ind w:left="864" w:hanging="576"/>
      </w:pPr>
      <w:rPr>
        <w:lang w:val="en-US"/>
      </w:r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
    <w:nsid w:val="113D1209"/>
    <w:multiLevelType w:val="multilevel"/>
    <w:tmpl w:val="2E04C62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18FE71EB"/>
    <w:multiLevelType w:val="multilevel"/>
    <w:tmpl w:val="84D4397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D79533A"/>
    <w:multiLevelType w:val="multilevel"/>
    <w:tmpl w:val="6234D4E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245B6765"/>
    <w:multiLevelType w:val="multilevel"/>
    <w:tmpl w:val="0DACE512"/>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tabs>
          <w:tab w:val="num" w:pos="1080"/>
        </w:tabs>
        <w:ind w:left="1080" w:hanging="720"/>
      </w:pPr>
      <w:rPr>
        <w:rFonts w:hint="default"/>
      </w:rPr>
    </w:lvl>
    <w:lvl w:ilvl="2">
      <w:start w:val="1"/>
      <w:numFmt w:val="lowerLetter"/>
      <w:lvlText w:val="%3."/>
      <w:lvlJc w:val="left"/>
      <w:pPr>
        <w:tabs>
          <w:tab w:val="num" w:pos="720"/>
        </w:tabs>
        <w:ind w:left="720" w:hanging="360"/>
      </w:pPr>
      <w:rPr>
        <w:rFonts w:hint="default"/>
        <w:b/>
      </w:rPr>
    </w:lvl>
    <w:lvl w:ilvl="3">
      <w:start w:val="1"/>
      <w:numFmt w:val="lowerLetter"/>
      <w:lvlText w:val="%4."/>
      <w:lvlJc w:val="left"/>
      <w:pPr>
        <w:tabs>
          <w:tab w:val="num" w:pos="720"/>
        </w:tabs>
        <w:ind w:left="720" w:hanging="360"/>
      </w:pPr>
      <w:rPr>
        <w:rFonts w:hint="default"/>
        <w:b w:val="0"/>
        <w:i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26745DC7"/>
    <w:multiLevelType w:val="hybridMultilevel"/>
    <w:tmpl w:val="DC22B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595B79"/>
    <w:multiLevelType w:val="multilevel"/>
    <w:tmpl w:val="AF3C2D4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33271ADE"/>
    <w:multiLevelType w:val="hybridMultilevel"/>
    <w:tmpl w:val="5F1AD398"/>
    <w:lvl w:ilvl="0" w:tplc="7B92F6D8">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6EC4875"/>
    <w:multiLevelType w:val="multilevel"/>
    <w:tmpl w:val="F814B19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rPr>
        <w:b w:val="0"/>
      </w:rPr>
    </w:lvl>
    <w:lvl w:ilvl="3">
      <w:start w:val="1"/>
      <w:numFmt w:val="lowerRoman"/>
      <w:pStyle w:val="SubSubPar"/>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nsid w:val="4C192781"/>
    <w:multiLevelType w:val="multilevel"/>
    <w:tmpl w:val="F358165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D1C5FEF"/>
    <w:multiLevelType w:val="multilevel"/>
    <w:tmpl w:val="F85CA43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nsid w:val="5BAB77FC"/>
    <w:multiLevelType w:val="hybridMultilevel"/>
    <w:tmpl w:val="AE4C40C6"/>
    <w:lvl w:ilvl="0" w:tplc="1B94480E">
      <w:start w:val="11"/>
      <w:numFmt w:val="bullet"/>
      <w:lvlText w:val=""/>
      <w:lvlJc w:val="left"/>
      <w:pPr>
        <w:ind w:left="1035" w:hanging="360"/>
      </w:pPr>
      <w:rPr>
        <w:rFonts w:ascii="Symbol" w:eastAsia="Times New Roman" w:hAnsi="Symbol"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3">
    <w:nsid w:val="63F20A76"/>
    <w:multiLevelType w:val="hybridMultilevel"/>
    <w:tmpl w:val="BFFE24E4"/>
    <w:lvl w:ilvl="0" w:tplc="570820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192FE8"/>
    <w:multiLevelType w:val="hybridMultilevel"/>
    <w:tmpl w:val="0DCA3EE6"/>
    <w:lvl w:ilvl="0" w:tplc="CADCDF5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B74114B"/>
    <w:multiLevelType w:val="multilevel"/>
    <w:tmpl w:val="2E18AEA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74C74592"/>
    <w:multiLevelType w:val="multilevel"/>
    <w:tmpl w:val="540A85F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787C054A"/>
    <w:multiLevelType w:val="multilevel"/>
    <w:tmpl w:val="52645C0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
  </w:num>
  <w:num w:numId="11">
    <w:abstractNumId w:val="4"/>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
  </w:num>
  <w:num w:numId="17">
    <w:abstractNumId w:val="6"/>
  </w:num>
  <w:num w:numId="18">
    <w:abstractNumId w:val="1"/>
  </w:num>
  <w:num w:numId="19">
    <w:abstractNumId w:val="1"/>
  </w:num>
  <w:num w:numId="20">
    <w:abstractNumId w:val="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7"/>
  </w:num>
  <w:num w:numId="25">
    <w:abstractNumId w:val="3"/>
  </w:num>
  <w:num w:numId="26">
    <w:abstractNumId w:val="7"/>
  </w:num>
  <w:num w:numId="27">
    <w:abstractNumId w:val="15"/>
  </w:num>
  <w:num w:numId="28">
    <w:abstractNumId w:val="2"/>
  </w:num>
  <w:num w:numId="29">
    <w:abstractNumId w:val="9"/>
  </w:num>
  <w:num w:numId="30">
    <w:abstractNumId w:val="11"/>
  </w:num>
  <w:num w:numId="31">
    <w:abstractNumId w:val="12"/>
  </w:num>
  <w:num w:numId="32">
    <w:abstractNumId w:val="8"/>
  </w:num>
  <w:num w:numId="33">
    <w:abstractNumId w:val="0"/>
  </w:num>
  <w:num w:numId="34">
    <w:abstractNumId w:val="13"/>
  </w:num>
  <w:num w:numId="35">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attachedTemplate r:id="rId1"/>
  <w:stylePaneFormatFilter w:val="3701"/>
  <w:doNotTrackMoves/>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
  <w:docVars>
    <w:docVar w:name="TotalAbbr" w:val="application/vnd.openxmlformats-officedocument.wordprocessingml.webSettings+xml♀"/>
  </w:docVars>
  <w:rsids>
    <w:rsidRoot w:val="00F47BF4"/>
    <w:rsid w:val="00000A3B"/>
    <w:rsid w:val="000023C0"/>
    <w:rsid w:val="000042F5"/>
    <w:rsid w:val="000049A9"/>
    <w:rsid w:val="0001005A"/>
    <w:rsid w:val="00011FEC"/>
    <w:rsid w:val="0001300D"/>
    <w:rsid w:val="00020526"/>
    <w:rsid w:val="00021FFF"/>
    <w:rsid w:val="00025051"/>
    <w:rsid w:val="000266E3"/>
    <w:rsid w:val="00026A16"/>
    <w:rsid w:val="000344F5"/>
    <w:rsid w:val="00034DD5"/>
    <w:rsid w:val="00041972"/>
    <w:rsid w:val="00051721"/>
    <w:rsid w:val="0005574B"/>
    <w:rsid w:val="00072995"/>
    <w:rsid w:val="00072AFA"/>
    <w:rsid w:val="0007769A"/>
    <w:rsid w:val="00080F87"/>
    <w:rsid w:val="00082C15"/>
    <w:rsid w:val="00084F16"/>
    <w:rsid w:val="00086D1F"/>
    <w:rsid w:val="000942F3"/>
    <w:rsid w:val="00095D06"/>
    <w:rsid w:val="000A127F"/>
    <w:rsid w:val="000A46A0"/>
    <w:rsid w:val="000A5D00"/>
    <w:rsid w:val="000A5F5C"/>
    <w:rsid w:val="000A643D"/>
    <w:rsid w:val="000A6B8E"/>
    <w:rsid w:val="000A7404"/>
    <w:rsid w:val="000B39A0"/>
    <w:rsid w:val="000C36FD"/>
    <w:rsid w:val="000D65CE"/>
    <w:rsid w:val="000D7096"/>
    <w:rsid w:val="000E5F66"/>
    <w:rsid w:val="000E6247"/>
    <w:rsid w:val="000F2E62"/>
    <w:rsid w:val="00100095"/>
    <w:rsid w:val="0010105D"/>
    <w:rsid w:val="00111331"/>
    <w:rsid w:val="00117F3C"/>
    <w:rsid w:val="00121D0E"/>
    <w:rsid w:val="00126482"/>
    <w:rsid w:val="00141271"/>
    <w:rsid w:val="00142E68"/>
    <w:rsid w:val="001519C5"/>
    <w:rsid w:val="001616E9"/>
    <w:rsid w:val="001702AA"/>
    <w:rsid w:val="0017312A"/>
    <w:rsid w:val="00173312"/>
    <w:rsid w:val="001816D1"/>
    <w:rsid w:val="0018356F"/>
    <w:rsid w:val="00183E80"/>
    <w:rsid w:val="001852D8"/>
    <w:rsid w:val="001B5FD0"/>
    <w:rsid w:val="001B6B15"/>
    <w:rsid w:val="001C07DC"/>
    <w:rsid w:val="001D38B5"/>
    <w:rsid w:val="001E4E7F"/>
    <w:rsid w:val="001F2E4F"/>
    <w:rsid w:val="00205CD1"/>
    <w:rsid w:val="00206297"/>
    <w:rsid w:val="002118C4"/>
    <w:rsid w:val="002121B6"/>
    <w:rsid w:val="002148C8"/>
    <w:rsid w:val="002163F1"/>
    <w:rsid w:val="0021731B"/>
    <w:rsid w:val="00220CC7"/>
    <w:rsid w:val="00221BE5"/>
    <w:rsid w:val="002225EE"/>
    <w:rsid w:val="00224AE4"/>
    <w:rsid w:val="00225AC1"/>
    <w:rsid w:val="002307EE"/>
    <w:rsid w:val="002326B5"/>
    <w:rsid w:val="00233643"/>
    <w:rsid w:val="00236999"/>
    <w:rsid w:val="00241F9B"/>
    <w:rsid w:val="0025217D"/>
    <w:rsid w:val="002575E1"/>
    <w:rsid w:val="0025779F"/>
    <w:rsid w:val="0026555C"/>
    <w:rsid w:val="00270DAE"/>
    <w:rsid w:val="00273DB1"/>
    <w:rsid w:val="0027451F"/>
    <w:rsid w:val="00287B1C"/>
    <w:rsid w:val="00290BF9"/>
    <w:rsid w:val="002923C7"/>
    <w:rsid w:val="002A1831"/>
    <w:rsid w:val="002A18F8"/>
    <w:rsid w:val="002A2F69"/>
    <w:rsid w:val="002B2894"/>
    <w:rsid w:val="002C2ABD"/>
    <w:rsid w:val="002D0417"/>
    <w:rsid w:val="002D4C22"/>
    <w:rsid w:val="002D6718"/>
    <w:rsid w:val="002E2C45"/>
    <w:rsid w:val="002F19A4"/>
    <w:rsid w:val="002F2A80"/>
    <w:rsid w:val="002F408D"/>
    <w:rsid w:val="00303490"/>
    <w:rsid w:val="00305AAE"/>
    <w:rsid w:val="003062A5"/>
    <w:rsid w:val="00321A64"/>
    <w:rsid w:val="00322EEB"/>
    <w:rsid w:val="0034584C"/>
    <w:rsid w:val="003605F7"/>
    <w:rsid w:val="003608A1"/>
    <w:rsid w:val="00360F78"/>
    <w:rsid w:val="00361230"/>
    <w:rsid w:val="00362D00"/>
    <w:rsid w:val="00367524"/>
    <w:rsid w:val="003716F3"/>
    <w:rsid w:val="00376C44"/>
    <w:rsid w:val="003875B5"/>
    <w:rsid w:val="003953DE"/>
    <w:rsid w:val="00395E24"/>
    <w:rsid w:val="00396D85"/>
    <w:rsid w:val="00397F98"/>
    <w:rsid w:val="003A7E50"/>
    <w:rsid w:val="003C14E3"/>
    <w:rsid w:val="003C570F"/>
    <w:rsid w:val="003C5C13"/>
    <w:rsid w:val="003C72AA"/>
    <w:rsid w:val="003D23D9"/>
    <w:rsid w:val="003E2E8E"/>
    <w:rsid w:val="003F3E31"/>
    <w:rsid w:val="003F5119"/>
    <w:rsid w:val="003F6282"/>
    <w:rsid w:val="003F7070"/>
    <w:rsid w:val="0042071A"/>
    <w:rsid w:val="00421CFA"/>
    <w:rsid w:val="00422863"/>
    <w:rsid w:val="00424D80"/>
    <w:rsid w:val="00426FB9"/>
    <w:rsid w:val="00427A3A"/>
    <w:rsid w:val="004302E3"/>
    <w:rsid w:val="00434969"/>
    <w:rsid w:val="0043709A"/>
    <w:rsid w:val="004545DE"/>
    <w:rsid w:val="004567AC"/>
    <w:rsid w:val="004576ED"/>
    <w:rsid w:val="0046146E"/>
    <w:rsid w:val="00462AC3"/>
    <w:rsid w:val="004671AF"/>
    <w:rsid w:val="004777EB"/>
    <w:rsid w:val="00490CF1"/>
    <w:rsid w:val="004A2AF6"/>
    <w:rsid w:val="004A6621"/>
    <w:rsid w:val="004B1F41"/>
    <w:rsid w:val="004B6D65"/>
    <w:rsid w:val="004C3984"/>
    <w:rsid w:val="004C7BDC"/>
    <w:rsid w:val="004D5195"/>
    <w:rsid w:val="004E0396"/>
    <w:rsid w:val="004E6A0E"/>
    <w:rsid w:val="004E7918"/>
    <w:rsid w:val="004F3BCC"/>
    <w:rsid w:val="004F712B"/>
    <w:rsid w:val="004F72A2"/>
    <w:rsid w:val="00504BC0"/>
    <w:rsid w:val="00515F47"/>
    <w:rsid w:val="00517140"/>
    <w:rsid w:val="00532024"/>
    <w:rsid w:val="00536C39"/>
    <w:rsid w:val="0054152E"/>
    <w:rsid w:val="005446E0"/>
    <w:rsid w:val="00545B94"/>
    <w:rsid w:val="00547A8F"/>
    <w:rsid w:val="005516DA"/>
    <w:rsid w:val="00556788"/>
    <w:rsid w:val="00562718"/>
    <w:rsid w:val="005708F0"/>
    <w:rsid w:val="005759FB"/>
    <w:rsid w:val="00584754"/>
    <w:rsid w:val="00590165"/>
    <w:rsid w:val="00594F91"/>
    <w:rsid w:val="005A7859"/>
    <w:rsid w:val="005B0A50"/>
    <w:rsid w:val="005B4E89"/>
    <w:rsid w:val="005B5273"/>
    <w:rsid w:val="005B62C8"/>
    <w:rsid w:val="005C4338"/>
    <w:rsid w:val="005D09A6"/>
    <w:rsid w:val="005D54B4"/>
    <w:rsid w:val="005D6C37"/>
    <w:rsid w:val="005D6F63"/>
    <w:rsid w:val="005E0110"/>
    <w:rsid w:val="005E32D5"/>
    <w:rsid w:val="005E493B"/>
    <w:rsid w:val="005F237D"/>
    <w:rsid w:val="005F670A"/>
    <w:rsid w:val="005F74B6"/>
    <w:rsid w:val="00600629"/>
    <w:rsid w:val="006077B1"/>
    <w:rsid w:val="00623228"/>
    <w:rsid w:val="0062612F"/>
    <w:rsid w:val="00633293"/>
    <w:rsid w:val="0063668E"/>
    <w:rsid w:val="00651FC6"/>
    <w:rsid w:val="00652688"/>
    <w:rsid w:val="00656A7F"/>
    <w:rsid w:val="00663FB1"/>
    <w:rsid w:val="006658AD"/>
    <w:rsid w:val="00670283"/>
    <w:rsid w:val="00684227"/>
    <w:rsid w:val="00695365"/>
    <w:rsid w:val="006A145F"/>
    <w:rsid w:val="006A31B9"/>
    <w:rsid w:val="006B0346"/>
    <w:rsid w:val="006B40A2"/>
    <w:rsid w:val="006B5F74"/>
    <w:rsid w:val="006B6037"/>
    <w:rsid w:val="006B6F73"/>
    <w:rsid w:val="006C315D"/>
    <w:rsid w:val="006D02B8"/>
    <w:rsid w:val="006D23E6"/>
    <w:rsid w:val="006D6A90"/>
    <w:rsid w:val="006E16B1"/>
    <w:rsid w:val="00703A68"/>
    <w:rsid w:val="00710248"/>
    <w:rsid w:val="00714F9D"/>
    <w:rsid w:val="0071587A"/>
    <w:rsid w:val="00725E26"/>
    <w:rsid w:val="007274BD"/>
    <w:rsid w:val="0074120B"/>
    <w:rsid w:val="007427F8"/>
    <w:rsid w:val="007433EC"/>
    <w:rsid w:val="007472E8"/>
    <w:rsid w:val="00750D8A"/>
    <w:rsid w:val="00756110"/>
    <w:rsid w:val="007667EC"/>
    <w:rsid w:val="00771F1A"/>
    <w:rsid w:val="00790879"/>
    <w:rsid w:val="00791997"/>
    <w:rsid w:val="00797F3B"/>
    <w:rsid w:val="007A4F38"/>
    <w:rsid w:val="007B42A1"/>
    <w:rsid w:val="007B7E00"/>
    <w:rsid w:val="007C2593"/>
    <w:rsid w:val="007E47A1"/>
    <w:rsid w:val="007E482F"/>
    <w:rsid w:val="007E731A"/>
    <w:rsid w:val="007F6755"/>
    <w:rsid w:val="00801CBE"/>
    <w:rsid w:val="00802229"/>
    <w:rsid w:val="00815472"/>
    <w:rsid w:val="00830440"/>
    <w:rsid w:val="0083106C"/>
    <w:rsid w:val="0083620F"/>
    <w:rsid w:val="0084078C"/>
    <w:rsid w:val="00842B10"/>
    <w:rsid w:val="00842F7D"/>
    <w:rsid w:val="00847A9E"/>
    <w:rsid w:val="008529FB"/>
    <w:rsid w:val="008654BB"/>
    <w:rsid w:val="008710BD"/>
    <w:rsid w:val="008724AD"/>
    <w:rsid w:val="008739A4"/>
    <w:rsid w:val="00874447"/>
    <w:rsid w:val="00874656"/>
    <w:rsid w:val="00883103"/>
    <w:rsid w:val="00885C15"/>
    <w:rsid w:val="00890F0E"/>
    <w:rsid w:val="00896D18"/>
    <w:rsid w:val="008A48FA"/>
    <w:rsid w:val="008A56A8"/>
    <w:rsid w:val="008B048B"/>
    <w:rsid w:val="008B17E9"/>
    <w:rsid w:val="008B1CDA"/>
    <w:rsid w:val="008B47E1"/>
    <w:rsid w:val="008B5C7B"/>
    <w:rsid w:val="008C75B7"/>
    <w:rsid w:val="008D254F"/>
    <w:rsid w:val="008D2E67"/>
    <w:rsid w:val="008E3835"/>
    <w:rsid w:val="00912876"/>
    <w:rsid w:val="009356B1"/>
    <w:rsid w:val="00943B77"/>
    <w:rsid w:val="00944DA4"/>
    <w:rsid w:val="009510A3"/>
    <w:rsid w:val="00955B5E"/>
    <w:rsid w:val="00956C61"/>
    <w:rsid w:val="0096036D"/>
    <w:rsid w:val="009626D8"/>
    <w:rsid w:val="00972EF9"/>
    <w:rsid w:val="009827F7"/>
    <w:rsid w:val="0098340F"/>
    <w:rsid w:val="00992A3A"/>
    <w:rsid w:val="0099591F"/>
    <w:rsid w:val="009A1782"/>
    <w:rsid w:val="009B23C3"/>
    <w:rsid w:val="009C4EFE"/>
    <w:rsid w:val="009D59BF"/>
    <w:rsid w:val="009D68E3"/>
    <w:rsid w:val="009E3BDC"/>
    <w:rsid w:val="009F0014"/>
    <w:rsid w:val="009F18CB"/>
    <w:rsid w:val="009F23BF"/>
    <w:rsid w:val="00A01207"/>
    <w:rsid w:val="00A0158F"/>
    <w:rsid w:val="00A02378"/>
    <w:rsid w:val="00A20645"/>
    <w:rsid w:val="00A231A2"/>
    <w:rsid w:val="00A42B62"/>
    <w:rsid w:val="00A464D8"/>
    <w:rsid w:val="00A50571"/>
    <w:rsid w:val="00A55AFE"/>
    <w:rsid w:val="00A60806"/>
    <w:rsid w:val="00A640FC"/>
    <w:rsid w:val="00A66316"/>
    <w:rsid w:val="00A71FF9"/>
    <w:rsid w:val="00A72429"/>
    <w:rsid w:val="00A728FA"/>
    <w:rsid w:val="00A771AC"/>
    <w:rsid w:val="00A83910"/>
    <w:rsid w:val="00A84B8C"/>
    <w:rsid w:val="00A9082B"/>
    <w:rsid w:val="00A934DE"/>
    <w:rsid w:val="00A93505"/>
    <w:rsid w:val="00AA5E77"/>
    <w:rsid w:val="00AB468D"/>
    <w:rsid w:val="00AB6539"/>
    <w:rsid w:val="00AB711F"/>
    <w:rsid w:val="00AC03D9"/>
    <w:rsid w:val="00AC266F"/>
    <w:rsid w:val="00AD1539"/>
    <w:rsid w:val="00AD3D57"/>
    <w:rsid w:val="00AE0B0C"/>
    <w:rsid w:val="00AE464F"/>
    <w:rsid w:val="00AF0B2E"/>
    <w:rsid w:val="00AF29FB"/>
    <w:rsid w:val="00AF7F1E"/>
    <w:rsid w:val="00B0080C"/>
    <w:rsid w:val="00B00B63"/>
    <w:rsid w:val="00B00F24"/>
    <w:rsid w:val="00B0226A"/>
    <w:rsid w:val="00B031B4"/>
    <w:rsid w:val="00B05910"/>
    <w:rsid w:val="00B13094"/>
    <w:rsid w:val="00B210B6"/>
    <w:rsid w:val="00B22AD3"/>
    <w:rsid w:val="00B23707"/>
    <w:rsid w:val="00B34A91"/>
    <w:rsid w:val="00B367BA"/>
    <w:rsid w:val="00B3693E"/>
    <w:rsid w:val="00B43063"/>
    <w:rsid w:val="00B475CA"/>
    <w:rsid w:val="00B50834"/>
    <w:rsid w:val="00B55343"/>
    <w:rsid w:val="00B61F66"/>
    <w:rsid w:val="00B654C0"/>
    <w:rsid w:val="00B673D3"/>
    <w:rsid w:val="00B701A7"/>
    <w:rsid w:val="00B7511F"/>
    <w:rsid w:val="00B753E3"/>
    <w:rsid w:val="00B75496"/>
    <w:rsid w:val="00B829ED"/>
    <w:rsid w:val="00B866BB"/>
    <w:rsid w:val="00B961B9"/>
    <w:rsid w:val="00BC7724"/>
    <w:rsid w:val="00BE2E8E"/>
    <w:rsid w:val="00BE3866"/>
    <w:rsid w:val="00BE4E60"/>
    <w:rsid w:val="00BF704D"/>
    <w:rsid w:val="00C034C2"/>
    <w:rsid w:val="00C0406B"/>
    <w:rsid w:val="00C054F7"/>
    <w:rsid w:val="00C114A3"/>
    <w:rsid w:val="00C2400B"/>
    <w:rsid w:val="00C37010"/>
    <w:rsid w:val="00C37E10"/>
    <w:rsid w:val="00C556C9"/>
    <w:rsid w:val="00C60313"/>
    <w:rsid w:val="00C63F7A"/>
    <w:rsid w:val="00C67E6A"/>
    <w:rsid w:val="00C76171"/>
    <w:rsid w:val="00C76AC3"/>
    <w:rsid w:val="00C777ED"/>
    <w:rsid w:val="00C92FD6"/>
    <w:rsid w:val="00C94C81"/>
    <w:rsid w:val="00CA0F9A"/>
    <w:rsid w:val="00CA275B"/>
    <w:rsid w:val="00CA61E1"/>
    <w:rsid w:val="00CB120C"/>
    <w:rsid w:val="00CB2177"/>
    <w:rsid w:val="00CB2916"/>
    <w:rsid w:val="00CB6D70"/>
    <w:rsid w:val="00CC7E18"/>
    <w:rsid w:val="00CD0A4E"/>
    <w:rsid w:val="00CD2A2D"/>
    <w:rsid w:val="00CD3CD3"/>
    <w:rsid w:val="00CE6005"/>
    <w:rsid w:val="00CF2791"/>
    <w:rsid w:val="00CF2DD9"/>
    <w:rsid w:val="00CF56C0"/>
    <w:rsid w:val="00CF5C31"/>
    <w:rsid w:val="00CF7B20"/>
    <w:rsid w:val="00D01CD6"/>
    <w:rsid w:val="00D02B05"/>
    <w:rsid w:val="00D060F4"/>
    <w:rsid w:val="00D139ED"/>
    <w:rsid w:val="00D150D7"/>
    <w:rsid w:val="00D212E7"/>
    <w:rsid w:val="00D22B6F"/>
    <w:rsid w:val="00D23D62"/>
    <w:rsid w:val="00D24906"/>
    <w:rsid w:val="00D26174"/>
    <w:rsid w:val="00D300CD"/>
    <w:rsid w:val="00D33BF1"/>
    <w:rsid w:val="00D40582"/>
    <w:rsid w:val="00D61914"/>
    <w:rsid w:val="00D63259"/>
    <w:rsid w:val="00D65F0E"/>
    <w:rsid w:val="00D70C5B"/>
    <w:rsid w:val="00D8480A"/>
    <w:rsid w:val="00DA3B40"/>
    <w:rsid w:val="00DA5F8B"/>
    <w:rsid w:val="00DB0A1F"/>
    <w:rsid w:val="00DB765A"/>
    <w:rsid w:val="00DC0D9E"/>
    <w:rsid w:val="00DC1057"/>
    <w:rsid w:val="00DC2242"/>
    <w:rsid w:val="00DC79EA"/>
    <w:rsid w:val="00DD0036"/>
    <w:rsid w:val="00DD1233"/>
    <w:rsid w:val="00DD24EB"/>
    <w:rsid w:val="00DD6209"/>
    <w:rsid w:val="00DD7415"/>
    <w:rsid w:val="00E0255E"/>
    <w:rsid w:val="00E057BA"/>
    <w:rsid w:val="00E128F2"/>
    <w:rsid w:val="00E139A8"/>
    <w:rsid w:val="00E20749"/>
    <w:rsid w:val="00E21AF5"/>
    <w:rsid w:val="00E21ED4"/>
    <w:rsid w:val="00E274F4"/>
    <w:rsid w:val="00E326AC"/>
    <w:rsid w:val="00E34BA4"/>
    <w:rsid w:val="00E359E0"/>
    <w:rsid w:val="00E36656"/>
    <w:rsid w:val="00E375A1"/>
    <w:rsid w:val="00E5109E"/>
    <w:rsid w:val="00E5412B"/>
    <w:rsid w:val="00E61572"/>
    <w:rsid w:val="00E7536A"/>
    <w:rsid w:val="00E8203B"/>
    <w:rsid w:val="00E848F3"/>
    <w:rsid w:val="00E9467A"/>
    <w:rsid w:val="00E97AD6"/>
    <w:rsid w:val="00EA4B38"/>
    <w:rsid w:val="00EA7606"/>
    <w:rsid w:val="00EB47BC"/>
    <w:rsid w:val="00EB4828"/>
    <w:rsid w:val="00EB69F9"/>
    <w:rsid w:val="00EC0E80"/>
    <w:rsid w:val="00EC543E"/>
    <w:rsid w:val="00EE6035"/>
    <w:rsid w:val="00EF38F1"/>
    <w:rsid w:val="00EF3C22"/>
    <w:rsid w:val="00F0632C"/>
    <w:rsid w:val="00F108A7"/>
    <w:rsid w:val="00F119A7"/>
    <w:rsid w:val="00F141A0"/>
    <w:rsid w:val="00F239F4"/>
    <w:rsid w:val="00F23B10"/>
    <w:rsid w:val="00F24C46"/>
    <w:rsid w:val="00F269C4"/>
    <w:rsid w:val="00F273D7"/>
    <w:rsid w:val="00F33708"/>
    <w:rsid w:val="00F343CE"/>
    <w:rsid w:val="00F3740A"/>
    <w:rsid w:val="00F47BF4"/>
    <w:rsid w:val="00F5406D"/>
    <w:rsid w:val="00F556F4"/>
    <w:rsid w:val="00F60021"/>
    <w:rsid w:val="00F61D68"/>
    <w:rsid w:val="00F63162"/>
    <w:rsid w:val="00F72FDD"/>
    <w:rsid w:val="00F75509"/>
    <w:rsid w:val="00F82876"/>
    <w:rsid w:val="00F83328"/>
    <w:rsid w:val="00F90C6D"/>
    <w:rsid w:val="00F92E2C"/>
    <w:rsid w:val="00FA42B6"/>
    <w:rsid w:val="00FB2356"/>
    <w:rsid w:val="00FB48B0"/>
    <w:rsid w:val="00FC0162"/>
    <w:rsid w:val="00FC7823"/>
    <w:rsid w:val="00FD4D7A"/>
    <w:rsid w:val="00FE2368"/>
    <w:rsid w:val="00FF4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1ED4"/>
    <w:rPr>
      <w:sz w:val="24"/>
    </w:rPr>
  </w:style>
  <w:style w:type="paragraph" w:styleId="Heading1">
    <w:name w:val="heading 1"/>
    <w:aliases w:val="Main heading,1 ghost,g,Titre 11,t1.T1.Titre 1,t1,Titre1,H1,R1,H11,t1.T1,Prophead level 1,Prophead 1,H1-Heading 1,1,h1,Header 1,l1,Legal Line 1,head 1,Heading No. L1,list 1,II+,I,Heading1,heading 1,Heading A,Head 1 (Chapter heading),a,level 1,H"/>
    <w:basedOn w:val="Normal"/>
    <w:next w:val="Normal"/>
    <w:uiPriority w:val="99"/>
    <w:qFormat/>
    <w:rsid w:val="00E21ED4"/>
    <w:pPr>
      <w:keepNext/>
      <w:numPr>
        <w:numId w:val="1"/>
      </w:numPr>
      <w:spacing w:before="240" w:after="60"/>
      <w:outlineLvl w:val="0"/>
    </w:pPr>
    <w:rPr>
      <w:rFonts w:ascii="Arial" w:hAnsi="Arial"/>
      <w:b/>
      <w:kern w:val="28"/>
      <w:sz w:val="28"/>
    </w:rPr>
  </w:style>
  <w:style w:type="paragraph" w:styleId="Heading2">
    <w:name w:val="heading 2"/>
    <w:aliases w:val="Heading,2 headline,h,paragraphe,Titre 21,t2.T2,h2,Titre2,T2,t2,chapitre 1.1,H2,heading 2,l2,I2,InterTitre,Heading 2 Hidden,CHS,H2-Heading 2,Header 2,Header2,22,heading2,list2,A,A.B.C.,list 2,Heading2,Heading Indent No L2,UNDERRUBRIK 1-2"/>
    <w:basedOn w:val="Normal"/>
    <w:next w:val="Normal"/>
    <w:uiPriority w:val="99"/>
    <w:qFormat/>
    <w:rsid w:val="00E21ED4"/>
    <w:pPr>
      <w:keepNext/>
      <w:numPr>
        <w:ilvl w:val="1"/>
        <w:numId w:val="2"/>
      </w:numPr>
      <w:spacing w:before="240" w:after="60"/>
      <w:outlineLvl w:val="1"/>
    </w:pPr>
    <w:rPr>
      <w:rFonts w:ascii="Arial" w:hAnsi="Arial"/>
      <w:b/>
      <w:i/>
    </w:rPr>
  </w:style>
  <w:style w:type="paragraph" w:styleId="Heading3">
    <w:name w:val="heading 3"/>
    <w:aliases w:val="Sub Heading,3 bullet,b,2,bullet,Bullet,Second,second,3bullet,SECOND,h3,4 bullet,BLANK2,B1,b1,blank1,3 dbullet,ob,bbullet,3 gbullet,dot,Bulle,bdullet,T3,t3,H3,(Shift Ctrl 3),L3,h31,L31,h32,L32,h311,L311,h33,L33,h312,L312,h34,L34,h313,L313,h35,L"/>
    <w:basedOn w:val="Normal"/>
    <w:next w:val="Normal"/>
    <w:uiPriority w:val="99"/>
    <w:qFormat/>
    <w:rsid w:val="00E21ED4"/>
    <w:pPr>
      <w:keepNext/>
      <w:numPr>
        <w:ilvl w:val="2"/>
        <w:numId w:val="3"/>
      </w:numPr>
      <w:spacing w:before="240" w:after="60"/>
      <w:outlineLvl w:val="2"/>
    </w:pPr>
    <w:rPr>
      <w:rFonts w:ascii="Arial" w:hAnsi="Arial"/>
    </w:rPr>
  </w:style>
  <w:style w:type="paragraph" w:styleId="Heading4">
    <w:name w:val="heading 4"/>
    <w:aliases w:val="Sub / Sub Heading,4 dash,d,3,Titre4,heading 4,l4,l41,l42,H4,h4,4,4heading,I4,list 4,mh1l,Module heading 1 large (18 points),Head 4,Titre 41,t4.T4,(Shift Ctrl 4),H4-Heading 4,heading4,Heading4,a.,Heading 41,(Shift Ctrl 4)1,Heading 42"/>
    <w:basedOn w:val="Normal"/>
    <w:next w:val="Normal"/>
    <w:uiPriority w:val="99"/>
    <w:qFormat/>
    <w:rsid w:val="00E21ED4"/>
    <w:pPr>
      <w:keepNext/>
      <w:numPr>
        <w:ilvl w:val="3"/>
        <w:numId w:val="4"/>
      </w:numPr>
      <w:spacing w:before="240" w:after="60"/>
      <w:outlineLvl w:val="3"/>
    </w:pPr>
    <w:rPr>
      <w:rFonts w:ascii="Arial" w:hAnsi="Arial"/>
      <w:b/>
    </w:rPr>
  </w:style>
  <w:style w:type="paragraph" w:styleId="Heading5">
    <w:name w:val="heading 5"/>
    <w:basedOn w:val="Normal"/>
    <w:next w:val="Normal"/>
    <w:uiPriority w:val="99"/>
    <w:qFormat/>
    <w:rsid w:val="0046146E"/>
    <w:pPr>
      <w:numPr>
        <w:ilvl w:val="4"/>
        <w:numId w:val="30"/>
      </w:numPr>
      <w:spacing w:before="240" w:after="60"/>
      <w:outlineLvl w:val="4"/>
    </w:pPr>
    <w:rPr>
      <w:sz w:val="22"/>
    </w:rPr>
  </w:style>
  <w:style w:type="paragraph" w:styleId="Heading6">
    <w:name w:val="heading 6"/>
    <w:basedOn w:val="Normal"/>
    <w:next w:val="Normal"/>
    <w:uiPriority w:val="99"/>
    <w:qFormat/>
    <w:rsid w:val="0046146E"/>
    <w:pPr>
      <w:numPr>
        <w:ilvl w:val="5"/>
        <w:numId w:val="30"/>
      </w:numPr>
      <w:spacing w:before="240" w:after="60"/>
      <w:outlineLvl w:val="5"/>
    </w:pPr>
    <w:rPr>
      <w:i/>
      <w:sz w:val="22"/>
    </w:rPr>
  </w:style>
  <w:style w:type="paragraph" w:styleId="Heading7">
    <w:name w:val="heading 7"/>
    <w:basedOn w:val="Normal"/>
    <w:next w:val="Normal"/>
    <w:uiPriority w:val="99"/>
    <w:qFormat/>
    <w:rsid w:val="0046146E"/>
    <w:pPr>
      <w:numPr>
        <w:ilvl w:val="6"/>
        <w:numId w:val="30"/>
      </w:numPr>
      <w:spacing w:before="240" w:after="60"/>
      <w:outlineLvl w:val="6"/>
    </w:pPr>
    <w:rPr>
      <w:rFonts w:ascii="Arial" w:hAnsi="Arial"/>
    </w:rPr>
  </w:style>
  <w:style w:type="paragraph" w:styleId="Heading8">
    <w:name w:val="heading 8"/>
    <w:basedOn w:val="Normal"/>
    <w:next w:val="Normal"/>
    <w:uiPriority w:val="99"/>
    <w:qFormat/>
    <w:rsid w:val="0046146E"/>
    <w:pPr>
      <w:numPr>
        <w:ilvl w:val="7"/>
        <w:numId w:val="30"/>
      </w:numPr>
      <w:spacing w:before="240" w:after="60"/>
      <w:outlineLvl w:val="7"/>
    </w:pPr>
    <w:rPr>
      <w:rFonts w:ascii="Arial" w:hAnsi="Arial"/>
      <w:i/>
    </w:rPr>
  </w:style>
  <w:style w:type="paragraph" w:styleId="Heading9">
    <w:name w:val="heading 9"/>
    <w:basedOn w:val="Normal"/>
    <w:next w:val="Normal"/>
    <w:uiPriority w:val="99"/>
    <w:qFormat/>
    <w:rsid w:val="0046146E"/>
    <w:pPr>
      <w:numPr>
        <w:ilvl w:val="8"/>
        <w:numId w:val="3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F108A7"/>
    <w:rPr>
      <w:rFonts w:ascii="Tahoma" w:hAnsi="Tahoma" w:cs="Tahoma"/>
      <w:sz w:val="16"/>
      <w:szCs w:val="16"/>
    </w:rPr>
  </w:style>
  <w:style w:type="character" w:customStyle="1" w:styleId="BalloonTextChar">
    <w:name w:val="Balloon Text Char"/>
    <w:basedOn w:val="DefaultParagraphFont"/>
    <w:link w:val="BalloonText"/>
    <w:uiPriority w:val="99"/>
    <w:semiHidden/>
    <w:rsid w:val="00587289"/>
    <w:rPr>
      <w:rFonts w:ascii="Lucida Grande" w:hAnsi="Lucida Grande"/>
      <w:sz w:val="18"/>
      <w:szCs w:val="18"/>
    </w:rPr>
  </w:style>
  <w:style w:type="character" w:customStyle="1" w:styleId="BalloonTextChar1">
    <w:name w:val="Balloon Text Char1"/>
    <w:basedOn w:val="DefaultParagraphFont"/>
    <w:link w:val="BalloonText"/>
    <w:uiPriority w:val="99"/>
    <w:semiHidden/>
    <w:rsid w:val="00587289"/>
    <w:rPr>
      <w:rFonts w:ascii="Lucida Grande" w:hAnsi="Lucida Grande"/>
      <w:sz w:val="18"/>
      <w:szCs w:val="18"/>
    </w:rPr>
  </w:style>
  <w:style w:type="paragraph" w:customStyle="1" w:styleId="Annex">
    <w:name w:val="Annex"/>
    <w:basedOn w:val="Normal"/>
    <w:rsid w:val="00E21ED4"/>
    <w:rPr>
      <w:caps/>
    </w:rPr>
  </w:style>
  <w:style w:type="paragraph" w:customStyle="1" w:styleId="ABBR">
    <w:name w:val="ABBR"/>
    <w:basedOn w:val="Annex"/>
    <w:rsid w:val="00E21ED4"/>
  </w:style>
  <w:style w:type="paragraph" w:customStyle="1" w:styleId="AbbrDesc">
    <w:name w:val="AbbrDesc"/>
    <w:basedOn w:val="Normal"/>
    <w:rsid w:val="00E21ED4"/>
    <w:pPr>
      <w:tabs>
        <w:tab w:val="left" w:pos="3060"/>
      </w:tabs>
      <w:jc w:val="both"/>
    </w:pPr>
  </w:style>
  <w:style w:type="paragraph" w:styleId="BodyText">
    <w:name w:val="Body Text"/>
    <w:basedOn w:val="Normal"/>
    <w:rsid w:val="00E21ED4"/>
    <w:pPr>
      <w:tabs>
        <w:tab w:val="left" w:pos="3060"/>
      </w:tabs>
      <w:jc w:val="center"/>
    </w:pPr>
  </w:style>
  <w:style w:type="paragraph" w:styleId="BodyTextIndent">
    <w:name w:val="Body Text Indent"/>
    <w:basedOn w:val="Normal"/>
    <w:rsid w:val="00E21ED4"/>
    <w:pPr>
      <w:spacing w:after="120"/>
      <w:ind w:left="360"/>
    </w:pPr>
  </w:style>
  <w:style w:type="paragraph" w:styleId="BodyTextIndent3">
    <w:name w:val="Body Text Indent 3"/>
    <w:basedOn w:val="Normal"/>
    <w:rsid w:val="00E21ED4"/>
    <w:pPr>
      <w:spacing w:after="120"/>
      <w:ind w:left="360"/>
    </w:pPr>
  </w:style>
  <w:style w:type="paragraph" w:customStyle="1" w:styleId="Chapter">
    <w:name w:val="Chapter"/>
    <w:basedOn w:val="Normal"/>
    <w:next w:val="Normal"/>
    <w:uiPriority w:val="99"/>
    <w:rsid w:val="0046146E"/>
    <w:pPr>
      <w:keepNext/>
      <w:numPr>
        <w:numId w:val="29"/>
      </w:numPr>
      <w:tabs>
        <w:tab w:val="clear" w:pos="2088"/>
        <w:tab w:val="num" w:pos="648"/>
        <w:tab w:val="left" w:pos="1440"/>
      </w:tabs>
      <w:spacing w:before="240" w:after="240"/>
      <w:ind w:left="0"/>
      <w:jc w:val="center"/>
    </w:pPr>
    <w:rPr>
      <w:b/>
      <w:smallCaps/>
    </w:rPr>
  </w:style>
  <w:style w:type="paragraph" w:styleId="DocumentMap">
    <w:name w:val="Document Map"/>
    <w:basedOn w:val="Normal"/>
    <w:semiHidden/>
    <w:rsid w:val="00E21ED4"/>
    <w:pPr>
      <w:shd w:val="clear" w:color="auto" w:fill="000080"/>
    </w:pPr>
    <w:rPr>
      <w:rFonts w:ascii="Tahoma" w:hAnsi="Tahoma"/>
    </w:rPr>
  </w:style>
  <w:style w:type="paragraph" w:customStyle="1" w:styleId="FirstHeading">
    <w:name w:val="FirstHeading"/>
    <w:basedOn w:val="Normal"/>
    <w:next w:val="Normal"/>
    <w:rsid w:val="0046146E"/>
    <w:pPr>
      <w:keepNext/>
      <w:numPr>
        <w:numId w:val="30"/>
      </w:numPr>
      <w:tabs>
        <w:tab w:val="left" w:pos="0"/>
        <w:tab w:val="left" w:pos="86"/>
      </w:tabs>
      <w:spacing w:before="120" w:after="120"/>
      <w:ind w:left="720"/>
    </w:pPr>
    <w:rPr>
      <w:b/>
    </w:rPr>
  </w:style>
  <w:style w:type="paragraph" w:styleId="Footer">
    <w:name w:val="footer"/>
    <w:basedOn w:val="Normal"/>
    <w:rsid w:val="00E21ED4"/>
    <w:pPr>
      <w:tabs>
        <w:tab w:val="center" w:pos="4320"/>
        <w:tab w:val="right" w:pos="8640"/>
      </w:tabs>
    </w:pPr>
  </w:style>
  <w:style w:type="paragraph" w:styleId="FootnoteText">
    <w:name w:val="footnote text"/>
    <w:aliases w:val="fn,ADB"/>
    <w:basedOn w:val="Normal"/>
    <w:link w:val="FootnoteTextChar"/>
    <w:semiHidden/>
    <w:rsid w:val="00E21ED4"/>
    <w:pPr>
      <w:keepNext/>
      <w:keepLines/>
      <w:spacing w:after="120"/>
      <w:ind w:left="288" w:hanging="288"/>
      <w:jc w:val="both"/>
    </w:pPr>
    <w:rPr>
      <w:spacing w:val="-3"/>
      <w:sz w:val="20"/>
    </w:rPr>
  </w:style>
  <w:style w:type="paragraph" w:styleId="Header">
    <w:name w:val="header"/>
    <w:basedOn w:val="Normal"/>
    <w:link w:val="HeaderChar"/>
    <w:uiPriority w:val="99"/>
    <w:rsid w:val="00E21ED4"/>
    <w:pPr>
      <w:tabs>
        <w:tab w:val="center" w:pos="4320"/>
        <w:tab w:val="right" w:pos="8640"/>
      </w:tabs>
    </w:pPr>
  </w:style>
  <w:style w:type="character" w:styleId="LineNumber">
    <w:name w:val="line number"/>
    <w:basedOn w:val="DefaultParagraphFont"/>
    <w:rsid w:val="00E21ED4"/>
  </w:style>
  <w:style w:type="paragraph" w:customStyle="1" w:styleId="MasterSourceText">
    <w:name w:val="Master_SourceText"/>
    <w:basedOn w:val="Normal"/>
    <w:rsid w:val="00E21ED4"/>
    <w:pPr>
      <w:tabs>
        <w:tab w:val="left" w:pos="1440"/>
      </w:tabs>
      <w:ind w:left="1440" w:hanging="720"/>
      <w:jc w:val="both"/>
    </w:pPr>
    <w:rPr>
      <w:sz w:val="20"/>
    </w:rPr>
  </w:style>
  <w:style w:type="paragraph" w:customStyle="1" w:styleId="Newpage">
    <w:name w:val="Newpage"/>
    <w:basedOn w:val="Chapter"/>
    <w:rsid w:val="00E21ED4"/>
    <w:pPr>
      <w:numPr>
        <w:numId w:val="0"/>
      </w:numPr>
      <w:tabs>
        <w:tab w:val="left" w:pos="3060"/>
      </w:tabs>
      <w:spacing w:after="0"/>
    </w:pPr>
  </w:style>
  <w:style w:type="character" w:styleId="PageNumber">
    <w:name w:val="page number"/>
    <w:basedOn w:val="DefaultParagraphFont"/>
    <w:rsid w:val="00E21ED4"/>
  </w:style>
  <w:style w:type="paragraph" w:customStyle="1" w:styleId="Paragraph">
    <w:name w:val="Paragraph"/>
    <w:basedOn w:val="BodyTextIndent"/>
    <w:link w:val="ParagraphChar"/>
    <w:uiPriority w:val="99"/>
    <w:rsid w:val="0046146E"/>
    <w:pPr>
      <w:numPr>
        <w:ilvl w:val="1"/>
        <w:numId w:val="29"/>
      </w:numPr>
      <w:tabs>
        <w:tab w:val="clear" w:pos="2736"/>
        <w:tab w:val="num" w:pos="720"/>
      </w:tabs>
      <w:spacing w:before="120"/>
      <w:ind w:left="720" w:hanging="720"/>
      <w:jc w:val="both"/>
      <w:outlineLvl w:val="1"/>
    </w:pPr>
  </w:style>
  <w:style w:type="paragraph" w:customStyle="1" w:styleId="RegheadTab">
    <w:name w:val="RegheadTab"/>
    <w:basedOn w:val="FirstHeading"/>
    <w:rsid w:val="00E21ED4"/>
    <w:pPr>
      <w:numPr>
        <w:numId w:val="0"/>
      </w:numPr>
      <w:tabs>
        <w:tab w:val="num" w:pos="504"/>
      </w:tabs>
      <w:spacing w:after="0"/>
      <w:ind w:left="504" w:hanging="504"/>
      <w:jc w:val="center"/>
    </w:pPr>
  </w:style>
  <w:style w:type="paragraph" w:customStyle="1" w:styleId="SecHeading">
    <w:name w:val="SecHeading"/>
    <w:basedOn w:val="Normal"/>
    <w:next w:val="Paragraph"/>
    <w:rsid w:val="0046146E"/>
    <w:pPr>
      <w:keepNext/>
      <w:numPr>
        <w:ilvl w:val="1"/>
        <w:numId w:val="30"/>
      </w:numPr>
      <w:tabs>
        <w:tab w:val="clear" w:pos="5400"/>
        <w:tab w:val="num" w:pos="1296"/>
      </w:tabs>
      <w:spacing w:before="120" w:after="120"/>
      <w:ind w:left="1296"/>
    </w:pPr>
    <w:rPr>
      <w:b/>
    </w:rPr>
  </w:style>
  <w:style w:type="paragraph" w:customStyle="1" w:styleId="SubHeading1">
    <w:name w:val="SubHeading1"/>
    <w:basedOn w:val="SecHeading"/>
    <w:rsid w:val="0046146E"/>
    <w:pPr>
      <w:numPr>
        <w:ilvl w:val="2"/>
      </w:numPr>
      <w:tabs>
        <w:tab w:val="clear" w:pos="5976"/>
        <w:tab w:val="num" w:pos="1872"/>
      </w:tabs>
      <w:ind w:left="1872"/>
    </w:pPr>
  </w:style>
  <w:style w:type="paragraph" w:customStyle="1" w:styleId="Subheading2">
    <w:name w:val="Subheading2"/>
    <w:basedOn w:val="SecHeading"/>
    <w:link w:val="Subheading2Char"/>
    <w:rsid w:val="0046146E"/>
    <w:pPr>
      <w:numPr>
        <w:ilvl w:val="3"/>
      </w:numPr>
      <w:tabs>
        <w:tab w:val="clear" w:pos="6480"/>
        <w:tab w:val="num" w:pos="2376"/>
      </w:tabs>
      <w:ind w:left="2376"/>
    </w:pPr>
  </w:style>
  <w:style w:type="paragraph" w:customStyle="1" w:styleId="subpar">
    <w:name w:val="subpar"/>
    <w:basedOn w:val="BodyTextIndent3"/>
    <w:uiPriority w:val="99"/>
    <w:rsid w:val="0046146E"/>
    <w:pPr>
      <w:numPr>
        <w:ilvl w:val="2"/>
        <w:numId w:val="29"/>
      </w:numPr>
      <w:tabs>
        <w:tab w:val="clear" w:pos="2592"/>
        <w:tab w:val="num" w:pos="1152"/>
      </w:tabs>
      <w:spacing w:before="120"/>
      <w:ind w:left="1152"/>
      <w:jc w:val="both"/>
      <w:outlineLvl w:val="2"/>
    </w:pPr>
  </w:style>
  <w:style w:type="paragraph" w:customStyle="1" w:styleId="SubSubPar">
    <w:name w:val="SubSubPar"/>
    <w:basedOn w:val="subpar"/>
    <w:uiPriority w:val="99"/>
    <w:rsid w:val="0046146E"/>
    <w:pPr>
      <w:numPr>
        <w:ilvl w:val="3"/>
      </w:numPr>
      <w:tabs>
        <w:tab w:val="clear" w:pos="3024"/>
        <w:tab w:val="left" w:pos="0"/>
        <w:tab w:val="num" w:pos="1296"/>
      </w:tabs>
      <w:ind w:left="1296"/>
    </w:pPr>
  </w:style>
  <w:style w:type="paragraph" w:styleId="Title">
    <w:name w:val="Title"/>
    <w:basedOn w:val="Normal"/>
    <w:qFormat/>
    <w:rsid w:val="00E21ED4"/>
    <w:pPr>
      <w:tabs>
        <w:tab w:val="left" w:pos="1440"/>
        <w:tab w:val="left" w:pos="3060"/>
      </w:tabs>
      <w:jc w:val="center"/>
      <w:outlineLvl w:val="0"/>
    </w:pPr>
  </w:style>
  <w:style w:type="paragraph" w:styleId="TOC1">
    <w:name w:val="toc 1"/>
    <w:basedOn w:val="Normal"/>
    <w:next w:val="Normal"/>
    <w:autoRedefine/>
    <w:uiPriority w:val="39"/>
    <w:rsid w:val="00E21ED4"/>
    <w:pPr>
      <w:tabs>
        <w:tab w:val="left" w:pos="540"/>
        <w:tab w:val="right" w:leader="dot" w:pos="8741"/>
      </w:tabs>
      <w:spacing w:before="240" w:after="240"/>
      <w:ind w:left="547" w:hanging="547"/>
    </w:pPr>
    <w:rPr>
      <w:smallCaps/>
      <w:szCs w:val="24"/>
    </w:rPr>
  </w:style>
  <w:style w:type="paragraph" w:styleId="TOC2">
    <w:name w:val="toc 2"/>
    <w:basedOn w:val="Normal"/>
    <w:next w:val="Normal"/>
    <w:autoRedefine/>
    <w:uiPriority w:val="39"/>
    <w:rsid w:val="00E21ED4"/>
    <w:pPr>
      <w:tabs>
        <w:tab w:val="left" w:pos="540"/>
        <w:tab w:val="left" w:pos="600"/>
        <w:tab w:val="left" w:pos="1152"/>
        <w:tab w:val="right" w:leader="dot" w:pos="8741"/>
      </w:tabs>
      <w:ind w:left="1166" w:hanging="605"/>
    </w:pPr>
    <w:rPr>
      <w:szCs w:val="24"/>
    </w:rPr>
  </w:style>
  <w:style w:type="paragraph" w:styleId="TOC3">
    <w:name w:val="toc 3"/>
    <w:basedOn w:val="Normal"/>
    <w:next w:val="Normal"/>
    <w:autoRedefine/>
    <w:semiHidden/>
    <w:rsid w:val="00C0406B"/>
    <w:pPr>
      <w:jc w:val="center"/>
    </w:pPr>
    <w:rPr>
      <w:b/>
      <w:smallCaps/>
      <w:noProof/>
    </w:rPr>
  </w:style>
  <w:style w:type="paragraph" w:styleId="TOC4">
    <w:name w:val="toc 4"/>
    <w:basedOn w:val="Normal"/>
    <w:next w:val="Normal"/>
    <w:autoRedefine/>
    <w:semiHidden/>
    <w:rsid w:val="00E21ED4"/>
    <w:pPr>
      <w:ind w:left="400"/>
    </w:pPr>
  </w:style>
  <w:style w:type="paragraph" w:styleId="TOC5">
    <w:name w:val="toc 5"/>
    <w:basedOn w:val="Normal"/>
    <w:next w:val="Normal"/>
    <w:autoRedefine/>
    <w:semiHidden/>
    <w:rsid w:val="00E21ED4"/>
    <w:pPr>
      <w:ind w:left="600"/>
    </w:pPr>
  </w:style>
  <w:style w:type="paragraph" w:styleId="TOC6">
    <w:name w:val="toc 6"/>
    <w:basedOn w:val="Normal"/>
    <w:next w:val="Normal"/>
    <w:autoRedefine/>
    <w:semiHidden/>
    <w:rsid w:val="00E21ED4"/>
    <w:pPr>
      <w:ind w:left="800"/>
    </w:pPr>
  </w:style>
  <w:style w:type="paragraph" w:styleId="TOC7">
    <w:name w:val="toc 7"/>
    <w:basedOn w:val="Normal"/>
    <w:next w:val="Normal"/>
    <w:autoRedefine/>
    <w:semiHidden/>
    <w:rsid w:val="00E21ED4"/>
    <w:pPr>
      <w:ind w:left="1000"/>
    </w:pPr>
  </w:style>
  <w:style w:type="paragraph" w:styleId="TOC8">
    <w:name w:val="toc 8"/>
    <w:basedOn w:val="Normal"/>
    <w:next w:val="Normal"/>
    <w:autoRedefine/>
    <w:semiHidden/>
    <w:rsid w:val="00E21ED4"/>
    <w:pPr>
      <w:ind w:left="1200"/>
    </w:pPr>
  </w:style>
  <w:style w:type="paragraph" w:styleId="TOC9">
    <w:name w:val="toc 9"/>
    <w:basedOn w:val="Normal"/>
    <w:next w:val="Normal"/>
    <w:autoRedefine/>
    <w:semiHidden/>
    <w:rsid w:val="00E21ED4"/>
    <w:pPr>
      <w:ind w:left="1400"/>
    </w:pPr>
  </w:style>
  <w:style w:type="character" w:styleId="Hyperlink">
    <w:name w:val="Hyperlink"/>
    <w:basedOn w:val="DefaultParagraphFont"/>
    <w:rsid w:val="00E21ED4"/>
    <w:rPr>
      <w:color w:val="0000FF"/>
      <w:u w:val="single"/>
    </w:rPr>
  </w:style>
  <w:style w:type="character" w:styleId="FollowedHyperlink">
    <w:name w:val="FollowedHyperlink"/>
    <w:basedOn w:val="DefaultParagraphFont"/>
    <w:rsid w:val="00E21ED4"/>
    <w:rPr>
      <w:color w:val="800080"/>
      <w:u w:val="single"/>
    </w:rPr>
  </w:style>
  <w:style w:type="character" w:styleId="FootnoteReference">
    <w:name w:val="footnote reference"/>
    <w:aliases w:val="titulo 2,ftref"/>
    <w:basedOn w:val="DefaultParagraphFont"/>
    <w:semiHidden/>
    <w:rsid w:val="00E21ED4"/>
    <w:rPr>
      <w:vertAlign w:val="superscript"/>
    </w:rPr>
  </w:style>
  <w:style w:type="paragraph" w:customStyle="1" w:styleId="Textodeglobo">
    <w:name w:val="Texto de globo"/>
    <w:basedOn w:val="Normal"/>
    <w:semiHidden/>
    <w:rsid w:val="00E21ED4"/>
    <w:rPr>
      <w:rFonts w:ascii="Lucida Grande" w:hAnsi="Lucida Grande"/>
      <w:sz w:val="18"/>
      <w:szCs w:val="18"/>
    </w:rPr>
  </w:style>
  <w:style w:type="paragraph" w:styleId="ListParagraph">
    <w:name w:val="List Paragraph"/>
    <w:basedOn w:val="Normal"/>
    <w:qFormat/>
    <w:rsid w:val="00E21ED4"/>
    <w:pPr>
      <w:ind w:left="720"/>
    </w:pPr>
    <w:rPr>
      <w:bCs/>
    </w:rPr>
  </w:style>
  <w:style w:type="paragraph" w:styleId="BodyText2">
    <w:name w:val="Body Text 2"/>
    <w:basedOn w:val="Normal"/>
    <w:rsid w:val="00E21ED4"/>
    <w:pPr>
      <w:spacing w:after="120" w:line="480" w:lineRule="auto"/>
    </w:pPr>
  </w:style>
  <w:style w:type="character" w:styleId="CommentReference">
    <w:name w:val="annotation reference"/>
    <w:basedOn w:val="DefaultParagraphFont"/>
    <w:rsid w:val="00E21ED4"/>
    <w:rPr>
      <w:sz w:val="16"/>
      <w:szCs w:val="16"/>
    </w:rPr>
  </w:style>
  <w:style w:type="paragraph" w:styleId="CommentText">
    <w:name w:val="annotation text"/>
    <w:basedOn w:val="Normal"/>
    <w:link w:val="CommentTextChar"/>
    <w:rsid w:val="00E21ED4"/>
    <w:rPr>
      <w:sz w:val="20"/>
    </w:rPr>
  </w:style>
  <w:style w:type="paragraph" w:customStyle="1" w:styleId="Asuntodelcomentario">
    <w:name w:val="Asunto del comentario"/>
    <w:basedOn w:val="CommentText"/>
    <w:next w:val="CommentText"/>
    <w:semiHidden/>
    <w:rsid w:val="00E21ED4"/>
    <w:rPr>
      <w:b/>
      <w:bCs/>
    </w:rPr>
  </w:style>
  <w:style w:type="table" w:styleId="TableGrid">
    <w:name w:val="Table Grid"/>
    <w:basedOn w:val="TableNormal"/>
    <w:rsid w:val="00CB6D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395E24"/>
    <w:rPr>
      <w:b/>
      <w:bCs/>
    </w:rPr>
  </w:style>
  <w:style w:type="paragraph" w:customStyle="1" w:styleId="LARGESUBHEAD">
    <w:name w:val="LARGE SUBHEAD"/>
    <w:basedOn w:val="Normal"/>
    <w:link w:val="LARGESUBHEADChar"/>
    <w:rsid w:val="004B1F41"/>
    <w:pPr>
      <w:spacing w:before="400"/>
    </w:pPr>
    <w:rPr>
      <w:rFonts w:ascii="Gill Sans MT" w:hAnsi="Gill Sans MT" w:cs="Times New (W1)"/>
      <w:b/>
      <w:caps/>
      <w:color w:val="002A6C"/>
      <w:sz w:val="28"/>
      <w:szCs w:val="32"/>
    </w:rPr>
  </w:style>
  <w:style w:type="character" w:customStyle="1" w:styleId="LARGESUBHEADChar">
    <w:name w:val="LARGE SUBHEAD Char"/>
    <w:basedOn w:val="DefaultParagraphFont"/>
    <w:link w:val="LARGESUBHEAD"/>
    <w:rsid w:val="004B1F41"/>
    <w:rPr>
      <w:rFonts w:ascii="Gill Sans MT" w:hAnsi="Gill Sans MT" w:cs="Times New (W1)"/>
      <w:b/>
      <w:caps/>
      <w:color w:val="002A6C"/>
      <w:sz w:val="28"/>
      <w:szCs w:val="32"/>
    </w:rPr>
  </w:style>
  <w:style w:type="paragraph" w:styleId="EndnoteText">
    <w:name w:val="endnote text"/>
    <w:basedOn w:val="Normal"/>
    <w:link w:val="EndnoteTextChar"/>
    <w:rsid w:val="0027451F"/>
    <w:rPr>
      <w:sz w:val="20"/>
    </w:rPr>
  </w:style>
  <w:style w:type="character" w:customStyle="1" w:styleId="EndnoteTextChar">
    <w:name w:val="Endnote Text Char"/>
    <w:basedOn w:val="DefaultParagraphFont"/>
    <w:link w:val="EndnoteText"/>
    <w:rsid w:val="0027451F"/>
  </w:style>
  <w:style w:type="character" w:styleId="EndnoteReference">
    <w:name w:val="endnote reference"/>
    <w:basedOn w:val="DefaultParagraphFont"/>
    <w:rsid w:val="0027451F"/>
    <w:rPr>
      <w:vertAlign w:val="superscript"/>
    </w:rPr>
  </w:style>
  <w:style w:type="character" w:customStyle="1" w:styleId="CommentTextChar">
    <w:name w:val="Comment Text Char"/>
    <w:basedOn w:val="DefaultParagraphFont"/>
    <w:link w:val="CommentText"/>
    <w:rsid w:val="00956C61"/>
  </w:style>
  <w:style w:type="character" w:customStyle="1" w:styleId="Subheading2Char">
    <w:name w:val="Subheading2 Char"/>
    <w:basedOn w:val="DefaultParagraphFont"/>
    <w:link w:val="Subheading2"/>
    <w:locked/>
    <w:rsid w:val="0046146E"/>
    <w:rPr>
      <w:b/>
      <w:sz w:val="24"/>
    </w:rPr>
  </w:style>
  <w:style w:type="character" w:customStyle="1" w:styleId="ParagraphChar">
    <w:name w:val="Paragraph Char"/>
    <w:basedOn w:val="DefaultParagraphFont"/>
    <w:link w:val="Paragraph"/>
    <w:uiPriority w:val="99"/>
    <w:locked/>
    <w:rsid w:val="0046146E"/>
    <w:rPr>
      <w:sz w:val="24"/>
    </w:rPr>
  </w:style>
  <w:style w:type="character" w:customStyle="1" w:styleId="entry-content">
    <w:name w:val="entry-content"/>
    <w:basedOn w:val="DefaultParagraphFont"/>
    <w:rsid w:val="004302E3"/>
  </w:style>
  <w:style w:type="paragraph" w:styleId="CommentSubject">
    <w:name w:val="annotation subject"/>
    <w:basedOn w:val="CommentText"/>
    <w:next w:val="CommentText"/>
    <w:link w:val="CommentSubjectChar"/>
    <w:rsid w:val="00084F16"/>
    <w:rPr>
      <w:b/>
      <w:bCs/>
    </w:rPr>
  </w:style>
  <w:style w:type="character" w:customStyle="1" w:styleId="CommentSubjectChar">
    <w:name w:val="Comment Subject Char"/>
    <w:basedOn w:val="CommentTextChar"/>
    <w:link w:val="CommentSubject"/>
    <w:rsid w:val="00084F16"/>
    <w:rPr>
      <w:b/>
      <w:bCs/>
    </w:rPr>
  </w:style>
  <w:style w:type="character" w:customStyle="1" w:styleId="FootnoteTextChar">
    <w:name w:val="Footnote Text Char"/>
    <w:aliases w:val="fn Char,ADB Char"/>
    <w:basedOn w:val="DefaultParagraphFont"/>
    <w:link w:val="FootnoteText"/>
    <w:semiHidden/>
    <w:rsid w:val="005B0A50"/>
    <w:rPr>
      <w:spacing w:val="-3"/>
    </w:rPr>
  </w:style>
  <w:style w:type="paragraph" w:customStyle="1" w:styleId="Regtable">
    <w:name w:val="Regtable"/>
    <w:basedOn w:val="Normal"/>
    <w:link w:val="RegtableChar"/>
    <w:rsid w:val="0046146E"/>
    <w:pPr>
      <w:keepLines/>
      <w:framePr w:wrap="around" w:vAnchor="text" w:hAnchor="text" w:y="1"/>
      <w:spacing w:before="20" w:after="20"/>
    </w:pPr>
    <w:rPr>
      <w:sz w:val="20"/>
    </w:rPr>
  </w:style>
  <w:style w:type="character" w:customStyle="1" w:styleId="RegtableChar">
    <w:name w:val="Regtable Char"/>
    <w:basedOn w:val="DefaultParagraphFont"/>
    <w:link w:val="Regtable"/>
    <w:rsid w:val="0046146E"/>
  </w:style>
  <w:style w:type="paragraph" w:customStyle="1" w:styleId="TableTitle">
    <w:name w:val="TableTitle"/>
    <w:basedOn w:val="Normal"/>
    <w:link w:val="TableTitleChar"/>
    <w:rsid w:val="0046146E"/>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46146E"/>
    <w:rPr>
      <w:rFonts w:ascii="Times New Roman Bold" w:hAnsi="Times New Roman Bold"/>
      <w:b/>
      <w:spacing w:val="-3"/>
    </w:rPr>
  </w:style>
  <w:style w:type="character" w:customStyle="1" w:styleId="HeaderChar">
    <w:name w:val="Header Char"/>
    <w:basedOn w:val="DefaultParagraphFont"/>
    <w:link w:val="Header"/>
    <w:uiPriority w:val="99"/>
    <w:rsid w:val="00E8203B"/>
    <w:rPr>
      <w:sz w:val="24"/>
    </w:rPr>
  </w:style>
</w:styles>
</file>

<file path=word/webSettings.xml><?xml version="1.0" encoding="utf-8"?>
<w:webSettings xmlns:r="http://schemas.openxmlformats.org/officeDocument/2006/relationships" xmlns:w="http://schemas.openxmlformats.org/wordprocessingml/2006/main">
  <w:divs>
    <w:div w:id="258221833">
      <w:bodyDiv w:val="1"/>
      <w:marLeft w:val="0"/>
      <w:marRight w:val="0"/>
      <w:marTop w:val="0"/>
      <w:marBottom w:val="0"/>
      <w:divBdr>
        <w:top w:val="none" w:sz="0" w:space="0" w:color="auto"/>
        <w:left w:val="none" w:sz="0" w:space="0" w:color="auto"/>
        <w:bottom w:val="none" w:sz="0" w:space="0" w:color="auto"/>
        <w:right w:val="none" w:sz="0" w:space="0" w:color="auto"/>
      </w:divBdr>
    </w:div>
    <w:div w:id="513418473">
      <w:bodyDiv w:val="1"/>
      <w:marLeft w:val="0"/>
      <w:marRight w:val="0"/>
      <w:marTop w:val="0"/>
      <w:marBottom w:val="0"/>
      <w:divBdr>
        <w:top w:val="none" w:sz="0" w:space="0" w:color="auto"/>
        <w:left w:val="none" w:sz="0" w:space="0" w:color="auto"/>
        <w:bottom w:val="none" w:sz="0" w:space="0" w:color="auto"/>
        <w:right w:val="none" w:sz="0" w:space="0" w:color="auto"/>
      </w:divBdr>
    </w:div>
    <w:div w:id="710500930">
      <w:bodyDiv w:val="1"/>
      <w:marLeft w:val="0"/>
      <w:marRight w:val="0"/>
      <w:marTop w:val="0"/>
      <w:marBottom w:val="0"/>
      <w:divBdr>
        <w:top w:val="none" w:sz="0" w:space="0" w:color="auto"/>
        <w:left w:val="none" w:sz="0" w:space="0" w:color="auto"/>
        <w:bottom w:val="none" w:sz="0" w:space="0" w:color="auto"/>
        <w:right w:val="none" w:sz="0" w:space="0" w:color="auto"/>
      </w:divBdr>
    </w:div>
    <w:div w:id="1495756890">
      <w:bodyDiv w:val="1"/>
      <w:marLeft w:val="0"/>
      <w:marRight w:val="0"/>
      <w:marTop w:val="0"/>
      <w:marBottom w:val="0"/>
      <w:divBdr>
        <w:top w:val="none" w:sz="0" w:space="0" w:color="auto"/>
        <w:left w:val="none" w:sz="0" w:space="0" w:color="auto"/>
        <w:bottom w:val="none" w:sz="0" w:space="0" w:color="auto"/>
        <w:right w:val="none" w:sz="0" w:space="0" w:color="auto"/>
      </w:divBdr>
    </w:div>
    <w:div w:id="181621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35112250" TargetMode="External"/><Relationship Id="rId18" Type="http://schemas.openxmlformats.org/officeDocument/2006/relationships/hyperlink" Target="http://idbdocs.iadb.org/WSDocs/getDocument.aspx?DOCNUM=35144728" TargetMode="External"/><Relationship Id="rId26" Type="http://schemas.openxmlformats.org/officeDocument/2006/relationships/footer" Target="footer4.xml"/><Relationship Id="rId21" Type="http://schemas.openxmlformats.org/officeDocument/2006/relationships/header" Target="header5.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idbdocs.iadb.org/WSDocs/getDocument.aspx?DOCNUM=35112227" TargetMode="External"/><Relationship Id="rId17" Type="http://schemas.openxmlformats.org/officeDocument/2006/relationships/hyperlink" Target="http://idbdocs.iadb.org/WSDocs/getDocument.aspx?DOCNUM=35112235" TargetMode="External"/><Relationship Id="rId25" Type="http://schemas.openxmlformats.org/officeDocument/2006/relationships/header" Target="header7.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idbdocs.iadb.org/WSDocs/getDocument.aspx?DOCNUM=35112234"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3.xml"/><Relationship Id="rId32" Type="http://schemas.openxmlformats.org/officeDocument/2006/relationships/customXml" Target="../customXml/item2.xml"/><Relationship Id="rId37"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yperlink" Target="http://idbdocs.iadb.org/WSDocs/getDocument.aspx?DOCNUM=35112233" TargetMode="External"/><Relationship Id="rId23" Type="http://schemas.openxmlformats.org/officeDocument/2006/relationships/footer" Target="footer2.xml"/><Relationship Id="rId28" Type="http://schemas.openxmlformats.org/officeDocument/2006/relationships/hyperlink" Target="mailto:josejs@iadb.org" TargetMode="External"/><Relationship Id="rId36" Type="http://schemas.openxmlformats.org/officeDocument/2006/relationships/customXml" Target="../customXml/item6.xml"/><Relationship Id="rId10" Type="http://schemas.openxmlformats.org/officeDocument/2006/relationships/footer" Target="footer1.xml"/><Relationship Id="rId19" Type="http://schemas.openxmlformats.org/officeDocument/2006/relationships/hyperlink" Target="http://www.iadb.org/countries/home.cfm?language=Spanish&amp;ID_COUNTRY=E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dbdocs.iadb.org/WSDocs/getDocument.aspx?DOCNUM=35112232" TargetMode="External"/><Relationship Id="rId22" Type="http://schemas.openxmlformats.org/officeDocument/2006/relationships/header" Target="header6.xml"/><Relationship Id="rId27" Type="http://schemas.openxmlformats.org/officeDocument/2006/relationships/hyperlink" Target="mailto:claudiast@iadb.org" TargetMode="Externa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35241362</IDBDocs_x0020_Number>
    <TaxCatchAll xmlns="cdc7663a-08f0-4737-9e8c-148ce897a09c">
      <Value>26</Value>
      <Value>16</Value>
      <Value>1</Value>
    </TaxCatchAll>
    <Phase xmlns="cdc7663a-08f0-4737-9e8c-148ce897a09c" xsi:nil="true"/>
    <SISCOR_x0020_Number xmlns="cdc7663a-08f0-4737-9e8c-148ce897a09c" xsi:nil="true"/>
    <Division_x0020_or_x0020_Unit xmlns="cdc7663a-08f0-4737-9e8c-148ce897a09c">ICF/CMF</Division_x0020_or_x0020_Unit>
    <Approval_x0020_Number xmlns="cdc7663a-08f0-4737-9e8c-148ce897a09c">ATN/CF-12153-JA</Approval_x0020_Number>
    <Document_x0020_Author xmlns="cdc7663a-08f0-4737-9e8c-148ce897a09c">Stevenson, Claudia</Document_x0020_Author>
    <Fiscal_x0020_Year_x0020_IDB xmlns="cdc7663a-08f0-4737-9e8c-148ce897a09c">2010</Fiscal_x0020_Year_x0020_IDB>
    <Other_x0020_Author xmlns="cdc7663a-08f0-4737-9e8c-148ce897a09c" xsi:nil="true"/>
    <Project_x0020_Number xmlns="cdc7663a-08f0-4737-9e8c-148ce897a09c">JA-X1002</Project_x0020_Number>
    <Package_x0020_Code xmlns="cdc7663a-08f0-4737-9e8c-148ce897a09c" xsi:nil="true"/>
    <Key_x0020_Document xmlns="cdc7663a-08f0-4737-9e8c-148ce897a09c">false</Key_x0020_Document>
    <Migration_x0020_Info xmlns="cdc7663a-08f0-4737-9e8c-148ce897a09c">&lt;div class="ExternalClass85E947EAFF3F43E794BDA9CE33D7B1CA"&gt;MS WORDPOPlan of Operations1YPO-JA-X1002-Plan130118550&lt;/div&gt;</Migration_x0020_Info>
    <Operation_x0020_Type xmlns="cdc7663a-08f0-4737-9e8c-148ce897a09c" xsi:nil="true"/>
    <Record_x0020_Number xmlns="cdc7663a-08f0-4737-9e8c-148ce897a09c">R0002762091</Record_x0020_Number>
    <Document_x0020_Language_x0020_IDB xmlns="cdc7663a-08f0-4737-9e8c-148ce897a09c">English</Document_x0020_Language_x0020_IDB>
    <Identifier xmlns="cdc7663a-08f0-4737-9e8c-148ce897a09c"> MAIN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Plan of Operations</Disclosure_x0020_Activity>
    <Region xmlns="cdc7663a-08f0-4737-9e8c-148ce897a09c" xsi:nil="true"/>
    <_dlc_DocId xmlns="cdc7663a-08f0-4737-9e8c-148ce897a09c">EZSHARE-1332552366-58</_dlc_DocId>
    <Publication_x0020_Type xmlns="cdc7663a-08f0-4737-9e8c-148ce897a09c" xsi:nil="true"/>
    <Issue_x0020_Date xmlns="cdc7663a-08f0-4737-9e8c-148ce897a09c" xsi:nil="true"/>
    <KP_x0020_Topics xmlns="cdc7663a-08f0-4737-9e8c-148ce897a09c" xsi:nil="true"/>
    <Webtopic xmlns="cdc7663a-08f0-4737-9e8c-148ce897a09c">Finance;Fiscal Issues and Public Finance;Financial Sector Development;Banking and Financial Services</Webtopic>
    <Publishing_x0020_House xmlns="cdc7663a-08f0-4737-9e8c-148ce897a09c" xsi:nil="true"/>
    <Disclosed xmlns="cdc7663a-08f0-4737-9e8c-148ce897a09c">true</Disclosed>
    <_dlc_DocIdUrl xmlns="cdc7663a-08f0-4737-9e8c-148ce897a09c">
      <Url>https://idbg.sharepoint.com/teams/EZ-JA-TCP/JA-X1002/_layouts/15/DocIdRedir.aspx?ID=EZSHARE-1332552366-58</Url>
      <Description>EZSHARE-1332552366-58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593A60F9CCF4DA088AE7D9E060F1D" ma:contentTypeVersion="614" ma:contentTypeDescription="A content type to manage public (operations) IDB documents" ma:contentTypeScope="" ma:versionID="5690253a695090dae966002966f31772">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712F9D6-F043-45DD-9CB3-8398503CD8FF}"/>
</file>

<file path=customXml/itemProps2.xml><?xml version="1.0" encoding="utf-8"?>
<ds:datastoreItem xmlns:ds="http://schemas.openxmlformats.org/officeDocument/2006/customXml" ds:itemID="{C26F1C23-A925-4B3E-AE57-23CC52B72710}"/>
</file>

<file path=customXml/itemProps3.xml><?xml version="1.0" encoding="utf-8"?>
<ds:datastoreItem xmlns:ds="http://schemas.openxmlformats.org/officeDocument/2006/customXml" ds:itemID="{2325041E-00A4-40EF-983B-5B52DDA90039}"/>
</file>

<file path=customXml/itemProps4.xml><?xml version="1.0" encoding="utf-8"?>
<ds:datastoreItem xmlns:ds="http://schemas.openxmlformats.org/officeDocument/2006/customXml" ds:itemID="{F8044BDD-5C8C-4905-B96A-8C8BB39F19B2}"/>
</file>

<file path=customXml/itemProps5.xml><?xml version="1.0" encoding="utf-8"?>
<ds:datastoreItem xmlns:ds="http://schemas.openxmlformats.org/officeDocument/2006/customXml" ds:itemID="{313F6F79-ECFE-4B04-B7BA-B0E5DAF5B224}"/>
</file>

<file path=customXml/itemProps6.xml><?xml version="1.0" encoding="utf-8"?>
<ds:datastoreItem xmlns:ds="http://schemas.openxmlformats.org/officeDocument/2006/customXml" ds:itemID="{36BC0563-2739-47AC-9640-00F6D4C7C2B1}"/>
</file>

<file path=customXml/itemProps7.xml><?xml version="1.0" encoding="utf-8"?>
<ds:datastoreItem xmlns:ds="http://schemas.openxmlformats.org/officeDocument/2006/customXml" ds:itemID="{16821567-4F2A-467F-86ED-3409A4D7EA19}"/>
</file>

<file path=docProps/app.xml><?xml version="1.0" encoding="utf-8"?>
<Properties xmlns="http://schemas.openxmlformats.org/officeDocument/2006/extended-properties" xmlns:vt="http://schemas.openxmlformats.org/officeDocument/2006/docPropsVTypes">
  <Template>INVeng.dot</Template>
  <TotalTime>4</TotalTime>
  <Pages>17</Pages>
  <Words>4922</Words>
  <Characters>28061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32918</CharactersWithSpaces>
  <SharedDoc>false</SharedDoc>
  <HLinks>
    <vt:vector size="18" baseType="variant">
      <vt:variant>
        <vt:i4>5898338</vt:i4>
      </vt:variant>
      <vt:variant>
        <vt:i4>186</vt:i4>
      </vt:variant>
      <vt:variant>
        <vt:i4>0</vt:i4>
      </vt:variant>
      <vt:variant>
        <vt:i4>5</vt:i4>
      </vt:variant>
      <vt:variant>
        <vt:lpwstr>mailto:josejs@iadb.org</vt:lpwstr>
      </vt:variant>
      <vt:variant>
        <vt:lpwstr/>
      </vt:variant>
      <vt:variant>
        <vt:i4>4194405</vt:i4>
      </vt:variant>
      <vt:variant>
        <vt:i4>183</vt:i4>
      </vt:variant>
      <vt:variant>
        <vt:i4>0</vt:i4>
      </vt:variant>
      <vt:variant>
        <vt:i4>5</vt:i4>
      </vt:variant>
      <vt:variant>
        <vt:lpwstr>mailto:claudiast@iadb.org</vt:lpwstr>
      </vt:variant>
      <vt:variant>
        <vt:lpwstr/>
      </vt:variant>
      <vt:variant>
        <vt:i4>1310776</vt:i4>
      </vt:variant>
      <vt:variant>
        <vt:i4>84</vt:i4>
      </vt:variant>
      <vt:variant>
        <vt:i4>0</vt:i4>
      </vt:variant>
      <vt:variant>
        <vt:i4>5</vt:i4>
      </vt:variant>
      <vt:variant>
        <vt:lpwstr>http://www.iadb.org/countries/home.cfm?language=Spanish&amp;ID_COUNTRY=EC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and Implementation of Business Climate Reform in Jamaica</dc:title>
  <dc:subject/>
  <dc:creator>CLAUDIAST</dc:creator>
  <cp:keywords/>
  <dc:description/>
  <cp:lastModifiedBy>marinam</cp:lastModifiedBy>
  <cp:revision>3</cp:revision>
  <cp:lastPrinted>2010-05-18T16:37:00Z</cp:lastPrinted>
  <dcterms:created xsi:type="dcterms:W3CDTF">2010-07-07T15:06:00Z</dcterms:created>
  <dcterms:modified xsi:type="dcterms:W3CDTF">2010-07-07T15:38:00Z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0x0101001A458A224826124E8B45B1D613300CFC00A32593A60F9CCF4DA088AE7D9E060F1D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24;#Project Profile (PP)|ac5f0c28-f2f6-431c-8d05-62f851b6a822</vt:lpwstr>
  </property>
  <property fmtid="{D5CDD505-2E9C-101B-9397-08002B2CF9AE}" pid="8" name="Country">
    <vt:lpwstr>26;#Jamaica|284b90e7-9693-4db7-a23e-8f79c831fe9a</vt:lpwstr>
  </property>
  <property fmtid="{D5CDD505-2E9C-101B-9397-08002B2CF9AE}" pid="9" name="Fund IDB">
    <vt:lpwstr/>
  </property>
  <property fmtid="{D5CDD505-2E9C-101B-9397-08002B2CF9AE}" pid="10" name="Series_x0020_Operations_x0020_IDB">
    <vt:lpwstr>24;#Project Profile (PP)|ac5f0c28-f2f6-431c-8d05-62f851b6a822</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5800</vt:r8>
  </property>
  <property fmtid="{D5CDD505-2E9C-101B-9397-08002B2CF9AE}" pid="17" name="_dlc_DocIdItemGuid">
    <vt:lpwstr>dd6e3410-9b0b-43f8-8733-a38003056434</vt:lpwstr>
  </property>
</Properties>
</file>