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14D0C" w14:textId="77777777" w:rsidR="00670D7E" w:rsidRPr="002C1EA6" w:rsidRDefault="00670D7E" w:rsidP="00F21C58">
      <w:pPr>
        <w:pBdr>
          <w:top w:val="nil"/>
          <w:left w:val="nil"/>
          <w:bottom w:val="nil"/>
          <w:right w:val="nil"/>
          <w:between w:val="nil"/>
        </w:pBdr>
        <w:spacing w:before="120" w:after="120"/>
        <w:ind w:left="270"/>
        <w:jc w:val="center"/>
        <w:rPr>
          <w:rFonts w:ascii="Arial" w:eastAsia="Arial" w:hAnsi="Arial" w:cs="Arial"/>
          <w:b/>
          <w:sz w:val="22"/>
          <w:szCs w:val="22"/>
        </w:rPr>
      </w:pPr>
      <w:r w:rsidRPr="002C1EA6">
        <w:rPr>
          <w:rFonts w:ascii="Arial" w:eastAsia="Arial" w:hAnsi="Arial" w:cs="Arial"/>
          <w:b/>
          <w:sz w:val="22"/>
          <w:szCs w:val="22"/>
        </w:rPr>
        <w:t>Optional Electronic Link</w:t>
      </w:r>
    </w:p>
    <w:p w14:paraId="74CE23B0" w14:textId="5EE22E7D" w:rsidR="00E2675C" w:rsidRPr="002C1EA6" w:rsidRDefault="00F21C58" w:rsidP="00F21C58">
      <w:pPr>
        <w:pBdr>
          <w:top w:val="nil"/>
          <w:left w:val="nil"/>
          <w:bottom w:val="nil"/>
          <w:right w:val="nil"/>
          <w:between w:val="nil"/>
        </w:pBdr>
        <w:spacing w:before="120" w:after="120"/>
        <w:ind w:left="270"/>
        <w:jc w:val="center"/>
        <w:rPr>
          <w:rFonts w:ascii="Arial" w:eastAsia="Arial" w:hAnsi="Arial" w:cs="Arial"/>
          <w:b/>
          <w:sz w:val="22"/>
          <w:szCs w:val="22"/>
        </w:rPr>
      </w:pPr>
      <w:r w:rsidRPr="002C1EA6">
        <w:rPr>
          <w:rFonts w:ascii="Arial" w:eastAsia="Arial" w:hAnsi="Arial" w:cs="Arial"/>
          <w:b/>
          <w:sz w:val="22"/>
          <w:szCs w:val="22"/>
        </w:rPr>
        <w:t>Technical</w:t>
      </w:r>
      <w:r w:rsidR="00E2675C" w:rsidRPr="002C1EA6">
        <w:rPr>
          <w:rFonts w:ascii="Arial" w:eastAsia="Arial" w:hAnsi="Arial" w:cs="Arial"/>
          <w:b/>
          <w:sz w:val="22"/>
          <w:szCs w:val="22"/>
        </w:rPr>
        <w:t xml:space="preserve"> </w:t>
      </w:r>
      <w:r w:rsidR="00670D7E" w:rsidRPr="002C1EA6">
        <w:rPr>
          <w:rFonts w:ascii="Arial" w:eastAsia="Arial" w:hAnsi="Arial" w:cs="Arial"/>
          <w:b/>
          <w:sz w:val="22"/>
          <w:szCs w:val="22"/>
        </w:rPr>
        <w:t>Options</w:t>
      </w:r>
    </w:p>
    <w:p w14:paraId="55D2AC56" w14:textId="77777777" w:rsidR="00A13F59" w:rsidRPr="002C1EA6" w:rsidRDefault="00A13F59" w:rsidP="00A13F59">
      <w:pPr>
        <w:pStyle w:val="Paragraph"/>
        <w:tabs>
          <w:tab w:val="clear" w:pos="720"/>
          <w:tab w:val="left" w:pos="360"/>
          <w:tab w:val="num" w:pos="630"/>
        </w:tabs>
        <w:ind w:left="0" w:firstLine="0"/>
        <w:rPr>
          <w:rFonts w:ascii="Arial" w:eastAsia="Arial" w:hAnsi="Arial" w:cs="Arial"/>
          <w:color w:val="000000"/>
          <w:sz w:val="22"/>
          <w:szCs w:val="22"/>
        </w:rPr>
      </w:pPr>
      <w:r w:rsidRPr="002C1EA6">
        <w:rPr>
          <w:rFonts w:ascii="Arial" w:eastAsia="Arial" w:hAnsi="Arial" w:cs="Arial"/>
          <w:color w:val="000000"/>
          <w:sz w:val="22"/>
          <w:szCs w:val="22"/>
        </w:rPr>
        <w:t xml:space="preserve">The World Bank calculates the economic loss from export delays at approximately 1 percent of trade for each extra day of trade processing. The cost is even higher for perishable agricultural products at nearly 3 percent each day. In addition, each extra signature an exporter is required to collect reduces trade by 4.2 percent. From this data we can conclude that IDB member countries currently face losses of between 32.2 and 67.7 percent of their trade value, these losses that can be minimized and/or eliminated with the implementation of better coordinated border management. </w:t>
      </w:r>
      <w:r w:rsidRPr="002C1EA6">
        <w:rPr>
          <w:rFonts w:ascii="Arial" w:eastAsia="Arial" w:hAnsi="Arial" w:cs="Arial"/>
          <w:color w:val="000000"/>
          <w:sz w:val="22"/>
          <w:szCs w:val="22"/>
          <w:vertAlign w:val="superscript"/>
        </w:rPr>
        <w:footnoteReference w:id="1"/>
      </w:r>
    </w:p>
    <w:p w14:paraId="70D654CC" w14:textId="709280A2" w:rsidR="00A13F59" w:rsidRPr="002C1EA6" w:rsidRDefault="00A13F59" w:rsidP="0050786F">
      <w:pPr>
        <w:pStyle w:val="Paragraph"/>
        <w:tabs>
          <w:tab w:val="clear" w:pos="720"/>
          <w:tab w:val="left" w:pos="360"/>
          <w:tab w:val="num" w:pos="630"/>
        </w:tabs>
        <w:ind w:left="0" w:firstLine="0"/>
        <w:rPr>
          <w:rFonts w:ascii="Arial" w:eastAsia="Arial" w:hAnsi="Arial" w:cs="Arial"/>
          <w:color w:val="000000"/>
          <w:sz w:val="22"/>
          <w:szCs w:val="22"/>
        </w:rPr>
      </w:pPr>
      <w:r w:rsidRPr="002C1EA6">
        <w:rPr>
          <w:rFonts w:ascii="Arial" w:eastAsia="Arial" w:hAnsi="Arial" w:cs="Arial"/>
          <w:color w:val="000000"/>
          <w:sz w:val="22"/>
          <w:szCs w:val="22"/>
        </w:rPr>
        <w:t xml:space="preserve">Information and documentation are key elements in the control of international cross-border trade. Exchange of data electronically is the key to trade facilitation and an efficient trade environment. Such exchange of data can be between B2B (business-to-business), B2G (business-to-government, including customs and other competent authorities involved in the import and export of goods) and G2G (government-to government). It is estimated that an average international trade transaction involves 27-30 different parties (seller, buyer, carrier, freight forwarder, customs, customs brokers, banks, </w:t>
      </w:r>
      <w:proofErr w:type="spellStart"/>
      <w:r w:rsidRPr="002C1EA6">
        <w:rPr>
          <w:rFonts w:ascii="Arial" w:eastAsia="Arial" w:hAnsi="Arial" w:cs="Arial"/>
          <w:color w:val="000000"/>
          <w:sz w:val="22"/>
          <w:szCs w:val="22"/>
        </w:rPr>
        <w:t>etc</w:t>
      </w:r>
      <w:proofErr w:type="spellEnd"/>
      <w:r w:rsidRPr="002C1EA6">
        <w:rPr>
          <w:rFonts w:ascii="Arial" w:eastAsia="Arial" w:hAnsi="Arial" w:cs="Arial"/>
          <w:color w:val="000000"/>
          <w:sz w:val="22"/>
          <w:szCs w:val="22"/>
        </w:rPr>
        <w:t>), some 40 documents (purchase order, bill-of-lading, invoice, packing list, trade declaration, etc.) with 200 data elements. Among the data elements, about 30 of them are repeated and 60-70 percent is rekeyed into the computer system at least once. Hence, the electronic exchange of trade-related documents over a secured and safe environment is essential to efficient international trade and logistics.</w:t>
      </w:r>
      <w:r w:rsidRPr="002C1EA6">
        <w:rPr>
          <w:rFonts w:ascii="Arial" w:eastAsia="Arial" w:hAnsi="Arial" w:cs="Arial"/>
          <w:color w:val="000000"/>
          <w:sz w:val="22"/>
          <w:szCs w:val="22"/>
          <w:vertAlign w:val="superscript"/>
        </w:rPr>
        <w:footnoteReference w:id="2"/>
      </w:r>
    </w:p>
    <w:p w14:paraId="6DFC79D0" w14:textId="3F5DCC60" w:rsidR="00A13F59" w:rsidRPr="002C1EA6" w:rsidRDefault="00A13F59" w:rsidP="0050786F">
      <w:pPr>
        <w:pStyle w:val="Paragraph"/>
        <w:tabs>
          <w:tab w:val="clear" w:pos="720"/>
          <w:tab w:val="num" w:pos="0"/>
        </w:tabs>
        <w:ind w:left="0" w:firstLine="0"/>
        <w:rPr>
          <w:rFonts w:ascii="Arial" w:eastAsia="Arial" w:hAnsi="Arial" w:cs="Arial"/>
          <w:color w:val="000000"/>
          <w:sz w:val="22"/>
          <w:szCs w:val="22"/>
        </w:rPr>
      </w:pPr>
      <w:r w:rsidRPr="002C1EA6">
        <w:rPr>
          <w:rFonts w:ascii="Arial" w:eastAsia="Arial" w:hAnsi="Arial" w:cs="Arial"/>
          <w:color w:val="000000"/>
          <w:sz w:val="22"/>
          <w:szCs w:val="22"/>
        </w:rPr>
        <w:t>The United Nations defines an ESW as a facility that allows parties involved in trade and transport to lodge standardized information and documents with a single-entry point to fulfill all import, export, and transit-related regulatory requirements. In practical terms, the single window aims to expedite and simplify information flows between trade and government and bring meaningful gains to all parties involved in cross-border trade. The single window is generally managed centrally by a lead agency, enabling the appropriate governmental authorities and agencies to receive or have access to the information relevant for their purpose.</w:t>
      </w:r>
      <w:r w:rsidRPr="002C1EA6">
        <w:rPr>
          <w:rFonts w:ascii="Arial" w:eastAsia="Arial" w:hAnsi="Arial" w:cs="Arial"/>
          <w:color w:val="000000"/>
          <w:sz w:val="22"/>
          <w:szCs w:val="22"/>
          <w:vertAlign w:val="superscript"/>
        </w:rPr>
        <w:footnoteReference w:id="3"/>
      </w:r>
    </w:p>
    <w:p w14:paraId="0C8104EA" w14:textId="0C764CBB" w:rsidR="00A13F59" w:rsidRPr="002C1EA6" w:rsidRDefault="00A13F59" w:rsidP="0050786F">
      <w:pPr>
        <w:pStyle w:val="Paragraph"/>
        <w:tabs>
          <w:tab w:val="clear" w:pos="720"/>
          <w:tab w:val="num" w:pos="810"/>
        </w:tabs>
        <w:ind w:left="0" w:firstLine="0"/>
        <w:rPr>
          <w:rFonts w:ascii="Arial" w:eastAsia="Arial" w:hAnsi="Arial" w:cs="Arial"/>
          <w:color w:val="000000"/>
          <w:sz w:val="22"/>
          <w:szCs w:val="22"/>
        </w:rPr>
      </w:pPr>
      <w:r w:rsidRPr="002C1EA6">
        <w:rPr>
          <w:rFonts w:ascii="Arial" w:eastAsia="Arial" w:hAnsi="Arial" w:cs="Arial"/>
          <w:color w:val="000000"/>
          <w:sz w:val="22"/>
          <w:szCs w:val="22"/>
        </w:rPr>
        <w:t>As indicated in the POD, there are many countries that have benefitted from an ESW. The Korea Customs Service estimates that the introduction of its single-window system brought $18 million in benefits in 2010, part of the overall economic benefits that year of as much as $3.47 billion from the agency’s trade facilitation efforts. Likewise, an ESW in Singapore led to productivity gains; the ESW now handles more than 30,000 declarations a day, processes 99% of permits in 10 minutes and receives all collections through interbank deductions.</w:t>
      </w:r>
      <w:r w:rsidRPr="002C1EA6">
        <w:rPr>
          <w:rFonts w:ascii="Arial" w:eastAsia="Arial" w:hAnsi="Arial" w:cs="Arial"/>
          <w:color w:val="000000"/>
          <w:sz w:val="22"/>
          <w:szCs w:val="22"/>
          <w:vertAlign w:val="superscript"/>
        </w:rPr>
        <w:footnoteReference w:id="4"/>
      </w:r>
      <w:r w:rsidRPr="002C1EA6">
        <w:rPr>
          <w:rFonts w:ascii="Arial" w:eastAsia="Arial" w:hAnsi="Arial" w:cs="Arial"/>
          <w:color w:val="000000"/>
          <w:sz w:val="22"/>
          <w:szCs w:val="22"/>
          <w:vertAlign w:val="superscript"/>
        </w:rPr>
        <w:t xml:space="preserve"> </w:t>
      </w:r>
      <w:r w:rsidRPr="002C1EA6">
        <w:rPr>
          <w:rFonts w:ascii="Arial" w:eastAsia="Arial" w:hAnsi="Arial" w:cs="Arial"/>
          <w:color w:val="000000"/>
          <w:sz w:val="22"/>
          <w:szCs w:val="22"/>
        </w:rPr>
        <w:t>Japan introduced an ESW in 2003 and according to the government this has reduced cargo processing times by about half from 25.7 hours in 2001 to only 13.4 hours in 2012.</w:t>
      </w:r>
      <w:r w:rsidRPr="002C1EA6">
        <w:rPr>
          <w:rFonts w:ascii="Arial" w:eastAsia="Arial" w:hAnsi="Arial" w:cs="Arial"/>
          <w:color w:val="000000"/>
          <w:sz w:val="22"/>
          <w:szCs w:val="22"/>
          <w:vertAlign w:val="superscript"/>
        </w:rPr>
        <w:footnoteReference w:id="5"/>
      </w:r>
      <w:r w:rsidRPr="002C1EA6">
        <w:rPr>
          <w:rFonts w:ascii="Arial" w:eastAsia="Arial" w:hAnsi="Arial" w:cs="Arial"/>
          <w:color w:val="000000"/>
          <w:sz w:val="22"/>
          <w:szCs w:val="22"/>
          <w:vertAlign w:val="superscript"/>
        </w:rPr>
        <w:t xml:space="preserve"> </w:t>
      </w:r>
    </w:p>
    <w:p w14:paraId="40343DF8" w14:textId="78A9286E" w:rsidR="0072373D" w:rsidRPr="002C1EA6" w:rsidRDefault="0072373D" w:rsidP="0072373D">
      <w:pPr>
        <w:pBdr>
          <w:top w:val="nil"/>
          <w:left w:val="nil"/>
          <w:bottom w:val="nil"/>
          <w:right w:val="nil"/>
          <w:between w:val="nil"/>
        </w:pBdr>
        <w:spacing w:before="120" w:after="120"/>
        <w:jc w:val="both"/>
        <w:rPr>
          <w:rFonts w:ascii="Arial" w:eastAsia="Arial" w:hAnsi="Arial" w:cs="Arial"/>
          <w:sz w:val="22"/>
          <w:szCs w:val="22"/>
        </w:rPr>
      </w:pPr>
      <w:r w:rsidRPr="002C1EA6">
        <w:rPr>
          <w:rFonts w:ascii="Arial" w:eastAsia="Arial" w:hAnsi="Arial" w:cs="Arial"/>
          <w:sz w:val="22"/>
          <w:szCs w:val="22"/>
        </w:rPr>
        <w:t xml:space="preserve">The implementation of the ESW will drastically simplify and streamline import and export regulations by enhancing inter-agency collaboration, streamlining procedures and harmonizing data requirements and documents. Furthermore, the ESW would align Guyana with international </w:t>
      </w:r>
      <w:r w:rsidRPr="002C1EA6">
        <w:rPr>
          <w:rFonts w:ascii="Arial" w:eastAsia="Arial" w:hAnsi="Arial" w:cs="Arial"/>
          <w:sz w:val="22"/>
          <w:szCs w:val="22"/>
        </w:rPr>
        <w:lastRenderedPageBreak/>
        <w:t>best practices and commitments under the World Trade Organization (WTO) Trade Facilitation Agreement (TFA).</w:t>
      </w:r>
    </w:p>
    <w:p w14:paraId="40E55C63" w14:textId="678B0D2F" w:rsidR="0072373D" w:rsidRPr="002C1EA6" w:rsidRDefault="008C4D6B" w:rsidP="00E2675C">
      <w:pPr>
        <w:pBdr>
          <w:top w:val="nil"/>
          <w:left w:val="nil"/>
          <w:bottom w:val="nil"/>
          <w:right w:val="nil"/>
          <w:between w:val="nil"/>
        </w:pBdr>
        <w:spacing w:before="120" w:after="120"/>
        <w:jc w:val="both"/>
        <w:rPr>
          <w:rFonts w:ascii="Arial" w:eastAsia="Arial" w:hAnsi="Arial" w:cs="Arial"/>
          <w:sz w:val="22"/>
          <w:szCs w:val="22"/>
        </w:rPr>
      </w:pPr>
      <w:r w:rsidRPr="002C1EA6">
        <w:rPr>
          <w:rFonts w:ascii="Arial" w:eastAsia="Arial" w:hAnsi="Arial" w:cs="Arial"/>
          <w:sz w:val="22"/>
          <w:szCs w:val="22"/>
        </w:rPr>
        <w:t xml:space="preserve">In 2017, the Customs &amp; Trade Administration processed a total of 10,270 manifests (sea and air) and 60,080 customs declarations (78% imports and 22% exports). Overall, in 2017 the </w:t>
      </w:r>
      <w:r w:rsidR="00F21C58" w:rsidRPr="002C1EA6">
        <w:rPr>
          <w:rFonts w:ascii="Arial" w:eastAsia="Arial" w:hAnsi="Arial" w:cs="Arial"/>
          <w:sz w:val="22"/>
          <w:szCs w:val="22"/>
        </w:rPr>
        <w:t xml:space="preserve">Partner Government Agencies (PGAs) </w:t>
      </w:r>
      <w:r w:rsidRPr="002C1EA6">
        <w:rPr>
          <w:rFonts w:ascii="Arial" w:eastAsia="Arial" w:hAnsi="Arial" w:cs="Arial"/>
          <w:sz w:val="22"/>
          <w:szCs w:val="22"/>
        </w:rPr>
        <w:t xml:space="preserve">produced more than 19,000 </w:t>
      </w:r>
      <w:r w:rsidR="00F21C58" w:rsidRPr="002C1EA6">
        <w:rPr>
          <w:rFonts w:ascii="Arial" w:eastAsia="Arial" w:hAnsi="Arial" w:cs="Arial"/>
          <w:bCs/>
          <w:sz w:val="22"/>
          <w:szCs w:val="22"/>
        </w:rPr>
        <w:t>license</w:t>
      </w:r>
      <w:r w:rsidR="00A13F59" w:rsidRPr="002C1EA6">
        <w:rPr>
          <w:rFonts w:ascii="Arial" w:eastAsia="Arial" w:hAnsi="Arial" w:cs="Arial"/>
          <w:bCs/>
          <w:sz w:val="22"/>
          <w:szCs w:val="22"/>
        </w:rPr>
        <w:t>s</w:t>
      </w:r>
      <w:r w:rsidR="00F21C58" w:rsidRPr="002C1EA6">
        <w:rPr>
          <w:rFonts w:ascii="Arial" w:eastAsia="Arial" w:hAnsi="Arial" w:cs="Arial"/>
          <w:bCs/>
          <w:sz w:val="22"/>
          <w:szCs w:val="22"/>
        </w:rPr>
        <w:t>, certificate</w:t>
      </w:r>
      <w:r w:rsidR="00A13F59" w:rsidRPr="002C1EA6">
        <w:rPr>
          <w:rFonts w:ascii="Arial" w:eastAsia="Arial" w:hAnsi="Arial" w:cs="Arial"/>
          <w:bCs/>
          <w:sz w:val="22"/>
          <w:szCs w:val="22"/>
        </w:rPr>
        <w:t>s</w:t>
      </w:r>
      <w:r w:rsidR="00F21C58" w:rsidRPr="002C1EA6">
        <w:rPr>
          <w:rFonts w:ascii="Arial" w:eastAsia="Arial" w:hAnsi="Arial" w:cs="Arial"/>
          <w:bCs/>
          <w:sz w:val="22"/>
          <w:szCs w:val="22"/>
        </w:rPr>
        <w:t xml:space="preserve"> and permits (</w:t>
      </w:r>
      <w:r w:rsidR="00357D86" w:rsidRPr="002C1EA6">
        <w:rPr>
          <w:rFonts w:ascii="Arial" w:eastAsia="Arial" w:hAnsi="Arial" w:cs="Arial"/>
          <w:bCs/>
          <w:sz w:val="22"/>
          <w:szCs w:val="22"/>
        </w:rPr>
        <w:t>LCPs)</w:t>
      </w:r>
      <w:r w:rsidR="00357D86" w:rsidRPr="002C1EA6">
        <w:rPr>
          <w:rFonts w:ascii="Arial" w:eastAsia="Arial" w:hAnsi="Arial" w:cs="Arial"/>
          <w:b/>
          <w:bCs/>
          <w:sz w:val="22"/>
          <w:szCs w:val="22"/>
        </w:rPr>
        <w:t xml:space="preserve"> </w:t>
      </w:r>
      <w:r w:rsidR="00357D86" w:rsidRPr="002C1EA6">
        <w:rPr>
          <w:rFonts w:ascii="Arial" w:eastAsia="Arial" w:hAnsi="Arial" w:cs="Arial"/>
          <w:sz w:val="22"/>
          <w:szCs w:val="22"/>
        </w:rPr>
        <w:t>in</w:t>
      </w:r>
      <w:r w:rsidRPr="002C1EA6">
        <w:rPr>
          <w:rFonts w:ascii="Arial" w:eastAsia="Arial" w:hAnsi="Arial" w:cs="Arial"/>
          <w:sz w:val="22"/>
          <w:szCs w:val="22"/>
        </w:rPr>
        <w:t xml:space="preserve"> 2017 which represents a 10.1% increase over 2016 and a 20.3% increase over 2015. Furthermore, and although the volume of customs declarations has remained stable the number of containers arriving to Guyana has increased </w:t>
      </w:r>
      <w:bookmarkStart w:id="0" w:name="_GoBack"/>
      <w:bookmarkEnd w:id="0"/>
      <w:r w:rsidRPr="002C1EA6">
        <w:rPr>
          <w:rFonts w:ascii="Arial" w:eastAsia="Arial" w:hAnsi="Arial" w:cs="Arial"/>
          <w:sz w:val="22"/>
          <w:szCs w:val="22"/>
        </w:rPr>
        <w:t xml:space="preserve">more than 20% in the last 3 years from a total of 37,112 in 2015 to 44,947 and 46,170 in 2017 and 2016 respectively. </w:t>
      </w:r>
    </w:p>
    <w:p w14:paraId="5C85A1E2" w14:textId="77777777" w:rsidR="00730FFC" w:rsidRPr="002C1EA6" w:rsidRDefault="00730FFC" w:rsidP="00E2675C">
      <w:pPr>
        <w:pBdr>
          <w:top w:val="nil"/>
          <w:left w:val="nil"/>
          <w:bottom w:val="nil"/>
          <w:right w:val="nil"/>
          <w:between w:val="nil"/>
        </w:pBdr>
        <w:spacing w:before="120" w:after="120"/>
        <w:jc w:val="both"/>
        <w:rPr>
          <w:rFonts w:ascii="Arial" w:eastAsia="Arial" w:hAnsi="Arial" w:cs="Arial"/>
          <w:sz w:val="22"/>
          <w:szCs w:val="22"/>
        </w:rPr>
      </w:pPr>
    </w:p>
    <w:p w14:paraId="0019FAF7" w14:textId="7FBD9052" w:rsidR="0072373D" w:rsidRPr="002C1EA6" w:rsidRDefault="0072373D" w:rsidP="0072373D">
      <w:pPr>
        <w:pBdr>
          <w:top w:val="nil"/>
          <w:left w:val="nil"/>
          <w:bottom w:val="nil"/>
          <w:right w:val="nil"/>
          <w:between w:val="nil"/>
        </w:pBdr>
        <w:spacing w:before="120" w:after="120"/>
        <w:jc w:val="center"/>
        <w:rPr>
          <w:rFonts w:ascii="Arial" w:eastAsia="Arial" w:hAnsi="Arial" w:cs="Arial"/>
          <w:sz w:val="22"/>
          <w:szCs w:val="22"/>
        </w:rPr>
      </w:pPr>
      <w:r w:rsidRPr="002C1EA6">
        <w:rPr>
          <w:rFonts w:ascii="Arial" w:hAnsi="Arial" w:cs="Arial"/>
          <w:noProof/>
          <w:sz w:val="22"/>
          <w:szCs w:val="22"/>
        </w:rPr>
        <w:drawing>
          <wp:inline distT="0" distB="0" distL="0" distR="0" wp14:anchorId="26569BA5" wp14:editId="639DC1CF">
            <wp:extent cx="4572000" cy="2743200"/>
            <wp:effectExtent l="0" t="0" r="0" b="0"/>
            <wp:docPr id="1" name="Picture 1" descr="https://lh3.googleusercontent.com/gN-PGUuX-4S0bRCOYl2N1uw2nW6nmtF6QcbtDyOBvzWX6QHb8GPSZSw0TT27f928I41hdyDBEAabOmq_EnBKsgmUreoN49vVMiV92j5xdGUJhCpAAkIc6PDZ80ie7G1-6VoMxb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gN-PGUuX-4S0bRCOYl2N1uw2nW6nmtF6QcbtDyOBvzWX6QHb8GPSZSw0TT27f928I41hdyDBEAabOmq_EnBKsgmUreoN49vVMiV92j5xdGUJhCpAAkIc6PDZ80ie7G1-6VoMxbT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14:paraId="7DCDEFA7" w14:textId="77777777" w:rsidR="0072373D" w:rsidRPr="002C1EA6" w:rsidRDefault="0072373D" w:rsidP="00E2675C">
      <w:pPr>
        <w:pBdr>
          <w:top w:val="nil"/>
          <w:left w:val="nil"/>
          <w:bottom w:val="nil"/>
          <w:right w:val="nil"/>
          <w:between w:val="nil"/>
        </w:pBdr>
        <w:spacing w:before="120" w:after="120"/>
        <w:jc w:val="both"/>
        <w:rPr>
          <w:rFonts w:ascii="Arial" w:eastAsia="Arial" w:hAnsi="Arial" w:cs="Arial"/>
          <w:sz w:val="22"/>
          <w:szCs w:val="22"/>
        </w:rPr>
      </w:pPr>
    </w:p>
    <w:p w14:paraId="6FA25DA6" w14:textId="77777777" w:rsidR="00670D7E" w:rsidRPr="002C1EA6" w:rsidRDefault="008C4D6B" w:rsidP="00E2675C">
      <w:pPr>
        <w:pBdr>
          <w:top w:val="nil"/>
          <w:left w:val="nil"/>
          <w:bottom w:val="nil"/>
          <w:right w:val="nil"/>
          <w:between w:val="nil"/>
        </w:pBdr>
        <w:spacing w:before="120" w:after="120"/>
        <w:jc w:val="both"/>
        <w:rPr>
          <w:rFonts w:ascii="Arial" w:eastAsia="Arial" w:hAnsi="Arial" w:cs="Arial"/>
          <w:sz w:val="22"/>
          <w:szCs w:val="22"/>
        </w:rPr>
      </w:pPr>
      <w:r w:rsidRPr="002C1EA6">
        <w:rPr>
          <w:rFonts w:ascii="Arial" w:eastAsia="Arial" w:hAnsi="Arial" w:cs="Arial"/>
          <w:sz w:val="22"/>
          <w:szCs w:val="22"/>
        </w:rPr>
        <w:t xml:space="preserve">See </w:t>
      </w:r>
      <w:r w:rsidR="00670D7E" w:rsidRPr="002C1EA6">
        <w:rPr>
          <w:rFonts w:ascii="Arial" w:eastAsia="Arial" w:hAnsi="Arial" w:cs="Arial"/>
          <w:sz w:val="22"/>
          <w:szCs w:val="22"/>
        </w:rPr>
        <w:t xml:space="preserve">tables </w:t>
      </w:r>
      <w:r w:rsidR="00F21C58" w:rsidRPr="002C1EA6">
        <w:rPr>
          <w:rFonts w:ascii="Arial" w:eastAsia="Arial" w:hAnsi="Arial" w:cs="Arial"/>
          <w:sz w:val="22"/>
          <w:szCs w:val="22"/>
        </w:rPr>
        <w:t>below</w:t>
      </w:r>
      <w:r w:rsidRPr="002C1EA6">
        <w:rPr>
          <w:rFonts w:ascii="Arial" w:eastAsia="Arial" w:hAnsi="Arial" w:cs="Arial"/>
          <w:sz w:val="22"/>
          <w:szCs w:val="22"/>
        </w:rPr>
        <w:t xml:space="preserve"> for</w:t>
      </w:r>
      <w:r w:rsidR="00670D7E" w:rsidRPr="002C1EA6">
        <w:rPr>
          <w:rFonts w:ascii="Arial" w:eastAsia="Arial" w:hAnsi="Arial" w:cs="Arial"/>
          <w:sz w:val="22"/>
          <w:szCs w:val="22"/>
        </w:rPr>
        <w:t>:</w:t>
      </w:r>
    </w:p>
    <w:p w14:paraId="03C5357C" w14:textId="3C92B9E4" w:rsidR="008C4D6B" w:rsidRPr="002C1EA6" w:rsidRDefault="00670D7E" w:rsidP="00670D7E">
      <w:pPr>
        <w:pStyle w:val="ListParagraph"/>
        <w:numPr>
          <w:ilvl w:val="0"/>
          <w:numId w:val="4"/>
        </w:numPr>
        <w:pBdr>
          <w:top w:val="nil"/>
          <w:left w:val="nil"/>
          <w:bottom w:val="nil"/>
          <w:right w:val="nil"/>
          <w:between w:val="nil"/>
        </w:pBdr>
        <w:spacing w:before="120" w:after="120"/>
        <w:jc w:val="both"/>
        <w:rPr>
          <w:rFonts w:ascii="Arial" w:eastAsia="Arial" w:hAnsi="Arial" w:cs="Arial"/>
          <w:sz w:val="22"/>
          <w:szCs w:val="22"/>
        </w:rPr>
      </w:pPr>
      <w:r w:rsidRPr="002C1EA6">
        <w:rPr>
          <w:rFonts w:ascii="Arial" w:eastAsia="Arial" w:hAnsi="Arial" w:cs="Arial"/>
          <w:sz w:val="22"/>
          <w:szCs w:val="22"/>
        </w:rPr>
        <w:t>C</w:t>
      </w:r>
      <w:r w:rsidR="008C4D6B" w:rsidRPr="002C1EA6">
        <w:rPr>
          <w:rFonts w:ascii="Arial" w:eastAsia="Arial" w:hAnsi="Arial" w:cs="Arial"/>
          <w:sz w:val="22"/>
          <w:szCs w:val="22"/>
        </w:rPr>
        <w:t>urrent processing times of each PGA</w:t>
      </w:r>
      <w:r w:rsidR="00F21C58" w:rsidRPr="002C1EA6">
        <w:rPr>
          <w:rFonts w:ascii="Arial" w:eastAsia="Arial" w:hAnsi="Arial" w:cs="Arial"/>
          <w:sz w:val="22"/>
          <w:szCs w:val="22"/>
        </w:rPr>
        <w:t xml:space="preserve"> and estimated time saving with an ESW</w:t>
      </w:r>
      <w:r w:rsidR="008C4D6B" w:rsidRPr="002C1EA6">
        <w:rPr>
          <w:rFonts w:ascii="Arial" w:eastAsia="Arial" w:hAnsi="Arial" w:cs="Arial"/>
          <w:sz w:val="22"/>
          <w:szCs w:val="22"/>
        </w:rPr>
        <w:t>.</w:t>
      </w:r>
    </w:p>
    <w:p w14:paraId="63F23099" w14:textId="4483EAEA" w:rsidR="00670D7E" w:rsidRPr="002C1EA6" w:rsidRDefault="00670D7E" w:rsidP="00670D7E">
      <w:pPr>
        <w:pStyle w:val="ListParagraph"/>
        <w:numPr>
          <w:ilvl w:val="0"/>
          <w:numId w:val="4"/>
        </w:numPr>
        <w:pBdr>
          <w:top w:val="nil"/>
          <w:left w:val="nil"/>
          <w:bottom w:val="nil"/>
          <w:right w:val="nil"/>
          <w:between w:val="nil"/>
        </w:pBdr>
        <w:spacing w:before="120" w:after="120"/>
        <w:jc w:val="both"/>
        <w:rPr>
          <w:rFonts w:ascii="Arial" w:eastAsia="Arial" w:hAnsi="Arial" w:cs="Arial"/>
          <w:sz w:val="22"/>
          <w:szCs w:val="22"/>
        </w:rPr>
      </w:pPr>
      <w:r w:rsidRPr="002C1EA6">
        <w:rPr>
          <w:rFonts w:ascii="Arial" w:eastAsia="Arial" w:hAnsi="Arial" w:cs="Arial"/>
          <w:sz w:val="22"/>
          <w:szCs w:val="22"/>
        </w:rPr>
        <w:t>Productivity of customs administration in terms declarations processed per officer.</w:t>
      </w:r>
    </w:p>
    <w:p w14:paraId="13D7EC07" w14:textId="50767BB1" w:rsidR="00670D7E" w:rsidRPr="002C1EA6" w:rsidRDefault="00670D7E" w:rsidP="00670D7E">
      <w:pPr>
        <w:pStyle w:val="ListParagraph"/>
        <w:numPr>
          <w:ilvl w:val="0"/>
          <w:numId w:val="4"/>
        </w:numPr>
        <w:pBdr>
          <w:top w:val="nil"/>
          <w:left w:val="nil"/>
          <w:bottom w:val="nil"/>
          <w:right w:val="nil"/>
          <w:between w:val="nil"/>
        </w:pBdr>
        <w:spacing w:before="120" w:after="120"/>
        <w:jc w:val="both"/>
        <w:rPr>
          <w:rFonts w:ascii="Arial" w:eastAsia="Arial" w:hAnsi="Arial" w:cs="Arial"/>
          <w:sz w:val="22"/>
          <w:szCs w:val="22"/>
        </w:rPr>
      </w:pPr>
      <w:r w:rsidRPr="002C1EA6">
        <w:rPr>
          <w:rFonts w:ascii="Arial" w:eastAsia="Arial" w:hAnsi="Arial" w:cs="Arial"/>
          <w:sz w:val="22"/>
          <w:szCs w:val="22"/>
        </w:rPr>
        <w:t>Main lines of action included in this project.</w:t>
      </w:r>
    </w:p>
    <w:p w14:paraId="082979F4" w14:textId="3A382975" w:rsidR="00670D7E" w:rsidRPr="002C1EA6" w:rsidRDefault="00670D7E" w:rsidP="00E2675C">
      <w:pPr>
        <w:pBdr>
          <w:top w:val="nil"/>
          <w:left w:val="nil"/>
          <w:bottom w:val="nil"/>
          <w:right w:val="nil"/>
          <w:between w:val="nil"/>
        </w:pBdr>
        <w:spacing w:before="120" w:after="120"/>
        <w:jc w:val="both"/>
        <w:rPr>
          <w:rFonts w:ascii="Arial" w:eastAsia="Arial" w:hAnsi="Arial" w:cs="Arial"/>
          <w:sz w:val="22"/>
          <w:szCs w:val="22"/>
        </w:rPr>
      </w:pPr>
    </w:p>
    <w:p w14:paraId="179B409A" w14:textId="23976FE2" w:rsidR="00670D7E" w:rsidRPr="002C1EA6" w:rsidRDefault="00670D7E" w:rsidP="00E2675C">
      <w:pPr>
        <w:pBdr>
          <w:top w:val="nil"/>
          <w:left w:val="nil"/>
          <w:bottom w:val="nil"/>
          <w:right w:val="nil"/>
          <w:between w:val="nil"/>
        </w:pBdr>
        <w:spacing w:before="120" w:after="120"/>
        <w:jc w:val="both"/>
        <w:rPr>
          <w:rFonts w:ascii="Arial" w:eastAsia="Arial" w:hAnsi="Arial" w:cs="Arial"/>
          <w:sz w:val="22"/>
          <w:szCs w:val="22"/>
        </w:rPr>
      </w:pPr>
    </w:p>
    <w:p w14:paraId="03AC0613" w14:textId="77777777" w:rsidR="00A13F59" w:rsidRPr="002C1EA6" w:rsidRDefault="00A13F59" w:rsidP="00E2675C">
      <w:pPr>
        <w:pBdr>
          <w:top w:val="nil"/>
          <w:left w:val="nil"/>
          <w:bottom w:val="nil"/>
          <w:right w:val="nil"/>
          <w:between w:val="nil"/>
        </w:pBdr>
        <w:spacing w:before="120" w:after="120"/>
        <w:jc w:val="both"/>
        <w:rPr>
          <w:rFonts w:ascii="Arial" w:eastAsia="Arial" w:hAnsi="Arial" w:cs="Arial"/>
          <w:sz w:val="22"/>
          <w:szCs w:val="22"/>
        </w:rPr>
      </w:pPr>
    </w:p>
    <w:p w14:paraId="30524ECF" w14:textId="60A62E11" w:rsidR="00670D7E" w:rsidRPr="002C1EA6" w:rsidRDefault="00670D7E" w:rsidP="00E2675C">
      <w:pPr>
        <w:pBdr>
          <w:top w:val="nil"/>
          <w:left w:val="nil"/>
          <w:bottom w:val="nil"/>
          <w:right w:val="nil"/>
          <w:between w:val="nil"/>
        </w:pBdr>
        <w:spacing w:before="120" w:after="120"/>
        <w:jc w:val="both"/>
        <w:rPr>
          <w:rFonts w:ascii="Arial" w:eastAsia="Arial" w:hAnsi="Arial" w:cs="Arial"/>
          <w:sz w:val="22"/>
          <w:szCs w:val="22"/>
        </w:rPr>
      </w:pPr>
    </w:p>
    <w:p w14:paraId="62423E55" w14:textId="225E1BE5" w:rsidR="00670D7E" w:rsidRPr="002C1EA6" w:rsidRDefault="00670D7E" w:rsidP="00E2675C">
      <w:pPr>
        <w:pBdr>
          <w:top w:val="nil"/>
          <w:left w:val="nil"/>
          <w:bottom w:val="nil"/>
          <w:right w:val="nil"/>
          <w:between w:val="nil"/>
        </w:pBdr>
        <w:spacing w:before="120" w:after="120"/>
        <w:jc w:val="both"/>
        <w:rPr>
          <w:rFonts w:ascii="Arial" w:eastAsia="Arial" w:hAnsi="Arial" w:cs="Arial"/>
          <w:sz w:val="22"/>
          <w:szCs w:val="22"/>
        </w:rPr>
      </w:pPr>
    </w:p>
    <w:p w14:paraId="0F60F1F1" w14:textId="152E648C" w:rsidR="00670D7E" w:rsidRPr="002C1EA6" w:rsidRDefault="00670D7E" w:rsidP="00E2675C">
      <w:pPr>
        <w:pBdr>
          <w:top w:val="nil"/>
          <w:left w:val="nil"/>
          <w:bottom w:val="nil"/>
          <w:right w:val="nil"/>
          <w:between w:val="nil"/>
        </w:pBdr>
        <w:spacing w:before="120" w:after="120"/>
        <w:jc w:val="both"/>
        <w:rPr>
          <w:rFonts w:ascii="Arial" w:eastAsia="Arial" w:hAnsi="Arial" w:cs="Arial"/>
          <w:sz w:val="22"/>
          <w:szCs w:val="22"/>
        </w:rPr>
      </w:pPr>
    </w:p>
    <w:p w14:paraId="2FD418F7" w14:textId="76CE87DB" w:rsidR="00670D7E" w:rsidRPr="002C1EA6" w:rsidRDefault="00670D7E" w:rsidP="00E2675C">
      <w:pPr>
        <w:pBdr>
          <w:top w:val="nil"/>
          <w:left w:val="nil"/>
          <w:bottom w:val="nil"/>
          <w:right w:val="nil"/>
          <w:between w:val="nil"/>
        </w:pBdr>
        <w:spacing w:before="120" w:after="120"/>
        <w:jc w:val="both"/>
        <w:rPr>
          <w:rFonts w:ascii="Arial" w:eastAsia="Arial" w:hAnsi="Arial" w:cs="Arial"/>
          <w:sz w:val="22"/>
          <w:szCs w:val="22"/>
        </w:rPr>
      </w:pPr>
    </w:p>
    <w:p w14:paraId="6C3ECB60" w14:textId="7E3FD85C" w:rsidR="00670D7E" w:rsidRPr="002C1EA6" w:rsidRDefault="00670D7E" w:rsidP="00E2675C">
      <w:pPr>
        <w:pBdr>
          <w:top w:val="nil"/>
          <w:left w:val="nil"/>
          <w:bottom w:val="nil"/>
          <w:right w:val="nil"/>
          <w:between w:val="nil"/>
        </w:pBdr>
        <w:spacing w:before="120" w:after="120"/>
        <w:jc w:val="both"/>
        <w:rPr>
          <w:rFonts w:ascii="Arial" w:eastAsia="Arial" w:hAnsi="Arial" w:cs="Arial"/>
          <w:sz w:val="22"/>
          <w:szCs w:val="22"/>
        </w:rPr>
      </w:pPr>
    </w:p>
    <w:p w14:paraId="725C2A9E" w14:textId="54DBF080" w:rsidR="0050786F" w:rsidRPr="002C1EA6" w:rsidRDefault="0050786F" w:rsidP="00E2675C">
      <w:pPr>
        <w:pBdr>
          <w:top w:val="nil"/>
          <w:left w:val="nil"/>
          <w:bottom w:val="nil"/>
          <w:right w:val="nil"/>
          <w:between w:val="nil"/>
        </w:pBdr>
        <w:spacing w:before="120" w:after="120"/>
        <w:jc w:val="both"/>
        <w:rPr>
          <w:rFonts w:ascii="Arial" w:eastAsia="Arial" w:hAnsi="Arial" w:cs="Arial"/>
          <w:sz w:val="22"/>
          <w:szCs w:val="22"/>
        </w:rPr>
      </w:pPr>
    </w:p>
    <w:p w14:paraId="14A63725" w14:textId="77777777" w:rsidR="0050786F" w:rsidRPr="002C1EA6" w:rsidRDefault="0050786F" w:rsidP="00E2675C">
      <w:pPr>
        <w:pBdr>
          <w:top w:val="nil"/>
          <w:left w:val="nil"/>
          <w:bottom w:val="nil"/>
          <w:right w:val="nil"/>
          <w:between w:val="nil"/>
        </w:pBdr>
        <w:spacing w:before="120" w:after="120"/>
        <w:jc w:val="both"/>
        <w:rPr>
          <w:rFonts w:ascii="Arial" w:eastAsia="Arial" w:hAnsi="Arial" w:cs="Arial"/>
          <w:sz w:val="22"/>
          <w:szCs w:val="22"/>
        </w:rPr>
      </w:pPr>
    </w:p>
    <w:p w14:paraId="3FA19B48" w14:textId="77777777" w:rsidR="008C4D6B" w:rsidRPr="002C1EA6" w:rsidRDefault="008C4D6B" w:rsidP="008C4D6B">
      <w:pPr>
        <w:pBdr>
          <w:top w:val="nil"/>
          <w:left w:val="nil"/>
          <w:bottom w:val="nil"/>
          <w:right w:val="nil"/>
          <w:between w:val="nil"/>
        </w:pBdr>
        <w:spacing w:before="120" w:after="120"/>
        <w:ind w:left="270"/>
        <w:jc w:val="center"/>
        <w:rPr>
          <w:rFonts w:ascii="Arial" w:eastAsia="Arial" w:hAnsi="Arial" w:cs="Arial"/>
          <w:b/>
          <w:sz w:val="22"/>
          <w:szCs w:val="22"/>
        </w:rPr>
      </w:pPr>
      <w:r w:rsidRPr="002C1EA6">
        <w:rPr>
          <w:rFonts w:ascii="Arial" w:eastAsia="Arial" w:hAnsi="Arial" w:cs="Arial"/>
          <w:b/>
          <w:sz w:val="22"/>
          <w:szCs w:val="22"/>
        </w:rPr>
        <w:lastRenderedPageBreak/>
        <w:t>Table 1: Current processing times for LCPs and estimated savings after ESW</w:t>
      </w:r>
    </w:p>
    <w:tbl>
      <w:tblPr>
        <w:tblW w:w="8720" w:type="dxa"/>
        <w:jc w:val="center"/>
        <w:tblLook w:val="04A0" w:firstRow="1" w:lastRow="0" w:firstColumn="1" w:lastColumn="0" w:noHBand="0" w:noVBand="1"/>
      </w:tblPr>
      <w:tblGrid>
        <w:gridCol w:w="2664"/>
        <w:gridCol w:w="933"/>
        <w:gridCol w:w="811"/>
        <w:gridCol w:w="1207"/>
        <w:gridCol w:w="1087"/>
        <w:gridCol w:w="811"/>
        <w:gridCol w:w="1207"/>
      </w:tblGrid>
      <w:tr w:rsidR="008C4D6B" w:rsidRPr="002C1EA6" w14:paraId="3831E18D" w14:textId="77777777" w:rsidTr="0072373D">
        <w:trPr>
          <w:trHeight w:val="750"/>
          <w:jc w:val="center"/>
        </w:trPr>
        <w:tc>
          <w:tcPr>
            <w:tcW w:w="2853"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35CEECB4"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Government Agencies that issue Licenses, Certificates or Permits for imports/exports</w:t>
            </w:r>
          </w:p>
        </w:tc>
        <w:tc>
          <w:tcPr>
            <w:tcW w:w="2976" w:type="dxa"/>
            <w:gridSpan w:val="3"/>
            <w:tcBorders>
              <w:top w:val="single" w:sz="8" w:space="0" w:color="auto"/>
              <w:left w:val="nil"/>
              <w:bottom w:val="single" w:sz="4" w:space="0" w:color="auto"/>
              <w:right w:val="single" w:sz="8" w:space="0" w:color="000000"/>
            </w:tcBorders>
            <w:shd w:val="clear" w:color="000000" w:fill="F2F2F2"/>
            <w:vAlign w:val="center"/>
            <w:hideMark/>
          </w:tcPr>
          <w:p w14:paraId="5E5B7D2C"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 xml:space="preserve">Average Length of an Application </w:t>
            </w:r>
          </w:p>
        </w:tc>
        <w:tc>
          <w:tcPr>
            <w:tcW w:w="2891" w:type="dxa"/>
            <w:gridSpan w:val="3"/>
            <w:tcBorders>
              <w:top w:val="single" w:sz="8" w:space="0" w:color="auto"/>
              <w:left w:val="nil"/>
              <w:bottom w:val="single" w:sz="4" w:space="0" w:color="auto"/>
              <w:right w:val="single" w:sz="8" w:space="0" w:color="000000"/>
            </w:tcBorders>
            <w:shd w:val="clear" w:color="000000" w:fill="F2F2F2"/>
            <w:vAlign w:val="center"/>
            <w:hideMark/>
          </w:tcPr>
          <w:p w14:paraId="76DDDB45"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 xml:space="preserve">Average No. of Steps for an application </w:t>
            </w:r>
          </w:p>
        </w:tc>
      </w:tr>
      <w:tr w:rsidR="008C4D6B" w:rsidRPr="002C1EA6" w14:paraId="5647CF86" w14:textId="77777777" w:rsidTr="0072373D">
        <w:trPr>
          <w:trHeight w:val="345"/>
          <w:jc w:val="center"/>
        </w:trPr>
        <w:tc>
          <w:tcPr>
            <w:tcW w:w="2853" w:type="dxa"/>
            <w:vMerge/>
            <w:tcBorders>
              <w:top w:val="single" w:sz="8" w:space="0" w:color="auto"/>
              <w:left w:val="single" w:sz="8" w:space="0" w:color="auto"/>
              <w:bottom w:val="single" w:sz="8" w:space="0" w:color="000000"/>
              <w:right w:val="single" w:sz="8" w:space="0" w:color="auto"/>
            </w:tcBorders>
            <w:vAlign w:val="center"/>
            <w:hideMark/>
          </w:tcPr>
          <w:p w14:paraId="6CA69EE2" w14:textId="77777777" w:rsidR="008C4D6B" w:rsidRPr="002C1EA6" w:rsidRDefault="008C4D6B" w:rsidP="005436E4">
            <w:pPr>
              <w:rPr>
                <w:rFonts w:ascii="Arial" w:hAnsi="Arial" w:cs="Arial"/>
                <w:sz w:val="22"/>
                <w:szCs w:val="22"/>
              </w:rPr>
            </w:pPr>
          </w:p>
        </w:tc>
        <w:tc>
          <w:tcPr>
            <w:tcW w:w="2976" w:type="dxa"/>
            <w:gridSpan w:val="3"/>
            <w:tcBorders>
              <w:top w:val="single" w:sz="4" w:space="0" w:color="auto"/>
              <w:left w:val="nil"/>
              <w:bottom w:val="single" w:sz="4" w:space="0" w:color="auto"/>
              <w:right w:val="single" w:sz="8" w:space="0" w:color="000000"/>
            </w:tcBorders>
            <w:shd w:val="clear" w:color="000000" w:fill="F2F2F2"/>
            <w:vAlign w:val="center"/>
            <w:hideMark/>
          </w:tcPr>
          <w:p w14:paraId="4F2A3AF0"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 xml:space="preserve">By Agency </w:t>
            </w:r>
            <w:r w:rsidRPr="002C1EA6">
              <w:rPr>
                <w:rFonts w:ascii="Arial" w:hAnsi="Arial" w:cs="Arial"/>
                <w:b/>
                <w:bCs/>
                <w:sz w:val="22"/>
                <w:szCs w:val="22"/>
              </w:rPr>
              <w:t>(Days)</w:t>
            </w:r>
          </w:p>
        </w:tc>
        <w:tc>
          <w:tcPr>
            <w:tcW w:w="2891" w:type="dxa"/>
            <w:gridSpan w:val="3"/>
            <w:tcBorders>
              <w:top w:val="single" w:sz="4" w:space="0" w:color="auto"/>
              <w:left w:val="nil"/>
              <w:bottom w:val="single" w:sz="4" w:space="0" w:color="auto"/>
              <w:right w:val="single" w:sz="8" w:space="0" w:color="000000"/>
            </w:tcBorders>
            <w:shd w:val="clear" w:color="000000" w:fill="F2F2F2"/>
            <w:vAlign w:val="center"/>
            <w:hideMark/>
          </w:tcPr>
          <w:p w14:paraId="2223E653"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 xml:space="preserve">By Agency </w:t>
            </w:r>
            <w:r w:rsidRPr="002C1EA6">
              <w:rPr>
                <w:rFonts w:ascii="Arial" w:hAnsi="Arial" w:cs="Arial"/>
                <w:b/>
                <w:bCs/>
                <w:sz w:val="22"/>
                <w:szCs w:val="22"/>
              </w:rPr>
              <w:t>(Steps)</w:t>
            </w:r>
          </w:p>
        </w:tc>
      </w:tr>
      <w:tr w:rsidR="008C4D6B" w:rsidRPr="002C1EA6" w14:paraId="67C47C02" w14:textId="77777777" w:rsidTr="0072373D">
        <w:trPr>
          <w:trHeight w:val="705"/>
          <w:jc w:val="center"/>
        </w:trPr>
        <w:tc>
          <w:tcPr>
            <w:tcW w:w="2853" w:type="dxa"/>
            <w:vMerge/>
            <w:tcBorders>
              <w:top w:val="single" w:sz="8" w:space="0" w:color="auto"/>
              <w:left w:val="single" w:sz="8" w:space="0" w:color="auto"/>
              <w:bottom w:val="single" w:sz="8" w:space="0" w:color="000000"/>
              <w:right w:val="single" w:sz="8" w:space="0" w:color="auto"/>
            </w:tcBorders>
            <w:vAlign w:val="center"/>
            <w:hideMark/>
          </w:tcPr>
          <w:p w14:paraId="1BF12B90" w14:textId="77777777" w:rsidR="008C4D6B" w:rsidRPr="002C1EA6" w:rsidRDefault="008C4D6B" w:rsidP="005436E4">
            <w:pPr>
              <w:rPr>
                <w:rFonts w:ascii="Arial" w:hAnsi="Arial" w:cs="Arial"/>
                <w:sz w:val="22"/>
                <w:szCs w:val="22"/>
              </w:rPr>
            </w:pPr>
          </w:p>
        </w:tc>
        <w:tc>
          <w:tcPr>
            <w:tcW w:w="1004" w:type="dxa"/>
            <w:tcBorders>
              <w:top w:val="nil"/>
              <w:left w:val="nil"/>
              <w:bottom w:val="single" w:sz="8" w:space="0" w:color="auto"/>
              <w:right w:val="single" w:sz="4" w:space="0" w:color="auto"/>
            </w:tcBorders>
            <w:shd w:val="clear" w:color="000000" w:fill="F2F2F2"/>
            <w:vAlign w:val="center"/>
            <w:hideMark/>
          </w:tcPr>
          <w:p w14:paraId="0E20EBA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AS-IS</w:t>
            </w:r>
          </w:p>
        </w:tc>
        <w:tc>
          <w:tcPr>
            <w:tcW w:w="855" w:type="dxa"/>
            <w:tcBorders>
              <w:top w:val="nil"/>
              <w:left w:val="nil"/>
              <w:bottom w:val="single" w:sz="8" w:space="0" w:color="auto"/>
              <w:right w:val="single" w:sz="4" w:space="0" w:color="auto"/>
            </w:tcBorders>
            <w:shd w:val="clear" w:color="000000" w:fill="F2F2F2"/>
            <w:vAlign w:val="center"/>
            <w:hideMark/>
          </w:tcPr>
          <w:p w14:paraId="1FFD7CA7"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TO-BE</w:t>
            </w:r>
          </w:p>
        </w:tc>
        <w:tc>
          <w:tcPr>
            <w:tcW w:w="1117" w:type="dxa"/>
            <w:tcBorders>
              <w:top w:val="nil"/>
              <w:left w:val="nil"/>
              <w:bottom w:val="single" w:sz="8" w:space="0" w:color="auto"/>
              <w:right w:val="single" w:sz="8" w:space="0" w:color="auto"/>
            </w:tcBorders>
            <w:shd w:val="clear" w:color="000000" w:fill="F2F2F2"/>
            <w:vAlign w:val="center"/>
            <w:hideMark/>
          </w:tcPr>
          <w:p w14:paraId="5AA3C65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 Estimated Reduction</w:t>
            </w:r>
          </w:p>
        </w:tc>
        <w:tc>
          <w:tcPr>
            <w:tcW w:w="1189" w:type="dxa"/>
            <w:tcBorders>
              <w:top w:val="nil"/>
              <w:left w:val="nil"/>
              <w:bottom w:val="single" w:sz="8" w:space="0" w:color="auto"/>
              <w:right w:val="single" w:sz="4" w:space="0" w:color="auto"/>
            </w:tcBorders>
            <w:shd w:val="clear" w:color="000000" w:fill="F2F2F2"/>
            <w:vAlign w:val="center"/>
            <w:hideMark/>
          </w:tcPr>
          <w:p w14:paraId="57FDEAB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AS-IS</w:t>
            </w:r>
          </w:p>
        </w:tc>
        <w:tc>
          <w:tcPr>
            <w:tcW w:w="855" w:type="dxa"/>
            <w:tcBorders>
              <w:top w:val="nil"/>
              <w:left w:val="nil"/>
              <w:bottom w:val="single" w:sz="8" w:space="0" w:color="auto"/>
              <w:right w:val="single" w:sz="4" w:space="0" w:color="auto"/>
            </w:tcBorders>
            <w:shd w:val="clear" w:color="000000" w:fill="F2F2F2"/>
            <w:vAlign w:val="center"/>
            <w:hideMark/>
          </w:tcPr>
          <w:p w14:paraId="4322AE9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TO-BE</w:t>
            </w:r>
          </w:p>
        </w:tc>
        <w:tc>
          <w:tcPr>
            <w:tcW w:w="847" w:type="dxa"/>
            <w:tcBorders>
              <w:top w:val="nil"/>
              <w:left w:val="nil"/>
              <w:bottom w:val="single" w:sz="8" w:space="0" w:color="auto"/>
              <w:right w:val="single" w:sz="8" w:space="0" w:color="auto"/>
            </w:tcBorders>
            <w:shd w:val="clear" w:color="000000" w:fill="F2F2F2"/>
            <w:vAlign w:val="center"/>
            <w:hideMark/>
          </w:tcPr>
          <w:p w14:paraId="2490F2EF"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 Estimated Reduction</w:t>
            </w:r>
          </w:p>
        </w:tc>
      </w:tr>
      <w:tr w:rsidR="008C4D6B" w:rsidRPr="002C1EA6" w14:paraId="0A76172C" w14:textId="77777777" w:rsidTr="0072373D">
        <w:trPr>
          <w:trHeight w:val="1035"/>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77D659FA" w14:textId="77777777" w:rsidR="008C4D6B" w:rsidRPr="002C1EA6" w:rsidRDefault="008C4D6B" w:rsidP="005436E4">
            <w:pPr>
              <w:rPr>
                <w:rFonts w:ascii="Arial" w:hAnsi="Arial" w:cs="Arial"/>
                <w:sz w:val="22"/>
                <w:szCs w:val="22"/>
              </w:rPr>
            </w:pPr>
            <w:r w:rsidRPr="002C1EA6">
              <w:rPr>
                <w:rFonts w:ascii="Arial" w:hAnsi="Arial" w:cs="Arial"/>
                <w:sz w:val="22"/>
                <w:szCs w:val="22"/>
              </w:rPr>
              <w:t>Guyana Geology and Mines Commission (Ministry of Natural Resources)</w:t>
            </w:r>
          </w:p>
        </w:tc>
        <w:tc>
          <w:tcPr>
            <w:tcW w:w="1004" w:type="dxa"/>
            <w:tcBorders>
              <w:top w:val="nil"/>
              <w:left w:val="nil"/>
              <w:bottom w:val="single" w:sz="4" w:space="0" w:color="auto"/>
              <w:right w:val="single" w:sz="4" w:space="0" w:color="auto"/>
            </w:tcBorders>
            <w:shd w:val="clear" w:color="auto" w:fill="auto"/>
            <w:vAlign w:val="center"/>
            <w:hideMark/>
          </w:tcPr>
          <w:p w14:paraId="7546B252"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3</w:t>
            </w:r>
          </w:p>
        </w:tc>
        <w:tc>
          <w:tcPr>
            <w:tcW w:w="855" w:type="dxa"/>
            <w:tcBorders>
              <w:top w:val="nil"/>
              <w:left w:val="nil"/>
              <w:bottom w:val="single" w:sz="4" w:space="0" w:color="auto"/>
              <w:right w:val="single" w:sz="4" w:space="0" w:color="auto"/>
            </w:tcBorders>
            <w:shd w:val="clear" w:color="auto" w:fill="auto"/>
            <w:vAlign w:val="center"/>
            <w:hideMark/>
          </w:tcPr>
          <w:p w14:paraId="3433E036"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single" w:sz="4" w:space="0" w:color="auto"/>
              <w:right w:val="single" w:sz="8" w:space="0" w:color="auto"/>
            </w:tcBorders>
            <w:shd w:val="clear" w:color="auto" w:fill="auto"/>
            <w:vAlign w:val="center"/>
            <w:hideMark/>
          </w:tcPr>
          <w:p w14:paraId="452D4B2A"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67%</w:t>
            </w:r>
          </w:p>
        </w:tc>
        <w:tc>
          <w:tcPr>
            <w:tcW w:w="1189" w:type="dxa"/>
            <w:tcBorders>
              <w:top w:val="nil"/>
              <w:left w:val="nil"/>
              <w:bottom w:val="single" w:sz="4" w:space="0" w:color="auto"/>
              <w:right w:val="single" w:sz="4" w:space="0" w:color="auto"/>
            </w:tcBorders>
            <w:shd w:val="clear" w:color="auto" w:fill="auto"/>
            <w:vAlign w:val="center"/>
            <w:hideMark/>
          </w:tcPr>
          <w:p w14:paraId="75A9520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16</w:t>
            </w:r>
          </w:p>
        </w:tc>
        <w:tc>
          <w:tcPr>
            <w:tcW w:w="855" w:type="dxa"/>
            <w:tcBorders>
              <w:top w:val="nil"/>
              <w:left w:val="nil"/>
              <w:bottom w:val="single" w:sz="4" w:space="0" w:color="auto"/>
              <w:right w:val="single" w:sz="4" w:space="0" w:color="auto"/>
            </w:tcBorders>
            <w:shd w:val="clear" w:color="auto" w:fill="auto"/>
            <w:vAlign w:val="center"/>
            <w:hideMark/>
          </w:tcPr>
          <w:p w14:paraId="7BBD23EB"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w:t>
            </w:r>
          </w:p>
        </w:tc>
        <w:tc>
          <w:tcPr>
            <w:tcW w:w="847" w:type="dxa"/>
            <w:tcBorders>
              <w:top w:val="nil"/>
              <w:left w:val="nil"/>
              <w:bottom w:val="single" w:sz="4" w:space="0" w:color="auto"/>
              <w:right w:val="single" w:sz="8" w:space="0" w:color="auto"/>
            </w:tcBorders>
            <w:shd w:val="clear" w:color="auto" w:fill="auto"/>
            <w:vAlign w:val="center"/>
            <w:hideMark/>
          </w:tcPr>
          <w:p w14:paraId="2217E9E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69%</w:t>
            </w:r>
          </w:p>
        </w:tc>
      </w:tr>
      <w:tr w:rsidR="008C4D6B" w:rsidRPr="002C1EA6" w14:paraId="12D70772" w14:textId="77777777" w:rsidTr="0072373D">
        <w:trPr>
          <w:trHeight w:val="690"/>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6F639FF0" w14:textId="77777777" w:rsidR="008C4D6B" w:rsidRPr="002C1EA6" w:rsidRDefault="008C4D6B" w:rsidP="005436E4">
            <w:pPr>
              <w:rPr>
                <w:rFonts w:ascii="Arial" w:hAnsi="Arial" w:cs="Arial"/>
                <w:sz w:val="22"/>
                <w:szCs w:val="22"/>
              </w:rPr>
            </w:pPr>
            <w:r w:rsidRPr="002C1EA6">
              <w:rPr>
                <w:rFonts w:ascii="Arial" w:hAnsi="Arial" w:cs="Arial"/>
                <w:sz w:val="22"/>
                <w:szCs w:val="22"/>
              </w:rPr>
              <w:t>Guyana Revenue Authority (GRA)</w:t>
            </w:r>
          </w:p>
        </w:tc>
        <w:tc>
          <w:tcPr>
            <w:tcW w:w="1004" w:type="dxa"/>
            <w:tcBorders>
              <w:top w:val="nil"/>
              <w:left w:val="nil"/>
              <w:bottom w:val="single" w:sz="4" w:space="0" w:color="auto"/>
              <w:right w:val="single" w:sz="4" w:space="0" w:color="auto"/>
            </w:tcBorders>
            <w:shd w:val="clear" w:color="auto" w:fill="auto"/>
            <w:vAlign w:val="center"/>
            <w:hideMark/>
          </w:tcPr>
          <w:p w14:paraId="5BFBB9CA"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855" w:type="dxa"/>
            <w:tcBorders>
              <w:top w:val="nil"/>
              <w:left w:val="nil"/>
              <w:bottom w:val="single" w:sz="4" w:space="0" w:color="auto"/>
              <w:right w:val="single" w:sz="4" w:space="0" w:color="auto"/>
            </w:tcBorders>
            <w:shd w:val="clear" w:color="auto" w:fill="auto"/>
            <w:vAlign w:val="center"/>
            <w:hideMark/>
          </w:tcPr>
          <w:p w14:paraId="6313611C"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single" w:sz="4" w:space="0" w:color="auto"/>
              <w:right w:val="single" w:sz="8" w:space="0" w:color="auto"/>
            </w:tcBorders>
            <w:shd w:val="clear" w:color="auto" w:fill="auto"/>
            <w:vAlign w:val="center"/>
            <w:hideMark/>
          </w:tcPr>
          <w:p w14:paraId="79814A22"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50%</w:t>
            </w:r>
          </w:p>
        </w:tc>
        <w:tc>
          <w:tcPr>
            <w:tcW w:w="1189" w:type="dxa"/>
            <w:tcBorders>
              <w:top w:val="nil"/>
              <w:left w:val="nil"/>
              <w:bottom w:val="single" w:sz="4" w:space="0" w:color="auto"/>
              <w:right w:val="single" w:sz="4" w:space="0" w:color="auto"/>
            </w:tcBorders>
            <w:shd w:val="clear" w:color="auto" w:fill="auto"/>
            <w:vAlign w:val="center"/>
            <w:hideMark/>
          </w:tcPr>
          <w:p w14:paraId="7005E7D2"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w:t>
            </w:r>
          </w:p>
        </w:tc>
        <w:tc>
          <w:tcPr>
            <w:tcW w:w="855" w:type="dxa"/>
            <w:tcBorders>
              <w:top w:val="nil"/>
              <w:left w:val="nil"/>
              <w:bottom w:val="single" w:sz="4" w:space="0" w:color="auto"/>
              <w:right w:val="single" w:sz="4" w:space="0" w:color="auto"/>
            </w:tcBorders>
            <w:shd w:val="clear" w:color="auto" w:fill="auto"/>
            <w:vAlign w:val="center"/>
            <w:hideMark/>
          </w:tcPr>
          <w:p w14:paraId="2D9B4BAA"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3</w:t>
            </w:r>
          </w:p>
        </w:tc>
        <w:tc>
          <w:tcPr>
            <w:tcW w:w="847" w:type="dxa"/>
            <w:tcBorders>
              <w:top w:val="nil"/>
              <w:left w:val="nil"/>
              <w:bottom w:val="single" w:sz="4" w:space="0" w:color="auto"/>
              <w:right w:val="single" w:sz="8" w:space="0" w:color="auto"/>
            </w:tcBorders>
            <w:shd w:val="clear" w:color="auto" w:fill="auto"/>
            <w:vAlign w:val="center"/>
            <w:hideMark/>
          </w:tcPr>
          <w:p w14:paraId="39B293A6"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40%</w:t>
            </w:r>
          </w:p>
        </w:tc>
      </w:tr>
      <w:tr w:rsidR="008C4D6B" w:rsidRPr="002C1EA6" w14:paraId="27B2F00A" w14:textId="77777777" w:rsidTr="0072373D">
        <w:trPr>
          <w:trHeight w:val="690"/>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5E456678" w14:textId="77777777" w:rsidR="008C4D6B" w:rsidRPr="002C1EA6" w:rsidRDefault="008C4D6B" w:rsidP="005436E4">
            <w:pPr>
              <w:rPr>
                <w:rFonts w:ascii="Arial" w:hAnsi="Arial" w:cs="Arial"/>
                <w:sz w:val="22"/>
                <w:szCs w:val="22"/>
              </w:rPr>
            </w:pPr>
            <w:r w:rsidRPr="002C1EA6">
              <w:rPr>
                <w:rFonts w:ascii="Arial" w:hAnsi="Arial" w:cs="Arial"/>
                <w:sz w:val="22"/>
                <w:szCs w:val="22"/>
              </w:rPr>
              <w:t>Department of Commerce (Ministry of Business)</w:t>
            </w:r>
          </w:p>
        </w:tc>
        <w:tc>
          <w:tcPr>
            <w:tcW w:w="1004" w:type="dxa"/>
            <w:tcBorders>
              <w:top w:val="nil"/>
              <w:left w:val="nil"/>
              <w:bottom w:val="single" w:sz="4" w:space="0" w:color="auto"/>
              <w:right w:val="single" w:sz="4" w:space="0" w:color="auto"/>
            </w:tcBorders>
            <w:shd w:val="clear" w:color="auto" w:fill="auto"/>
            <w:vAlign w:val="center"/>
            <w:hideMark/>
          </w:tcPr>
          <w:p w14:paraId="2779036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3</w:t>
            </w:r>
          </w:p>
        </w:tc>
        <w:tc>
          <w:tcPr>
            <w:tcW w:w="855" w:type="dxa"/>
            <w:tcBorders>
              <w:top w:val="nil"/>
              <w:left w:val="nil"/>
              <w:bottom w:val="single" w:sz="4" w:space="0" w:color="auto"/>
              <w:right w:val="single" w:sz="4" w:space="0" w:color="auto"/>
            </w:tcBorders>
            <w:shd w:val="clear" w:color="auto" w:fill="auto"/>
            <w:vAlign w:val="center"/>
            <w:hideMark/>
          </w:tcPr>
          <w:p w14:paraId="688553C6"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1117" w:type="dxa"/>
            <w:tcBorders>
              <w:top w:val="nil"/>
              <w:left w:val="nil"/>
              <w:bottom w:val="single" w:sz="4" w:space="0" w:color="auto"/>
              <w:right w:val="single" w:sz="8" w:space="0" w:color="auto"/>
            </w:tcBorders>
            <w:shd w:val="clear" w:color="auto" w:fill="auto"/>
            <w:vAlign w:val="center"/>
            <w:hideMark/>
          </w:tcPr>
          <w:p w14:paraId="5DEBB156"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67%</w:t>
            </w:r>
          </w:p>
        </w:tc>
        <w:tc>
          <w:tcPr>
            <w:tcW w:w="1189" w:type="dxa"/>
            <w:tcBorders>
              <w:top w:val="nil"/>
              <w:left w:val="nil"/>
              <w:bottom w:val="single" w:sz="4" w:space="0" w:color="auto"/>
              <w:right w:val="single" w:sz="4" w:space="0" w:color="auto"/>
            </w:tcBorders>
            <w:shd w:val="clear" w:color="auto" w:fill="auto"/>
            <w:vAlign w:val="center"/>
            <w:hideMark/>
          </w:tcPr>
          <w:p w14:paraId="35FF2B5A"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8</w:t>
            </w:r>
          </w:p>
        </w:tc>
        <w:tc>
          <w:tcPr>
            <w:tcW w:w="855" w:type="dxa"/>
            <w:tcBorders>
              <w:top w:val="nil"/>
              <w:left w:val="nil"/>
              <w:bottom w:val="single" w:sz="4" w:space="0" w:color="auto"/>
              <w:right w:val="single" w:sz="4" w:space="0" w:color="auto"/>
            </w:tcBorders>
            <w:shd w:val="clear" w:color="auto" w:fill="auto"/>
            <w:vAlign w:val="center"/>
            <w:hideMark/>
          </w:tcPr>
          <w:p w14:paraId="192EDFE2"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w:t>
            </w:r>
          </w:p>
        </w:tc>
        <w:tc>
          <w:tcPr>
            <w:tcW w:w="847" w:type="dxa"/>
            <w:tcBorders>
              <w:top w:val="nil"/>
              <w:left w:val="nil"/>
              <w:bottom w:val="single" w:sz="4" w:space="0" w:color="auto"/>
              <w:right w:val="single" w:sz="8" w:space="0" w:color="auto"/>
            </w:tcBorders>
            <w:shd w:val="clear" w:color="auto" w:fill="auto"/>
            <w:vAlign w:val="center"/>
            <w:hideMark/>
          </w:tcPr>
          <w:p w14:paraId="364F9FD1"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50%</w:t>
            </w:r>
          </w:p>
        </w:tc>
      </w:tr>
      <w:tr w:rsidR="008C4D6B" w:rsidRPr="002C1EA6" w14:paraId="3B579041" w14:textId="77777777" w:rsidTr="0072373D">
        <w:trPr>
          <w:trHeight w:val="1035"/>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16AF84AE" w14:textId="77777777" w:rsidR="008C4D6B" w:rsidRPr="002C1EA6" w:rsidRDefault="008C4D6B" w:rsidP="005436E4">
            <w:pPr>
              <w:rPr>
                <w:rFonts w:ascii="Arial" w:hAnsi="Arial" w:cs="Arial"/>
                <w:sz w:val="22"/>
                <w:szCs w:val="22"/>
              </w:rPr>
            </w:pPr>
            <w:r w:rsidRPr="002C1EA6">
              <w:rPr>
                <w:rFonts w:ascii="Arial" w:hAnsi="Arial" w:cs="Arial"/>
                <w:sz w:val="22"/>
                <w:szCs w:val="22"/>
              </w:rPr>
              <w:t>Guyana Food and Drug Department (Ministry of Health)</w:t>
            </w:r>
          </w:p>
        </w:tc>
        <w:tc>
          <w:tcPr>
            <w:tcW w:w="1004" w:type="dxa"/>
            <w:tcBorders>
              <w:top w:val="nil"/>
              <w:left w:val="nil"/>
              <w:bottom w:val="single" w:sz="4" w:space="0" w:color="auto"/>
              <w:right w:val="single" w:sz="4" w:space="0" w:color="auto"/>
            </w:tcBorders>
            <w:shd w:val="clear" w:color="auto" w:fill="auto"/>
            <w:vAlign w:val="center"/>
            <w:hideMark/>
          </w:tcPr>
          <w:p w14:paraId="6681C0E7"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w:t>
            </w:r>
          </w:p>
        </w:tc>
        <w:tc>
          <w:tcPr>
            <w:tcW w:w="855" w:type="dxa"/>
            <w:tcBorders>
              <w:top w:val="nil"/>
              <w:left w:val="nil"/>
              <w:bottom w:val="single" w:sz="4" w:space="0" w:color="auto"/>
              <w:right w:val="single" w:sz="4" w:space="0" w:color="auto"/>
            </w:tcBorders>
            <w:shd w:val="clear" w:color="auto" w:fill="auto"/>
            <w:vAlign w:val="center"/>
            <w:hideMark/>
          </w:tcPr>
          <w:p w14:paraId="1AD258E1"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single" w:sz="4" w:space="0" w:color="auto"/>
              <w:right w:val="single" w:sz="8" w:space="0" w:color="auto"/>
            </w:tcBorders>
            <w:shd w:val="clear" w:color="auto" w:fill="auto"/>
            <w:vAlign w:val="center"/>
            <w:hideMark/>
          </w:tcPr>
          <w:p w14:paraId="12A865FD"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75%</w:t>
            </w:r>
          </w:p>
        </w:tc>
        <w:tc>
          <w:tcPr>
            <w:tcW w:w="1189" w:type="dxa"/>
            <w:tcBorders>
              <w:top w:val="nil"/>
              <w:left w:val="nil"/>
              <w:bottom w:val="single" w:sz="4" w:space="0" w:color="auto"/>
              <w:right w:val="single" w:sz="4" w:space="0" w:color="auto"/>
            </w:tcBorders>
            <w:shd w:val="clear" w:color="auto" w:fill="auto"/>
            <w:vAlign w:val="center"/>
            <w:hideMark/>
          </w:tcPr>
          <w:p w14:paraId="615D61D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12</w:t>
            </w:r>
          </w:p>
        </w:tc>
        <w:tc>
          <w:tcPr>
            <w:tcW w:w="855" w:type="dxa"/>
            <w:tcBorders>
              <w:top w:val="nil"/>
              <w:left w:val="nil"/>
              <w:bottom w:val="single" w:sz="4" w:space="0" w:color="auto"/>
              <w:right w:val="single" w:sz="4" w:space="0" w:color="auto"/>
            </w:tcBorders>
            <w:shd w:val="clear" w:color="auto" w:fill="auto"/>
            <w:vAlign w:val="center"/>
            <w:hideMark/>
          </w:tcPr>
          <w:p w14:paraId="56805C03"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w:t>
            </w:r>
          </w:p>
        </w:tc>
        <w:tc>
          <w:tcPr>
            <w:tcW w:w="847" w:type="dxa"/>
            <w:tcBorders>
              <w:top w:val="nil"/>
              <w:left w:val="nil"/>
              <w:bottom w:val="single" w:sz="4" w:space="0" w:color="auto"/>
              <w:right w:val="single" w:sz="8" w:space="0" w:color="auto"/>
            </w:tcBorders>
            <w:shd w:val="clear" w:color="auto" w:fill="auto"/>
            <w:vAlign w:val="center"/>
            <w:hideMark/>
          </w:tcPr>
          <w:p w14:paraId="1556BB2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58%</w:t>
            </w:r>
          </w:p>
        </w:tc>
      </w:tr>
      <w:tr w:rsidR="008C4D6B" w:rsidRPr="002C1EA6" w14:paraId="7460BE84" w14:textId="77777777" w:rsidTr="0072373D">
        <w:trPr>
          <w:trHeight w:val="750"/>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2945DE76" w14:textId="77777777" w:rsidR="008C4D6B" w:rsidRPr="002C1EA6" w:rsidRDefault="008C4D6B" w:rsidP="005436E4">
            <w:pPr>
              <w:rPr>
                <w:rFonts w:ascii="Arial" w:hAnsi="Arial" w:cs="Arial"/>
                <w:sz w:val="22"/>
                <w:szCs w:val="22"/>
              </w:rPr>
            </w:pPr>
            <w:r w:rsidRPr="002C1EA6">
              <w:rPr>
                <w:rFonts w:ascii="Arial" w:hAnsi="Arial" w:cs="Arial"/>
                <w:sz w:val="22"/>
                <w:szCs w:val="22"/>
              </w:rPr>
              <w:t>Guyana Forestry Commission (Ministry of Natural Resources)</w:t>
            </w:r>
          </w:p>
        </w:tc>
        <w:tc>
          <w:tcPr>
            <w:tcW w:w="1004" w:type="dxa"/>
            <w:tcBorders>
              <w:top w:val="nil"/>
              <w:left w:val="nil"/>
              <w:bottom w:val="single" w:sz="4" w:space="0" w:color="auto"/>
              <w:right w:val="single" w:sz="4" w:space="0" w:color="auto"/>
            </w:tcBorders>
            <w:shd w:val="clear" w:color="auto" w:fill="auto"/>
            <w:vAlign w:val="center"/>
            <w:hideMark/>
          </w:tcPr>
          <w:p w14:paraId="78742E54"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3</w:t>
            </w:r>
          </w:p>
        </w:tc>
        <w:tc>
          <w:tcPr>
            <w:tcW w:w="855" w:type="dxa"/>
            <w:tcBorders>
              <w:top w:val="nil"/>
              <w:left w:val="nil"/>
              <w:bottom w:val="single" w:sz="4" w:space="0" w:color="auto"/>
              <w:right w:val="single" w:sz="4" w:space="0" w:color="auto"/>
            </w:tcBorders>
            <w:shd w:val="clear" w:color="auto" w:fill="auto"/>
            <w:vAlign w:val="center"/>
            <w:hideMark/>
          </w:tcPr>
          <w:p w14:paraId="1C224813"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1117" w:type="dxa"/>
            <w:tcBorders>
              <w:top w:val="nil"/>
              <w:left w:val="nil"/>
              <w:bottom w:val="single" w:sz="4" w:space="0" w:color="auto"/>
              <w:right w:val="single" w:sz="8" w:space="0" w:color="auto"/>
            </w:tcBorders>
            <w:shd w:val="clear" w:color="auto" w:fill="auto"/>
            <w:vAlign w:val="center"/>
            <w:hideMark/>
          </w:tcPr>
          <w:p w14:paraId="6A33C89B"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67%</w:t>
            </w:r>
          </w:p>
        </w:tc>
        <w:tc>
          <w:tcPr>
            <w:tcW w:w="1189" w:type="dxa"/>
            <w:tcBorders>
              <w:top w:val="nil"/>
              <w:left w:val="nil"/>
              <w:bottom w:val="single" w:sz="4" w:space="0" w:color="auto"/>
              <w:right w:val="single" w:sz="4" w:space="0" w:color="auto"/>
            </w:tcBorders>
            <w:shd w:val="clear" w:color="auto" w:fill="auto"/>
            <w:vAlign w:val="center"/>
            <w:hideMark/>
          </w:tcPr>
          <w:p w14:paraId="5FA3DBF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10</w:t>
            </w:r>
          </w:p>
        </w:tc>
        <w:tc>
          <w:tcPr>
            <w:tcW w:w="855" w:type="dxa"/>
            <w:tcBorders>
              <w:top w:val="nil"/>
              <w:left w:val="nil"/>
              <w:bottom w:val="single" w:sz="4" w:space="0" w:color="auto"/>
              <w:right w:val="single" w:sz="4" w:space="0" w:color="auto"/>
            </w:tcBorders>
            <w:shd w:val="clear" w:color="auto" w:fill="auto"/>
            <w:vAlign w:val="center"/>
            <w:hideMark/>
          </w:tcPr>
          <w:p w14:paraId="2C3B7884"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w:t>
            </w:r>
          </w:p>
        </w:tc>
        <w:tc>
          <w:tcPr>
            <w:tcW w:w="847" w:type="dxa"/>
            <w:tcBorders>
              <w:top w:val="nil"/>
              <w:left w:val="nil"/>
              <w:bottom w:val="single" w:sz="4" w:space="0" w:color="auto"/>
              <w:right w:val="single" w:sz="8" w:space="0" w:color="auto"/>
            </w:tcBorders>
            <w:shd w:val="clear" w:color="auto" w:fill="auto"/>
            <w:vAlign w:val="center"/>
            <w:hideMark/>
          </w:tcPr>
          <w:p w14:paraId="008B203F"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50%</w:t>
            </w:r>
          </w:p>
        </w:tc>
      </w:tr>
      <w:tr w:rsidR="008C4D6B" w:rsidRPr="002C1EA6" w14:paraId="6A174E77" w14:textId="77777777" w:rsidTr="0072373D">
        <w:trPr>
          <w:trHeight w:val="1140"/>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3E79BF8C" w14:textId="77777777" w:rsidR="008C4D6B" w:rsidRPr="002C1EA6" w:rsidRDefault="008C4D6B" w:rsidP="005436E4">
            <w:pPr>
              <w:rPr>
                <w:rFonts w:ascii="Arial" w:hAnsi="Arial" w:cs="Arial"/>
                <w:sz w:val="22"/>
                <w:szCs w:val="22"/>
              </w:rPr>
            </w:pPr>
            <w:r w:rsidRPr="002C1EA6">
              <w:rPr>
                <w:rFonts w:ascii="Arial" w:hAnsi="Arial" w:cs="Arial"/>
                <w:sz w:val="22"/>
                <w:szCs w:val="22"/>
              </w:rPr>
              <w:t>Guyana Energy Agency (Ministry of Public Infrastructure)</w:t>
            </w:r>
          </w:p>
        </w:tc>
        <w:tc>
          <w:tcPr>
            <w:tcW w:w="1004" w:type="dxa"/>
            <w:tcBorders>
              <w:top w:val="nil"/>
              <w:left w:val="nil"/>
              <w:bottom w:val="single" w:sz="4" w:space="0" w:color="auto"/>
              <w:right w:val="single" w:sz="4" w:space="0" w:color="auto"/>
            </w:tcBorders>
            <w:shd w:val="clear" w:color="auto" w:fill="auto"/>
            <w:vAlign w:val="center"/>
            <w:hideMark/>
          </w:tcPr>
          <w:p w14:paraId="5FB62AF5"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855" w:type="dxa"/>
            <w:tcBorders>
              <w:top w:val="nil"/>
              <w:left w:val="nil"/>
              <w:bottom w:val="single" w:sz="4" w:space="0" w:color="auto"/>
              <w:right w:val="single" w:sz="4" w:space="0" w:color="auto"/>
            </w:tcBorders>
            <w:shd w:val="clear" w:color="auto" w:fill="auto"/>
            <w:vAlign w:val="center"/>
            <w:hideMark/>
          </w:tcPr>
          <w:p w14:paraId="6A9AF5AF"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single" w:sz="4" w:space="0" w:color="auto"/>
              <w:right w:val="single" w:sz="8" w:space="0" w:color="auto"/>
            </w:tcBorders>
            <w:shd w:val="clear" w:color="auto" w:fill="auto"/>
            <w:vAlign w:val="center"/>
            <w:hideMark/>
          </w:tcPr>
          <w:p w14:paraId="55D01E01"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0%</w:t>
            </w:r>
          </w:p>
        </w:tc>
        <w:tc>
          <w:tcPr>
            <w:tcW w:w="1189" w:type="dxa"/>
            <w:tcBorders>
              <w:top w:val="nil"/>
              <w:left w:val="nil"/>
              <w:bottom w:val="single" w:sz="4" w:space="0" w:color="auto"/>
              <w:right w:val="single" w:sz="4" w:space="0" w:color="auto"/>
            </w:tcBorders>
            <w:shd w:val="clear" w:color="auto" w:fill="auto"/>
            <w:vAlign w:val="center"/>
            <w:hideMark/>
          </w:tcPr>
          <w:p w14:paraId="2C1BE7A1"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12</w:t>
            </w:r>
          </w:p>
        </w:tc>
        <w:tc>
          <w:tcPr>
            <w:tcW w:w="855" w:type="dxa"/>
            <w:tcBorders>
              <w:top w:val="nil"/>
              <w:left w:val="nil"/>
              <w:bottom w:val="single" w:sz="4" w:space="0" w:color="auto"/>
              <w:right w:val="single" w:sz="4" w:space="0" w:color="auto"/>
            </w:tcBorders>
            <w:shd w:val="clear" w:color="auto" w:fill="auto"/>
            <w:vAlign w:val="center"/>
            <w:hideMark/>
          </w:tcPr>
          <w:p w14:paraId="4591C81B"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w:t>
            </w:r>
          </w:p>
        </w:tc>
        <w:tc>
          <w:tcPr>
            <w:tcW w:w="847" w:type="dxa"/>
            <w:tcBorders>
              <w:top w:val="nil"/>
              <w:left w:val="nil"/>
              <w:bottom w:val="single" w:sz="4" w:space="0" w:color="auto"/>
              <w:right w:val="single" w:sz="8" w:space="0" w:color="auto"/>
            </w:tcBorders>
            <w:shd w:val="clear" w:color="auto" w:fill="auto"/>
            <w:vAlign w:val="center"/>
            <w:hideMark/>
          </w:tcPr>
          <w:p w14:paraId="04B68BA1"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67%</w:t>
            </w:r>
          </w:p>
        </w:tc>
      </w:tr>
      <w:tr w:rsidR="008C4D6B" w:rsidRPr="002C1EA6" w14:paraId="5FCF7DE5" w14:textId="77777777" w:rsidTr="0072373D">
        <w:trPr>
          <w:trHeight w:val="810"/>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1B2A272A" w14:textId="77777777" w:rsidR="008C4D6B" w:rsidRPr="002C1EA6" w:rsidRDefault="008C4D6B" w:rsidP="005436E4">
            <w:pPr>
              <w:rPr>
                <w:rFonts w:ascii="Arial" w:hAnsi="Arial" w:cs="Arial"/>
                <w:sz w:val="22"/>
                <w:szCs w:val="22"/>
              </w:rPr>
            </w:pPr>
            <w:r w:rsidRPr="002C1EA6">
              <w:rPr>
                <w:rFonts w:ascii="Arial" w:hAnsi="Arial" w:cs="Arial"/>
                <w:sz w:val="22"/>
                <w:szCs w:val="22"/>
              </w:rPr>
              <w:t>Guyana Rice Development Board (Ministry of Agriculture)</w:t>
            </w:r>
          </w:p>
        </w:tc>
        <w:tc>
          <w:tcPr>
            <w:tcW w:w="1004" w:type="dxa"/>
            <w:tcBorders>
              <w:top w:val="nil"/>
              <w:left w:val="nil"/>
              <w:bottom w:val="single" w:sz="4" w:space="0" w:color="auto"/>
              <w:right w:val="single" w:sz="4" w:space="0" w:color="auto"/>
            </w:tcBorders>
            <w:shd w:val="clear" w:color="auto" w:fill="auto"/>
            <w:vAlign w:val="center"/>
            <w:hideMark/>
          </w:tcPr>
          <w:p w14:paraId="3B2D3A5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855" w:type="dxa"/>
            <w:tcBorders>
              <w:top w:val="nil"/>
              <w:left w:val="nil"/>
              <w:bottom w:val="single" w:sz="4" w:space="0" w:color="auto"/>
              <w:right w:val="single" w:sz="4" w:space="0" w:color="auto"/>
            </w:tcBorders>
            <w:shd w:val="clear" w:color="auto" w:fill="auto"/>
            <w:vAlign w:val="center"/>
            <w:hideMark/>
          </w:tcPr>
          <w:p w14:paraId="51250642"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single" w:sz="4" w:space="0" w:color="auto"/>
              <w:right w:val="single" w:sz="8" w:space="0" w:color="auto"/>
            </w:tcBorders>
            <w:shd w:val="clear" w:color="auto" w:fill="auto"/>
            <w:vAlign w:val="center"/>
            <w:hideMark/>
          </w:tcPr>
          <w:p w14:paraId="146DF137"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0%</w:t>
            </w:r>
          </w:p>
        </w:tc>
        <w:tc>
          <w:tcPr>
            <w:tcW w:w="1189" w:type="dxa"/>
            <w:tcBorders>
              <w:top w:val="nil"/>
              <w:left w:val="nil"/>
              <w:bottom w:val="single" w:sz="4" w:space="0" w:color="auto"/>
              <w:right w:val="single" w:sz="4" w:space="0" w:color="auto"/>
            </w:tcBorders>
            <w:shd w:val="clear" w:color="auto" w:fill="auto"/>
            <w:vAlign w:val="center"/>
            <w:hideMark/>
          </w:tcPr>
          <w:p w14:paraId="58CB794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7</w:t>
            </w:r>
          </w:p>
        </w:tc>
        <w:tc>
          <w:tcPr>
            <w:tcW w:w="855" w:type="dxa"/>
            <w:tcBorders>
              <w:top w:val="nil"/>
              <w:left w:val="nil"/>
              <w:bottom w:val="single" w:sz="4" w:space="0" w:color="auto"/>
              <w:right w:val="single" w:sz="4" w:space="0" w:color="auto"/>
            </w:tcBorders>
            <w:shd w:val="clear" w:color="auto" w:fill="auto"/>
            <w:vAlign w:val="center"/>
            <w:hideMark/>
          </w:tcPr>
          <w:p w14:paraId="10F8C91A"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3</w:t>
            </w:r>
          </w:p>
        </w:tc>
        <w:tc>
          <w:tcPr>
            <w:tcW w:w="847" w:type="dxa"/>
            <w:tcBorders>
              <w:top w:val="nil"/>
              <w:left w:val="nil"/>
              <w:bottom w:val="single" w:sz="4" w:space="0" w:color="auto"/>
              <w:right w:val="single" w:sz="8" w:space="0" w:color="auto"/>
            </w:tcBorders>
            <w:shd w:val="clear" w:color="auto" w:fill="auto"/>
            <w:vAlign w:val="center"/>
            <w:hideMark/>
          </w:tcPr>
          <w:p w14:paraId="3347AD48"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57%</w:t>
            </w:r>
          </w:p>
        </w:tc>
      </w:tr>
      <w:tr w:rsidR="008C4D6B" w:rsidRPr="002C1EA6" w14:paraId="3E4D9E93" w14:textId="77777777" w:rsidTr="0072373D">
        <w:trPr>
          <w:trHeight w:val="690"/>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361D92C2" w14:textId="77777777" w:rsidR="008C4D6B" w:rsidRPr="002C1EA6" w:rsidRDefault="008C4D6B" w:rsidP="005436E4">
            <w:pPr>
              <w:rPr>
                <w:rFonts w:ascii="Arial" w:hAnsi="Arial" w:cs="Arial"/>
                <w:sz w:val="22"/>
                <w:szCs w:val="22"/>
              </w:rPr>
            </w:pPr>
            <w:r w:rsidRPr="002C1EA6">
              <w:rPr>
                <w:rFonts w:ascii="Arial" w:hAnsi="Arial" w:cs="Arial"/>
                <w:sz w:val="22"/>
                <w:szCs w:val="22"/>
              </w:rPr>
              <w:t>Guyana Sugar Corporation (Ministry of Agriculture)</w:t>
            </w:r>
          </w:p>
        </w:tc>
        <w:tc>
          <w:tcPr>
            <w:tcW w:w="1004" w:type="dxa"/>
            <w:tcBorders>
              <w:top w:val="nil"/>
              <w:left w:val="nil"/>
              <w:bottom w:val="single" w:sz="4" w:space="0" w:color="auto"/>
              <w:right w:val="single" w:sz="4" w:space="0" w:color="auto"/>
            </w:tcBorders>
            <w:shd w:val="clear" w:color="auto" w:fill="auto"/>
            <w:vAlign w:val="center"/>
            <w:hideMark/>
          </w:tcPr>
          <w:p w14:paraId="2793EAC7"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855" w:type="dxa"/>
            <w:tcBorders>
              <w:top w:val="nil"/>
              <w:left w:val="nil"/>
              <w:bottom w:val="single" w:sz="4" w:space="0" w:color="auto"/>
              <w:right w:val="single" w:sz="4" w:space="0" w:color="auto"/>
            </w:tcBorders>
            <w:shd w:val="clear" w:color="auto" w:fill="auto"/>
            <w:vAlign w:val="center"/>
            <w:hideMark/>
          </w:tcPr>
          <w:p w14:paraId="70A2A703"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single" w:sz="4" w:space="0" w:color="auto"/>
              <w:right w:val="single" w:sz="8" w:space="0" w:color="auto"/>
            </w:tcBorders>
            <w:shd w:val="clear" w:color="auto" w:fill="auto"/>
            <w:vAlign w:val="center"/>
            <w:hideMark/>
          </w:tcPr>
          <w:p w14:paraId="2AEE0C50"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50%</w:t>
            </w:r>
          </w:p>
        </w:tc>
        <w:tc>
          <w:tcPr>
            <w:tcW w:w="1189" w:type="dxa"/>
            <w:tcBorders>
              <w:top w:val="nil"/>
              <w:left w:val="nil"/>
              <w:bottom w:val="single" w:sz="4" w:space="0" w:color="auto"/>
              <w:right w:val="single" w:sz="4" w:space="0" w:color="auto"/>
            </w:tcBorders>
            <w:shd w:val="clear" w:color="auto" w:fill="auto"/>
            <w:vAlign w:val="center"/>
            <w:hideMark/>
          </w:tcPr>
          <w:p w14:paraId="095B140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w:t>
            </w:r>
          </w:p>
        </w:tc>
        <w:tc>
          <w:tcPr>
            <w:tcW w:w="855" w:type="dxa"/>
            <w:tcBorders>
              <w:top w:val="nil"/>
              <w:left w:val="nil"/>
              <w:bottom w:val="single" w:sz="4" w:space="0" w:color="auto"/>
              <w:right w:val="single" w:sz="4" w:space="0" w:color="auto"/>
            </w:tcBorders>
            <w:shd w:val="clear" w:color="auto" w:fill="auto"/>
            <w:vAlign w:val="center"/>
            <w:hideMark/>
          </w:tcPr>
          <w:p w14:paraId="061C4EE0"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847" w:type="dxa"/>
            <w:tcBorders>
              <w:top w:val="nil"/>
              <w:left w:val="nil"/>
              <w:bottom w:val="single" w:sz="4" w:space="0" w:color="auto"/>
              <w:right w:val="single" w:sz="8" w:space="0" w:color="auto"/>
            </w:tcBorders>
            <w:shd w:val="clear" w:color="auto" w:fill="auto"/>
            <w:vAlign w:val="center"/>
            <w:hideMark/>
          </w:tcPr>
          <w:p w14:paraId="070AA44C"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60%</w:t>
            </w:r>
          </w:p>
        </w:tc>
      </w:tr>
      <w:tr w:rsidR="008C4D6B" w:rsidRPr="002C1EA6" w14:paraId="654A0519" w14:textId="77777777" w:rsidTr="0072373D">
        <w:trPr>
          <w:trHeight w:val="780"/>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42C93243" w14:textId="77777777" w:rsidR="008C4D6B" w:rsidRPr="002C1EA6" w:rsidRDefault="008C4D6B" w:rsidP="005436E4">
            <w:pPr>
              <w:rPr>
                <w:rFonts w:ascii="Arial" w:hAnsi="Arial" w:cs="Arial"/>
                <w:sz w:val="22"/>
                <w:szCs w:val="22"/>
              </w:rPr>
            </w:pPr>
            <w:r w:rsidRPr="002C1EA6">
              <w:rPr>
                <w:rFonts w:ascii="Arial" w:hAnsi="Arial" w:cs="Arial"/>
                <w:sz w:val="22"/>
                <w:szCs w:val="22"/>
              </w:rPr>
              <w:t>Guyana Gold Board (Ministry of Natural Resources)</w:t>
            </w:r>
          </w:p>
        </w:tc>
        <w:tc>
          <w:tcPr>
            <w:tcW w:w="1004" w:type="dxa"/>
            <w:tcBorders>
              <w:top w:val="nil"/>
              <w:left w:val="nil"/>
              <w:bottom w:val="single" w:sz="4" w:space="0" w:color="auto"/>
              <w:right w:val="single" w:sz="4" w:space="0" w:color="auto"/>
            </w:tcBorders>
            <w:shd w:val="clear" w:color="auto" w:fill="auto"/>
            <w:vAlign w:val="center"/>
            <w:hideMark/>
          </w:tcPr>
          <w:p w14:paraId="3B9A0B68"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3</w:t>
            </w:r>
          </w:p>
        </w:tc>
        <w:tc>
          <w:tcPr>
            <w:tcW w:w="855" w:type="dxa"/>
            <w:tcBorders>
              <w:top w:val="nil"/>
              <w:left w:val="nil"/>
              <w:bottom w:val="single" w:sz="4" w:space="0" w:color="auto"/>
              <w:right w:val="single" w:sz="4" w:space="0" w:color="auto"/>
            </w:tcBorders>
            <w:shd w:val="clear" w:color="auto" w:fill="auto"/>
            <w:vAlign w:val="center"/>
            <w:hideMark/>
          </w:tcPr>
          <w:p w14:paraId="1FB4712C"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1117" w:type="dxa"/>
            <w:tcBorders>
              <w:top w:val="nil"/>
              <w:left w:val="nil"/>
              <w:bottom w:val="single" w:sz="4" w:space="0" w:color="auto"/>
              <w:right w:val="single" w:sz="8" w:space="0" w:color="auto"/>
            </w:tcBorders>
            <w:shd w:val="clear" w:color="auto" w:fill="auto"/>
            <w:vAlign w:val="center"/>
            <w:hideMark/>
          </w:tcPr>
          <w:p w14:paraId="6866570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67%</w:t>
            </w:r>
          </w:p>
        </w:tc>
        <w:tc>
          <w:tcPr>
            <w:tcW w:w="1189" w:type="dxa"/>
            <w:tcBorders>
              <w:top w:val="nil"/>
              <w:left w:val="nil"/>
              <w:bottom w:val="single" w:sz="4" w:space="0" w:color="auto"/>
              <w:right w:val="single" w:sz="4" w:space="0" w:color="auto"/>
            </w:tcBorders>
            <w:shd w:val="clear" w:color="auto" w:fill="auto"/>
            <w:vAlign w:val="center"/>
            <w:hideMark/>
          </w:tcPr>
          <w:p w14:paraId="3925DAFF"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w:t>
            </w:r>
          </w:p>
        </w:tc>
        <w:tc>
          <w:tcPr>
            <w:tcW w:w="855" w:type="dxa"/>
            <w:tcBorders>
              <w:top w:val="nil"/>
              <w:left w:val="nil"/>
              <w:bottom w:val="single" w:sz="4" w:space="0" w:color="auto"/>
              <w:right w:val="single" w:sz="4" w:space="0" w:color="auto"/>
            </w:tcBorders>
            <w:shd w:val="clear" w:color="auto" w:fill="auto"/>
            <w:vAlign w:val="center"/>
            <w:hideMark/>
          </w:tcPr>
          <w:p w14:paraId="7C4F439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847" w:type="dxa"/>
            <w:tcBorders>
              <w:top w:val="nil"/>
              <w:left w:val="nil"/>
              <w:bottom w:val="single" w:sz="4" w:space="0" w:color="auto"/>
              <w:right w:val="single" w:sz="8" w:space="0" w:color="auto"/>
            </w:tcBorders>
            <w:shd w:val="clear" w:color="auto" w:fill="auto"/>
            <w:vAlign w:val="center"/>
            <w:hideMark/>
          </w:tcPr>
          <w:p w14:paraId="07E1320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67%</w:t>
            </w:r>
          </w:p>
        </w:tc>
      </w:tr>
      <w:tr w:rsidR="008C4D6B" w:rsidRPr="002C1EA6" w14:paraId="281159A3" w14:textId="77777777" w:rsidTr="0072373D">
        <w:trPr>
          <w:trHeight w:val="1035"/>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63B26AE5" w14:textId="77777777" w:rsidR="008C4D6B" w:rsidRPr="002C1EA6" w:rsidRDefault="008C4D6B" w:rsidP="005436E4">
            <w:pPr>
              <w:rPr>
                <w:rFonts w:ascii="Arial" w:hAnsi="Arial" w:cs="Arial"/>
                <w:sz w:val="22"/>
                <w:szCs w:val="22"/>
              </w:rPr>
            </w:pPr>
            <w:r w:rsidRPr="002C1EA6">
              <w:rPr>
                <w:rFonts w:ascii="Arial" w:hAnsi="Arial" w:cs="Arial"/>
                <w:sz w:val="22"/>
                <w:szCs w:val="22"/>
              </w:rPr>
              <w:t>Pesticides and Toxic Chemicals Control Board (Ministry of Agriculture)</w:t>
            </w:r>
          </w:p>
        </w:tc>
        <w:tc>
          <w:tcPr>
            <w:tcW w:w="1004" w:type="dxa"/>
            <w:tcBorders>
              <w:top w:val="nil"/>
              <w:left w:val="nil"/>
              <w:bottom w:val="single" w:sz="4" w:space="0" w:color="auto"/>
              <w:right w:val="single" w:sz="4" w:space="0" w:color="auto"/>
            </w:tcBorders>
            <w:shd w:val="clear" w:color="auto" w:fill="auto"/>
            <w:vAlign w:val="center"/>
            <w:hideMark/>
          </w:tcPr>
          <w:p w14:paraId="4EBBB2B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855" w:type="dxa"/>
            <w:tcBorders>
              <w:top w:val="nil"/>
              <w:left w:val="nil"/>
              <w:bottom w:val="single" w:sz="4" w:space="0" w:color="auto"/>
              <w:right w:val="single" w:sz="4" w:space="0" w:color="auto"/>
            </w:tcBorders>
            <w:shd w:val="clear" w:color="auto" w:fill="auto"/>
            <w:vAlign w:val="center"/>
            <w:hideMark/>
          </w:tcPr>
          <w:p w14:paraId="11C453C1"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single" w:sz="4" w:space="0" w:color="auto"/>
              <w:right w:val="single" w:sz="8" w:space="0" w:color="auto"/>
            </w:tcBorders>
            <w:shd w:val="clear" w:color="auto" w:fill="auto"/>
            <w:vAlign w:val="center"/>
            <w:hideMark/>
          </w:tcPr>
          <w:p w14:paraId="33CDBFD9"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0%</w:t>
            </w:r>
          </w:p>
        </w:tc>
        <w:tc>
          <w:tcPr>
            <w:tcW w:w="1189" w:type="dxa"/>
            <w:tcBorders>
              <w:top w:val="nil"/>
              <w:left w:val="nil"/>
              <w:bottom w:val="single" w:sz="4" w:space="0" w:color="auto"/>
              <w:right w:val="single" w:sz="4" w:space="0" w:color="auto"/>
            </w:tcBorders>
            <w:shd w:val="clear" w:color="auto" w:fill="auto"/>
            <w:vAlign w:val="center"/>
            <w:hideMark/>
          </w:tcPr>
          <w:p w14:paraId="7745AC2A"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11</w:t>
            </w:r>
          </w:p>
        </w:tc>
        <w:tc>
          <w:tcPr>
            <w:tcW w:w="855" w:type="dxa"/>
            <w:tcBorders>
              <w:top w:val="nil"/>
              <w:left w:val="nil"/>
              <w:bottom w:val="single" w:sz="4" w:space="0" w:color="auto"/>
              <w:right w:val="single" w:sz="4" w:space="0" w:color="auto"/>
            </w:tcBorders>
            <w:shd w:val="clear" w:color="auto" w:fill="auto"/>
            <w:vAlign w:val="center"/>
            <w:hideMark/>
          </w:tcPr>
          <w:p w14:paraId="46EABA46"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w:t>
            </w:r>
          </w:p>
        </w:tc>
        <w:tc>
          <w:tcPr>
            <w:tcW w:w="847" w:type="dxa"/>
            <w:tcBorders>
              <w:top w:val="nil"/>
              <w:left w:val="nil"/>
              <w:bottom w:val="single" w:sz="4" w:space="0" w:color="auto"/>
              <w:right w:val="single" w:sz="8" w:space="0" w:color="auto"/>
            </w:tcBorders>
            <w:shd w:val="clear" w:color="auto" w:fill="auto"/>
            <w:vAlign w:val="center"/>
            <w:hideMark/>
          </w:tcPr>
          <w:p w14:paraId="35F8E260"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64%</w:t>
            </w:r>
          </w:p>
        </w:tc>
      </w:tr>
      <w:tr w:rsidR="008C4D6B" w:rsidRPr="002C1EA6" w14:paraId="46E2B7A1" w14:textId="77777777" w:rsidTr="0072373D">
        <w:trPr>
          <w:trHeight w:val="1155"/>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3CA8971C" w14:textId="77777777" w:rsidR="008C4D6B" w:rsidRPr="002C1EA6" w:rsidRDefault="008C4D6B" w:rsidP="005436E4">
            <w:pPr>
              <w:rPr>
                <w:rFonts w:ascii="Arial" w:hAnsi="Arial" w:cs="Arial"/>
                <w:sz w:val="22"/>
                <w:szCs w:val="22"/>
              </w:rPr>
            </w:pPr>
            <w:r w:rsidRPr="002C1EA6">
              <w:rPr>
                <w:rFonts w:ascii="Arial" w:hAnsi="Arial" w:cs="Arial"/>
                <w:sz w:val="22"/>
                <w:szCs w:val="22"/>
              </w:rPr>
              <w:t>National Agriculture Research Extension and Institute (Ministry of Agriculture)</w:t>
            </w:r>
          </w:p>
        </w:tc>
        <w:tc>
          <w:tcPr>
            <w:tcW w:w="1004" w:type="dxa"/>
            <w:tcBorders>
              <w:top w:val="nil"/>
              <w:left w:val="nil"/>
              <w:bottom w:val="single" w:sz="4" w:space="0" w:color="auto"/>
              <w:right w:val="single" w:sz="4" w:space="0" w:color="auto"/>
            </w:tcBorders>
            <w:shd w:val="clear" w:color="auto" w:fill="auto"/>
            <w:vAlign w:val="center"/>
            <w:hideMark/>
          </w:tcPr>
          <w:p w14:paraId="2AB9DF4B"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w:t>
            </w:r>
          </w:p>
        </w:tc>
        <w:tc>
          <w:tcPr>
            <w:tcW w:w="855" w:type="dxa"/>
            <w:tcBorders>
              <w:top w:val="nil"/>
              <w:left w:val="nil"/>
              <w:bottom w:val="single" w:sz="4" w:space="0" w:color="auto"/>
              <w:right w:val="single" w:sz="4" w:space="0" w:color="auto"/>
            </w:tcBorders>
            <w:shd w:val="clear" w:color="auto" w:fill="auto"/>
            <w:vAlign w:val="center"/>
            <w:hideMark/>
          </w:tcPr>
          <w:p w14:paraId="37B81D15"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1117" w:type="dxa"/>
            <w:tcBorders>
              <w:top w:val="nil"/>
              <w:left w:val="nil"/>
              <w:bottom w:val="single" w:sz="4" w:space="0" w:color="auto"/>
              <w:right w:val="single" w:sz="8" w:space="0" w:color="auto"/>
            </w:tcBorders>
            <w:shd w:val="clear" w:color="auto" w:fill="auto"/>
            <w:vAlign w:val="center"/>
            <w:hideMark/>
          </w:tcPr>
          <w:p w14:paraId="2D408A7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75%</w:t>
            </w:r>
          </w:p>
        </w:tc>
        <w:tc>
          <w:tcPr>
            <w:tcW w:w="1189" w:type="dxa"/>
            <w:tcBorders>
              <w:top w:val="nil"/>
              <w:left w:val="nil"/>
              <w:bottom w:val="single" w:sz="4" w:space="0" w:color="auto"/>
              <w:right w:val="single" w:sz="4" w:space="0" w:color="auto"/>
            </w:tcBorders>
            <w:shd w:val="clear" w:color="auto" w:fill="auto"/>
            <w:vAlign w:val="center"/>
            <w:hideMark/>
          </w:tcPr>
          <w:p w14:paraId="200DD1C7"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7</w:t>
            </w:r>
          </w:p>
        </w:tc>
        <w:tc>
          <w:tcPr>
            <w:tcW w:w="855" w:type="dxa"/>
            <w:tcBorders>
              <w:top w:val="nil"/>
              <w:left w:val="nil"/>
              <w:bottom w:val="single" w:sz="4" w:space="0" w:color="auto"/>
              <w:right w:val="single" w:sz="4" w:space="0" w:color="auto"/>
            </w:tcBorders>
            <w:shd w:val="clear" w:color="auto" w:fill="auto"/>
            <w:vAlign w:val="center"/>
            <w:hideMark/>
          </w:tcPr>
          <w:p w14:paraId="4D357624"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3</w:t>
            </w:r>
          </w:p>
        </w:tc>
        <w:tc>
          <w:tcPr>
            <w:tcW w:w="847" w:type="dxa"/>
            <w:tcBorders>
              <w:top w:val="nil"/>
              <w:left w:val="nil"/>
              <w:bottom w:val="single" w:sz="4" w:space="0" w:color="auto"/>
              <w:right w:val="single" w:sz="8" w:space="0" w:color="auto"/>
            </w:tcBorders>
            <w:shd w:val="clear" w:color="auto" w:fill="auto"/>
            <w:vAlign w:val="center"/>
            <w:hideMark/>
          </w:tcPr>
          <w:p w14:paraId="17021B6C"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57%</w:t>
            </w:r>
          </w:p>
        </w:tc>
      </w:tr>
      <w:tr w:rsidR="008C4D6B" w:rsidRPr="002C1EA6" w14:paraId="40508F33" w14:textId="77777777" w:rsidTr="0072373D">
        <w:trPr>
          <w:trHeight w:val="945"/>
          <w:jc w:val="center"/>
        </w:trPr>
        <w:tc>
          <w:tcPr>
            <w:tcW w:w="2853" w:type="dxa"/>
            <w:tcBorders>
              <w:top w:val="nil"/>
              <w:left w:val="single" w:sz="8" w:space="0" w:color="auto"/>
              <w:bottom w:val="single" w:sz="4" w:space="0" w:color="auto"/>
              <w:right w:val="single" w:sz="8" w:space="0" w:color="auto"/>
            </w:tcBorders>
            <w:shd w:val="clear" w:color="auto" w:fill="auto"/>
            <w:vAlign w:val="center"/>
            <w:hideMark/>
          </w:tcPr>
          <w:p w14:paraId="02AB7A94" w14:textId="77777777" w:rsidR="008C4D6B" w:rsidRPr="002C1EA6" w:rsidRDefault="008C4D6B" w:rsidP="005436E4">
            <w:pPr>
              <w:rPr>
                <w:rFonts w:ascii="Arial" w:hAnsi="Arial" w:cs="Arial"/>
                <w:sz w:val="22"/>
                <w:szCs w:val="22"/>
              </w:rPr>
            </w:pPr>
            <w:r w:rsidRPr="002C1EA6">
              <w:rPr>
                <w:rFonts w:ascii="Arial" w:hAnsi="Arial" w:cs="Arial"/>
                <w:sz w:val="22"/>
                <w:szCs w:val="22"/>
              </w:rPr>
              <w:lastRenderedPageBreak/>
              <w:t>Guyana Fisheries Department (Ministry of Agriculture)</w:t>
            </w:r>
          </w:p>
        </w:tc>
        <w:tc>
          <w:tcPr>
            <w:tcW w:w="1004" w:type="dxa"/>
            <w:tcBorders>
              <w:top w:val="nil"/>
              <w:left w:val="nil"/>
              <w:bottom w:val="single" w:sz="4" w:space="0" w:color="auto"/>
              <w:right w:val="single" w:sz="4" w:space="0" w:color="auto"/>
            </w:tcBorders>
            <w:shd w:val="clear" w:color="auto" w:fill="auto"/>
            <w:vAlign w:val="center"/>
            <w:hideMark/>
          </w:tcPr>
          <w:p w14:paraId="078A2023"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2</w:t>
            </w:r>
          </w:p>
        </w:tc>
        <w:tc>
          <w:tcPr>
            <w:tcW w:w="855" w:type="dxa"/>
            <w:tcBorders>
              <w:top w:val="nil"/>
              <w:left w:val="nil"/>
              <w:bottom w:val="single" w:sz="4" w:space="0" w:color="auto"/>
              <w:right w:val="single" w:sz="4" w:space="0" w:color="auto"/>
            </w:tcBorders>
            <w:shd w:val="clear" w:color="auto" w:fill="auto"/>
            <w:vAlign w:val="center"/>
            <w:hideMark/>
          </w:tcPr>
          <w:p w14:paraId="58FFA42D"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single" w:sz="4" w:space="0" w:color="auto"/>
              <w:right w:val="single" w:sz="8" w:space="0" w:color="auto"/>
            </w:tcBorders>
            <w:shd w:val="clear" w:color="auto" w:fill="auto"/>
            <w:vAlign w:val="center"/>
            <w:hideMark/>
          </w:tcPr>
          <w:p w14:paraId="624A2B6D"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50%</w:t>
            </w:r>
          </w:p>
        </w:tc>
        <w:tc>
          <w:tcPr>
            <w:tcW w:w="1189" w:type="dxa"/>
            <w:tcBorders>
              <w:top w:val="nil"/>
              <w:left w:val="nil"/>
              <w:bottom w:val="single" w:sz="4" w:space="0" w:color="auto"/>
              <w:right w:val="single" w:sz="4" w:space="0" w:color="auto"/>
            </w:tcBorders>
            <w:shd w:val="clear" w:color="auto" w:fill="auto"/>
            <w:vAlign w:val="center"/>
            <w:hideMark/>
          </w:tcPr>
          <w:p w14:paraId="5270E464"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12</w:t>
            </w:r>
          </w:p>
        </w:tc>
        <w:tc>
          <w:tcPr>
            <w:tcW w:w="855" w:type="dxa"/>
            <w:tcBorders>
              <w:top w:val="nil"/>
              <w:left w:val="nil"/>
              <w:bottom w:val="single" w:sz="4" w:space="0" w:color="auto"/>
              <w:right w:val="single" w:sz="4" w:space="0" w:color="auto"/>
            </w:tcBorders>
            <w:shd w:val="clear" w:color="auto" w:fill="auto"/>
            <w:vAlign w:val="center"/>
            <w:hideMark/>
          </w:tcPr>
          <w:p w14:paraId="4FF6AA77"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w:t>
            </w:r>
          </w:p>
        </w:tc>
        <w:tc>
          <w:tcPr>
            <w:tcW w:w="847" w:type="dxa"/>
            <w:tcBorders>
              <w:top w:val="nil"/>
              <w:left w:val="nil"/>
              <w:bottom w:val="single" w:sz="4" w:space="0" w:color="auto"/>
              <w:right w:val="single" w:sz="8" w:space="0" w:color="auto"/>
            </w:tcBorders>
            <w:shd w:val="clear" w:color="auto" w:fill="auto"/>
            <w:vAlign w:val="center"/>
            <w:hideMark/>
          </w:tcPr>
          <w:p w14:paraId="44F684C7"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67%</w:t>
            </w:r>
          </w:p>
        </w:tc>
      </w:tr>
      <w:tr w:rsidR="008C4D6B" w:rsidRPr="002C1EA6" w14:paraId="6657F84B" w14:textId="77777777" w:rsidTr="0072373D">
        <w:trPr>
          <w:trHeight w:val="1050"/>
          <w:jc w:val="center"/>
        </w:trPr>
        <w:tc>
          <w:tcPr>
            <w:tcW w:w="2853" w:type="dxa"/>
            <w:tcBorders>
              <w:top w:val="nil"/>
              <w:left w:val="single" w:sz="8" w:space="0" w:color="auto"/>
              <w:bottom w:val="nil"/>
              <w:right w:val="single" w:sz="8" w:space="0" w:color="auto"/>
            </w:tcBorders>
            <w:shd w:val="clear" w:color="auto" w:fill="auto"/>
            <w:vAlign w:val="center"/>
            <w:hideMark/>
          </w:tcPr>
          <w:p w14:paraId="6D926740" w14:textId="77777777" w:rsidR="008C4D6B" w:rsidRPr="002C1EA6" w:rsidRDefault="008C4D6B" w:rsidP="005436E4">
            <w:pPr>
              <w:rPr>
                <w:rFonts w:ascii="Arial" w:hAnsi="Arial" w:cs="Arial"/>
                <w:sz w:val="22"/>
                <w:szCs w:val="22"/>
              </w:rPr>
            </w:pPr>
            <w:r w:rsidRPr="002C1EA6">
              <w:rPr>
                <w:rFonts w:ascii="Arial" w:hAnsi="Arial" w:cs="Arial"/>
                <w:sz w:val="22"/>
                <w:szCs w:val="22"/>
              </w:rPr>
              <w:t>Guyana Livestock Development Authority (Ministry of Agriculture)</w:t>
            </w:r>
          </w:p>
        </w:tc>
        <w:tc>
          <w:tcPr>
            <w:tcW w:w="1004" w:type="dxa"/>
            <w:tcBorders>
              <w:top w:val="nil"/>
              <w:left w:val="nil"/>
              <w:bottom w:val="nil"/>
              <w:right w:val="single" w:sz="4" w:space="0" w:color="auto"/>
            </w:tcBorders>
            <w:shd w:val="clear" w:color="auto" w:fill="auto"/>
            <w:vAlign w:val="center"/>
            <w:hideMark/>
          </w:tcPr>
          <w:p w14:paraId="248FE648"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w:t>
            </w:r>
          </w:p>
        </w:tc>
        <w:tc>
          <w:tcPr>
            <w:tcW w:w="855" w:type="dxa"/>
            <w:tcBorders>
              <w:top w:val="nil"/>
              <w:left w:val="nil"/>
              <w:bottom w:val="nil"/>
              <w:right w:val="single" w:sz="4" w:space="0" w:color="auto"/>
            </w:tcBorders>
            <w:shd w:val="clear" w:color="auto" w:fill="auto"/>
            <w:vAlign w:val="center"/>
            <w:hideMark/>
          </w:tcPr>
          <w:p w14:paraId="3F821E84"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1</w:t>
            </w:r>
          </w:p>
        </w:tc>
        <w:tc>
          <w:tcPr>
            <w:tcW w:w="1117" w:type="dxa"/>
            <w:tcBorders>
              <w:top w:val="nil"/>
              <w:left w:val="nil"/>
              <w:bottom w:val="nil"/>
              <w:right w:val="single" w:sz="8" w:space="0" w:color="auto"/>
            </w:tcBorders>
            <w:shd w:val="clear" w:color="auto" w:fill="auto"/>
            <w:vAlign w:val="center"/>
            <w:hideMark/>
          </w:tcPr>
          <w:p w14:paraId="7DD976EE"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75%</w:t>
            </w:r>
          </w:p>
        </w:tc>
        <w:tc>
          <w:tcPr>
            <w:tcW w:w="1189" w:type="dxa"/>
            <w:tcBorders>
              <w:top w:val="nil"/>
              <w:left w:val="nil"/>
              <w:bottom w:val="nil"/>
              <w:right w:val="single" w:sz="4" w:space="0" w:color="auto"/>
            </w:tcBorders>
            <w:shd w:val="clear" w:color="auto" w:fill="auto"/>
            <w:vAlign w:val="center"/>
            <w:hideMark/>
          </w:tcPr>
          <w:p w14:paraId="1AB48585"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8</w:t>
            </w:r>
          </w:p>
        </w:tc>
        <w:tc>
          <w:tcPr>
            <w:tcW w:w="855" w:type="dxa"/>
            <w:tcBorders>
              <w:top w:val="nil"/>
              <w:left w:val="nil"/>
              <w:bottom w:val="nil"/>
              <w:right w:val="single" w:sz="4" w:space="0" w:color="auto"/>
            </w:tcBorders>
            <w:shd w:val="clear" w:color="auto" w:fill="auto"/>
            <w:vAlign w:val="center"/>
            <w:hideMark/>
          </w:tcPr>
          <w:p w14:paraId="1A72F8F0"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4</w:t>
            </w:r>
          </w:p>
        </w:tc>
        <w:tc>
          <w:tcPr>
            <w:tcW w:w="847" w:type="dxa"/>
            <w:tcBorders>
              <w:top w:val="nil"/>
              <w:left w:val="nil"/>
              <w:bottom w:val="nil"/>
              <w:right w:val="single" w:sz="8" w:space="0" w:color="auto"/>
            </w:tcBorders>
            <w:shd w:val="clear" w:color="auto" w:fill="auto"/>
            <w:vAlign w:val="center"/>
            <w:hideMark/>
          </w:tcPr>
          <w:p w14:paraId="47C4DCD0" w14:textId="77777777" w:rsidR="008C4D6B" w:rsidRPr="002C1EA6" w:rsidRDefault="008C4D6B" w:rsidP="005436E4">
            <w:pPr>
              <w:jc w:val="center"/>
              <w:rPr>
                <w:rFonts w:ascii="Arial" w:hAnsi="Arial" w:cs="Arial"/>
                <w:sz w:val="22"/>
                <w:szCs w:val="22"/>
              </w:rPr>
            </w:pPr>
            <w:r w:rsidRPr="002C1EA6">
              <w:rPr>
                <w:rFonts w:ascii="Arial" w:hAnsi="Arial" w:cs="Arial"/>
                <w:sz w:val="22"/>
                <w:szCs w:val="22"/>
              </w:rPr>
              <w:t>50%</w:t>
            </w:r>
          </w:p>
        </w:tc>
      </w:tr>
      <w:tr w:rsidR="008C4D6B" w:rsidRPr="002C1EA6" w14:paraId="7A6E3ABB" w14:textId="77777777" w:rsidTr="0072373D">
        <w:trPr>
          <w:trHeight w:val="735"/>
          <w:jc w:val="center"/>
        </w:trPr>
        <w:tc>
          <w:tcPr>
            <w:tcW w:w="2853"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57DD4231" w14:textId="77777777" w:rsidR="008C4D6B" w:rsidRPr="002C1EA6" w:rsidRDefault="008C4D6B" w:rsidP="005436E4">
            <w:pPr>
              <w:jc w:val="center"/>
              <w:rPr>
                <w:rFonts w:ascii="Arial" w:hAnsi="Arial" w:cs="Arial"/>
                <w:b/>
                <w:bCs/>
                <w:sz w:val="22"/>
                <w:szCs w:val="22"/>
              </w:rPr>
            </w:pPr>
            <w:r w:rsidRPr="002C1EA6">
              <w:rPr>
                <w:rFonts w:ascii="Arial" w:hAnsi="Arial" w:cs="Arial"/>
                <w:b/>
                <w:bCs/>
                <w:sz w:val="22"/>
                <w:szCs w:val="22"/>
              </w:rPr>
              <w:t>ESTIMATED OVERALL REDUCTION</w:t>
            </w:r>
          </w:p>
        </w:tc>
        <w:tc>
          <w:tcPr>
            <w:tcW w:w="2976" w:type="dxa"/>
            <w:gridSpan w:val="3"/>
            <w:tcBorders>
              <w:top w:val="single" w:sz="8" w:space="0" w:color="auto"/>
              <w:left w:val="nil"/>
              <w:bottom w:val="single" w:sz="8" w:space="0" w:color="auto"/>
              <w:right w:val="single" w:sz="8" w:space="0" w:color="000000"/>
            </w:tcBorders>
            <w:shd w:val="clear" w:color="000000" w:fill="F2F2F2"/>
            <w:vAlign w:val="center"/>
            <w:hideMark/>
          </w:tcPr>
          <w:p w14:paraId="5E412FAF" w14:textId="77777777" w:rsidR="008C4D6B" w:rsidRPr="002C1EA6" w:rsidRDefault="008C4D6B" w:rsidP="005436E4">
            <w:pPr>
              <w:jc w:val="center"/>
              <w:rPr>
                <w:rFonts w:ascii="Arial" w:hAnsi="Arial" w:cs="Arial"/>
                <w:b/>
                <w:bCs/>
                <w:sz w:val="22"/>
                <w:szCs w:val="22"/>
              </w:rPr>
            </w:pPr>
            <w:r w:rsidRPr="002C1EA6">
              <w:rPr>
                <w:rFonts w:ascii="Arial" w:hAnsi="Arial" w:cs="Arial"/>
                <w:b/>
                <w:bCs/>
                <w:sz w:val="22"/>
                <w:szCs w:val="22"/>
              </w:rPr>
              <w:t>49%</w:t>
            </w:r>
          </w:p>
        </w:tc>
        <w:tc>
          <w:tcPr>
            <w:tcW w:w="2891" w:type="dxa"/>
            <w:gridSpan w:val="3"/>
            <w:tcBorders>
              <w:top w:val="single" w:sz="8" w:space="0" w:color="auto"/>
              <w:left w:val="nil"/>
              <w:bottom w:val="single" w:sz="8" w:space="0" w:color="auto"/>
              <w:right w:val="single" w:sz="8" w:space="0" w:color="000000"/>
            </w:tcBorders>
            <w:shd w:val="clear" w:color="000000" w:fill="F2F2F2"/>
            <w:vAlign w:val="center"/>
            <w:hideMark/>
          </w:tcPr>
          <w:p w14:paraId="05CF3D45" w14:textId="77777777" w:rsidR="008C4D6B" w:rsidRPr="002C1EA6" w:rsidRDefault="008C4D6B" w:rsidP="005436E4">
            <w:pPr>
              <w:jc w:val="center"/>
              <w:rPr>
                <w:rFonts w:ascii="Arial" w:hAnsi="Arial" w:cs="Arial"/>
                <w:b/>
                <w:bCs/>
                <w:sz w:val="22"/>
                <w:szCs w:val="22"/>
              </w:rPr>
            </w:pPr>
            <w:r w:rsidRPr="002C1EA6">
              <w:rPr>
                <w:rFonts w:ascii="Arial" w:hAnsi="Arial" w:cs="Arial"/>
                <w:b/>
                <w:bCs/>
                <w:sz w:val="22"/>
                <w:szCs w:val="22"/>
              </w:rPr>
              <w:t>58%</w:t>
            </w:r>
          </w:p>
        </w:tc>
      </w:tr>
    </w:tbl>
    <w:p w14:paraId="3088B88E" w14:textId="44DD8F6C" w:rsidR="00670D7E" w:rsidRPr="002C1EA6" w:rsidRDefault="008C4D6B" w:rsidP="002C1EA6">
      <w:pPr>
        <w:ind w:firstLine="720"/>
        <w:rPr>
          <w:rFonts w:ascii="Arial" w:hAnsi="Arial" w:cs="Arial"/>
          <w:sz w:val="22"/>
          <w:szCs w:val="22"/>
        </w:rPr>
      </w:pPr>
      <w:r w:rsidRPr="002C1EA6">
        <w:rPr>
          <w:rFonts w:ascii="Arial" w:hAnsi="Arial" w:cs="Arial"/>
          <w:sz w:val="22"/>
          <w:szCs w:val="22"/>
        </w:rPr>
        <w:t>Source: Customs &amp; Trade Administration – Guyana Revenue Authority, 2018</w:t>
      </w:r>
    </w:p>
    <w:p w14:paraId="597A2933" w14:textId="77777777" w:rsidR="00670D7E" w:rsidRPr="002C1EA6" w:rsidRDefault="00670D7E" w:rsidP="00F21C58">
      <w:pPr>
        <w:jc w:val="both"/>
        <w:rPr>
          <w:rFonts w:ascii="Arial" w:hAnsi="Arial" w:cs="Arial"/>
          <w:sz w:val="22"/>
          <w:szCs w:val="22"/>
        </w:rPr>
      </w:pPr>
    </w:p>
    <w:p w14:paraId="0BDA63A6" w14:textId="6C5FA415" w:rsidR="0072373D" w:rsidRPr="002C1EA6" w:rsidRDefault="0072373D" w:rsidP="0072373D">
      <w:pPr>
        <w:jc w:val="center"/>
        <w:rPr>
          <w:rFonts w:ascii="Arial" w:hAnsi="Arial" w:cs="Arial"/>
          <w:b/>
          <w:sz w:val="22"/>
          <w:szCs w:val="22"/>
        </w:rPr>
      </w:pPr>
      <w:r w:rsidRPr="002C1EA6">
        <w:rPr>
          <w:rFonts w:ascii="Arial" w:hAnsi="Arial" w:cs="Arial"/>
          <w:b/>
          <w:sz w:val="22"/>
          <w:szCs w:val="22"/>
        </w:rPr>
        <w:t xml:space="preserve">Table 2.  Customs Declarations Processed by Officer </w:t>
      </w:r>
      <w:r w:rsidR="009103AD" w:rsidRPr="002C1EA6">
        <w:rPr>
          <w:rFonts w:ascii="Arial" w:hAnsi="Arial" w:cs="Arial"/>
          <w:b/>
          <w:sz w:val="22"/>
          <w:szCs w:val="22"/>
        </w:rPr>
        <w:t xml:space="preserve">in </w:t>
      </w:r>
      <w:r w:rsidRPr="002C1EA6">
        <w:rPr>
          <w:rFonts w:ascii="Arial" w:hAnsi="Arial" w:cs="Arial"/>
          <w:b/>
          <w:sz w:val="22"/>
          <w:szCs w:val="22"/>
        </w:rPr>
        <w:t>2016</w:t>
      </w:r>
    </w:p>
    <w:p w14:paraId="27EE49A6" w14:textId="55282C50" w:rsidR="0072373D" w:rsidRPr="002C1EA6" w:rsidRDefault="0072373D" w:rsidP="00F21C58">
      <w:pPr>
        <w:jc w:val="both"/>
        <w:rPr>
          <w:rFonts w:ascii="Arial" w:hAnsi="Arial" w:cs="Arial"/>
          <w:sz w:val="22"/>
          <w:szCs w:val="22"/>
        </w:rPr>
      </w:pPr>
    </w:p>
    <w:p w14:paraId="0138EE68" w14:textId="39FE5069" w:rsidR="0072373D" w:rsidRPr="002C1EA6" w:rsidRDefault="0072373D" w:rsidP="0072373D">
      <w:pPr>
        <w:jc w:val="center"/>
        <w:rPr>
          <w:rFonts w:ascii="Arial" w:hAnsi="Arial" w:cs="Arial"/>
          <w:sz w:val="22"/>
          <w:szCs w:val="22"/>
        </w:rPr>
      </w:pPr>
      <w:r w:rsidRPr="002C1EA6">
        <w:rPr>
          <w:rFonts w:ascii="Arial" w:hAnsi="Arial" w:cs="Arial"/>
          <w:noProof/>
          <w:sz w:val="22"/>
          <w:szCs w:val="22"/>
        </w:rPr>
        <w:drawing>
          <wp:inline distT="0" distB="0" distL="0" distR="0" wp14:anchorId="33717D1F" wp14:editId="23D9D807">
            <wp:extent cx="5486400" cy="3387090"/>
            <wp:effectExtent l="0" t="0" r="0" b="3810"/>
            <wp:docPr id="2" name="Picture 2" descr="https://lh4.googleusercontent.com/NHKeVX5Fm8PjTkWrxC4Eg2S9Sv7sTJQXQcy1GJN-KVGPIeaeehImO8iFJGpHQfGodKcDiS9GBuQcVLeF583rFnmbkjZCTTjQIGn3ZEWm0sHcmFos5adAm25Qn7XwxDEEUiFMGk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NHKeVX5Fm8PjTkWrxC4Eg2S9Sv7sTJQXQcy1GJN-KVGPIeaeehImO8iFJGpHQfGodKcDiS9GBuQcVLeF583rFnmbkjZCTTjQIGn3ZEWm0sHcmFos5adAm25Qn7XwxDEEUiFMGkF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387090"/>
                    </a:xfrm>
                    <a:prstGeom prst="rect">
                      <a:avLst/>
                    </a:prstGeom>
                    <a:noFill/>
                    <a:ln>
                      <a:noFill/>
                    </a:ln>
                  </pic:spPr>
                </pic:pic>
              </a:graphicData>
            </a:graphic>
          </wp:inline>
        </w:drawing>
      </w:r>
    </w:p>
    <w:p w14:paraId="52932163" w14:textId="7174AE3A" w:rsidR="005E37E0" w:rsidRPr="002C1EA6" w:rsidRDefault="005E37E0" w:rsidP="005E37E0">
      <w:pPr>
        <w:jc w:val="both"/>
        <w:rPr>
          <w:rFonts w:ascii="Arial" w:hAnsi="Arial" w:cs="Arial"/>
          <w:sz w:val="22"/>
          <w:szCs w:val="22"/>
        </w:rPr>
      </w:pPr>
    </w:p>
    <w:p w14:paraId="3B0B4E89" w14:textId="77777777" w:rsidR="00670D7E" w:rsidRPr="002C1EA6" w:rsidRDefault="00670D7E" w:rsidP="0099134B">
      <w:pPr>
        <w:jc w:val="center"/>
        <w:rPr>
          <w:rFonts w:ascii="Arial" w:hAnsi="Arial" w:cs="Arial"/>
          <w:b/>
          <w:sz w:val="22"/>
          <w:szCs w:val="22"/>
        </w:rPr>
      </w:pPr>
    </w:p>
    <w:p w14:paraId="50ECEFAC" w14:textId="7971B9A0" w:rsidR="00670D7E" w:rsidRPr="002C1EA6" w:rsidRDefault="00670D7E" w:rsidP="0099134B">
      <w:pPr>
        <w:jc w:val="center"/>
        <w:rPr>
          <w:rFonts w:ascii="Arial" w:hAnsi="Arial" w:cs="Arial"/>
          <w:b/>
          <w:sz w:val="22"/>
          <w:szCs w:val="22"/>
        </w:rPr>
      </w:pPr>
    </w:p>
    <w:p w14:paraId="1AEB2E35" w14:textId="4B585D21" w:rsidR="00A13F59" w:rsidRPr="002C1EA6" w:rsidRDefault="00A13F59" w:rsidP="0099134B">
      <w:pPr>
        <w:jc w:val="center"/>
        <w:rPr>
          <w:rFonts w:ascii="Arial" w:hAnsi="Arial" w:cs="Arial"/>
          <w:b/>
          <w:sz w:val="22"/>
          <w:szCs w:val="22"/>
        </w:rPr>
      </w:pPr>
    </w:p>
    <w:p w14:paraId="17F98578" w14:textId="5A821533" w:rsidR="00A13F59" w:rsidRPr="002C1EA6" w:rsidRDefault="00A13F59" w:rsidP="0099134B">
      <w:pPr>
        <w:jc w:val="center"/>
        <w:rPr>
          <w:rFonts w:ascii="Arial" w:hAnsi="Arial" w:cs="Arial"/>
          <w:b/>
          <w:sz w:val="22"/>
          <w:szCs w:val="22"/>
        </w:rPr>
      </w:pPr>
    </w:p>
    <w:p w14:paraId="4B741FBE" w14:textId="02D3F269" w:rsidR="00A13F59" w:rsidRDefault="00A13F59" w:rsidP="0099134B">
      <w:pPr>
        <w:jc w:val="center"/>
        <w:rPr>
          <w:rFonts w:ascii="Arial" w:hAnsi="Arial" w:cs="Arial"/>
          <w:b/>
          <w:sz w:val="22"/>
          <w:szCs w:val="22"/>
        </w:rPr>
      </w:pPr>
    </w:p>
    <w:p w14:paraId="18076743" w14:textId="6F1122E5" w:rsidR="002C1EA6" w:rsidRDefault="002C1EA6" w:rsidP="0099134B">
      <w:pPr>
        <w:jc w:val="center"/>
        <w:rPr>
          <w:rFonts w:ascii="Arial" w:hAnsi="Arial" w:cs="Arial"/>
          <w:b/>
          <w:sz w:val="22"/>
          <w:szCs w:val="22"/>
        </w:rPr>
      </w:pPr>
    </w:p>
    <w:p w14:paraId="7F74ACD0" w14:textId="3A16B10E" w:rsidR="002C1EA6" w:rsidRDefault="002C1EA6" w:rsidP="0099134B">
      <w:pPr>
        <w:jc w:val="center"/>
        <w:rPr>
          <w:rFonts w:ascii="Arial" w:hAnsi="Arial" w:cs="Arial"/>
          <w:b/>
          <w:sz w:val="22"/>
          <w:szCs w:val="22"/>
        </w:rPr>
      </w:pPr>
    </w:p>
    <w:p w14:paraId="13934BEB" w14:textId="14D42415" w:rsidR="002C1EA6" w:rsidRDefault="002C1EA6" w:rsidP="0099134B">
      <w:pPr>
        <w:jc w:val="center"/>
        <w:rPr>
          <w:rFonts w:ascii="Arial" w:hAnsi="Arial" w:cs="Arial"/>
          <w:b/>
          <w:sz w:val="22"/>
          <w:szCs w:val="22"/>
        </w:rPr>
      </w:pPr>
    </w:p>
    <w:p w14:paraId="2978E577" w14:textId="77777777" w:rsidR="002C1EA6" w:rsidRPr="002C1EA6" w:rsidRDefault="002C1EA6" w:rsidP="0099134B">
      <w:pPr>
        <w:jc w:val="center"/>
        <w:rPr>
          <w:rFonts w:ascii="Arial" w:hAnsi="Arial" w:cs="Arial"/>
          <w:b/>
          <w:sz w:val="22"/>
          <w:szCs w:val="22"/>
        </w:rPr>
      </w:pPr>
    </w:p>
    <w:p w14:paraId="33ABA522" w14:textId="77777777" w:rsidR="00A13F59" w:rsidRPr="002C1EA6" w:rsidRDefault="00A13F59" w:rsidP="0099134B">
      <w:pPr>
        <w:jc w:val="center"/>
        <w:rPr>
          <w:rFonts w:ascii="Arial" w:hAnsi="Arial" w:cs="Arial"/>
          <w:b/>
          <w:sz w:val="22"/>
          <w:szCs w:val="22"/>
        </w:rPr>
      </w:pPr>
    </w:p>
    <w:p w14:paraId="7AE90DFE" w14:textId="77777777" w:rsidR="00670D7E" w:rsidRPr="002C1EA6" w:rsidRDefault="00670D7E" w:rsidP="0099134B">
      <w:pPr>
        <w:jc w:val="center"/>
        <w:rPr>
          <w:rFonts w:ascii="Arial" w:hAnsi="Arial" w:cs="Arial"/>
          <w:b/>
          <w:sz w:val="22"/>
          <w:szCs w:val="22"/>
        </w:rPr>
      </w:pPr>
    </w:p>
    <w:p w14:paraId="5543CC2F" w14:textId="77777777" w:rsidR="00670D7E" w:rsidRPr="002C1EA6" w:rsidRDefault="00670D7E" w:rsidP="0099134B">
      <w:pPr>
        <w:jc w:val="center"/>
        <w:rPr>
          <w:rFonts w:ascii="Arial" w:hAnsi="Arial" w:cs="Arial"/>
          <w:b/>
          <w:sz w:val="22"/>
          <w:szCs w:val="22"/>
        </w:rPr>
      </w:pPr>
    </w:p>
    <w:p w14:paraId="1BE4A27B" w14:textId="77777777" w:rsidR="00670D7E" w:rsidRPr="002C1EA6" w:rsidRDefault="00670D7E" w:rsidP="0099134B">
      <w:pPr>
        <w:jc w:val="center"/>
        <w:rPr>
          <w:rFonts w:ascii="Arial" w:hAnsi="Arial" w:cs="Arial"/>
          <w:b/>
          <w:sz w:val="22"/>
          <w:szCs w:val="22"/>
        </w:rPr>
      </w:pPr>
    </w:p>
    <w:p w14:paraId="244CCA0D" w14:textId="24FD1393" w:rsidR="005E37E0" w:rsidRPr="002C1EA6" w:rsidRDefault="005E37E0" w:rsidP="0099134B">
      <w:pPr>
        <w:jc w:val="center"/>
        <w:rPr>
          <w:rFonts w:ascii="Arial" w:hAnsi="Arial" w:cs="Arial"/>
          <w:b/>
          <w:sz w:val="22"/>
          <w:szCs w:val="22"/>
        </w:rPr>
      </w:pPr>
      <w:r w:rsidRPr="002C1EA6">
        <w:rPr>
          <w:rFonts w:ascii="Arial" w:hAnsi="Arial" w:cs="Arial"/>
          <w:b/>
          <w:sz w:val="22"/>
          <w:szCs w:val="22"/>
        </w:rPr>
        <w:lastRenderedPageBreak/>
        <w:t xml:space="preserve">Table 3. </w:t>
      </w:r>
      <w:r w:rsidR="00670D7E" w:rsidRPr="002C1EA6">
        <w:rPr>
          <w:rFonts w:ascii="Arial" w:hAnsi="Arial" w:cs="Arial"/>
          <w:b/>
          <w:sz w:val="22"/>
          <w:szCs w:val="22"/>
        </w:rPr>
        <w:t xml:space="preserve">Main Lines of Action </w:t>
      </w:r>
    </w:p>
    <w:p w14:paraId="37B7535C" w14:textId="0F05B55C" w:rsidR="005E37E0" w:rsidRPr="002C1EA6" w:rsidRDefault="005E37E0" w:rsidP="0072373D">
      <w:pPr>
        <w:jc w:val="cente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390"/>
        <w:gridCol w:w="1755"/>
        <w:gridCol w:w="1691"/>
      </w:tblGrid>
      <w:tr w:rsidR="005E37E0" w:rsidRPr="002C1EA6" w14:paraId="1B323797" w14:textId="77777777" w:rsidTr="005436E4">
        <w:trPr>
          <w:jc w:val="center"/>
        </w:trPr>
        <w:tc>
          <w:tcPr>
            <w:tcW w:w="2515" w:type="dxa"/>
            <w:shd w:val="clear" w:color="auto" w:fill="auto"/>
          </w:tcPr>
          <w:p w14:paraId="6FF36AFB" w14:textId="77777777" w:rsidR="005E37E0" w:rsidRPr="002C1EA6" w:rsidRDefault="005E37E0" w:rsidP="005E37E0">
            <w:pPr>
              <w:rPr>
                <w:rFonts w:ascii="Arial" w:hAnsi="Arial" w:cs="Arial"/>
                <w:b/>
                <w:sz w:val="22"/>
                <w:szCs w:val="22"/>
                <w:u w:val="single"/>
              </w:rPr>
            </w:pPr>
            <w:r w:rsidRPr="002C1EA6">
              <w:rPr>
                <w:rFonts w:ascii="Arial" w:hAnsi="Arial" w:cs="Arial"/>
                <w:b/>
                <w:sz w:val="22"/>
                <w:szCs w:val="22"/>
                <w:u w:val="single"/>
              </w:rPr>
              <w:t>Problem</w:t>
            </w:r>
          </w:p>
        </w:tc>
        <w:tc>
          <w:tcPr>
            <w:tcW w:w="2390" w:type="dxa"/>
            <w:shd w:val="clear" w:color="auto" w:fill="auto"/>
          </w:tcPr>
          <w:p w14:paraId="685C1E56" w14:textId="77777777" w:rsidR="005E37E0" w:rsidRPr="002C1EA6" w:rsidRDefault="005E37E0" w:rsidP="005E37E0">
            <w:pPr>
              <w:rPr>
                <w:rFonts w:ascii="Arial" w:hAnsi="Arial" w:cs="Arial"/>
                <w:b/>
                <w:sz w:val="22"/>
                <w:szCs w:val="22"/>
                <w:u w:val="single"/>
              </w:rPr>
            </w:pPr>
            <w:r w:rsidRPr="002C1EA6">
              <w:rPr>
                <w:rFonts w:ascii="Arial" w:hAnsi="Arial" w:cs="Arial"/>
                <w:b/>
                <w:sz w:val="22"/>
                <w:szCs w:val="22"/>
                <w:u w:val="single"/>
              </w:rPr>
              <w:t>Contributing Factor(s)</w:t>
            </w:r>
          </w:p>
        </w:tc>
        <w:tc>
          <w:tcPr>
            <w:tcW w:w="1755" w:type="dxa"/>
            <w:shd w:val="clear" w:color="auto" w:fill="auto"/>
          </w:tcPr>
          <w:p w14:paraId="3104AC86" w14:textId="77777777" w:rsidR="005E37E0" w:rsidRPr="002C1EA6" w:rsidRDefault="005E37E0" w:rsidP="005E37E0">
            <w:pPr>
              <w:rPr>
                <w:rFonts w:ascii="Arial" w:hAnsi="Arial" w:cs="Arial"/>
                <w:b/>
                <w:sz w:val="22"/>
                <w:szCs w:val="22"/>
                <w:u w:val="single"/>
              </w:rPr>
            </w:pPr>
            <w:r w:rsidRPr="002C1EA6">
              <w:rPr>
                <w:rFonts w:ascii="Arial" w:hAnsi="Arial" w:cs="Arial"/>
                <w:b/>
                <w:sz w:val="22"/>
                <w:szCs w:val="22"/>
                <w:u w:val="single"/>
              </w:rPr>
              <w:t>Impact</w:t>
            </w:r>
          </w:p>
        </w:tc>
        <w:tc>
          <w:tcPr>
            <w:tcW w:w="1691" w:type="dxa"/>
            <w:shd w:val="clear" w:color="auto" w:fill="auto"/>
          </w:tcPr>
          <w:p w14:paraId="1B5B5E02" w14:textId="77777777" w:rsidR="005E37E0" w:rsidRPr="002C1EA6" w:rsidRDefault="005E37E0" w:rsidP="005E37E0">
            <w:pPr>
              <w:rPr>
                <w:rFonts w:ascii="Arial" w:hAnsi="Arial" w:cs="Arial"/>
                <w:b/>
                <w:sz w:val="22"/>
                <w:szCs w:val="22"/>
                <w:u w:val="single"/>
              </w:rPr>
            </w:pPr>
            <w:r w:rsidRPr="002C1EA6">
              <w:rPr>
                <w:rFonts w:ascii="Arial" w:hAnsi="Arial" w:cs="Arial"/>
                <w:b/>
                <w:sz w:val="22"/>
                <w:szCs w:val="22"/>
                <w:u w:val="single"/>
              </w:rPr>
              <w:t>Proposed Intervention</w:t>
            </w:r>
          </w:p>
        </w:tc>
      </w:tr>
      <w:tr w:rsidR="005E37E0" w:rsidRPr="002C1EA6" w14:paraId="15228F55" w14:textId="77777777" w:rsidTr="005436E4">
        <w:trPr>
          <w:jc w:val="center"/>
        </w:trPr>
        <w:tc>
          <w:tcPr>
            <w:tcW w:w="2515" w:type="dxa"/>
            <w:shd w:val="clear" w:color="auto" w:fill="auto"/>
          </w:tcPr>
          <w:p w14:paraId="708B4C8E" w14:textId="77777777" w:rsidR="005E37E0" w:rsidRPr="002C1EA6" w:rsidRDefault="005E37E0" w:rsidP="005E37E0">
            <w:pPr>
              <w:rPr>
                <w:rFonts w:ascii="Arial" w:hAnsi="Arial" w:cs="Arial"/>
                <w:sz w:val="22"/>
                <w:szCs w:val="22"/>
              </w:rPr>
            </w:pPr>
            <w:r w:rsidRPr="002C1EA6">
              <w:rPr>
                <w:rFonts w:ascii="Arial" w:hAnsi="Arial" w:cs="Arial"/>
                <w:sz w:val="22"/>
                <w:szCs w:val="22"/>
              </w:rPr>
              <w:t>Redundant processes, duplication of forms and requirements to import and export, and reliance on paper documents.</w:t>
            </w:r>
          </w:p>
        </w:tc>
        <w:tc>
          <w:tcPr>
            <w:tcW w:w="2390" w:type="dxa"/>
            <w:shd w:val="clear" w:color="auto" w:fill="auto"/>
          </w:tcPr>
          <w:p w14:paraId="2B04E656" w14:textId="77777777" w:rsidR="005E37E0" w:rsidRPr="002C1EA6" w:rsidRDefault="005E37E0" w:rsidP="005E37E0">
            <w:pPr>
              <w:rPr>
                <w:rFonts w:ascii="Arial" w:hAnsi="Arial" w:cs="Arial"/>
                <w:sz w:val="22"/>
                <w:szCs w:val="22"/>
              </w:rPr>
            </w:pPr>
            <w:r w:rsidRPr="002C1EA6">
              <w:rPr>
                <w:rFonts w:ascii="Arial" w:hAnsi="Arial" w:cs="Arial"/>
                <w:sz w:val="22"/>
                <w:szCs w:val="22"/>
              </w:rPr>
              <w:t>Outdated procedures that were designed from the point of the view of the government agency with little regard for the user of the service.</w:t>
            </w:r>
          </w:p>
        </w:tc>
        <w:tc>
          <w:tcPr>
            <w:tcW w:w="1755" w:type="dxa"/>
            <w:shd w:val="clear" w:color="auto" w:fill="auto"/>
          </w:tcPr>
          <w:p w14:paraId="760549BB" w14:textId="77777777" w:rsidR="005E37E0" w:rsidRPr="002C1EA6" w:rsidRDefault="005E37E0" w:rsidP="005E37E0">
            <w:pPr>
              <w:rPr>
                <w:rFonts w:ascii="Arial" w:hAnsi="Arial" w:cs="Arial"/>
                <w:sz w:val="22"/>
                <w:szCs w:val="22"/>
              </w:rPr>
            </w:pPr>
            <w:r w:rsidRPr="002C1EA6">
              <w:rPr>
                <w:rFonts w:ascii="Arial" w:hAnsi="Arial" w:cs="Arial"/>
                <w:sz w:val="22"/>
                <w:szCs w:val="22"/>
              </w:rPr>
              <w:t xml:space="preserve">Increased transaction costs and time for trade operators. </w:t>
            </w:r>
          </w:p>
        </w:tc>
        <w:tc>
          <w:tcPr>
            <w:tcW w:w="1691" w:type="dxa"/>
            <w:shd w:val="clear" w:color="auto" w:fill="auto"/>
          </w:tcPr>
          <w:p w14:paraId="43EA78A1" w14:textId="77777777" w:rsidR="005E37E0" w:rsidRPr="002C1EA6" w:rsidRDefault="005E37E0" w:rsidP="005E37E0">
            <w:pPr>
              <w:rPr>
                <w:rFonts w:ascii="Arial" w:hAnsi="Arial" w:cs="Arial"/>
                <w:sz w:val="22"/>
                <w:szCs w:val="22"/>
              </w:rPr>
            </w:pPr>
            <w:r w:rsidRPr="002C1EA6">
              <w:rPr>
                <w:rFonts w:ascii="Arial" w:hAnsi="Arial" w:cs="Arial"/>
                <w:sz w:val="22"/>
                <w:szCs w:val="22"/>
              </w:rPr>
              <w:t>Complete business process reengineering to harmonize documents and streamline processes.</w:t>
            </w:r>
          </w:p>
        </w:tc>
      </w:tr>
      <w:tr w:rsidR="005E37E0" w:rsidRPr="002C1EA6" w14:paraId="4AF0A883" w14:textId="77777777" w:rsidTr="005436E4">
        <w:trPr>
          <w:jc w:val="center"/>
        </w:trPr>
        <w:tc>
          <w:tcPr>
            <w:tcW w:w="2515" w:type="dxa"/>
            <w:shd w:val="clear" w:color="auto" w:fill="auto"/>
          </w:tcPr>
          <w:p w14:paraId="69E1775C" w14:textId="77777777" w:rsidR="005E37E0" w:rsidRPr="002C1EA6" w:rsidRDefault="005E37E0" w:rsidP="005E37E0">
            <w:pPr>
              <w:rPr>
                <w:rFonts w:ascii="Arial" w:hAnsi="Arial" w:cs="Arial"/>
                <w:sz w:val="22"/>
                <w:szCs w:val="22"/>
              </w:rPr>
            </w:pPr>
            <w:r w:rsidRPr="002C1EA6">
              <w:rPr>
                <w:rFonts w:ascii="Arial" w:hAnsi="Arial" w:cs="Arial"/>
                <w:sz w:val="22"/>
                <w:szCs w:val="22"/>
              </w:rPr>
              <w:t>High rate of physical inspection with limited results and detections.</w:t>
            </w:r>
          </w:p>
        </w:tc>
        <w:tc>
          <w:tcPr>
            <w:tcW w:w="2390" w:type="dxa"/>
            <w:shd w:val="clear" w:color="auto" w:fill="auto"/>
          </w:tcPr>
          <w:p w14:paraId="09ACE934" w14:textId="77777777" w:rsidR="005E37E0" w:rsidRPr="002C1EA6" w:rsidRDefault="005E37E0" w:rsidP="005E37E0">
            <w:pPr>
              <w:rPr>
                <w:rFonts w:ascii="Arial" w:hAnsi="Arial" w:cs="Arial"/>
                <w:sz w:val="22"/>
                <w:szCs w:val="22"/>
              </w:rPr>
            </w:pPr>
            <w:r w:rsidRPr="002C1EA6">
              <w:rPr>
                <w:rFonts w:ascii="Arial" w:hAnsi="Arial" w:cs="Arial"/>
                <w:sz w:val="22"/>
                <w:szCs w:val="22"/>
              </w:rPr>
              <w:t>Absence of a modern risk management system.</w:t>
            </w:r>
          </w:p>
        </w:tc>
        <w:tc>
          <w:tcPr>
            <w:tcW w:w="1755" w:type="dxa"/>
            <w:shd w:val="clear" w:color="auto" w:fill="auto"/>
          </w:tcPr>
          <w:p w14:paraId="497B2F21" w14:textId="77777777" w:rsidR="005E37E0" w:rsidRPr="002C1EA6" w:rsidRDefault="005E37E0" w:rsidP="005E37E0">
            <w:pPr>
              <w:rPr>
                <w:rFonts w:ascii="Arial" w:hAnsi="Arial" w:cs="Arial"/>
                <w:sz w:val="22"/>
                <w:szCs w:val="22"/>
              </w:rPr>
            </w:pPr>
            <w:r w:rsidRPr="002C1EA6">
              <w:rPr>
                <w:rFonts w:ascii="Arial" w:hAnsi="Arial" w:cs="Arial"/>
                <w:sz w:val="22"/>
                <w:szCs w:val="22"/>
              </w:rPr>
              <w:t>Increased transaction costs and lengthy processing time for traders.</w:t>
            </w:r>
          </w:p>
        </w:tc>
        <w:tc>
          <w:tcPr>
            <w:tcW w:w="1691" w:type="dxa"/>
            <w:shd w:val="clear" w:color="auto" w:fill="auto"/>
          </w:tcPr>
          <w:p w14:paraId="15CBEA85" w14:textId="77777777" w:rsidR="005E37E0" w:rsidRPr="002C1EA6" w:rsidRDefault="005E37E0" w:rsidP="005E37E0">
            <w:pPr>
              <w:rPr>
                <w:rFonts w:ascii="Arial" w:hAnsi="Arial" w:cs="Arial"/>
                <w:sz w:val="22"/>
                <w:szCs w:val="22"/>
              </w:rPr>
            </w:pPr>
            <w:r w:rsidRPr="002C1EA6">
              <w:rPr>
                <w:rFonts w:ascii="Arial" w:hAnsi="Arial" w:cs="Arial"/>
                <w:sz w:val="22"/>
                <w:szCs w:val="22"/>
              </w:rPr>
              <w:t>Implement a robust risk management system based on international best practices.</w:t>
            </w:r>
          </w:p>
        </w:tc>
      </w:tr>
      <w:tr w:rsidR="005E37E0" w:rsidRPr="002C1EA6" w14:paraId="2691230C" w14:textId="77777777" w:rsidTr="005436E4">
        <w:trPr>
          <w:jc w:val="center"/>
        </w:trPr>
        <w:tc>
          <w:tcPr>
            <w:tcW w:w="2515" w:type="dxa"/>
            <w:shd w:val="clear" w:color="auto" w:fill="auto"/>
          </w:tcPr>
          <w:p w14:paraId="0D7D8C46" w14:textId="77777777" w:rsidR="005E37E0" w:rsidRPr="002C1EA6" w:rsidRDefault="005E37E0" w:rsidP="005E37E0">
            <w:pPr>
              <w:rPr>
                <w:rFonts w:ascii="Arial" w:hAnsi="Arial" w:cs="Arial"/>
                <w:sz w:val="22"/>
                <w:szCs w:val="22"/>
              </w:rPr>
            </w:pPr>
            <w:r w:rsidRPr="002C1EA6">
              <w:rPr>
                <w:rFonts w:ascii="Arial" w:hAnsi="Arial" w:cs="Arial"/>
                <w:sz w:val="22"/>
                <w:szCs w:val="22"/>
              </w:rPr>
              <w:t>Limited use of IT systems and online services to process imports and exports.</w:t>
            </w:r>
          </w:p>
        </w:tc>
        <w:tc>
          <w:tcPr>
            <w:tcW w:w="2390" w:type="dxa"/>
            <w:shd w:val="clear" w:color="auto" w:fill="auto"/>
          </w:tcPr>
          <w:p w14:paraId="247B1560" w14:textId="77777777" w:rsidR="005E37E0" w:rsidRPr="002C1EA6" w:rsidRDefault="005E37E0" w:rsidP="005E37E0">
            <w:pPr>
              <w:rPr>
                <w:rFonts w:ascii="Arial" w:hAnsi="Arial" w:cs="Arial"/>
                <w:sz w:val="22"/>
                <w:szCs w:val="22"/>
              </w:rPr>
            </w:pPr>
            <w:r w:rsidRPr="002C1EA6">
              <w:rPr>
                <w:rFonts w:ascii="Arial" w:hAnsi="Arial" w:cs="Arial"/>
                <w:sz w:val="22"/>
                <w:szCs w:val="22"/>
              </w:rPr>
              <w:t>Lack of financial resources to enhance internet access and purchase IT equipment.</w:t>
            </w:r>
          </w:p>
        </w:tc>
        <w:tc>
          <w:tcPr>
            <w:tcW w:w="1755" w:type="dxa"/>
            <w:shd w:val="clear" w:color="auto" w:fill="auto"/>
          </w:tcPr>
          <w:p w14:paraId="20EFC357" w14:textId="77777777" w:rsidR="005E37E0" w:rsidRPr="002C1EA6" w:rsidRDefault="005E37E0" w:rsidP="005E37E0">
            <w:pPr>
              <w:rPr>
                <w:rFonts w:ascii="Arial" w:hAnsi="Arial" w:cs="Arial"/>
                <w:sz w:val="22"/>
                <w:szCs w:val="22"/>
              </w:rPr>
            </w:pPr>
            <w:r w:rsidRPr="002C1EA6">
              <w:rPr>
                <w:rFonts w:ascii="Arial" w:hAnsi="Arial" w:cs="Arial"/>
                <w:sz w:val="22"/>
                <w:szCs w:val="22"/>
              </w:rPr>
              <w:t>Increased transaction costs and lengthy processing time for traders.</w:t>
            </w:r>
          </w:p>
        </w:tc>
        <w:tc>
          <w:tcPr>
            <w:tcW w:w="1691" w:type="dxa"/>
            <w:shd w:val="clear" w:color="auto" w:fill="auto"/>
          </w:tcPr>
          <w:p w14:paraId="2925B4AD" w14:textId="77777777" w:rsidR="005E37E0" w:rsidRPr="002C1EA6" w:rsidRDefault="005E37E0" w:rsidP="005E37E0">
            <w:pPr>
              <w:rPr>
                <w:rFonts w:ascii="Arial" w:hAnsi="Arial" w:cs="Arial"/>
                <w:sz w:val="22"/>
                <w:szCs w:val="22"/>
              </w:rPr>
            </w:pPr>
            <w:r w:rsidRPr="002C1EA6">
              <w:rPr>
                <w:rFonts w:ascii="Arial" w:hAnsi="Arial" w:cs="Arial"/>
                <w:sz w:val="22"/>
                <w:szCs w:val="22"/>
              </w:rPr>
              <w:t>Fund the acquisition of IT equipment and expand internet access in selected government agencies.</w:t>
            </w:r>
          </w:p>
        </w:tc>
      </w:tr>
      <w:tr w:rsidR="005E37E0" w:rsidRPr="002C1EA6" w14:paraId="07FB117D" w14:textId="77777777" w:rsidTr="005436E4">
        <w:trPr>
          <w:jc w:val="center"/>
        </w:trPr>
        <w:tc>
          <w:tcPr>
            <w:tcW w:w="2515" w:type="dxa"/>
            <w:shd w:val="clear" w:color="auto" w:fill="auto"/>
          </w:tcPr>
          <w:p w14:paraId="28FA40CD" w14:textId="77777777" w:rsidR="005E37E0" w:rsidRPr="002C1EA6" w:rsidRDefault="005E37E0" w:rsidP="005E37E0">
            <w:pPr>
              <w:rPr>
                <w:rFonts w:ascii="Arial" w:hAnsi="Arial" w:cs="Arial"/>
                <w:sz w:val="22"/>
                <w:szCs w:val="22"/>
              </w:rPr>
            </w:pPr>
            <w:r w:rsidRPr="002C1EA6">
              <w:rPr>
                <w:rFonts w:ascii="Arial" w:hAnsi="Arial" w:cs="Arial"/>
                <w:sz w:val="22"/>
                <w:szCs w:val="22"/>
              </w:rPr>
              <w:t>Low level of computer literacy skills among human resources.</w:t>
            </w:r>
          </w:p>
        </w:tc>
        <w:tc>
          <w:tcPr>
            <w:tcW w:w="2390" w:type="dxa"/>
            <w:shd w:val="clear" w:color="auto" w:fill="auto"/>
          </w:tcPr>
          <w:p w14:paraId="2394D037" w14:textId="77777777" w:rsidR="005E37E0" w:rsidRPr="002C1EA6" w:rsidRDefault="005E37E0" w:rsidP="005E37E0">
            <w:pPr>
              <w:rPr>
                <w:rFonts w:ascii="Arial" w:hAnsi="Arial" w:cs="Arial"/>
                <w:sz w:val="22"/>
                <w:szCs w:val="22"/>
              </w:rPr>
            </w:pPr>
            <w:r w:rsidRPr="002C1EA6">
              <w:rPr>
                <w:rFonts w:ascii="Arial" w:hAnsi="Arial" w:cs="Arial"/>
                <w:sz w:val="22"/>
                <w:szCs w:val="22"/>
              </w:rPr>
              <w:t>Inadequate training program and outdated human resource policies.</w:t>
            </w:r>
          </w:p>
        </w:tc>
        <w:tc>
          <w:tcPr>
            <w:tcW w:w="1755" w:type="dxa"/>
            <w:shd w:val="clear" w:color="auto" w:fill="auto"/>
          </w:tcPr>
          <w:p w14:paraId="1F049C5C" w14:textId="77777777" w:rsidR="005E37E0" w:rsidRPr="002C1EA6" w:rsidRDefault="005E37E0" w:rsidP="005E37E0">
            <w:pPr>
              <w:rPr>
                <w:rFonts w:ascii="Arial" w:hAnsi="Arial" w:cs="Arial"/>
                <w:sz w:val="22"/>
                <w:szCs w:val="22"/>
              </w:rPr>
            </w:pPr>
            <w:r w:rsidRPr="002C1EA6">
              <w:rPr>
                <w:rFonts w:ascii="Arial" w:hAnsi="Arial" w:cs="Arial"/>
                <w:sz w:val="22"/>
                <w:szCs w:val="22"/>
              </w:rPr>
              <w:t>Increased transaction costs and lengthy processing time for traders.</w:t>
            </w:r>
          </w:p>
        </w:tc>
        <w:tc>
          <w:tcPr>
            <w:tcW w:w="1691" w:type="dxa"/>
            <w:shd w:val="clear" w:color="auto" w:fill="auto"/>
          </w:tcPr>
          <w:p w14:paraId="0EEF28C0" w14:textId="77777777" w:rsidR="005E37E0" w:rsidRPr="002C1EA6" w:rsidRDefault="005E37E0" w:rsidP="005E37E0">
            <w:pPr>
              <w:rPr>
                <w:rFonts w:ascii="Arial" w:hAnsi="Arial" w:cs="Arial"/>
                <w:sz w:val="22"/>
                <w:szCs w:val="22"/>
              </w:rPr>
            </w:pPr>
            <w:r w:rsidRPr="002C1EA6">
              <w:rPr>
                <w:rFonts w:ascii="Arial" w:hAnsi="Arial" w:cs="Arial"/>
                <w:sz w:val="22"/>
                <w:szCs w:val="22"/>
              </w:rPr>
              <w:t>Capacity building program to increase computer skills.</w:t>
            </w:r>
          </w:p>
        </w:tc>
      </w:tr>
      <w:tr w:rsidR="005E37E0" w:rsidRPr="002C1EA6" w14:paraId="03C04646" w14:textId="77777777" w:rsidTr="005436E4">
        <w:trPr>
          <w:jc w:val="center"/>
        </w:trPr>
        <w:tc>
          <w:tcPr>
            <w:tcW w:w="2515" w:type="dxa"/>
            <w:shd w:val="clear" w:color="auto" w:fill="auto"/>
          </w:tcPr>
          <w:p w14:paraId="45DAA3AE" w14:textId="77777777" w:rsidR="005E37E0" w:rsidRPr="002C1EA6" w:rsidRDefault="005E37E0" w:rsidP="005E37E0">
            <w:pPr>
              <w:rPr>
                <w:rFonts w:ascii="Arial" w:hAnsi="Arial" w:cs="Arial"/>
                <w:sz w:val="22"/>
                <w:szCs w:val="22"/>
              </w:rPr>
            </w:pPr>
            <w:r w:rsidRPr="002C1EA6">
              <w:rPr>
                <w:rFonts w:ascii="Arial" w:hAnsi="Arial" w:cs="Arial"/>
                <w:sz w:val="22"/>
                <w:szCs w:val="22"/>
              </w:rPr>
              <w:t>Human resources lack technical skills to process imports and exports applying international best practices.</w:t>
            </w:r>
          </w:p>
        </w:tc>
        <w:tc>
          <w:tcPr>
            <w:tcW w:w="2390" w:type="dxa"/>
            <w:shd w:val="clear" w:color="auto" w:fill="auto"/>
          </w:tcPr>
          <w:p w14:paraId="6FC617AF" w14:textId="77777777" w:rsidR="005E37E0" w:rsidRPr="002C1EA6" w:rsidRDefault="005E37E0" w:rsidP="005E37E0">
            <w:pPr>
              <w:rPr>
                <w:rFonts w:ascii="Arial" w:hAnsi="Arial" w:cs="Arial"/>
                <w:sz w:val="22"/>
                <w:szCs w:val="22"/>
              </w:rPr>
            </w:pPr>
            <w:r w:rsidRPr="002C1EA6">
              <w:rPr>
                <w:rFonts w:ascii="Arial" w:hAnsi="Arial" w:cs="Arial"/>
                <w:sz w:val="22"/>
                <w:szCs w:val="22"/>
              </w:rPr>
              <w:t>Inadequate training program and outdated human resource policies.</w:t>
            </w:r>
          </w:p>
        </w:tc>
        <w:tc>
          <w:tcPr>
            <w:tcW w:w="1755" w:type="dxa"/>
            <w:shd w:val="clear" w:color="auto" w:fill="auto"/>
          </w:tcPr>
          <w:p w14:paraId="1D878DBC" w14:textId="77777777" w:rsidR="005E37E0" w:rsidRPr="002C1EA6" w:rsidRDefault="005E37E0" w:rsidP="005E37E0">
            <w:pPr>
              <w:rPr>
                <w:rFonts w:ascii="Arial" w:hAnsi="Arial" w:cs="Arial"/>
                <w:sz w:val="22"/>
                <w:szCs w:val="22"/>
              </w:rPr>
            </w:pPr>
            <w:r w:rsidRPr="002C1EA6">
              <w:rPr>
                <w:rFonts w:ascii="Arial" w:hAnsi="Arial" w:cs="Arial"/>
                <w:sz w:val="22"/>
                <w:szCs w:val="22"/>
              </w:rPr>
              <w:t>Increased transaction costs and lengthy processing time for traders.</w:t>
            </w:r>
          </w:p>
        </w:tc>
        <w:tc>
          <w:tcPr>
            <w:tcW w:w="1691" w:type="dxa"/>
            <w:shd w:val="clear" w:color="auto" w:fill="auto"/>
          </w:tcPr>
          <w:p w14:paraId="74553432" w14:textId="77777777" w:rsidR="005E37E0" w:rsidRPr="002C1EA6" w:rsidRDefault="005E37E0" w:rsidP="005E37E0">
            <w:pPr>
              <w:rPr>
                <w:rFonts w:ascii="Arial" w:hAnsi="Arial" w:cs="Arial"/>
                <w:sz w:val="22"/>
                <w:szCs w:val="22"/>
              </w:rPr>
            </w:pPr>
            <w:r w:rsidRPr="002C1EA6">
              <w:rPr>
                <w:rFonts w:ascii="Arial" w:hAnsi="Arial" w:cs="Arial"/>
                <w:sz w:val="22"/>
                <w:szCs w:val="22"/>
              </w:rPr>
              <w:t>Capacity building program to develop necessary skills.</w:t>
            </w:r>
          </w:p>
        </w:tc>
      </w:tr>
    </w:tbl>
    <w:p w14:paraId="690B4217" w14:textId="5AEAD973" w:rsidR="005E37E0" w:rsidRPr="002C1EA6" w:rsidRDefault="005E37E0" w:rsidP="005E37E0">
      <w:pPr>
        <w:rPr>
          <w:rFonts w:ascii="Arial" w:hAnsi="Arial" w:cs="Arial"/>
          <w:sz w:val="22"/>
          <w:szCs w:val="22"/>
        </w:rPr>
      </w:pPr>
    </w:p>
    <w:p w14:paraId="7EA4F148" w14:textId="18C95590" w:rsidR="00A13F59" w:rsidRPr="002C1EA6" w:rsidRDefault="00A13F59" w:rsidP="005E37E0">
      <w:pPr>
        <w:rPr>
          <w:rFonts w:ascii="Arial" w:hAnsi="Arial" w:cs="Arial"/>
          <w:sz w:val="22"/>
          <w:szCs w:val="22"/>
        </w:rPr>
      </w:pPr>
    </w:p>
    <w:p w14:paraId="7EE43945" w14:textId="1476029B" w:rsidR="00A13F59" w:rsidRPr="002C1EA6" w:rsidRDefault="00A13F59" w:rsidP="005E37E0">
      <w:pPr>
        <w:rPr>
          <w:rFonts w:ascii="Arial" w:hAnsi="Arial" w:cs="Arial"/>
          <w:sz w:val="22"/>
          <w:szCs w:val="22"/>
        </w:rPr>
      </w:pPr>
    </w:p>
    <w:p w14:paraId="0E4EB593" w14:textId="7C9883E4" w:rsidR="00A13F59" w:rsidRPr="002C1EA6" w:rsidRDefault="00A13F59" w:rsidP="005E37E0">
      <w:pPr>
        <w:rPr>
          <w:rFonts w:ascii="Arial" w:hAnsi="Arial" w:cs="Arial"/>
          <w:sz w:val="22"/>
          <w:szCs w:val="22"/>
        </w:rPr>
      </w:pPr>
    </w:p>
    <w:p w14:paraId="0208CA94" w14:textId="26502FE9" w:rsidR="00A13F59" w:rsidRPr="002C1EA6" w:rsidRDefault="00A13F59" w:rsidP="005E37E0">
      <w:pPr>
        <w:rPr>
          <w:rFonts w:ascii="Arial" w:hAnsi="Arial" w:cs="Arial"/>
          <w:sz w:val="22"/>
          <w:szCs w:val="22"/>
        </w:rPr>
      </w:pPr>
    </w:p>
    <w:p w14:paraId="6D4AD490" w14:textId="6AC97DC3" w:rsidR="00A13F59" w:rsidRPr="002C1EA6" w:rsidRDefault="00A13F59" w:rsidP="005E37E0">
      <w:pPr>
        <w:rPr>
          <w:rFonts w:ascii="Arial" w:hAnsi="Arial" w:cs="Arial"/>
          <w:sz w:val="22"/>
          <w:szCs w:val="22"/>
        </w:rPr>
      </w:pPr>
    </w:p>
    <w:p w14:paraId="4EEA9FF2" w14:textId="1A06D55E" w:rsidR="00A13F59" w:rsidRPr="002C1EA6" w:rsidRDefault="00A13F59" w:rsidP="005E37E0">
      <w:pPr>
        <w:rPr>
          <w:rFonts w:ascii="Arial" w:hAnsi="Arial" w:cs="Arial"/>
          <w:sz w:val="22"/>
          <w:szCs w:val="22"/>
        </w:rPr>
      </w:pPr>
    </w:p>
    <w:p w14:paraId="13343172" w14:textId="5459A207" w:rsidR="00A13F59" w:rsidRPr="002C1EA6" w:rsidRDefault="00A13F59" w:rsidP="005E37E0">
      <w:pPr>
        <w:rPr>
          <w:rFonts w:ascii="Arial" w:hAnsi="Arial" w:cs="Arial"/>
          <w:sz w:val="22"/>
          <w:szCs w:val="22"/>
        </w:rPr>
      </w:pPr>
    </w:p>
    <w:p w14:paraId="0DA9C88D" w14:textId="46B15180" w:rsidR="00A13F59" w:rsidRPr="002C1EA6" w:rsidRDefault="00A13F59" w:rsidP="005E37E0">
      <w:pPr>
        <w:rPr>
          <w:rFonts w:ascii="Arial" w:hAnsi="Arial" w:cs="Arial"/>
          <w:sz w:val="22"/>
          <w:szCs w:val="22"/>
        </w:rPr>
      </w:pPr>
      <w:r w:rsidRPr="002C1EA6">
        <w:rPr>
          <w:rFonts w:ascii="Arial" w:hAnsi="Arial" w:cs="Arial"/>
          <w:sz w:val="22"/>
          <w:szCs w:val="22"/>
        </w:rPr>
        <w:lastRenderedPageBreak/>
        <w:t xml:space="preserve">The technical solution proposed for this project is based on the development of a cloud based ESW that interoperates with </w:t>
      </w:r>
      <w:proofErr w:type="spellStart"/>
      <w:r w:rsidRPr="002C1EA6">
        <w:rPr>
          <w:rFonts w:ascii="Arial" w:hAnsi="Arial" w:cs="Arial"/>
          <w:sz w:val="22"/>
          <w:szCs w:val="22"/>
        </w:rPr>
        <w:t>Asycuda</w:t>
      </w:r>
      <w:proofErr w:type="spellEnd"/>
      <w:r w:rsidRPr="002C1EA6">
        <w:rPr>
          <w:rFonts w:ascii="Arial" w:hAnsi="Arial" w:cs="Arial"/>
          <w:sz w:val="22"/>
          <w:szCs w:val="22"/>
        </w:rPr>
        <w:t xml:space="preserve"> (the IT management system for the Customs &amp; Trade Administration).</w:t>
      </w:r>
    </w:p>
    <w:p w14:paraId="1B906EBF" w14:textId="0EF567A9" w:rsidR="00A13F59" w:rsidRPr="002C1EA6" w:rsidRDefault="00A13F59" w:rsidP="005E37E0">
      <w:pPr>
        <w:rPr>
          <w:rFonts w:ascii="Arial" w:hAnsi="Arial" w:cs="Arial"/>
          <w:sz w:val="22"/>
          <w:szCs w:val="22"/>
        </w:rPr>
      </w:pPr>
    </w:p>
    <w:p w14:paraId="779682CD" w14:textId="472C723E" w:rsidR="00A13F59" w:rsidRPr="002C1EA6" w:rsidRDefault="00A13F59" w:rsidP="005E37E0">
      <w:pPr>
        <w:rPr>
          <w:rFonts w:ascii="Arial" w:hAnsi="Arial" w:cs="Arial"/>
          <w:sz w:val="22"/>
          <w:szCs w:val="22"/>
        </w:rPr>
      </w:pPr>
      <w:proofErr w:type="spellStart"/>
      <w:r w:rsidRPr="002C1EA6">
        <w:rPr>
          <w:rFonts w:ascii="Arial" w:hAnsi="Arial" w:cs="Arial"/>
          <w:sz w:val="22"/>
          <w:szCs w:val="22"/>
        </w:rPr>
        <w:t>Asycuda</w:t>
      </w:r>
      <w:proofErr w:type="spellEnd"/>
      <w:r w:rsidRPr="002C1EA6">
        <w:rPr>
          <w:rFonts w:ascii="Arial" w:hAnsi="Arial" w:cs="Arial"/>
          <w:sz w:val="22"/>
          <w:szCs w:val="22"/>
        </w:rPr>
        <w:t xml:space="preserve"> will remain the main entry point for processing cargo manifests, as well as import, transit (if any), and export declarations. </w:t>
      </w:r>
    </w:p>
    <w:p w14:paraId="0F27830D" w14:textId="79DB4AFB" w:rsidR="00A13F59" w:rsidRPr="002C1EA6" w:rsidRDefault="00A13F59" w:rsidP="005E37E0">
      <w:pPr>
        <w:rPr>
          <w:rFonts w:ascii="Arial" w:hAnsi="Arial" w:cs="Arial"/>
          <w:sz w:val="22"/>
          <w:szCs w:val="22"/>
        </w:rPr>
      </w:pPr>
    </w:p>
    <w:p w14:paraId="6CD88767" w14:textId="2B4D3282" w:rsidR="00A13F59" w:rsidRPr="002C1EA6" w:rsidRDefault="00A13F59" w:rsidP="005E37E0">
      <w:pPr>
        <w:rPr>
          <w:rFonts w:ascii="Arial" w:hAnsi="Arial" w:cs="Arial"/>
          <w:sz w:val="22"/>
          <w:szCs w:val="22"/>
        </w:rPr>
      </w:pPr>
      <w:r w:rsidRPr="002C1EA6">
        <w:rPr>
          <w:rFonts w:ascii="Arial" w:hAnsi="Arial" w:cs="Arial"/>
          <w:sz w:val="22"/>
          <w:szCs w:val="22"/>
        </w:rPr>
        <w:t>The ESW will be the entry point for all LCPs and the interface that will capture</w:t>
      </w:r>
      <w:r w:rsidR="0026461A" w:rsidRPr="002C1EA6">
        <w:rPr>
          <w:rFonts w:ascii="Arial" w:hAnsi="Arial" w:cs="Arial"/>
          <w:sz w:val="22"/>
          <w:szCs w:val="22"/>
        </w:rPr>
        <w:t xml:space="preserve"> and share relevant data for the PGAs during the clearance process for all imports and exports. Both systems, </w:t>
      </w:r>
      <w:proofErr w:type="spellStart"/>
      <w:r w:rsidR="0026461A" w:rsidRPr="002C1EA6">
        <w:rPr>
          <w:rFonts w:ascii="Arial" w:hAnsi="Arial" w:cs="Arial"/>
          <w:sz w:val="22"/>
          <w:szCs w:val="22"/>
        </w:rPr>
        <w:t>Asycuda</w:t>
      </w:r>
      <w:proofErr w:type="spellEnd"/>
      <w:r w:rsidR="0026461A" w:rsidRPr="002C1EA6">
        <w:rPr>
          <w:rFonts w:ascii="Arial" w:hAnsi="Arial" w:cs="Arial"/>
          <w:sz w:val="22"/>
          <w:szCs w:val="22"/>
        </w:rPr>
        <w:t xml:space="preserve"> and the ESW, will automatically display all information needed to make effective decisions in real time. </w:t>
      </w:r>
    </w:p>
    <w:p w14:paraId="4B977074" w14:textId="0BC1FA12" w:rsidR="0026461A" w:rsidRPr="002C1EA6" w:rsidRDefault="0026461A" w:rsidP="005E37E0">
      <w:pPr>
        <w:rPr>
          <w:rFonts w:ascii="Arial" w:hAnsi="Arial" w:cs="Arial"/>
          <w:sz w:val="22"/>
          <w:szCs w:val="22"/>
        </w:rPr>
      </w:pPr>
    </w:p>
    <w:p w14:paraId="2BA3358B" w14:textId="6507299B" w:rsidR="0026461A" w:rsidRPr="002C1EA6" w:rsidRDefault="0026461A" w:rsidP="005E37E0">
      <w:pPr>
        <w:rPr>
          <w:rFonts w:ascii="Arial" w:hAnsi="Arial" w:cs="Arial"/>
          <w:sz w:val="22"/>
          <w:szCs w:val="22"/>
        </w:rPr>
      </w:pPr>
      <w:r w:rsidRPr="002C1EA6">
        <w:rPr>
          <w:rFonts w:ascii="Arial" w:hAnsi="Arial" w:cs="Arial"/>
          <w:sz w:val="22"/>
          <w:szCs w:val="22"/>
        </w:rPr>
        <w:t xml:space="preserve">The proposed solution is based on the following three components: </w:t>
      </w:r>
    </w:p>
    <w:p w14:paraId="5ED3F8EC" w14:textId="050158DE" w:rsidR="0026461A" w:rsidRPr="002C1EA6" w:rsidRDefault="0026461A" w:rsidP="005E37E0">
      <w:pPr>
        <w:rPr>
          <w:rFonts w:ascii="Arial" w:hAnsi="Arial" w:cs="Arial"/>
          <w:sz w:val="22"/>
          <w:szCs w:val="22"/>
        </w:rPr>
      </w:pPr>
    </w:p>
    <w:p w14:paraId="71A2EBB9" w14:textId="6E42814B" w:rsidR="00B52B58" w:rsidRPr="002C1EA6" w:rsidRDefault="00B52B58" w:rsidP="00B52B58">
      <w:pPr>
        <w:pStyle w:val="NormalWeb"/>
        <w:numPr>
          <w:ilvl w:val="1"/>
          <w:numId w:val="5"/>
        </w:numPr>
        <w:tabs>
          <w:tab w:val="clear" w:pos="1440"/>
        </w:tabs>
        <w:spacing w:before="120" w:beforeAutospacing="0" w:after="120" w:afterAutospacing="0"/>
        <w:ind w:left="0" w:firstLine="0"/>
        <w:jc w:val="both"/>
        <w:textAlignment w:val="baseline"/>
        <w:rPr>
          <w:rFonts w:ascii="Arial" w:hAnsi="Arial" w:cs="Arial"/>
          <w:color w:val="000000"/>
          <w:sz w:val="22"/>
          <w:szCs w:val="22"/>
        </w:rPr>
      </w:pPr>
      <w:r w:rsidRPr="002C1EA6">
        <w:rPr>
          <w:rFonts w:ascii="Arial" w:hAnsi="Arial" w:cs="Arial"/>
          <w:b/>
          <w:bCs/>
          <w:color w:val="000000"/>
          <w:sz w:val="22"/>
          <w:szCs w:val="22"/>
        </w:rPr>
        <w:t>Component 1: Modernization of the regulatory</w:t>
      </w:r>
      <w:r w:rsidR="00625A65">
        <w:rPr>
          <w:rFonts w:ascii="Arial" w:hAnsi="Arial" w:cs="Arial"/>
          <w:b/>
          <w:bCs/>
          <w:color w:val="000000"/>
          <w:sz w:val="22"/>
          <w:szCs w:val="22"/>
        </w:rPr>
        <w:t xml:space="preserve"> environment</w:t>
      </w:r>
      <w:r w:rsidRPr="002C1EA6">
        <w:rPr>
          <w:rFonts w:ascii="Arial" w:hAnsi="Arial" w:cs="Arial"/>
          <w:b/>
          <w:bCs/>
          <w:color w:val="000000"/>
          <w:sz w:val="22"/>
          <w:szCs w:val="22"/>
        </w:rPr>
        <w:t>.</w:t>
      </w:r>
      <w:r w:rsidRPr="002C1EA6">
        <w:rPr>
          <w:rFonts w:ascii="Arial" w:hAnsi="Arial" w:cs="Arial"/>
          <w:color w:val="000000"/>
          <w:sz w:val="22"/>
          <w:szCs w:val="22"/>
        </w:rPr>
        <w:t xml:space="preserve"> The objective of this component is to set the foundation for the development of a fully-fledged single window environment in Guyana by streamlining processes, harmonizing documents and data requirements. The specific activities to be financed under this component are the following:</w:t>
      </w:r>
    </w:p>
    <w:p w14:paraId="50F95BC3" w14:textId="42C9E71D" w:rsidR="00B52B58" w:rsidRPr="002C1EA6" w:rsidRDefault="00B52B58" w:rsidP="00B52B58">
      <w:pPr>
        <w:pStyle w:val="NormalWeb"/>
        <w:numPr>
          <w:ilvl w:val="2"/>
          <w:numId w:val="5"/>
        </w:numPr>
        <w:spacing w:before="120" w:beforeAutospacing="0" w:after="120" w:afterAutospacing="0"/>
        <w:ind w:left="1095"/>
        <w:jc w:val="both"/>
        <w:textAlignment w:val="baseline"/>
        <w:rPr>
          <w:rFonts w:ascii="Arial" w:hAnsi="Arial" w:cs="Arial"/>
          <w:color w:val="000000"/>
          <w:sz w:val="22"/>
          <w:szCs w:val="22"/>
        </w:rPr>
      </w:pPr>
      <w:r w:rsidRPr="002C1EA6">
        <w:rPr>
          <w:rFonts w:ascii="Arial" w:hAnsi="Arial" w:cs="Arial"/>
          <w:b/>
          <w:bCs/>
          <w:color w:val="000000"/>
          <w:sz w:val="22"/>
          <w:szCs w:val="22"/>
        </w:rPr>
        <w:t>Regulatory review.</w:t>
      </w:r>
      <w:r w:rsidRPr="002C1EA6">
        <w:rPr>
          <w:rFonts w:ascii="Arial" w:hAnsi="Arial" w:cs="Arial"/>
          <w:color w:val="000000"/>
          <w:sz w:val="22"/>
          <w:szCs w:val="22"/>
        </w:rPr>
        <w:t xml:space="preserve"> This activity will take inputs from the Business Process Reengineering activity through the analysis of the trade-related regulatory framework of Guyana to identify inconsistencies, outdated regulations, and propose recommendations for improvement in line with international best practices. </w:t>
      </w:r>
      <w:r w:rsidR="00E451E3" w:rsidRPr="002C1EA6">
        <w:rPr>
          <w:rFonts w:ascii="Arial" w:hAnsi="Arial" w:cs="Arial"/>
          <w:color w:val="000000"/>
          <w:sz w:val="22"/>
          <w:szCs w:val="22"/>
        </w:rPr>
        <w:t xml:space="preserve">The regulatory review will draft legislative briefs for approval by the respective ministries and government agencies. </w:t>
      </w:r>
    </w:p>
    <w:p w14:paraId="4BED0109" w14:textId="432FCED8" w:rsidR="00B52B58" w:rsidRPr="002C1EA6" w:rsidRDefault="00B52B58" w:rsidP="00B52B58">
      <w:pPr>
        <w:pStyle w:val="NormalWeb"/>
        <w:numPr>
          <w:ilvl w:val="1"/>
          <w:numId w:val="5"/>
        </w:numPr>
        <w:spacing w:before="120" w:beforeAutospacing="0" w:after="120" w:afterAutospacing="0"/>
        <w:ind w:left="450"/>
        <w:jc w:val="both"/>
        <w:textAlignment w:val="baseline"/>
        <w:rPr>
          <w:rFonts w:ascii="Arial" w:hAnsi="Arial" w:cs="Arial"/>
          <w:color w:val="000000"/>
          <w:sz w:val="22"/>
          <w:szCs w:val="22"/>
        </w:rPr>
      </w:pPr>
      <w:r w:rsidRPr="002C1EA6">
        <w:rPr>
          <w:rFonts w:ascii="Arial" w:hAnsi="Arial" w:cs="Arial"/>
          <w:b/>
          <w:bCs/>
          <w:color w:val="000000"/>
          <w:sz w:val="22"/>
          <w:szCs w:val="22"/>
        </w:rPr>
        <w:t xml:space="preserve">Component 2: Design and Deployment of Guyana’s ESW. </w:t>
      </w:r>
      <w:r w:rsidRPr="002C1EA6">
        <w:rPr>
          <w:rFonts w:ascii="Arial" w:hAnsi="Arial" w:cs="Arial"/>
          <w:color w:val="000000"/>
          <w:sz w:val="22"/>
          <w:szCs w:val="22"/>
        </w:rPr>
        <w:t>The objective of this component is the develop design and deployment of Guyana’s ESW infrastructure. The specific activities to be financed under this component are the following:</w:t>
      </w:r>
    </w:p>
    <w:p w14:paraId="1BA7F53E" w14:textId="592FE082" w:rsidR="00625A65" w:rsidRPr="002C1EA6" w:rsidRDefault="00625A65" w:rsidP="00625A65">
      <w:pPr>
        <w:pStyle w:val="NormalWeb"/>
        <w:numPr>
          <w:ilvl w:val="2"/>
          <w:numId w:val="5"/>
        </w:numPr>
        <w:spacing w:before="120" w:beforeAutospacing="0" w:after="120" w:afterAutospacing="0"/>
        <w:ind w:left="1095"/>
        <w:jc w:val="both"/>
        <w:textAlignment w:val="baseline"/>
        <w:rPr>
          <w:rFonts w:ascii="Arial" w:hAnsi="Arial" w:cs="Arial"/>
          <w:color w:val="000000"/>
          <w:sz w:val="22"/>
          <w:szCs w:val="22"/>
        </w:rPr>
      </w:pPr>
      <w:r w:rsidRPr="002C1EA6">
        <w:rPr>
          <w:rFonts w:ascii="Arial" w:hAnsi="Arial" w:cs="Arial"/>
          <w:b/>
          <w:bCs/>
          <w:color w:val="000000"/>
          <w:sz w:val="22"/>
          <w:szCs w:val="22"/>
        </w:rPr>
        <w:t>Business process reengineering</w:t>
      </w:r>
      <w:r w:rsidRPr="002C1EA6">
        <w:rPr>
          <w:rFonts w:ascii="Arial" w:hAnsi="Arial" w:cs="Arial"/>
          <w:color w:val="000000"/>
          <w:sz w:val="22"/>
          <w:szCs w:val="22"/>
        </w:rPr>
        <w:t>. This activity includes: (i) mapping all processes related to imports and exports of all participating agencies to identify bottlenecks and opportunities for improvement; (ii) reengineering of processes based on international best practices, development of new recommended Standard Operating Procedures and an associated migration strategy; (iii) harmonization of data elements and simplification of documents in line with UN/CEFACT Recommendation 3</w:t>
      </w:r>
      <w:r w:rsidR="003746DB">
        <w:rPr>
          <w:rFonts w:ascii="Arial" w:hAnsi="Arial" w:cs="Arial"/>
          <w:color w:val="000000"/>
          <w:sz w:val="22"/>
          <w:szCs w:val="22"/>
        </w:rPr>
        <w:t>4</w:t>
      </w:r>
      <w:r w:rsidRPr="002C1EA6">
        <w:rPr>
          <w:rFonts w:ascii="Arial" w:hAnsi="Arial" w:cs="Arial"/>
          <w:color w:val="000000"/>
          <w:sz w:val="22"/>
          <w:szCs w:val="22"/>
        </w:rPr>
        <w:t>. The BPR will provide key inputs to design the new workfl</w:t>
      </w:r>
      <w:r>
        <w:rPr>
          <w:rFonts w:ascii="Arial" w:hAnsi="Arial" w:cs="Arial"/>
          <w:color w:val="000000"/>
          <w:sz w:val="22"/>
          <w:szCs w:val="22"/>
        </w:rPr>
        <w:t>ows and processes under the ESW</w:t>
      </w:r>
      <w:r w:rsidRPr="002C1EA6">
        <w:rPr>
          <w:rFonts w:ascii="Arial" w:hAnsi="Arial" w:cs="Arial"/>
          <w:color w:val="000000"/>
          <w:sz w:val="22"/>
          <w:szCs w:val="22"/>
        </w:rPr>
        <w:t xml:space="preserve">. It will also underpin new </w:t>
      </w:r>
      <w:proofErr w:type="spellStart"/>
      <w:r w:rsidRPr="002C1EA6">
        <w:rPr>
          <w:rFonts w:ascii="Arial" w:hAnsi="Arial" w:cs="Arial"/>
          <w:color w:val="000000"/>
          <w:sz w:val="22"/>
          <w:szCs w:val="22"/>
        </w:rPr>
        <w:t>organisational</w:t>
      </w:r>
      <w:proofErr w:type="spellEnd"/>
      <w:r w:rsidRPr="002C1EA6">
        <w:rPr>
          <w:rFonts w:ascii="Arial" w:hAnsi="Arial" w:cs="Arial"/>
          <w:color w:val="000000"/>
          <w:sz w:val="22"/>
          <w:szCs w:val="22"/>
        </w:rPr>
        <w:t xml:space="preserve"> structures and HR policies in the various PGAs as further described below.</w:t>
      </w:r>
    </w:p>
    <w:p w14:paraId="5E4D84B8" w14:textId="5DEE1FD5" w:rsidR="00B52B58" w:rsidRPr="002C1EA6" w:rsidRDefault="00B52B58" w:rsidP="00B52B58">
      <w:pPr>
        <w:pStyle w:val="NormalWeb"/>
        <w:numPr>
          <w:ilvl w:val="2"/>
          <w:numId w:val="5"/>
        </w:numPr>
        <w:spacing w:before="120" w:beforeAutospacing="0" w:after="120" w:afterAutospacing="0"/>
        <w:ind w:left="1095"/>
        <w:jc w:val="both"/>
        <w:textAlignment w:val="baseline"/>
        <w:rPr>
          <w:rFonts w:ascii="Arial" w:hAnsi="Arial" w:cs="Arial"/>
          <w:color w:val="000000"/>
          <w:sz w:val="22"/>
          <w:szCs w:val="22"/>
        </w:rPr>
      </w:pPr>
      <w:r w:rsidRPr="002C1EA6">
        <w:rPr>
          <w:rFonts w:ascii="Arial" w:hAnsi="Arial" w:cs="Arial"/>
          <w:b/>
          <w:bCs/>
          <w:color w:val="000000"/>
          <w:sz w:val="22"/>
          <w:szCs w:val="22"/>
        </w:rPr>
        <w:t xml:space="preserve">Development of a </w:t>
      </w:r>
      <w:r w:rsidR="003A320D" w:rsidRPr="002C1EA6">
        <w:rPr>
          <w:rFonts w:ascii="Arial" w:hAnsi="Arial" w:cs="Arial"/>
          <w:b/>
          <w:bCs/>
          <w:color w:val="000000"/>
          <w:sz w:val="22"/>
          <w:szCs w:val="22"/>
        </w:rPr>
        <w:t>cloud-based</w:t>
      </w:r>
      <w:r w:rsidRPr="002C1EA6">
        <w:rPr>
          <w:rFonts w:ascii="Arial" w:hAnsi="Arial" w:cs="Arial"/>
          <w:b/>
          <w:bCs/>
          <w:color w:val="000000"/>
          <w:sz w:val="22"/>
          <w:szCs w:val="22"/>
        </w:rPr>
        <w:t xml:space="preserve"> license, certificate and permits (LCPs) module. </w:t>
      </w:r>
      <w:r w:rsidRPr="002C1EA6">
        <w:rPr>
          <w:rFonts w:ascii="Arial" w:hAnsi="Arial" w:cs="Arial"/>
          <w:color w:val="000000"/>
          <w:sz w:val="22"/>
          <w:szCs w:val="22"/>
        </w:rPr>
        <w:t>This module will serve as the single-entry point and management system for all LCPs issued by the participating agencies for imports and exports. It is anticipated that traders will be able to obtain online, as a minimum, the following LCPs: health and phytosanitary certificates, and all import and export licenses and permits issued by the participating agencies. It is expected that this module will also serve as</w:t>
      </w:r>
      <w:r w:rsidR="003746DB">
        <w:rPr>
          <w:rFonts w:ascii="Arial" w:hAnsi="Arial" w:cs="Arial"/>
          <w:color w:val="000000"/>
          <w:sz w:val="22"/>
          <w:szCs w:val="22"/>
        </w:rPr>
        <w:t xml:space="preserve"> a</w:t>
      </w:r>
      <w:r w:rsidRPr="002C1EA6">
        <w:rPr>
          <w:rFonts w:ascii="Arial" w:hAnsi="Arial" w:cs="Arial"/>
          <w:color w:val="000000"/>
          <w:sz w:val="22"/>
          <w:szCs w:val="22"/>
        </w:rPr>
        <w:t xml:space="preserve"> document management system for all agencies involved in trade and a platform for sharing LCPs with relevant government agencies. Additionally, the LCP module will use natural language processing technology to serve as a Trade Information Portal and easily identify all LCPs associated to any commodity, and support HS classification (non-binding suggestions). </w:t>
      </w:r>
    </w:p>
    <w:p w14:paraId="5EE96780" w14:textId="77777777" w:rsidR="00B52B58" w:rsidRPr="002C1EA6" w:rsidRDefault="00B52B58" w:rsidP="00B52B58">
      <w:pPr>
        <w:pStyle w:val="NormalWeb"/>
        <w:numPr>
          <w:ilvl w:val="2"/>
          <w:numId w:val="5"/>
        </w:numPr>
        <w:spacing w:before="120" w:beforeAutospacing="0" w:after="120" w:afterAutospacing="0"/>
        <w:ind w:left="1095"/>
        <w:jc w:val="both"/>
        <w:textAlignment w:val="baseline"/>
        <w:rPr>
          <w:rFonts w:ascii="Arial" w:hAnsi="Arial" w:cs="Arial"/>
          <w:color w:val="000000"/>
          <w:sz w:val="22"/>
          <w:szCs w:val="22"/>
        </w:rPr>
      </w:pPr>
      <w:r w:rsidRPr="002C1EA6">
        <w:rPr>
          <w:rFonts w:ascii="Arial" w:hAnsi="Arial" w:cs="Arial"/>
          <w:b/>
          <w:bCs/>
          <w:color w:val="000000"/>
          <w:sz w:val="22"/>
          <w:szCs w:val="22"/>
        </w:rPr>
        <w:lastRenderedPageBreak/>
        <w:t>Development of an inter-agency goods declaration module</w:t>
      </w:r>
      <w:r w:rsidRPr="002C1EA6">
        <w:rPr>
          <w:rFonts w:ascii="Arial" w:hAnsi="Arial" w:cs="Arial"/>
          <w:color w:val="000000"/>
          <w:sz w:val="22"/>
          <w:szCs w:val="22"/>
        </w:rPr>
        <w:t>. This module will interoperate with ASYCUDA and the LCP module in real time to provide selected customs declaration data to the relevant government agencies for processing imports and exports. Through this module, government officers from the participating agencies will be able to release, query, hold or reject import and export operations in an online environment providing full transparency to all parties involved in the process.</w:t>
      </w:r>
    </w:p>
    <w:p w14:paraId="42BF8E29" w14:textId="77777777" w:rsidR="00E451E3" w:rsidRPr="002C1EA6" w:rsidRDefault="00B52B58" w:rsidP="00E451E3">
      <w:pPr>
        <w:pStyle w:val="NormalWeb"/>
        <w:numPr>
          <w:ilvl w:val="2"/>
          <w:numId w:val="5"/>
        </w:numPr>
        <w:spacing w:before="120" w:beforeAutospacing="0" w:after="120" w:afterAutospacing="0"/>
        <w:ind w:left="1095"/>
        <w:jc w:val="both"/>
        <w:textAlignment w:val="baseline"/>
        <w:rPr>
          <w:rFonts w:ascii="Arial" w:hAnsi="Arial" w:cs="Arial"/>
          <w:bCs/>
          <w:color w:val="000000"/>
          <w:sz w:val="22"/>
          <w:szCs w:val="22"/>
        </w:rPr>
      </w:pPr>
      <w:r w:rsidRPr="002C1EA6">
        <w:rPr>
          <w:rFonts w:ascii="Arial" w:hAnsi="Arial" w:cs="Arial"/>
          <w:b/>
          <w:bCs/>
          <w:color w:val="000000"/>
          <w:sz w:val="22"/>
          <w:szCs w:val="22"/>
        </w:rPr>
        <w:t xml:space="preserve">Development of an integrated risk management system. </w:t>
      </w:r>
      <w:r w:rsidRPr="002C1EA6">
        <w:rPr>
          <w:rFonts w:ascii="Arial" w:hAnsi="Arial" w:cs="Arial"/>
          <w:bCs/>
          <w:color w:val="000000"/>
          <w:sz w:val="22"/>
          <w:szCs w:val="22"/>
        </w:rPr>
        <w:t xml:space="preserve">This activity will develop an Integrated Risk Management System (IRMS) for the participating agencies in conformance with the World Customs Organization Risk Management Compendium as well as the Kyoto Convention guidelines. The system will provide seamless interoperability and compatibility with the LCP and GD modules as well as ASYCUDA. It is expected that this system will drastically enhance border security and facilitate trade by identifying high risk cargo while expediting the release of low risk and legitimate trade. It is anticipated that the IRMS will also include, as a minimum, the following features: </w:t>
      </w:r>
    </w:p>
    <w:p w14:paraId="0A85912F" w14:textId="77777777" w:rsidR="00E451E3" w:rsidRPr="002C1EA6" w:rsidRDefault="00B52B58" w:rsidP="00E451E3">
      <w:pPr>
        <w:pStyle w:val="NormalWeb"/>
        <w:numPr>
          <w:ilvl w:val="3"/>
          <w:numId w:val="5"/>
        </w:numPr>
        <w:tabs>
          <w:tab w:val="clear" w:pos="2880"/>
          <w:tab w:val="num" w:pos="2610"/>
          <w:tab w:val="left" w:pos="2700"/>
        </w:tabs>
        <w:spacing w:before="120" w:beforeAutospacing="0" w:after="120" w:afterAutospacing="0"/>
        <w:ind w:left="1890"/>
        <w:jc w:val="both"/>
        <w:textAlignment w:val="baseline"/>
        <w:rPr>
          <w:rFonts w:ascii="Arial" w:hAnsi="Arial" w:cs="Arial"/>
          <w:bCs/>
          <w:color w:val="000000"/>
          <w:sz w:val="22"/>
          <w:szCs w:val="22"/>
        </w:rPr>
      </w:pPr>
      <w:r w:rsidRPr="002C1EA6">
        <w:rPr>
          <w:rFonts w:ascii="Arial" w:hAnsi="Arial" w:cs="Arial"/>
          <w:bCs/>
          <w:color w:val="000000"/>
          <w:sz w:val="22"/>
          <w:szCs w:val="22"/>
        </w:rPr>
        <w:t xml:space="preserve">a sophisticated risk rule engine for all participating agencies with, at least, deductive and inductive risk criteria to differentiate between low risk and </w:t>
      </w:r>
      <w:proofErr w:type="gramStart"/>
      <w:r w:rsidRPr="002C1EA6">
        <w:rPr>
          <w:rFonts w:ascii="Arial" w:hAnsi="Arial" w:cs="Arial"/>
          <w:bCs/>
          <w:color w:val="000000"/>
          <w:sz w:val="22"/>
          <w:szCs w:val="22"/>
        </w:rPr>
        <w:t>high risk</w:t>
      </w:r>
      <w:proofErr w:type="gramEnd"/>
      <w:r w:rsidRPr="002C1EA6">
        <w:rPr>
          <w:rFonts w:ascii="Arial" w:hAnsi="Arial" w:cs="Arial"/>
          <w:bCs/>
          <w:color w:val="000000"/>
          <w:sz w:val="22"/>
          <w:szCs w:val="22"/>
        </w:rPr>
        <w:t xml:space="preserve"> cargo; </w:t>
      </w:r>
    </w:p>
    <w:p w14:paraId="43F23CD2" w14:textId="77777777" w:rsidR="00E451E3" w:rsidRPr="002C1EA6" w:rsidRDefault="00E451E3" w:rsidP="00E451E3">
      <w:pPr>
        <w:pStyle w:val="NormalWeb"/>
        <w:numPr>
          <w:ilvl w:val="3"/>
          <w:numId w:val="5"/>
        </w:numPr>
        <w:tabs>
          <w:tab w:val="clear" w:pos="2880"/>
          <w:tab w:val="num" w:pos="2610"/>
          <w:tab w:val="left" w:pos="2700"/>
        </w:tabs>
        <w:spacing w:before="120" w:beforeAutospacing="0" w:after="120" w:afterAutospacing="0"/>
        <w:ind w:left="1890"/>
        <w:jc w:val="both"/>
        <w:textAlignment w:val="baseline"/>
        <w:rPr>
          <w:rFonts w:ascii="Arial" w:hAnsi="Arial" w:cs="Arial"/>
          <w:bCs/>
          <w:color w:val="000000"/>
          <w:sz w:val="22"/>
          <w:szCs w:val="22"/>
        </w:rPr>
      </w:pPr>
      <w:r w:rsidRPr="002C1EA6">
        <w:rPr>
          <w:rFonts w:ascii="Arial" w:hAnsi="Arial" w:cs="Arial"/>
          <w:bCs/>
          <w:color w:val="000000"/>
          <w:sz w:val="22"/>
          <w:szCs w:val="22"/>
        </w:rPr>
        <w:t xml:space="preserve">post clearance audit tool with a powerful data analytics and visualization engine that will aggregate, search and analyze data from disparate databases to optimize revenue collection and identify malpractices; </w:t>
      </w:r>
    </w:p>
    <w:p w14:paraId="36B23C93" w14:textId="6A00F467" w:rsidR="00E451E3" w:rsidRPr="002C1EA6" w:rsidRDefault="00E451E3" w:rsidP="00E451E3">
      <w:pPr>
        <w:pStyle w:val="NormalWeb"/>
        <w:numPr>
          <w:ilvl w:val="3"/>
          <w:numId w:val="5"/>
        </w:numPr>
        <w:tabs>
          <w:tab w:val="clear" w:pos="2880"/>
          <w:tab w:val="num" w:pos="2610"/>
          <w:tab w:val="left" w:pos="2700"/>
        </w:tabs>
        <w:spacing w:before="120" w:beforeAutospacing="0" w:after="120" w:afterAutospacing="0"/>
        <w:ind w:left="1890"/>
        <w:jc w:val="both"/>
        <w:textAlignment w:val="baseline"/>
        <w:rPr>
          <w:rFonts w:ascii="Arial" w:hAnsi="Arial" w:cs="Arial"/>
          <w:bCs/>
          <w:color w:val="000000"/>
          <w:sz w:val="22"/>
          <w:szCs w:val="22"/>
        </w:rPr>
      </w:pPr>
      <w:r w:rsidRPr="002C1EA6">
        <w:rPr>
          <w:rFonts w:ascii="Arial" w:hAnsi="Arial" w:cs="Arial"/>
          <w:bCs/>
          <w:color w:val="000000"/>
          <w:sz w:val="22"/>
          <w:szCs w:val="22"/>
        </w:rPr>
        <w:t>a GPS tracking system for containers and cargo released to the importer premises for physical inspection. This system will enhance the visibility and security of goods in transit.</w:t>
      </w:r>
    </w:p>
    <w:p w14:paraId="680B4D53" w14:textId="59525611" w:rsidR="00B52B58" w:rsidRPr="002C1EA6" w:rsidRDefault="00E451E3" w:rsidP="00163799">
      <w:pPr>
        <w:pStyle w:val="NormalWeb"/>
        <w:numPr>
          <w:ilvl w:val="2"/>
          <w:numId w:val="5"/>
        </w:numPr>
        <w:spacing w:before="120" w:beforeAutospacing="0" w:after="120" w:afterAutospacing="0"/>
        <w:ind w:left="1095"/>
        <w:jc w:val="both"/>
        <w:textAlignment w:val="baseline"/>
        <w:rPr>
          <w:rFonts w:ascii="Arial" w:hAnsi="Arial" w:cs="Arial"/>
          <w:b/>
          <w:bCs/>
          <w:color w:val="000000"/>
          <w:sz w:val="22"/>
          <w:szCs w:val="22"/>
        </w:rPr>
      </w:pPr>
      <w:r w:rsidRPr="002C1EA6">
        <w:rPr>
          <w:rFonts w:ascii="Arial" w:hAnsi="Arial" w:cs="Arial"/>
          <w:b/>
          <w:bCs/>
          <w:color w:val="000000"/>
          <w:sz w:val="22"/>
          <w:szCs w:val="22"/>
        </w:rPr>
        <w:t xml:space="preserve">Enhancement of IT infrastructure and internet access. </w:t>
      </w:r>
      <w:r w:rsidRPr="002C1EA6">
        <w:rPr>
          <w:rFonts w:ascii="Arial" w:hAnsi="Arial" w:cs="Arial"/>
          <w:bCs/>
          <w:color w:val="000000"/>
          <w:sz w:val="22"/>
          <w:szCs w:val="22"/>
        </w:rPr>
        <w:t>The program will fund the acquisition of: i) basic IT equipment to facilitate the migration to a paperless environment and the use of the single window system; ii) enhanced internet connectivity for those government agencies with a deficient IT infrastructure to facilitate and incentivize the</w:t>
      </w:r>
      <w:r w:rsidR="00660802" w:rsidRPr="002C1EA6">
        <w:rPr>
          <w:rFonts w:ascii="Arial" w:hAnsi="Arial" w:cs="Arial"/>
          <w:bCs/>
          <w:color w:val="000000"/>
          <w:sz w:val="22"/>
          <w:szCs w:val="22"/>
        </w:rPr>
        <w:t xml:space="preserve"> adoption of the single window. </w:t>
      </w:r>
    </w:p>
    <w:p w14:paraId="7334D2D8" w14:textId="77777777" w:rsidR="00660802" w:rsidRPr="002C1EA6" w:rsidRDefault="00660802" w:rsidP="00660802">
      <w:pPr>
        <w:numPr>
          <w:ilvl w:val="1"/>
          <w:numId w:val="5"/>
        </w:numPr>
        <w:pBdr>
          <w:top w:val="nil"/>
          <w:left w:val="nil"/>
          <w:bottom w:val="nil"/>
          <w:right w:val="nil"/>
          <w:between w:val="nil"/>
        </w:pBdr>
        <w:tabs>
          <w:tab w:val="clear" w:pos="1440"/>
          <w:tab w:val="num" w:pos="1530"/>
        </w:tabs>
        <w:spacing w:before="120" w:after="120"/>
        <w:ind w:left="540"/>
        <w:jc w:val="both"/>
        <w:rPr>
          <w:rFonts w:ascii="Arial" w:hAnsi="Arial" w:cs="Arial"/>
          <w:sz w:val="22"/>
          <w:szCs w:val="22"/>
        </w:rPr>
      </w:pPr>
      <w:r w:rsidRPr="002C1EA6">
        <w:rPr>
          <w:rFonts w:ascii="Arial" w:eastAsia="Arial" w:hAnsi="Arial" w:cs="Arial"/>
          <w:b/>
          <w:sz w:val="22"/>
          <w:szCs w:val="22"/>
        </w:rPr>
        <w:t xml:space="preserve">Component 3: Institutional Strengthening for ESW Stakeholders. </w:t>
      </w:r>
      <w:r w:rsidRPr="002C1EA6">
        <w:rPr>
          <w:rFonts w:ascii="Arial" w:eastAsia="Arial" w:hAnsi="Arial" w:cs="Arial"/>
          <w:sz w:val="22"/>
          <w:szCs w:val="22"/>
        </w:rPr>
        <w:t>This component will: i) modernize the institutional capacity and human resource policies of the participating agencies; and ii) provide a robust capacity building program for the future users of the ESW in the private and public participating agencies. This component will be divided in four main activities:</w:t>
      </w:r>
    </w:p>
    <w:p w14:paraId="4C899C4F" w14:textId="77777777" w:rsidR="00660802" w:rsidRPr="002C1EA6" w:rsidRDefault="00660802" w:rsidP="00660802">
      <w:pPr>
        <w:numPr>
          <w:ilvl w:val="2"/>
          <w:numId w:val="5"/>
        </w:numPr>
        <w:pBdr>
          <w:top w:val="nil"/>
          <w:left w:val="nil"/>
          <w:bottom w:val="nil"/>
          <w:right w:val="nil"/>
          <w:between w:val="nil"/>
        </w:pBdr>
        <w:tabs>
          <w:tab w:val="clear" w:pos="2160"/>
          <w:tab w:val="num" w:pos="2070"/>
        </w:tabs>
        <w:spacing w:before="120" w:after="120"/>
        <w:ind w:left="1170"/>
        <w:jc w:val="both"/>
        <w:rPr>
          <w:rFonts w:ascii="Arial" w:eastAsia="Arial" w:hAnsi="Arial" w:cs="Arial"/>
          <w:sz w:val="22"/>
          <w:szCs w:val="22"/>
        </w:rPr>
      </w:pPr>
      <w:r w:rsidRPr="002C1EA6">
        <w:rPr>
          <w:rFonts w:ascii="Arial" w:eastAsia="Arial" w:hAnsi="Arial" w:cs="Arial"/>
          <w:b/>
          <w:sz w:val="22"/>
          <w:szCs w:val="22"/>
        </w:rPr>
        <w:t>Institutional strengthening.</w:t>
      </w:r>
      <w:r w:rsidRPr="002C1EA6">
        <w:rPr>
          <w:rFonts w:ascii="Arial" w:eastAsia="Arial" w:hAnsi="Arial" w:cs="Arial"/>
          <w:sz w:val="22"/>
          <w:szCs w:val="22"/>
        </w:rPr>
        <w:t xml:space="preserve"> The implementation of an ESW requires enhanced and modern institutions. Therefore, this activity will: i) analyze the current organizational structures and human resource policies; and ii) propose reforms in line with international best practices. It is anticipated that this activity will produce: i) recommendations for updated organizational structures, and ii) new human resource strategy with detailed recruitment mechanisms, job descriptions, roles and responsibilities, and revised compensation packages.</w:t>
      </w:r>
    </w:p>
    <w:p w14:paraId="563E55A5" w14:textId="77777777" w:rsidR="00660802" w:rsidRPr="002C1EA6" w:rsidRDefault="00660802" w:rsidP="00660802">
      <w:pPr>
        <w:numPr>
          <w:ilvl w:val="2"/>
          <w:numId w:val="5"/>
        </w:numPr>
        <w:pBdr>
          <w:top w:val="nil"/>
          <w:left w:val="nil"/>
          <w:bottom w:val="nil"/>
          <w:right w:val="nil"/>
          <w:between w:val="nil"/>
        </w:pBdr>
        <w:tabs>
          <w:tab w:val="clear" w:pos="2160"/>
          <w:tab w:val="num" w:pos="2070"/>
        </w:tabs>
        <w:spacing w:before="120" w:after="120"/>
        <w:ind w:left="1170"/>
        <w:jc w:val="both"/>
        <w:rPr>
          <w:rFonts w:ascii="Arial" w:eastAsia="Arial" w:hAnsi="Arial" w:cs="Arial"/>
          <w:b/>
          <w:sz w:val="22"/>
          <w:szCs w:val="22"/>
        </w:rPr>
      </w:pPr>
      <w:r w:rsidRPr="002C1EA6">
        <w:rPr>
          <w:rFonts w:ascii="Arial" w:eastAsia="Arial" w:hAnsi="Arial" w:cs="Arial"/>
          <w:b/>
          <w:sz w:val="22"/>
          <w:szCs w:val="22"/>
        </w:rPr>
        <w:t>Strengthening the IT department of Customs.</w:t>
      </w:r>
      <w:r w:rsidRPr="002C1EA6">
        <w:rPr>
          <w:rFonts w:ascii="Arial" w:eastAsia="Arial" w:hAnsi="Arial" w:cs="Arial"/>
          <w:sz w:val="22"/>
          <w:szCs w:val="22"/>
        </w:rPr>
        <w:t xml:space="preserve"> This activity will hire two IT specialists to help build strong in-house capacity to effectively manage the single window. The objective is to progressively shift responsibility for the support and maintenance of the single window from the contractors to Customs’ own personnel. </w:t>
      </w:r>
    </w:p>
    <w:p w14:paraId="306877B4" w14:textId="77777777" w:rsidR="00660802" w:rsidRPr="002C1EA6" w:rsidRDefault="00660802" w:rsidP="00660802">
      <w:pPr>
        <w:numPr>
          <w:ilvl w:val="2"/>
          <w:numId w:val="5"/>
        </w:numPr>
        <w:pBdr>
          <w:top w:val="nil"/>
          <w:left w:val="nil"/>
          <w:bottom w:val="nil"/>
          <w:right w:val="nil"/>
          <w:between w:val="nil"/>
        </w:pBdr>
        <w:tabs>
          <w:tab w:val="clear" w:pos="2160"/>
          <w:tab w:val="num" w:pos="1980"/>
        </w:tabs>
        <w:spacing w:before="120" w:after="120"/>
        <w:ind w:left="1170"/>
        <w:jc w:val="both"/>
        <w:rPr>
          <w:rFonts w:ascii="Arial" w:eastAsia="Arial" w:hAnsi="Arial" w:cs="Arial"/>
          <w:sz w:val="22"/>
          <w:szCs w:val="22"/>
        </w:rPr>
      </w:pPr>
      <w:r w:rsidRPr="002C1EA6">
        <w:rPr>
          <w:rFonts w:ascii="Arial" w:eastAsia="Arial" w:hAnsi="Arial" w:cs="Arial"/>
          <w:b/>
          <w:sz w:val="22"/>
          <w:szCs w:val="22"/>
        </w:rPr>
        <w:lastRenderedPageBreak/>
        <w:t xml:space="preserve">Development of a comprehensive training program for government officers </w:t>
      </w:r>
      <w:r w:rsidRPr="002C1EA6">
        <w:rPr>
          <w:rFonts w:ascii="Arial" w:eastAsia="Arial" w:hAnsi="Arial" w:cs="Arial"/>
          <w:sz w:val="22"/>
          <w:szCs w:val="22"/>
        </w:rPr>
        <w:t>in operating an ESW including but not limited to: i) border operations, valuation, classification of goods using the harmonized system, risk management, post audits and rules of origin; and ii) basic computer skills and literacy. Finally, it is anticipated that three study tours to relevant jurisdictions will take place to show the benefits and challenges of similar single window environments to key government officials.</w:t>
      </w:r>
      <w:r w:rsidRPr="002C1EA6">
        <w:rPr>
          <w:rFonts w:ascii="Arial" w:hAnsi="Arial" w:cs="Arial"/>
          <w:sz w:val="22"/>
          <w:szCs w:val="22"/>
        </w:rPr>
        <w:t xml:space="preserve"> </w:t>
      </w:r>
      <w:r w:rsidRPr="002C1EA6">
        <w:rPr>
          <w:rFonts w:ascii="Arial" w:eastAsia="Arial" w:hAnsi="Arial" w:cs="Arial"/>
          <w:sz w:val="22"/>
          <w:szCs w:val="22"/>
        </w:rPr>
        <w:t>To implement this capacity building activity, the Bank will partner with the World Customs Organization to design and implement a comprehensive training program related to topics that are essential for the adequate implementation of the single window</w:t>
      </w:r>
      <w:r w:rsidRPr="002C1EA6">
        <w:rPr>
          <w:rStyle w:val="FootnoteReference"/>
          <w:rFonts w:ascii="Arial" w:eastAsia="Arial" w:hAnsi="Arial" w:cs="Arial"/>
          <w:sz w:val="22"/>
          <w:szCs w:val="22"/>
        </w:rPr>
        <w:footnoteReference w:id="6"/>
      </w:r>
      <w:r w:rsidRPr="002C1EA6">
        <w:rPr>
          <w:rFonts w:ascii="Arial" w:eastAsia="Arial" w:hAnsi="Arial" w:cs="Arial"/>
          <w:sz w:val="22"/>
          <w:szCs w:val="22"/>
        </w:rPr>
        <w:t xml:space="preserve">. Additionally, all service providers will be required to provide a comprehensive capacity building program using the train-the-trainer methodology coupled with a robust transfer knowledge strategy.  </w:t>
      </w:r>
    </w:p>
    <w:p w14:paraId="32C50949" w14:textId="77777777" w:rsidR="00660802" w:rsidRPr="002C1EA6" w:rsidRDefault="00660802" w:rsidP="00660802">
      <w:pPr>
        <w:numPr>
          <w:ilvl w:val="2"/>
          <w:numId w:val="5"/>
        </w:numPr>
        <w:pBdr>
          <w:top w:val="nil"/>
          <w:left w:val="nil"/>
          <w:bottom w:val="nil"/>
          <w:right w:val="nil"/>
          <w:between w:val="nil"/>
        </w:pBdr>
        <w:tabs>
          <w:tab w:val="clear" w:pos="2160"/>
          <w:tab w:val="num" w:pos="1980"/>
        </w:tabs>
        <w:spacing w:before="120" w:after="120"/>
        <w:ind w:left="1080"/>
        <w:jc w:val="both"/>
        <w:rPr>
          <w:rFonts w:ascii="Arial" w:eastAsia="Arial" w:hAnsi="Arial" w:cs="Arial"/>
          <w:sz w:val="22"/>
          <w:szCs w:val="22"/>
        </w:rPr>
      </w:pPr>
      <w:r w:rsidRPr="002C1EA6">
        <w:rPr>
          <w:rFonts w:ascii="Arial" w:eastAsia="Arial" w:hAnsi="Arial" w:cs="Arial"/>
          <w:b/>
          <w:sz w:val="22"/>
          <w:szCs w:val="22"/>
        </w:rPr>
        <w:t>Development of a comprehensive training program for private sector companies and customs brokers to use the ESW</w:t>
      </w:r>
      <w:r w:rsidRPr="002C1EA6">
        <w:rPr>
          <w:rFonts w:ascii="Arial" w:eastAsia="Arial" w:hAnsi="Arial" w:cs="Arial"/>
          <w:sz w:val="22"/>
          <w:szCs w:val="22"/>
        </w:rPr>
        <w:t xml:space="preserve">. This program will consist of multiple workshops and sessions throughout the implementation of the project to ensure and facilitate the acceptance and use of the ESW. All single window related workshops will be provided by the World Customs Organization. </w:t>
      </w:r>
    </w:p>
    <w:p w14:paraId="1FBAFC0A" w14:textId="1B6C8224" w:rsidR="0026461A" w:rsidRPr="002C1EA6" w:rsidRDefault="0026461A" w:rsidP="00660802">
      <w:pPr>
        <w:pStyle w:val="NormalWeb"/>
        <w:spacing w:before="120" w:beforeAutospacing="0" w:after="120" w:afterAutospacing="0"/>
        <w:jc w:val="both"/>
        <w:textAlignment w:val="baseline"/>
        <w:rPr>
          <w:rFonts w:ascii="Arial" w:hAnsi="Arial" w:cs="Arial"/>
          <w:sz w:val="22"/>
          <w:szCs w:val="22"/>
        </w:rPr>
      </w:pPr>
    </w:p>
    <w:sectPr w:rsidR="0026461A" w:rsidRPr="002C1EA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1500A" w14:textId="77777777" w:rsidR="00942C8D" w:rsidRDefault="00942C8D" w:rsidP="008C4D6B">
      <w:r>
        <w:separator/>
      </w:r>
    </w:p>
  </w:endnote>
  <w:endnote w:type="continuationSeparator" w:id="0">
    <w:p w14:paraId="516C6021" w14:textId="77777777" w:rsidR="00942C8D" w:rsidRDefault="00942C8D" w:rsidP="008C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813944"/>
      <w:docPartObj>
        <w:docPartGallery w:val="Page Numbers (Bottom of Page)"/>
        <w:docPartUnique/>
      </w:docPartObj>
    </w:sdtPr>
    <w:sdtEndPr>
      <w:rPr>
        <w:noProof/>
      </w:rPr>
    </w:sdtEndPr>
    <w:sdtContent>
      <w:p w14:paraId="067C583D" w14:textId="39DFD12F" w:rsidR="0026461A" w:rsidRDefault="0026461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337FB31" w14:textId="77777777" w:rsidR="0026461A" w:rsidRDefault="00264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F1B4A" w14:textId="77777777" w:rsidR="00942C8D" w:rsidRDefault="00942C8D" w:rsidP="008C4D6B">
      <w:r>
        <w:separator/>
      </w:r>
    </w:p>
  </w:footnote>
  <w:footnote w:type="continuationSeparator" w:id="0">
    <w:p w14:paraId="067F90A8" w14:textId="77777777" w:rsidR="00942C8D" w:rsidRDefault="00942C8D" w:rsidP="008C4D6B">
      <w:r>
        <w:continuationSeparator/>
      </w:r>
    </w:p>
  </w:footnote>
  <w:footnote w:id="1">
    <w:p w14:paraId="0D958EA5" w14:textId="77777777" w:rsidR="00A13F59" w:rsidRPr="00970704" w:rsidRDefault="00A13F59" w:rsidP="00791B0C">
      <w:pPr>
        <w:pStyle w:val="FootnoteText"/>
        <w:ind w:left="288" w:hanging="288"/>
        <w:jc w:val="both"/>
        <w:rPr>
          <w:rFonts w:ascii="Arial" w:hAnsi="Arial" w:cs="Arial"/>
          <w:sz w:val="18"/>
          <w:szCs w:val="18"/>
        </w:rPr>
      </w:pPr>
      <w:r w:rsidRPr="00970704">
        <w:rPr>
          <w:rStyle w:val="FootnoteReference"/>
          <w:rFonts w:ascii="Arial" w:hAnsi="Arial" w:cs="Arial"/>
          <w:sz w:val="18"/>
          <w:szCs w:val="18"/>
        </w:rPr>
        <w:footnoteRef/>
      </w:r>
      <w:r w:rsidRPr="00970704">
        <w:rPr>
          <w:rFonts w:ascii="Arial" w:hAnsi="Arial" w:cs="Arial"/>
          <w:sz w:val="18"/>
          <w:szCs w:val="18"/>
        </w:rPr>
        <w:t xml:space="preserve"> </w:t>
      </w:r>
      <w:r>
        <w:rPr>
          <w:rFonts w:ascii="Arial" w:hAnsi="Arial" w:cs="Arial"/>
          <w:sz w:val="18"/>
          <w:szCs w:val="18"/>
        </w:rPr>
        <w:tab/>
      </w:r>
      <w:r w:rsidRPr="00970704">
        <w:rPr>
          <w:rFonts w:ascii="Arial" w:hAnsi="Arial" w:cs="Arial"/>
          <w:sz w:val="18"/>
          <w:szCs w:val="18"/>
        </w:rPr>
        <w:t>https://publications.iadb.org/bitstream/handle/11319/5223/Interoperability%20at%20the%20Border%20-%20Coordinated%20Border%20Management%20Best%20Practices%20%26%20Case%20Studies%20%20%20%20.pdf?sequence=1&amp;isAllowed=y</w:t>
      </w:r>
    </w:p>
  </w:footnote>
  <w:footnote w:id="2">
    <w:p w14:paraId="3D8E018B" w14:textId="77777777" w:rsidR="00A13F59" w:rsidRPr="00970704" w:rsidRDefault="00A13F59" w:rsidP="00791B0C">
      <w:pPr>
        <w:pStyle w:val="FootnoteText"/>
        <w:ind w:left="288" w:hanging="288"/>
        <w:jc w:val="both"/>
        <w:rPr>
          <w:rFonts w:ascii="Arial" w:hAnsi="Arial" w:cs="Arial"/>
          <w:sz w:val="18"/>
          <w:szCs w:val="18"/>
        </w:rPr>
      </w:pPr>
      <w:r w:rsidRPr="00970704">
        <w:rPr>
          <w:rStyle w:val="FootnoteReference"/>
          <w:rFonts w:ascii="Arial" w:hAnsi="Arial" w:cs="Arial"/>
          <w:sz w:val="18"/>
          <w:szCs w:val="18"/>
        </w:rPr>
        <w:footnoteRef/>
      </w:r>
      <w:r w:rsidRPr="00970704">
        <w:rPr>
          <w:rFonts w:ascii="Arial" w:hAnsi="Arial" w:cs="Arial"/>
          <w:sz w:val="18"/>
          <w:szCs w:val="18"/>
        </w:rPr>
        <w:t xml:space="preserve"> </w:t>
      </w:r>
      <w:r>
        <w:rPr>
          <w:rFonts w:ascii="Arial" w:hAnsi="Arial" w:cs="Arial"/>
          <w:sz w:val="18"/>
          <w:szCs w:val="18"/>
        </w:rPr>
        <w:t> </w:t>
      </w:r>
      <w:r w:rsidRPr="00970704">
        <w:rPr>
          <w:rFonts w:ascii="Arial" w:hAnsi="Arial" w:cs="Arial"/>
          <w:sz w:val="18"/>
          <w:szCs w:val="18"/>
        </w:rPr>
        <w:t>https://publications.iadb.org/bitstream/handle/11319/5224/Electronic%20Single%20Window%20.pdf?sequence=1&amp;isAllowed=y</w:t>
      </w:r>
    </w:p>
  </w:footnote>
  <w:footnote w:id="3">
    <w:p w14:paraId="0BDE14C8" w14:textId="68DCEB68" w:rsidR="00A13F59" w:rsidRPr="00970704" w:rsidRDefault="00A13F59" w:rsidP="00791B0C">
      <w:pPr>
        <w:pStyle w:val="FootnoteText"/>
        <w:ind w:left="288" w:hanging="288"/>
        <w:jc w:val="both"/>
        <w:rPr>
          <w:rFonts w:ascii="Arial" w:hAnsi="Arial" w:cs="Arial"/>
          <w:sz w:val="18"/>
          <w:szCs w:val="18"/>
        </w:rPr>
      </w:pPr>
      <w:r w:rsidRPr="00970704">
        <w:rPr>
          <w:rFonts w:ascii="Arial" w:hAnsi="Arial" w:cs="Arial"/>
          <w:sz w:val="18"/>
          <w:szCs w:val="18"/>
          <w:vertAlign w:val="superscript"/>
        </w:rPr>
        <w:footnoteRef/>
      </w:r>
      <w:r w:rsidRPr="00970704">
        <w:rPr>
          <w:rFonts w:ascii="Arial" w:hAnsi="Arial" w:cs="Arial"/>
          <w:sz w:val="18"/>
          <w:szCs w:val="18"/>
          <w:vertAlign w:val="superscript"/>
        </w:rPr>
        <w:t xml:space="preserve"> </w:t>
      </w:r>
      <w:r>
        <w:rPr>
          <w:rFonts w:ascii="Arial" w:hAnsi="Arial" w:cs="Arial"/>
          <w:sz w:val="18"/>
          <w:szCs w:val="18"/>
          <w:vertAlign w:val="superscript"/>
        </w:rPr>
        <w:t> </w:t>
      </w:r>
      <w:hyperlink r:id="rId1" w:history="1">
        <w:r w:rsidRPr="005E1B46">
          <w:rPr>
            <w:rStyle w:val="Hyperlink"/>
            <w:rFonts w:ascii="Arial" w:hAnsi="Arial" w:cs="Arial"/>
            <w:sz w:val="18"/>
            <w:szCs w:val="18"/>
          </w:rPr>
          <w:t>https://idbg.sharepoint.com/teams/ez-</w:t>
        </w:r>
      </w:hyperlink>
      <w:r>
        <w:rPr>
          <w:rFonts w:ascii="Arial" w:hAnsi="Arial" w:cs="Arial"/>
          <w:sz w:val="18"/>
          <w:szCs w:val="18"/>
        </w:rPr>
        <w:t> </w:t>
      </w:r>
      <w:r w:rsidRPr="00970704">
        <w:rPr>
          <w:rFonts w:ascii="Arial" w:hAnsi="Arial" w:cs="Arial"/>
          <w:sz w:val="18"/>
          <w:szCs w:val="18"/>
        </w:rPr>
        <w:t>VPS/Pub/IDBPub/Corporate%20Publications%20Public%20Access/Electronic%20Single%20Window%20[36338531].PDF</w:t>
      </w:r>
    </w:p>
  </w:footnote>
  <w:footnote w:id="4">
    <w:p w14:paraId="61CFE39E" w14:textId="12645932" w:rsidR="00A13F59" w:rsidRPr="00970704" w:rsidRDefault="00A13F59" w:rsidP="00791B0C">
      <w:pPr>
        <w:pStyle w:val="FootnoteText"/>
        <w:ind w:left="288" w:hanging="288"/>
        <w:jc w:val="both"/>
        <w:rPr>
          <w:rFonts w:ascii="Arial" w:hAnsi="Arial" w:cs="Arial"/>
          <w:sz w:val="18"/>
          <w:szCs w:val="18"/>
        </w:rPr>
      </w:pPr>
      <w:r w:rsidRPr="00970704">
        <w:rPr>
          <w:rFonts w:ascii="Arial" w:hAnsi="Arial" w:cs="Arial"/>
          <w:sz w:val="18"/>
          <w:szCs w:val="18"/>
          <w:vertAlign w:val="superscript"/>
        </w:rPr>
        <w:footnoteRef/>
      </w:r>
      <w:r w:rsidRPr="00970704">
        <w:rPr>
          <w:rFonts w:ascii="Arial" w:hAnsi="Arial" w:cs="Arial"/>
          <w:sz w:val="18"/>
          <w:szCs w:val="18"/>
        </w:rPr>
        <w:t xml:space="preserve"> </w:t>
      </w:r>
      <w:r w:rsidR="0050786F">
        <w:rPr>
          <w:rFonts w:ascii="Arial" w:hAnsi="Arial" w:cs="Arial"/>
          <w:sz w:val="18"/>
          <w:szCs w:val="18"/>
        </w:rPr>
        <w:tab/>
      </w:r>
      <w:r w:rsidRPr="00970704">
        <w:rPr>
          <w:rFonts w:ascii="Arial" w:hAnsi="Arial" w:cs="Arial"/>
          <w:sz w:val="18"/>
          <w:szCs w:val="18"/>
        </w:rPr>
        <w:t>http://www.doingbusiness.org/data/exploretopics/trading-across-borders/good-practices</w:t>
      </w:r>
    </w:p>
  </w:footnote>
  <w:footnote w:id="5">
    <w:p w14:paraId="7F5C0F9E" w14:textId="2EBE8AE9" w:rsidR="00A13F59" w:rsidRPr="00E44662" w:rsidRDefault="00A13F59" w:rsidP="00791B0C">
      <w:pPr>
        <w:pStyle w:val="FootnoteText"/>
        <w:ind w:left="270" w:hanging="270"/>
        <w:jc w:val="both"/>
      </w:pPr>
      <w:r w:rsidRPr="00970704">
        <w:rPr>
          <w:rFonts w:ascii="Arial" w:hAnsi="Arial" w:cs="Arial"/>
          <w:sz w:val="18"/>
          <w:szCs w:val="18"/>
          <w:vertAlign w:val="superscript"/>
        </w:rPr>
        <w:footnoteRef/>
      </w:r>
      <w:r w:rsidRPr="00970704">
        <w:rPr>
          <w:rFonts w:ascii="Arial" w:hAnsi="Arial" w:cs="Arial"/>
          <w:sz w:val="18"/>
          <w:szCs w:val="18"/>
          <w:vertAlign w:val="superscript"/>
        </w:rPr>
        <w:t xml:space="preserve"> </w:t>
      </w:r>
      <w:r w:rsidR="0050786F">
        <w:rPr>
          <w:rFonts w:ascii="Arial" w:hAnsi="Arial" w:cs="Arial"/>
          <w:sz w:val="18"/>
          <w:szCs w:val="18"/>
          <w:vertAlign w:val="superscript"/>
        </w:rPr>
        <w:tab/>
      </w:r>
      <w:r w:rsidRPr="00970704">
        <w:rPr>
          <w:rFonts w:ascii="Arial" w:hAnsi="Arial" w:cs="Arial"/>
          <w:sz w:val="18"/>
          <w:szCs w:val="18"/>
        </w:rPr>
        <w:t>https://www.apec.org/Press/Features/2014/0220_window.aspx</w:t>
      </w:r>
    </w:p>
  </w:footnote>
  <w:footnote w:id="6">
    <w:p w14:paraId="4C0207A4" w14:textId="1B5BB793" w:rsidR="00660802" w:rsidRPr="00513014" w:rsidRDefault="00660802" w:rsidP="00513014">
      <w:pPr>
        <w:pStyle w:val="FootnoteText"/>
        <w:ind w:left="288" w:hanging="288"/>
        <w:jc w:val="both"/>
        <w:rPr>
          <w:rFonts w:ascii="Arial" w:hAnsi="Arial" w:cs="Arial"/>
          <w:sz w:val="18"/>
          <w:szCs w:val="18"/>
        </w:rPr>
      </w:pPr>
      <w:r w:rsidRPr="00513014">
        <w:rPr>
          <w:rStyle w:val="FootnoteReference"/>
          <w:rFonts w:ascii="Arial" w:hAnsi="Arial" w:cs="Arial"/>
          <w:sz w:val="18"/>
          <w:szCs w:val="18"/>
        </w:rPr>
        <w:footnoteRef/>
      </w:r>
      <w:r w:rsidRPr="00513014">
        <w:rPr>
          <w:rFonts w:ascii="Arial" w:hAnsi="Arial" w:cs="Arial"/>
          <w:sz w:val="18"/>
          <w:szCs w:val="18"/>
        </w:rPr>
        <w:t xml:space="preserve"> </w:t>
      </w:r>
      <w:r w:rsidR="00513014" w:rsidRPr="00513014">
        <w:rPr>
          <w:rFonts w:ascii="Arial" w:hAnsi="Arial" w:cs="Arial"/>
          <w:sz w:val="18"/>
          <w:szCs w:val="18"/>
        </w:rPr>
        <w:tab/>
      </w:r>
      <w:r w:rsidRPr="00513014">
        <w:rPr>
          <w:rFonts w:ascii="Arial" w:hAnsi="Arial" w:cs="Arial"/>
          <w:sz w:val="18"/>
          <w:szCs w:val="18"/>
        </w:rPr>
        <w:t xml:space="preserve">The IDB and the WCO signed a Memorandum of Understanding in 2001 to jointly conduct capacity building activities and facilitate trade. The MOU is available </w:t>
      </w:r>
      <w:hyperlink r:id="rId2" w:history="1">
        <w:r w:rsidRPr="00513014">
          <w:rPr>
            <w:rStyle w:val="Hyperlink"/>
            <w:rFonts w:ascii="Arial" w:hAnsi="Arial" w:cs="Arial"/>
            <w:sz w:val="18"/>
            <w:szCs w:val="18"/>
          </w:rPr>
          <w:t>here</w:t>
        </w:r>
      </w:hyperlink>
      <w:r w:rsidRPr="00513014">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D22F0" w14:textId="2AE1C32B" w:rsidR="002C1EA6" w:rsidRPr="002C1EA6" w:rsidRDefault="002C1EA6">
    <w:pPr>
      <w:pStyle w:val="Header"/>
      <w:jc w:val="right"/>
      <w:rPr>
        <w:rFonts w:ascii="Arial" w:hAnsi="Arial" w:cs="Arial"/>
        <w:sz w:val="22"/>
        <w:szCs w:val="22"/>
      </w:rPr>
    </w:pPr>
    <w:r w:rsidRPr="002C1EA6">
      <w:rPr>
        <w:rFonts w:ascii="Arial" w:hAnsi="Arial" w:cs="Arial"/>
        <w:noProof/>
        <w:sz w:val="22"/>
        <w:szCs w:val="22"/>
      </w:rPr>
      <w:drawing>
        <wp:anchor distT="0" distB="0" distL="114300" distR="114300" simplePos="0" relativeHeight="251658240" behindDoc="0" locked="0" layoutInCell="1" allowOverlap="1" wp14:anchorId="4418EC75" wp14:editId="48EE276B">
          <wp:simplePos x="0" y="0"/>
          <wp:positionH relativeFrom="column">
            <wp:posOffset>28575</wp:posOffset>
          </wp:positionH>
          <wp:positionV relativeFrom="paragraph">
            <wp:posOffset>-95250</wp:posOffset>
          </wp:positionV>
          <wp:extent cx="1076325" cy="485775"/>
          <wp:effectExtent l="0" t="0" r="9525" b="9525"/>
          <wp:wrapSquare wrapText="bothSides"/>
          <wp:docPr id="3" name="Picture 3" descr="D:\DATA.IDB\Pictures\LOGOS\IDB_without descriptor_eng_MR_150dpi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Pictures\LOGOS\IDB_without descriptor_eng_MR_150dpi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6290" b="19806"/>
                  <a:stretch/>
                </pic:blipFill>
                <pic:spPr bwMode="auto">
                  <a:xfrm>
                    <a:off x="0" y="0"/>
                    <a:ext cx="1076325" cy="485775"/>
                  </a:xfrm>
                  <a:prstGeom prst="rect">
                    <a:avLst/>
                  </a:prstGeom>
                  <a:noFill/>
                  <a:ln>
                    <a:noFill/>
                  </a:ln>
                  <a:extLst>
                    <a:ext uri="{53640926-AAD7-44D8-BBD7-CCE9431645EC}">
                      <a14:shadowObscured xmlns:a14="http://schemas.microsoft.com/office/drawing/2010/main"/>
                    </a:ext>
                  </a:extLst>
                </pic:spPr>
              </pic:pic>
            </a:graphicData>
          </a:graphic>
        </wp:anchor>
      </w:drawing>
    </w:r>
    <w:r w:rsidRPr="002C1EA6">
      <w:rPr>
        <w:rFonts w:ascii="Arial" w:hAnsi="Arial" w:cs="Arial"/>
        <w:sz w:val="22"/>
        <w:szCs w:val="22"/>
      </w:rPr>
      <w:t>GY-L1064</w:t>
    </w:r>
  </w:p>
  <w:sdt>
    <w:sdtPr>
      <w:rPr>
        <w:rFonts w:ascii="Arial" w:hAnsi="Arial" w:cs="Arial"/>
        <w:sz w:val="22"/>
        <w:szCs w:val="22"/>
      </w:rPr>
      <w:id w:val="-1318336367"/>
      <w:docPartObj>
        <w:docPartGallery w:val="Page Numbers (Top of Page)"/>
        <w:docPartUnique/>
      </w:docPartObj>
    </w:sdtPr>
    <w:sdtEndPr/>
    <w:sdtContent>
      <w:p w14:paraId="0B4BFB89" w14:textId="7AE742FE" w:rsidR="002C1EA6" w:rsidRPr="002C1EA6" w:rsidRDefault="002C1EA6" w:rsidP="002C1EA6">
        <w:pPr>
          <w:pStyle w:val="Header"/>
          <w:jc w:val="right"/>
          <w:rPr>
            <w:rFonts w:ascii="Arial" w:hAnsi="Arial" w:cs="Arial"/>
            <w:bCs/>
            <w:sz w:val="22"/>
            <w:szCs w:val="22"/>
          </w:rPr>
        </w:pPr>
        <w:r w:rsidRPr="002C1EA6">
          <w:rPr>
            <w:rFonts w:ascii="Arial" w:hAnsi="Arial" w:cs="Arial"/>
            <w:sz w:val="22"/>
            <w:szCs w:val="22"/>
          </w:rPr>
          <w:t xml:space="preserve">Page </w:t>
        </w:r>
        <w:r w:rsidRPr="002C1EA6">
          <w:rPr>
            <w:rFonts w:ascii="Arial" w:hAnsi="Arial" w:cs="Arial"/>
            <w:bCs/>
            <w:sz w:val="22"/>
            <w:szCs w:val="22"/>
          </w:rPr>
          <w:fldChar w:fldCharType="begin"/>
        </w:r>
        <w:r w:rsidRPr="002C1EA6">
          <w:rPr>
            <w:rFonts w:ascii="Arial" w:hAnsi="Arial" w:cs="Arial"/>
            <w:bCs/>
            <w:sz w:val="22"/>
            <w:szCs w:val="22"/>
          </w:rPr>
          <w:instrText xml:space="preserve"> PAGE </w:instrText>
        </w:r>
        <w:r w:rsidRPr="002C1EA6">
          <w:rPr>
            <w:rFonts w:ascii="Arial" w:hAnsi="Arial" w:cs="Arial"/>
            <w:bCs/>
            <w:sz w:val="22"/>
            <w:szCs w:val="22"/>
          </w:rPr>
          <w:fldChar w:fldCharType="separate"/>
        </w:r>
        <w:r w:rsidRPr="002C1EA6">
          <w:rPr>
            <w:rFonts w:ascii="Arial" w:hAnsi="Arial" w:cs="Arial"/>
            <w:bCs/>
            <w:noProof/>
            <w:sz w:val="22"/>
            <w:szCs w:val="22"/>
          </w:rPr>
          <w:t>2</w:t>
        </w:r>
        <w:r w:rsidRPr="002C1EA6">
          <w:rPr>
            <w:rFonts w:ascii="Arial" w:hAnsi="Arial" w:cs="Arial"/>
            <w:bCs/>
            <w:sz w:val="22"/>
            <w:szCs w:val="22"/>
          </w:rPr>
          <w:fldChar w:fldCharType="end"/>
        </w:r>
        <w:r w:rsidRPr="002C1EA6">
          <w:rPr>
            <w:rFonts w:ascii="Arial" w:hAnsi="Arial" w:cs="Arial"/>
            <w:sz w:val="22"/>
            <w:szCs w:val="22"/>
          </w:rPr>
          <w:t xml:space="preserve"> of </w:t>
        </w:r>
        <w:r w:rsidRPr="002C1EA6">
          <w:rPr>
            <w:rFonts w:ascii="Arial" w:hAnsi="Arial" w:cs="Arial"/>
            <w:bCs/>
            <w:sz w:val="22"/>
            <w:szCs w:val="22"/>
          </w:rPr>
          <w:fldChar w:fldCharType="begin"/>
        </w:r>
        <w:r w:rsidRPr="002C1EA6">
          <w:rPr>
            <w:rFonts w:ascii="Arial" w:hAnsi="Arial" w:cs="Arial"/>
            <w:bCs/>
            <w:sz w:val="22"/>
            <w:szCs w:val="22"/>
          </w:rPr>
          <w:instrText xml:space="preserve"> NUMPAGES  </w:instrText>
        </w:r>
        <w:r w:rsidRPr="002C1EA6">
          <w:rPr>
            <w:rFonts w:ascii="Arial" w:hAnsi="Arial" w:cs="Arial"/>
            <w:bCs/>
            <w:sz w:val="22"/>
            <w:szCs w:val="22"/>
          </w:rPr>
          <w:fldChar w:fldCharType="separate"/>
        </w:r>
        <w:r w:rsidRPr="002C1EA6">
          <w:rPr>
            <w:rFonts w:ascii="Arial" w:hAnsi="Arial" w:cs="Arial"/>
            <w:bCs/>
            <w:noProof/>
            <w:sz w:val="22"/>
            <w:szCs w:val="22"/>
          </w:rPr>
          <w:t>2</w:t>
        </w:r>
        <w:r w:rsidRPr="002C1EA6">
          <w:rPr>
            <w:rFonts w:ascii="Arial" w:hAnsi="Arial" w:cs="Arial"/>
            <w:bCs/>
            <w:sz w:val="22"/>
            <w:szCs w:val="22"/>
          </w:rPr>
          <w:fldChar w:fldCharType="end"/>
        </w:r>
      </w:p>
    </w:sdtContent>
  </w:sdt>
  <w:p w14:paraId="653D58FC" w14:textId="426DBCBF" w:rsidR="00670D7E" w:rsidRPr="00670D7E" w:rsidRDefault="00670D7E" w:rsidP="00670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E2834"/>
    <w:multiLevelType w:val="multilevel"/>
    <w:tmpl w:val="7EB09B6C"/>
    <w:lvl w:ilvl="0">
      <w:start w:val="3"/>
      <w:numFmt w:val="bullet"/>
      <w:lvlText w:val="-"/>
      <w:lvlJc w:val="left"/>
      <w:pPr>
        <w:tabs>
          <w:tab w:val="num" w:pos="720"/>
        </w:tabs>
        <w:ind w:left="720" w:hanging="360"/>
      </w:pPr>
      <w:rPr>
        <w:rFonts w:ascii="Arial" w:eastAsia="Arial" w:hAnsi="Arial" w:cs="Arial"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DE4A08"/>
    <w:multiLevelType w:val="hybridMultilevel"/>
    <w:tmpl w:val="42F07A94"/>
    <w:lvl w:ilvl="0" w:tplc="98AA4B6E">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955F22"/>
    <w:multiLevelType w:val="multilevel"/>
    <w:tmpl w:val="C7F0F8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040ED6"/>
    <w:multiLevelType w:val="multilevel"/>
    <w:tmpl w:val="95D80A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23176B"/>
    <w:multiLevelType w:val="multilevel"/>
    <w:tmpl w:val="23AE2DF2"/>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6DF1B6C"/>
    <w:multiLevelType w:val="multilevel"/>
    <w:tmpl w:val="F540410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4"/>
    <w:lvlOverride w:ilvl="1">
      <w:lvl w:ilvl="1">
        <w:numFmt w:val="decimal"/>
        <w:lvlText w:val="%2."/>
        <w:lvlJc w:val="left"/>
      </w:lvl>
    </w:lvlOverride>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D6B"/>
    <w:rsid w:val="0026461A"/>
    <w:rsid w:val="002B0CBF"/>
    <w:rsid w:val="002C1EA6"/>
    <w:rsid w:val="00357D86"/>
    <w:rsid w:val="003746DB"/>
    <w:rsid w:val="003A320D"/>
    <w:rsid w:val="003A7D16"/>
    <w:rsid w:val="004B49D4"/>
    <w:rsid w:val="0050786F"/>
    <w:rsid w:val="00513014"/>
    <w:rsid w:val="005B25BB"/>
    <w:rsid w:val="005E37E0"/>
    <w:rsid w:val="00625A65"/>
    <w:rsid w:val="00660802"/>
    <w:rsid w:val="00670D7E"/>
    <w:rsid w:val="0072373D"/>
    <w:rsid w:val="00730FFC"/>
    <w:rsid w:val="00791B0C"/>
    <w:rsid w:val="008C4D6B"/>
    <w:rsid w:val="008D38B0"/>
    <w:rsid w:val="009103AD"/>
    <w:rsid w:val="009359D1"/>
    <w:rsid w:val="00942C8D"/>
    <w:rsid w:val="0099134B"/>
    <w:rsid w:val="009F4199"/>
    <w:rsid w:val="00A13F59"/>
    <w:rsid w:val="00B0289A"/>
    <w:rsid w:val="00B52B58"/>
    <w:rsid w:val="00BA4AF2"/>
    <w:rsid w:val="00CC78B5"/>
    <w:rsid w:val="00D11E2C"/>
    <w:rsid w:val="00E2675C"/>
    <w:rsid w:val="00E451E3"/>
    <w:rsid w:val="00EB33D2"/>
    <w:rsid w:val="00F21C58"/>
    <w:rsid w:val="00FF6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B85A"/>
  <w15:chartTrackingRefBased/>
  <w15:docId w15:val="{7ADE92E8-F6A9-4E44-99A3-91BAB703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C4D6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C4D6B"/>
    <w:rPr>
      <w:sz w:val="20"/>
      <w:szCs w:val="20"/>
    </w:rPr>
  </w:style>
  <w:style w:type="character" w:customStyle="1" w:styleId="CommentTextChar">
    <w:name w:val="Comment Text Char"/>
    <w:basedOn w:val="DefaultParagraphFont"/>
    <w:link w:val="CommentText"/>
    <w:uiPriority w:val="99"/>
    <w:semiHidden/>
    <w:rsid w:val="008C4D6B"/>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C4D6B"/>
    <w:rPr>
      <w:sz w:val="16"/>
      <w:szCs w:val="16"/>
    </w:rPr>
  </w:style>
  <w:style w:type="paragraph" w:styleId="BalloonText">
    <w:name w:val="Balloon Text"/>
    <w:basedOn w:val="Normal"/>
    <w:link w:val="BalloonTextChar"/>
    <w:uiPriority w:val="99"/>
    <w:semiHidden/>
    <w:unhideWhenUsed/>
    <w:rsid w:val="008C4D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D6B"/>
    <w:rPr>
      <w:rFonts w:ascii="Segoe UI" w:eastAsia="Times New Roman" w:hAnsi="Segoe UI" w:cs="Segoe UI"/>
      <w:sz w:val="18"/>
      <w:szCs w:val="18"/>
    </w:rPr>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Car"/>
    <w:basedOn w:val="Normal"/>
    <w:link w:val="FootnoteTextChar"/>
    <w:uiPriority w:val="99"/>
    <w:unhideWhenUsed/>
    <w:qFormat/>
    <w:rsid w:val="0072373D"/>
    <w:rPr>
      <w:sz w:val="20"/>
      <w:szCs w:val="20"/>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72373D"/>
    <w:rPr>
      <w:rFonts w:ascii="Times New Roman" w:eastAsia="Times New Roman" w:hAnsi="Times New Roman" w:cs="Times New Roman"/>
      <w:sz w:val="20"/>
      <w:szCs w:val="20"/>
    </w:rPr>
  </w:style>
  <w:style w:type="character" w:styleId="FootnoteReference">
    <w:name w:val="footnote reference"/>
    <w:aliases w:val="titulo 2,ftref,BVI fnr, BVI fnr,Знак сноски 1,referencia nota al pie,Fußnotenzeichen DISS,16 Point,Superscript 6 Point,Style 24,pie pddes,Ref. de nota al pie.,FC,Знак сноски-FN,Ref,de nota al pie,Footnote Referencefra,BVI fnr Car Car"/>
    <w:basedOn w:val="DefaultParagraphFont"/>
    <w:link w:val="Char2"/>
    <w:uiPriority w:val="99"/>
    <w:unhideWhenUsed/>
    <w:qFormat/>
    <w:rsid w:val="0072373D"/>
    <w:rPr>
      <w:vertAlign w:val="superscript"/>
    </w:rPr>
  </w:style>
  <w:style w:type="paragraph" w:styleId="CommentSubject">
    <w:name w:val="annotation subject"/>
    <w:basedOn w:val="CommentText"/>
    <w:next w:val="CommentText"/>
    <w:link w:val="CommentSubjectChar"/>
    <w:uiPriority w:val="99"/>
    <w:semiHidden/>
    <w:unhideWhenUsed/>
    <w:rsid w:val="0099134B"/>
    <w:rPr>
      <w:b/>
      <w:bCs/>
    </w:rPr>
  </w:style>
  <w:style w:type="character" w:customStyle="1" w:styleId="CommentSubjectChar">
    <w:name w:val="Comment Subject Char"/>
    <w:basedOn w:val="CommentTextChar"/>
    <w:link w:val="CommentSubject"/>
    <w:uiPriority w:val="99"/>
    <w:semiHidden/>
    <w:rsid w:val="0099134B"/>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670D7E"/>
    <w:pPr>
      <w:tabs>
        <w:tab w:val="center" w:pos="4680"/>
        <w:tab w:val="right" w:pos="9360"/>
      </w:tabs>
    </w:pPr>
  </w:style>
  <w:style w:type="character" w:customStyle="1" w:styleId="HeaderChar">
    <w:name w:val="Header Char"/>
    <w:basedOn w:val="DefaultParagraphFont"/>
    <w:link w:val="Header"/>
    <w:uiPriority w:val="99"/>
    <w:rsid w:val="00670D7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70D7E"/>
    <w:pPr>
      <w:tabs>
        <w:tab w:val="center" w:pos="4680"/>
        <w:tab w:val="right" w:pos="9360"/>
      </w:tabs>
    </w:pPr>
  </w:style>
  <w:style w:type="character" w:customStyle="1" w:styleId="FooterChar">
    <w:name w:val="Footer Char"/>
    <w:basedOn w:val="DefaultParagraphFont"/>
    <w:link w:val="Footer"/>
    <w:uiPriority w:val="99"/>
    <w:rsid w:val="00670D7E"/>
    <w:rPr>
      <w:rFonts w:ascii="Times New Roman" w:eastAsia="Times New Roman" w:hAnsi="Times New Roman" w:cs="Times New Roman"/>
      <w:sz w:val="24"/>
      <w:szCs w:val="24"/>
    </w:rPr>
  </w:style>
  <w:style w:type="table" w:styleId="TableGrid">
    <w:name w:val="Table Grid"/>
    <w:basedOn w:val="TableNormal"/>
    <w:uiPriority w:val="59"/>
    <w:rsid w:val="00670D7E"/>
    <w:pPr>
      <w:spacing w:after="0" w:line="240" w:lineRule="auto"/>
    </w:pPr>
    <w:rPr>
      <w:rFonts w:ascii="Arial" w:eastAsia="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0D7E"/>
    <w:pPr>
      <w:ind w:left="720"/>
      <w:contextualSpacing/>
    </w:pPr>
  </w:style>
  <w:style w:type="character" w:styleId="Hyperlink">
    <w:name w:val="Hyperlink"/>
    <w:basedOn w:val="DefaultParagraphFont"/>
    <w:uiPriority w:val="99"/>
    <w:unhideWhenUsed/>
    <w:rsid w:val="00A13F59"/>
    <w:rPr>
      <w:color w:val="0563C1" w:themeColor="hyperlink"/>
      <w:u w:val="single"/>
    </w:rPr>
  </w:style>
  <w:style w:type="paragraph" w:customStyle="1" w:styleId="Paragraph">
    <w:name w:val="Paragraph"/>
    <w:basedOn w:val="BodyTextIndent"/>
    <w:rsid w:val="00A13F59"/>
    <w:pPr>
      <w:tabs>
        <w:tab w:val="num" w:pos="720"/>
        <w:tab w:val="num" w:pos="1296"/>
      </w:tabs>
      <w:spacing w:before="120"/>
      <w:ind w:left="720" w:hanging="720"/>
      <w:jc w:val="both"/>
      <w:outlineLvl w:val="1"/>
    </w:pPr>
    <w:rPr>
      <w:szCs w:val="20"/>
    </w:rPr>
  </w:style>
  <w:style w:type="paragraph" w:styleId="BodyTextIndent">
    <w:name w:val="Body Text Indent"/>
    <w:basedOn w:val="Normal"/>
    <w:link w:val="BodyTextIndentChar"/>
    <w:uiPriority w:val="99"/>
    <w:semiHidden/>
    <w:unhideWhenUsed/>
    <w:rsid w:val="00A13F59"/>
    <w:pPr>
      <w:spacing w:after="120"/>
      <w:ind w:left="360"/>
    </w:pPr>
  </w:style>
  <w:style w:type="character" w:customStyle="1" w:styleId="BodyTextIndentChar">
    <w:name w:val="Body Text Indent Char"/>
    <w:basedOn w:val="DefaultParagraphFont"/>
    <w:link w:val="BodyTextIndent"/>
    <w:uiPriority w:val="99"/>
    <w:semiHidden/>
    <w:rsid w:val="00A13F59"/>
    <w:rPr>
      <w:rFonts w:ascii="Times New Roman" w:eastAsia="Times New Roman" w:hAnsi="Times New Roman" w:cs="Times New Roman"/>
      <w:sz w:val="24"/>
      <w:szCs w:val="24"/>
    </w:rPr>
  </w:style>
  <w:style w:type="paragraph" w:styleId="NormalWeb">
    <w:name w:val="Normal (Web)"/>
    <w:basedOn w:val="Normal"/>
    <w:uiPriority w:val="99"/>
    <w:unhideWhenUsed/>
    <w:rsid w:val="00B52B58"/>
    <w:pPr>
      <w:spacing w:before="100" w:beforeAutospacing="1" w:after="100" w:afterAutospacing="1"/>
    </w:pPr>
  </w:style>
  <w:style w:type="paragraph" w:customStyle="1" w:styleId="Char2">
    <w:name w:val="Char2"/>
    <w:basedOn w:val="Normal"/>
    <w:link w:val="FootnoteReference"/>
    <w:uiPriority w:val="99"/>
    <w:rsid w:val="00660802"/>
    <w:pPr>
      <w:spacing w:after="160" w:line="240" w:lineRule="exact"/>
    </w:pPr>
    <w:rPr>
      <w:rFonts w:asciiTheme="minorHAnsi" w:eastAsiaTheme="minorHAnsi" w:hAnsiTheme="minorHAnsi" w:cstheme="minorBidi"/>
      <w:sz w:val="22"/>
      <w:szCs w:val="22"/>
      <w:vertAlign w:val="superscript"/>
    </w:rPr>
  </w:style>
  <w:style w:type="character" w:styleId="UnresolvedMention">
    <w:name w:val="Unresolved Mention"/>
    <w:basedOn w:val="DefaultParagraphFont"/>
    <w:uiPriority w:val="99"/>
    <w:semiHidden/>
    <w:unhideWhenUsed/>
    <w:rsid w:val="0050786F"/>
    <w:rPr>
      <w:color w:val="605E5C"/>
      <w:shd w:val="clear" w:color="auto" w:fill="E1DFDD"/>
    </w:rPr>
  </w:style>
  <w:style w:type="character" w:styleId="FollowedHyperlink">
    <w:name w:val="FollowedHyperlink"/>
    <w:basedOn w:val="DefaultParagraphFont"/>
    <w:uiPriority w:val="99"/>
    <w:semiHidden/>
    <w:unhideWhenUsed/>
    <w:rsid w:val="005130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040410">
      <w:bodyDiv w:val="1"/>
      <w:marLeft w:val="0"/>
      <w:marRight w:val="0"/>
      <w:marTop w:val="0"/>
      <w:marBottom w:val="0"/>
      <w:divBdr>
        <w:top w:val="none" w:sz="0" w:space="0" w:color="auto"/>
        <w:left w:val="none" w:sz="0" w:space="0" w:color="auto"/>
        <w:bottom w:val="none" w:sz="0" w:space="0" w:color="auto"/>
        <w:right w:val="none" w:sz="0" w:space="0" w:color="auto"/>
      </w:divBdr>
    </w:div>
    <w:div w:id="1056513027">
      <w:bodyDiv w:val="1"/>
      <w:marLeft w:val="0"/>
      <w:marRight w:val="0"/>
      <w:marTop w:val="0"/>
      <w:marBottom w:val="0"/>
      <w:divBdr>
        <w:top w:val="none" w:sz="0" w:space="0" w:color="auto"/>
        <w:left w:val="none" w:sz="0" w:space="0" w:color="auto"/>
        <w:bottom w:val="none" w:sz="0" w:space="0" w:color="auto"/>
        <w:right w:val="none" w:sz="0" w:space="0" w:color="auto"/>
      </w:divBdr>
    </w:div>
    <w:div w:id="20699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37802359" TargetMode="External"/><Relationship Id="rId1" Type="http://schemas.openxmlformats.org/officeDocument/2006/relationships/hyperlink" Target="https://idbg.sharepoint.com/teams/e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E46ADE364B0FC449DCF332F709B4357" ma:contentTypeVersion="141" ma:contentTypeDescription="The base project type from which other project content types inherit their information." ma:contentTypeScope="" ma:versionID="5ae427dba439c2f70898fda7dc3a295f">
  <xsd:schema xmlns:xsd="http://www.w3.org/2001/XMLSchema" xmlns:xs="http://www.w3.org/2001/XMLSchema" xmlns:p="http://schemas.microsoft.com/office/2006/metadata/properties" xmlns:ns2="cdc7663a-08f0-4737-9e8c-148ce897a09c" targetNamespace="http://schemas.microsoft.com/office/2006/metadata/properties" ma:root="true" ma:fieldsID="55dce9462eba7022ddc96088b0dc58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8EA7601F521594CA8F96E9ABA992285" ma:contentTypeVersion="242" ma:contentTypeDescription="A content type to manage public (operations) IDB documents" ma:contentTypeScope="" ma:versionID="94c4c003c00c0d0332b940cbd3fcf966">
  <xsd:schema xmlns:xsd="http://www.w3.org/2001/XMLSchema" xmlns:xs="http://www.w3.org/2001/XMLSchema" xmlns:p="http://schemas.microsoft.com/office/2006/metadata/properties" xmlns:ns2="cdc7663a-08f0-4737-9e8c-148ce897a09c" targetNamespace="http://schemas.microsoft.com/office/2006/metadata/properties" ma:root="true" ma:fieldsID="21a7b1450e16e45992da2921a7d962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Gomez Gonzalez,Maria Margarita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1ad71c92-52dc-4b3f-a10b-7eb73607a9e6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28</Value>
      <Value>26</Value>
      <Value>112</Value>
      <Value>2</Value>
      <Value>140</Value>
    </TaxCatchAll>
    <Operation_x0020_Type xmlns="cdc7663a-08f0-4737-9e8c-148ce897a09c" xsi:nil="true"/>
    <Package_x0020_Code xmlns="cdc7663a-08f0-4737-9e8c-148ce897a09c" xsi:nil="true"/>
    <Identifier xmlns="cdc7663a-08f0-4737-9e8c-148ce897a09c" xsi:nil="true"/>
    <Project_x0020_Number xmlns="cdc7663a-08f0-4737-9e8c-148ce897a09c">GY-L1064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R0002676688</Record_x0020_Number>
    <_dlc_DocId xmlns="cdc7663a-08f0-4737-9e8c-148ce897a09c">EZSHARE-1333772801-10</_dlc_DocId>
    <_dlc_DocIdUrl xmlns="cdc7663a-08f0-4737-9e8c-148ce897a09c">
      <Url>https://idbg.sharepoint.com/teams/EZ-GY-LON/GY-L1064/_layouts/15/DocIdRedir.aspx?ID=EZSHARE-1333772801-10</Url>
      <Description>EZSHARE-1333772801-10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E626C14-9DC8-4F74-AE8E-0DC184198291}">
  <ds:schemaRefs>
    <ds:schemaRef ds:uri="http://schemas.openxmlformats.org/officeDocument/2006/bibliography"/>
  </ds:schemaRefs>
</ds:datastoreItem>
</file>

<file path=customXml/itemProps2.xml><?xml version="1.0" encoding="utf-8"?>
<ds:datastoreItem xmlns:ds="http://schemas.openxmlformats.org/officeDocument/2006/customXml" ds:itemID="{D69F09B6-06F0-4E8D-8EB2-A7D005E3915A}"/>
</file>

<file path=customXml/itemProps3.xml><?xml version="1.0" encoding="utf-8"?>
<ds:datastoreItem xmlns:ds="http://schemas.openxmlformats.org/officeDocument/2006/customXml" ds:itemID="{8C66D977-C173-417D-B3AA-3B52B9E4F984}"/>
</file>

<file path=customXml/itemProps4.xml><?xml version="1.0" encoding="utf-8"?>
<ds:datastoreItem xmlns:ds="http://schemas.openxmlformats.org/officeDocument/2006/customXml" ds:itemID="{9ABB8C0E-3785-478D-94D0-56B9E3703383}"/>
</file>

<file path=customXml/itemProps5.xml><?xml version="1.0" encoding="utf-8"?>
<ds:datastoreItem xmlns:ds="http://schemas.openxmlformats.org/officeDocument/2006/customXml" ds:itemID="{3B2FD85B-762B-4ABA-8D52-AB0DD3D226E8}"/>
</file>

<file path=customXml/itemProps6.xml><?xml version="1.0" encoding="utf-8"?>
<ds:datastoreItem xmlns:ds="http://schemas.openxmlformats.org/officeDocument/2006/customXml" ds:itemID="{1CB53F9C-FB27-4635-8EF9-F48DC04B72D7}"/>
</file>

<file path=customXml/itemProps7.xml><?xml version="1.0" encoding="utf-8"?>
<ds:datastoreItem xmlns:ds="http://schemas.openxmlformats.org/officeDocument/2006/customXml" ds:itemID="{B424E1B8-DD90-43B6-98D4-DE55C204311B}"/>
</file>

<file path=customXml/itemProps8.xml><?xml version="1.0" encoding="utf-8"?>
<ds:datastoreItem xmlns:ds="http://schemas.openxmlformats.org/officeDocument/2006/customXml" ds:itemID="{CF4AF1DD-89AE-457E-B5C2-8688CD95EA05}"/>
</file>

<file path=docProps/app.xml><?xml version="1.0" encoding="utf-8"?>
<Properties xmlns="http://schemas.openxmlformats.org/officeDocument/2006/extended-properties" xmlns:vt="http://schemas.openxmlformats.org/officeDocument/2006/docPropsVTypes">
  <Template>Normal</Template>
  <TotalTime>8</TotalTime>
  <Pages>8</Pages>
  <Words>2283</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Four, Takiyah</dc:creator>
  <cp:keywords/>
  <dc:description/>
  <cp:lastModifiedBy>Gomez Gonzalez, Maria Margarita</cp:lastModifiedBy>
  <cp:revision>9</cp:revision>
  <dcterms:created xsi:type="dcterms:W3CDTF">2018-08-08T15:04:00Z</dcterms:created>
  <dcterms:modified xsi:type="dcterms:W3CDTF">2018-08-13T15:24:00Z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112;#TRADE|1ad71c92-52dc-4b3f-a10b-7eb73607a9e6</vt:lpwstr>
  </property>
  <property fmtid="{D5CDD505-2E9C-101B-9397-08002B2CF9AE}" pid="7" name="Fund IDB">
    <vt:lpwstr>26;#BLD|60acb4c1-0ef3-40ba-9d70-f741cd9e6c23</vt:lpwstr>
  </property>
  <property fmtid="{D5CDD505-2E9C-101B-9397-08002B2CF9AE}" pid="8" name="Country">
    <vt:lpwstr>28;#Guyana|56862354-b867-4ea1-80cf-2c12eebb71f3</vt:lpwstr>
  </property>
  <property fmtid="{D5CDD505-2E9C-101B-9397-08002B2CF9AE}" pid="9" name="Sector IDB">
    <vt:lpwstr>140;#TRADE|4f84c989-30b4-4e40-b7c1-3021a996f7c5</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7dc88c89-7045-42b5-b02b-7041befaf8d6</vt:lpwstr>
  </property>
  <property fmtid="{D5CDD505-2E9C-101B-9397-08002B2CF9AE}" pid="12" name="ContentTypeId">
    <vt:lpwstr>0x0101001A458A224826124E8B45B1D613300CFC0008EA7601F521594CA8F96E9ABA992285</vt:lpwstr>
  </property>
</Properties>
</file>