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6032C" w14:textId="77777777" w:rsidR="0072727A" w:rsidRDefault="004C6E05">
      <w:pPr>
        <w:spacing w:before="200" w:after="200"/>
        <w:jc w:val="center"/>
      </w:pPr>
      <w:r>
        <w:rPr>
          <w:rFonts w:ascii="Arial" w:hAnsi="Arial" w:cs="Arial"/>
          <w:b/>
        </w:rPr>
        <w:t>TC ABSTRACT</w:t>
      </w:r>
    </w:p>
    <w:p w14:paraId="227461CA" w14:textId="77777777" w:rsidR="0072727A" w:rsidRDefault="004C6E05">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09"/>
        <w:gridCol w:w="5133"/>
      </w:tblGrid>
      <w:tr w:rsidR="0072727A" w14:paraId="202B0443" w14:textId="77777777" w:rsidTr="00A84A0D">
        <w:trPr>
          <w:jc w:val="center"/>
        </w:trPr>
        <w:tc>
          <w:tcPr>
            <w:tcW w:w="4109" w:type="dxa"/>
          </w:tcPr>
          <w:p w14:paraId="65D84734" w14:textId="77777777" w:rsidR="0072727A" w:rsidRDefault="004C6E05">
            <w:pPr>
              <w:spacing w:before="40" w:after="40"/>
              <w:ind w:left="115" w:hanging="115"/>
            </w:pPr>
            <w:r>
              <w:rPr>
                <w:rFonts w:ascii="Arial" w:hAnsi="Arial" w:cs="Arial"/>
                <w:sz w:val="18"/>
                <w:szCs w:val="18"/>
              </w:rPr>
              <w:t>▪ Country/Region:</w:t>
            </w:r>
          </w:p>
        </w:tc>
        <w:tc>
          <w:tcPr>
            <w:tcW w:w="5133" w:type="dxa"/>
          </w:tcPr>
          <w:p w14:paraId="35307CA8" w14:textId="77777777" w:rsidR="0072727A" w:rsidRDefault="004C6E05">
            <w:pPr>
              <w:spacing w:before="40" w:after="40"/>
            </w:pPr>
            <w:r>
              <w:rPr>
                <w:rFonts w:ascii="Arial" w:hAnsi="Arial" w:cs="Arial"/>
                <w:sz w:val="18"/>
                <w:szCs w:val="18"/>
              </w:rPr>
              <w:t>REGIONAL/IDB</w:t>
            </w:r>
          </w:p>
        </w:tc>
      </w:tr>
      <w:tr w:rsidR="0072727A" w14:paraId="1C6EBA6B" w14:textId="77777777" w:rsidTr="00A84A0D">
        <w:trPr>
          <w:jc w:val="center"/>
        </w:trPr>
        <w:tc>
          <w:tcPr>
            <w:tcW w:w="4109" w:type="dxa"/>
          </w:tcPr>
          <w:p w14:paraId="2D4F3FE7" w14:textId="77777777" w:rsidR="0072727A" w:rsidRDefault="004C6E05">
            <w:pPr>
              <w:spacing w:before="40" w:after="40"/>
              <w:ind w:left="115" w:hanging="115"/>
            </w:pPr>
            <w:r>
              <w:rPr>
                <w:rFonts w:ascii="Arial" w:hAnsi="Arial" w:cs="Arial"/>
                <w:sz w:val="18"/>
                <w:szCs w:val="18"/>
              </w:rPr>
              <w:t>▪ TC Name:</w:t>
            </w:r>
          </w:p>
        </w:tc>
        <w:tc>
          <w:tcPr>
            <w:tcW w:w="5133" w:type="dxa"/>
          </w:tcPr>
          <w:p w14:paraId="54535849" w14:textId="77777777" w:rsidR="0072727A" w:rsidRDefault="004C6E05">
            <w:pPr>
              <w:spacing w:before="40" w:after="40"/>
            </w:pPr>
            <w:r>
              <w:rPr>
                <w:rFonts w:ascii="Arial" w:hAnsi="Arial" w:cs="Arial"/>
                <w:sz w:val="18"/>
                <w:szCs w:val="18"/>
              </w:rPr>
              <w:t>Support for the Preparation of Energy Projects Aimed at Employment and Economic Recovery in Latin America and the Caribbean (LAC)</w:t>
            </w:r>
          </w:p>
        </w:tc>
      </w:tr>
      <w:tr w:rsidR="0072727A" w14:paraId="1069B1E8" w14:textId="77777777" w:rsidTr="00A84A0D">
        <w:trPr>
          <w:jc w:val="center"/>
        </w:trPr>
        <w:tc>
          <w:tcPr>
            <w:tcW w:w="4109" w:type="dxa"/>
          </w:tcPr>
          <w:p w14:paraId="5EF262CD" w14:textId="77777777" w:rsidR="0072727A" w:rsidRDefault="004C6E05">
            <w:pPr>
              <w:spacing w:before="40" w:after="40"/>
              <w:ind w:left="115" w:hanging="115"/>
            </w:pPr>
            <w:r>
              <w:rPr>
                <w:rFonts w:ascii="Arial" w:hAnsi="Arial" w:cs="Arial"/>
                <w:sz w:val="18"/>
                <w:szCs w:val="18"/>
              </w:rPr>
              <w:t>▪ TC Number:</w:t>
            </w:r>
          </w:p>
        </w:tc>
        <w:tc>
          <w:tcPr>
            <w:tcW w:w="5133" w:type="dxa"/>
          </w:tcPr>
          <w:p w14:paraId="13C53AB3" w14:textId="77777777" w:rsidR="0072727A" w:rsidRDefault="004C6E05">
            <w:pPr>
              <w:spacing w:before="40" w:after="40"/>
            </w:pPr>
            <w:r>
              <w:rPr>
                <w:rFonts w:ascii="Arial" w:hAnsi="Arial" w:cs="Arial"/>
                <w:sz w:val="18"/>
                <w:szCs w:val="18"/>
              </w:rPr>
              <w:t>RG-T3725</w:t>
            </w:r>
          </w:p>
        </w:tc>
      </w:tr>
      <w:tr w:rsidR="0072727A" w:rsidRPr="008C30CA" w14:paraId="43C332DC" w14:textId="77777777" w:rsidTr="00A84A0D">
        <w:trPr>
          <w:jc w:val="center"/>
        </w:trPr>
        <w:tc>
          <w:tcPr>
            <w:tcW w:w="4109" w:type="dxa"/>
          </w:tcPr>
          <w:p w14:paraId="41DAD2B2" w14:textId="77777777" w:rsidR="0072727A" w:rsidRDefault="004C6E05">
            <w:pPr>
              <w:spacing w:before="40" w:after="40"/>
              <w:ind w:left="115" w:hanging="115"/>
            </w:pPr>
            <w:r>
              <w:rPr>
                <w:rFonts w:ascii="Arial" w:hAnsi="Arial" w:cs="Arial"/>
                <w:sz w:val="18"/>
                <w:szCs w:val="18"/>
              </w:rPr>
              <w:t>▪ Team Leader/Members:</w:t>
            </w:r>
          </w:p>
        </w:tc>
        <w:tc>
          <w:tcPr>
            <w:tcW w:w="5133" w:type="dxa"/>
          </w:tcPr>
          <w:p w14:paraId="02D1C019" w14:textId="7D14AB3C" w:rsidR="0072727A" w:rsidRPr="008C30CA" w:rsidRDefault="004C6E05" w:rsidP="00A84A0D">
            <w:pPr>
              <w:spacing w:before="40" w:after="40"/>
              <w:jc w:val="both"/>
              <w:rPr>
                <w:lang w:val="es-419"/>
              </w:rPr>
            </w:pPr>
            <w:r w:rsidRPr="008C30CA">
              <w:rPr>
                <w:rFonts w:ascii="Arial" w:hAnsi="Arial" w:cs="Arial"/>
                <w:sz w:val="18"/>
                <w:szCs w:val="18"/>
                <w:lang w:val="es-419"/>
              </w:rPr>
              <w:t>B</w:t>
            </w:r>
            <w:r w:rsidR="005B3C23" w:rsidRPr="008C30CA">
              <w:rPr>
                <w:rFonts w:ascii="Arial" w:hAnsi="Arial" w:cs="Arial"/>
                <w:sz w:val="18"/>
                <w:szCs w:val="18"/>
                <w:lang w:val="es-419"/>
              </w:rPr>
              <w:t>onzi</w:t>
            </w:r>
            <w:r w:rsidRPr="008C30CA">
              <w:rPr>
                <w:rFonts w:ascii="Arial" w:hAnsi="Arial" w:cs="Arial"/>
                <w:sz w:val="18"/>
                <w:szCs w:val="18"/>
                <w:lang w:val="es-419"/>
              </w:rPr>
              <w:t>, A</w:t>
            </w:r>
            <w:r w:rsidR="005B3C23" w:rsidRPr="008C30CA">
              <w:rPr>
                <w:rFonts w:ascii="Arial" w:hAnsi="Arial" w:cs="Arial"/>
                <w:sz w:val="18"/>
                <w:szCs w:val="18"/>
                <w:lang w:val="es-419"/>
              </w:rPr>
              <w:t>ugusto</w:t>
            </w:r>
            <w:r w:rsidRPr="008C30CA">
              <w:rPr>
                <w:rFonts w:ascii="Arial" w:hAnsi="Arial" w:cs="Arial"/>
                <w:sz w:val="18"/>
                <w:szCs w:val="18"/>
                <w:lang w:val="es-419"/>
              </w:rPr>
              <w:t xml:space="preserve"> (INE/ENE) </w:t>
            </w:r>
            <w:proofErr w:type="spellStart"/>
            <w:r w:rsidRPr="008C30CA">
              <w:rPr>
                <w:rFonts w:ascii="Arial" w:hAnsi="Arial" w:cs="Arial"/>
                <w:sz w:val="18"/>
                <w:szCs w:val="18"/>
                <w:lang w:val="es-419"/>
              </w:rPr>
              <w:t>Team</w:t>
            </w:r>
            <w:proofErr w:type="spellEnd"/>
            <w:r w:rsidRPr="008C30CA">
              <w:rPr>
                <w:rFonts w:ascii="Arial" w:hAnsi="Arial" w:cs="Arial"/>
                <w:sz w:val="18"/>
                <w:szCs w:val="18"/>
                <w:lang w:val="es-419"/>
              </w:rPr>
              <w:t xml:space="preserve"> Leader; A</w:t>
            </w:r>
            <w:r w:rsidR="005B3C23" w:rsidRPr="008C30CA">
              <w:rPr>
                <w:rFonts w:ascii="Arial" w:hAnsi="Arial" w:cs="Arial"/>
                <w:sz w:val="18"/>
                <w:szCs w:val="18"/>
                <w:lang w:val="es-419"/>
              </w:rPr>
              <w:t>larcón</w:t>
            </w:r>
            <w:r w:rsidRPr="008C30CA">
              <w:rPr>
                <w:rFonts w:ascii="Arial" w:hAnsi="Arial" w:cs="Arial"/>
                <w:sz w:val="18"/>
                <w:szCs w:val="18"/>
                <w:lang w:val="es-419"/>
              </w:rPr>
              <w:t>, A</w:t>
            </w:r>
            <w:r w:rsidR="005B3C23" w:rsidRPr="008C30CA">
              <w:rPr>
                <w:rFonts w:ascii="Arial" w:hAnsi="Arial" w:cs="Arial"/>
                <w:sz w:val="18"/>
                <w:szCs w:val="18"/>
                <w:lang w:val="es-419"/>
              </w:rPr>
              <w:t>rturo</w:t>
            </w:r>
            <w:r w:rsidRPr="008C30CA">
              <w:rPr>
                <w:rFonts w:ascii="Arial" w:hAnsi="Arial" w:cs="Arial"/>
                <w:sz w:val="18"/>
                <w:szCs w:val="18"/>
                <w:lang w:val="es-419"/>
              </w:rPr>
              <w:t xml:space="preserve"> (INE/ENE); B</w:t>
            </w:r>
            <w:r w:rsidR="005B3C23" w:rsidRPr="008C30CA">
              <w:rPr>
                <w:rFonts w:ascii="Arial" w:hAnsi="Arial" w:cs="Arial"/>
                <w:sz w:val="18"/>
                <w:szCs w:val="18"/>
                <w:lang w:val="es-419"/>
              </w:rPr>
              <w:t>allón</w:t>
            </w:r>
            <w:r w:rsidRPr="008C30CA">
              <w:rPr>
                <w:rFonts w:ascii="Arial" w:hAnsi="Arial" w:cs="Arial"/>
                <w:sz w:val="18"/>
                <w:szCs w:val="18"/>
                <w:lang w:val="es-419"/>
              </w:rPr>
              <w:t>, S</w:t>
            </w:r>
            <w:r w:rsidR="005B3C23" w:rsidRPr="008C30CA">
              <w:rPr>
                <w:rFonts w:ascii="Arial" w:hAnsi="Arial" w:cs="Arial"/>
                <w:sz w:val="18"/>
                <w:szCs w:val="18"/>
                <w:lang w:val="es-419"/>
              </w:rPr>
              <w:t>ergio</w:t>
            </w:r>
            <w:r w:rsidRPr="008C30CA">
              <w:rPr>
                <w:rFonts w:ascii="Arial" w:hAnsi="Arial" w:cs="Arial"/>
                <w:sz w:val="18"/>
                <w:szCs w:val="18"/>
                <w:lang w:val="es-419"/>
              </w:rPr>
              <w:t xml:space="preserve"> (INE/ENE); A</w:t>
            </w:r>
            <w:r w:rsidR="008C30CA" w:rsidRPr="008C30CA">
              <w:rPr>
                <w:rFonts w:ascii="Arial" w:hAnsi="Arial" w:cs="Arial"/>
                <w:sz w:val="18"/>
                <w:szCs w:val="18"/>
                <w:lang w:val="es-419"/>
              </w:rPr>
              <w:t>iello</w:t>
            </w:r>
            <w:r w:rsidRPr="008C30CA">
              <w:rPr>
                <w:rFonts w:ascii="Arial" w:hAnsi="Arial" w:cs="Arial"/>
                <w:sz w:val="18"/>
                <w:szCs w:val="18"/>
                <w:lang w:val="es-419"/>
              </w:rPr>
              <w:t>, R</w:t>
            </w:r>
            <w:r w:rsidR="008C30CA" w:rsidRPr="008C30CA">
              <w:rPr>
                <w:rFonts w:ascii="Arial" w:hAnsi="Arial" w:cs="Arial"/>
                <w:sz w:val="18"/>
                <w:szCs w:val="18"/>
                <w:lang w:val="es-419"/>
              </w:rPr>
              <w:t>oberto</w:t>
            </w:r>
            <w:r w:rsidRPr="008C30CA">
              <w:rPr>
                <w:rFonts w:ascii="Arial" w:hAnsi="Arial" w:cs="Arial"/>
                <w:sz w:val="18"/>
                <w:szCs w:val="18"/>
                <w:lang w:val="es-419"/>
              </w:rPr>
              <w:t xml:space="preserve"> (INE/ENE); M</w:t>
            </w:r>
            <w:r w:rsidR="008C30CA" w:rsidRPr="008C30CA">
              <w:rPr>
                <w:rFonts w:ascii="Arial" w:hAnsi="Arial" w:cs="Arial"/>
                <w:sz w:val="18"/>
                <w:szCs w:val="18"/>
                <w:lang w:val="es-419"/>
              </w:rPr>
              <w:t>árquez</w:t>
            </w:r>
            <w:r w:rsidRPr="008C30CA">
              <w:rPr>
                <w:rFonts w:ascii="Arial" w:hAnsi="Arial" w:cs="Arial"/>
                <w:sz w:val="18"/>
                <w:szCs w:val="18"/>
                <w:lang w:val="es-419"/>
              </w:rPr>
              <w:t>, F</w:t>
            </w:r>
            <w:r w:rsidR="008C30CA" w:rsidRPr="008C30CA">
              <w:rPr>
                <w:rFonts w:ascii="Arial" w:hAnsi="Arial" w:cs="Arial"/>
                <w:sz w:val="18"/>
                <w:szCs w:val="18"/>
                <w:lang w:val="es-419"/>
              </w:rPr>
              <w:t>idel</w:t>
            </w:r>
            <w:r w:rsidRPr="008C30CA">
              <w:rPr>
                <w:rFonts w:ascii="Arial" w:hAnsi="Arial" w:cs="Arial"/>
                <w:sz w:val="18"/>
                <w:szCs w:val="18"/>
                <w:lang w:val="es-419"/>
              </w:rPr>
              <w:t xml:space="preserve"> (INE/ENE); S</w:t>
            </w:r>
            <w:r w:rsidR="008C30CA" w:rsidRPr="008C30CA">
              <w:rPr>
                <w:rFonts w:ascii="Arial" w:hAnsi="Arial" w:cs="Arial"/>
                <w:sz w:val="18"/>
                <w:szCs w:val="18"/>
                <w:lang w:val="es-419"/>
              </w:rPr>
              <w:t>nyder</w:t>
            </w:r>
            <w:r w:rsidRPr="008C30CA">
              <w:rPr>
                <w:rFonts w:ascii="Arial" w:hAnsi="Arial" w:cs="Arial"/>
                <w:sz w:val="18"/>
                <w:szCs w:val="18"/>
                <w:lang w:val="es-419"/>
              </w:rPr>
              <w:t>, V</w:t>
            </w:r>
            <w:r w:rsidR="008C30CA" w:rsidRPr="008C30CA">
              <w:rPr>
                <w:rFonts w:ascii="Arial" w:hAnsi="Arial" w:cs="Arial"/>
                <w:sz w:val="18"/>
                <w:szCs w:val="18"/>
                <w:lang w:val="es-419"/>
              </w:rPr>
              <w:t>irginia</w:t>
            </w:r>
            <w:r w:rsidRPr="008C30CA">
              <w:rPr>
                <w:rFonts w:ascii="Arial" w:hAnsi="Arial" w:cs="Arial"/>
                <w:sz w:val="18"/>
                <w:szCs w:val="18"/>
                <w:lang w:val="es-419"/>
              </w:rPr>
              <w:t xml:space="preserve"> (INE/ENE); J</w:t>
            </w:r>
            <w:r w:rsidR="008C30CA" w:rsidRPr="008C30CA">
              <w:rPr>
                <w:rFonts w:ascii="Arial" w:hAnsi="Arial" w:cs="Arial"/>
                <w:sz w:val="18"/>
                <w:szCs w:val="18"/>
                <w:lang w:val="es-419"/>
              </w:rPr>
              <w:t>ohnson</w:t>
            </w:r>
            <w:r w:rsidRPr="008C30CA">
              <w:rPr>
                <w:rFonts w:ascii="Arial" w:hAnsi="Arial" w:cs="Arial"/>
                <w:sz w:val="18"/>
                <w:szCs w:val="18"/>
                <w:lang w:val="es-419"/>
              </w:rPr>
              <w:t>, O</w:t>
            </w:r>
            <w:r w:rsidR="008C30CA" w:rsidRPr="008C30CA">
              <w:rPr>
                <w:rFonts w:ascii="Arial" w:hAnsi="Arial" w:cs="Arial"/>
                <w:sz w:val="18"/>
                <w:szCs w:val="18"/>
                <w:lang w:val="es-419"/>
              </w:rPr>
              <w:t>dile</w:t>
            </w:r>
            <w:r w:rsidRPr="008C30CA">
              <w:rPr>
                <w:rFonts w:ascii="Arial" w:hAnsi="Arial" w:cs="Arial"/>
                <w:sz w:val="18"/>
                <w:szCs w:val="18"/>
                <w:lang w:val="es-419"/>
              </w:rPr>
              <w:t xml:space="preserve"> (INE/ENE)</w:t>
            </w:r>
            <w:r w:rsidR="008C30CA">
              <w:rPr>
                <w:rFonts w:ascii="Arial" w:hAnsi="Arial" w:cs="Arial"/>
                <w:sz w:val="18"/>
                <w:szCs w:val="18"/>
                <w:lang w:val="es-419"/>
              </w:rPr>
              <w:t>.</w:t>
            </w:r>
          </w:p>
        </w:tc>
      </w:tr>
      <w:tr w:rsidR="0072727A" w14:paraId="18FDA981" w14:textId="77777777" w:rsidTr="00A84A0D">
        <w:trPr>
          <w:jc w:val="center"/>
        </w:trPr>
        <w:tc>
          <w:tcPr>
            <w:tcW w:w="4109" w:type="dxa"/>
          </w:tcPr>
          <w:p w14:paraId="3282E91B" w14:textId="77777777" w:rsidR="0072727A" w:rsidRDefault="004C6E05">
            <w:pPr>
              <w:spacing w:before="40" w:after="40"/>
              <w:ind w:left="115" w:hanging="115"/>
            </w:pPr>
            <w:r>
              <w:rPr>
                <w:rFonts w:ascii="Arial" w:hAnsi="Arial" w:cs="Arial"/>
                <w:sz w:val="18"/>
                <w:szCs w:val="18"/>
              </w:rPr>
              <w:t>▪ Taxonomy:</w:t>
            </w:r>
          </w:p>
        </w:tc>
        <w:tc>
          <w:tcPr>
            <w:tcW w:w="5133" w:type="dxa"/>
          </w:tcPr>
          <w:p w14:paraId="633590B7" w14:textId="77777777" w:rsidR="0072727A" w:rsidRDefault="004C6E05">
            <w:pPr>
              <w:spacing w:before="40" w:after="40"/>
            </w:pPr>
            <w:r>
              <w:rPr>
                <w:rFonts w:ascii="Arial" w:hAnsi="Arial" w:cs="Arial"/>
                <w:sz w:val="18"/>
                <w:szCs w:val="18"/>
              </w:rPr>
              <w:t>Client Support</w:t>
            </w:r>
          </w:p>
        </w:tc>
      </w:tr>
      <w:tr w:rsidR="0072727A" w14:paraId="7A776F1B" w14:textId="77777777" w:rsidTr="00A84A0D">
        <w:trPr>
          <w:jc w:val="center"/>
        </w:trPr>
        <w:tc>
          <w:tcPr>
            <w:tcW w:w="4109" w:type="dxa"/>
          </w:tcPr>
          <w:p w14:paraId="565C785A" w14:textId="77777777" w:rsidR="0072727A" w:rsidRDefault="004C6E05">
            <w:pPr>
              <w:spacing w:before="40" w:after="40"/>
              <w:ind w:left="115" w:hanging="115"/>
            </w:pPr>
            <w:r>
              <w:rPr>
                <w:rFonts w:ascii="Arial" w:hAnsi="Arial" w:cs="Arial"/>
                <w:sz w:val="18"/>
                <w:szCs w:val="18"/>
              </w:rPr>
              <w:t>▪ Number and name of operation supported by the TC:</w:t>
            </w:r>
          </w:p>
        </w:tc>
        <w:tc>
          <w:tcPr>
            <w:tcW w:w="5133" w:type="dxa"/>
          </w:tcPr>
          <w:p w14:paraId="34820144" w14:textId="77777777" w:rsidR="0072727A" w:rsidRDefault="004C6E05">
            <w:pPr>
              <w:spacing w:before="40" w:after="40"/>
            </w:pPr>
            <w:r>
              <w:rPr>
                <w:rFonts w:ascii="Arial" w:hAnsi="Arial" w:cs="Arial"/>
                <w:sz w:val="18"/>
                <w:szCs w:val="18"/>
              </w:rPr>
              <w:t>N/A</w:t>
            </w:r>
          </w:p>
        </w:tc>
      </w:tr>
      <w:tr w:rsidR="0072727A" w14:paraId="2C165DAB" w14:textId="77777777" w:rsidTr="00A84A0D">
        <w:trPr>
          <w:jc w:val="center"/>
        </w:trPr>
        <w:tc>
          <w:tcPr>
            <w:tcW w:w="4109" w:type="dxa"/>
          </w:tcPr>
          <w:p w14:paraId="52EE641B" w14:textId="77777777" w:rsidR="0072727A" w:rsidRDefault="004C6E05">
            <w:pPr>
              <w:spacing w:before="40" w:after="40"/>
              <w:ind w:left="115" w:hanging="115"/>
            </w:pPr>
            <w:r>
              <w:rPr>
                <w:rFonts w:ascii="Arial" w:hAnsi="Arial" w:cs="Arial"/>
                <w:sz w:val="18"/>
                <w:szCs w:val="18"/>
              </w:rPr>
              <w:t>▪ Date of TC Abstract:</w:t>
            </w:r>
          </w:p>
        </w:tc>
        <w:tc>
          <w:tcPr>
            <w:tcW w:w="5133" w:type="dxa"/>
          </w:tcPr>
          <w:p w14:paraId="1E833F0B" w14:textId="77777777" w:rsidR="0072727A" w:rsidRDefault="004C6E05">
            <w:pPr>
              <w:spacing w:before="40" w:after="40"/>
            </w:pPr>
            <w:r>
              <w:rPr>
                <w:rFonts w:ascii="Arial" w:hAnsi="Arial" w:cs="Arial"/>
                <w:sz w:val="18"/>
                <w:szCs w:val="18"/>
              </w:rPr>
              <w:t>27 May 2020</w:t>
            </w:r>
          </w:p>
        </w:tc>
      </w:tr>
      <w:tr w:rsidR="0072727A" w14:paraId="4AA4BBCA" w14:textId="77777777" w:rsidTr="00A84A0D">
        <w:trPr>
          <w:jc w:val="center"/>
        </w:trPr>
        <w:tc>
          <w:tcPr>
            <w:tcW w:w="4109" w:type="dxa"/>
          </w:tcPr>
          <w:p w14:paraId="71142656" w14:textId="77777777" w:rsidR="0072727A" w:rsidRDefault="004C6E05">
            <w:pPr>
              <w:spacing w:before="40" w:after="40"/>
              <w:ind w:left="115" w:hanging="115"/>
            </w:pPr>
            <w:r>
              <w:rPr>
                <w:rFonts w:ascii="Arial" w:hAnsi="Arial" w:cs="Arial"/>
                <w:sz w:val="18"/>
                <w:szCs w:val="18"/>
              </w:rPr>
              <w:t>▪ Beneficiary:</w:t>
            </w:r>
          </w:p>
        </w:tc>
        <w:tc>
          <w:tcPr>
            <w:tcW w:w="5133" w:type="dxa"/>
          </w:tcPr>
          <w:p w14:paraId="2D0F9A71" w14:textId="77777777" w:rsidR="0072727A" w:rsidRDefault="004C6E05">
            <w:pPr>
              <w:spacing w:before="40" w:after="40"/>
            </w:pPr>
            <w:r>
              <w:rPr>
                <w:rFonts w:ascii="Arial" w:hAnsi="Arial" w:cs="Arial"/>
                <w:sz w:val="18"/>
                <w:szCs w:val="18"/>
              </w:rPr>
              <w:t>Regional</w:t>
            </w:r>
          </w:p>
        </w:tc>
      </w:tr>
      <w:tr w:rsidR="0072727A" w14:paraId="5EE6C47C" w14:textId="77777777" w:rsidTr="00A84A0D">
        <w:trPr>
          <w:jc w:val="center"/>
        </w:trPr>
        <w:tc>
          <w:tcPr>
            <w:tcW w:w="4109" w:type="dxa"/>
          </w:tcPr>
          <w:p w14:paraId="2CC50CF3" w14:textId="77777777" w:rsidR="0072727A" w:rsidRDefault="004C6E05">
            <w:pPr>
              <w:spacing w:before="40" w:after="40"/>
              <w:ind w:left="115" w:hanging="115"/>
            </w:pPr>
            <w:r>
              <w:rPr>
                <w:rFonts w:ascii="Arial" w:hAnsi="Arial" w:cs="Arial"/>
                <w:sz w:val="18"/>
                <w:szCs w:val="18"/>
              </w:rPr>
              <w:t>▪ Executing Agency:</w:t>
            </w:r>
          </w:p>
        </w:tc>
        <w:tc>
          <w:tcPr>
            <w:tcW w:w="5133" w:type="dxa"/>
          </w:tcPr>
          <w:p w14:paraId="1E8E9494" w14:textId="2393A2F5" w:rsidR="0072727A" w:rsidRDefault="004C6E05">
            <w:pPr>
              <w:spacing w:before="40" w:after="40"/>
            </w:pPr>
            <w:r>
              <w:rPr>
                <w:rFonts w:ascii="Arial" w:hAnsi="Arial" w:cs="Arial"/>
                <w:sz w:val="18"/>
                <w:szCs w:val="18"/>
              </w:rPr>
              <w:t>I</w:t>
            </w:r>
            <w:r w:rsidR="005B3C23">
              <w:rPr>
                <w:rFonts w:ascii="Arial" w:hAnsi="Arial" w:cs="Arial"/>
                <w:sz w:val="18"/>
                <w:szCs w:val="18"/>
              </w:rPr>
              <w:t>nter</w:t>
            </w:r>
            <w:r>
              <w:rPr>
                <w:rFonts w:ascii="Arial" w:hAnsi="Arial" w:cs="Arial"/>
                <w:sz w:val="18"/>
                <w:szCs w:val="18"/>
              </w:rPr>
              <w:t>-A</w:t>
            </w:r>
            <w:r w:rsidR="005B3C23">
              <w:rPr>
                <w:rFonts w:ascii="Arial" w:hAnsi="Arial" w:cs="Arial"/>
                <w:sz w:val="18"/>
                <w:szCs w:val="18"/>
              </w:rPr>
              <w:t>merican</w:t>
            </w:r>
            <w:r>
              <w:rPr>
                <w:rFonts w:ascii="Arial" w:hAnsi="Arial" w:cs="Arial"/>
                <w:sz w:val="18"/>
                <w:szCs w:val="18"/>
              </w:rPr>
              <w:t xml:space="preserve"> D</w:t>
            </w:r>
            <w:r w:rsidR="005B3C23">
              <w:rPr>
                <w:rFonts w:ascii="Arial" w:hAnsi="Arial" w:cs="Arial"/>
                <w:sz w:val="18"/>
                <w:szCs w:val="18"/>
              </w:rPr>
              <w:t>evelopment</w:t>
            </w:r>
            <w:r>
              <w:rPr>
                <w:rFonts w:ascii="Arial" w:hAnsi="Arial" w:cs="Arial"/>
                <w:sz w:val="18"/>
                <w:szCs w:val="18"/>
              </w:rPr>
              <w:t xml:space="preserve"> B</w:t>
            </w:r>
            <w:r w:rsidR="005B3C23">
              <w:rPr>
                <w:rFonts w:ascii="Arial" w:hAnsi="Arial" w:cs="Arial"/>
                <w:sz w:val="18"/>
                <w:szCs w:val="18"/>
              </w:rPr>
              <w:t>ank</w:t>
            </w:r>
          </w:p>
        </w:tc>
      </w:tr>
      <w:tr w:rsidR="0072727A" w14:paraId="5B2F8A5D" w14:textId="77777777" w:rsidTr="00A84A0D">
        <w:trPr>
          <w:jc w:val="center"/>
        </w:trPr>
        <w:tc>
          <w:tcPr>
            <w:tcW w:w="4109" w:type="dxa"/>
          </w:tcPr>
          <w:p w14:paraId="560CB744" w14:textId="77777777" w:rsidR="0072727A" w:rsidRDefault="004C6E05">
            <w:pPr>
              <w:spacing w:before="40" w:after="40"/>
              <w:ind w:left="115" w:hanging="115"/>
            </w:pPr>
            <w:r>
              <w:rPr>
                <w:rFonts w:ascii="Arial" w:hAnsi="Arial" w:cs="Arial"/>
                <w:sz w:val="18"/>
                <w:szCs w:val="18"/>
              </w:rPr>
              <w:t>▪ IDB funding requested:</w:t>
            </w:r>
          </w:p>
        </w:tc>
        <w:tc>
          <w:tcPr>
            <w:tcW w:w="5133" w:type="dxa"/>
          </w:tcPr>
          <w:p w14:paraId="40DF8CF6" w14:textId="77777777" w:rsidR="0072727A" w:rsidRDefault="004C6E05" w:rsidP="00A84A0D">
            <w:pPr>
              <w:bidi/>
              <w:spacing w:before="40" w:after="40"/>
              <w:jc w:val="right"/>
            </w:pPr>
            <w:r>
              <w:rPr>
                <w:rFonts w:ascii="Arial" w:hAnsi="Arial" w:cs="Arial"/>
                <w:sz w:val="18"/>
                <w:szCs w:val="18"/>
              </w:rPr>
              <w:t>US$1,400,000.00</w:t>
            </w:r>
          </w:p>
        </w:tc>
      </w:tr>
      <w:tr w:rsidR="0072727A" w14:paraId="149E8BB6" w14:textId="77777777" w:rsidTr="00A84A0D">
        <w:trPr>
          <w:jc w:val="center"/>
        </w:trPr>
        <w:tc>
          <w:tcPr>
            <w:tcW w:w="4109" w:type="dxa"/>
          </w:tcPr>
          <w:p w14:paraId="49DBF930" w14:textId="77777777" w:rsidR="0072727A" w:rsidRDefault="004C6E05">
            <w:pPr>
              <w:spacing w:before="40" w:after="40"/>
              <w:ind w:left="115" w:hanging="115"/>
            </w:pPr>
            <w:r>
              <w:rPr>
                <w:rFonts w:ascii="Arial" w:hAnsi="Arial" w:cs="Arial"/>
                <w:sz w:val="18"/>
                <w:szCs w:val="18"/>
              </w:rPr>
              <w:t>▪ Local counterpart funding:</w:t>
            </w:r>
          </w:p>
        </w:tc>
        <w:tc>
          <w:tcPr>
            <w:tcW w:w="5133" w:type="dxa"/>
          </w:tcPr>
          <w:p w14:paraId="16F37364" w14:textId="77777777" w:rsidR="0072727A" w:rsidRDefault="004C6E05" w:rsidP="00A84A0D">
            <w:pPr>
              <w:bidi/>
              <w:spacing w:before="40" w:after="40"/>
              <w:jc w:val="right"/>
            </w:pPr>
            <w:r>
              <w:rPr>
                <w:rFonts w:ascii="Arial" w:hAnsi="Arial" w:cs="Arial"/>
                <w:sz w:val="18"/>
                <w:szCs w:val="18"/>
              </w:rPr>
              <w:t>US$0.00</w:t>
            </w:r>
          </w:p>
        </w:tc>
      </w:tr>
      <w:tr w:rsidR="0072727A" w14:paraId="360BE632" w14:textId="77777777" w:rsidTr="00A84A0D">
        <w:trPr>
          <w:jc w:val="center"/>
        </w:trPr>
        <w:tc>
          <w:tcPr>
            <w:tcW w:w="4109" w:type="dxa"/>
          </w:tcPr>
          <w:p w14:paraId="21628A6E" w14:textId="77777777" w:rsidR="0072727A" w:rsidRDefault="004C6E05">
            <w:pPr>
              <w:spacing w:before="40" w:after="40"/>
              <w:ind w:left="115" w:hanging="115"/>
            </w:pPr>
            <w:r>
              <w:rPr>
                <w:rFonts w:ascii="Arial" w:hAnsi="Arial" w:cs="Arial"/>
                <w:sz w:val="18"/>
                <w:szCs w:val="18"/>
              </w:rPr>
              <w:t>▪ Disbursement period:</w:t>
            </w:r>
          </w:p>
        </w:tc>
        <w:tc>
          <w:tcPr>
            <w:tcW w:w="5133" w:type="dxa"/>
          </w:tcPr>
          <w:p w14:paraId="5C65521C" w14:textId="77777777" w:rsidR="0072727A" w:rsidRDefault="004C6E05" w:rsidP="00A84A0D">
            <w:pPr>
              <w:bidi/>
              <w:spacing w:before="40" w:after="40"/>
              <w:jc w:val="right"/>
            </w:pPr>
            <w:r>
              <w:rPr>
                <w:rFonts w:ascii="Arial" w:hAnsi="Arial" w:cs="Arial"/>
                <w:sz w:val="18"/>
                <w:szCs w:val="18"/>
              </w:rPr>
              <w:t>24 months</w:t>
            </w:r>
          </w:p>
        </w:tc>
      </w:tr>
      <w:tr w:rsidR="0072727A" w14:paraId="74776D74" w14:textId="77777777" w:rsidTr="00A84A0D">
        <w:trPr>
          <w:jc w:val="center"/>
        </w:trPr>
        <w:tc>
          <w:tcPr>
            <w:tcW w:w="4109" w:type="dxa"/>
          </w:tcPr>
          <w:p w14:paraId="018AE6D5" w14:textId="77777777" w:rsidR="0072727A" w:rsidRDefault="004C6E05">
            <w:pPr>
              <w:spacing w:before="40" w:after="40"/>
              <w:ind w:left="115" w:hanging="115"/>
            </w:pPr>
            <w:r>
              <w:rPr>
                <w:rFonts w:ascii="Arial" w:hAnsi="Arial" w:cs="Arial"/>
                <w:sz w:val="18"/>
                <w:szCs w:val="18"/>
              </w:rPr>
              <w:t>▪ Types of consultants:</w:t>
            </w:r>
          </w:p>
        </w:tc>
        <w:tc>
          <w:tcPr>
            <w:tcW w:w="5133" w:type="dxa"/>
          </w:tcPr>
          <w:p w14:paraId="48C6249D" w14:textId="77777777" w:rsidR="0072727A" w:rsidRDefault="004C6E05">
            <w:pPr>
              <w:spacing w:before="40" w:after="40"/>
            </w:pPr>
            <w:r>
              <w:rPr>
                <w:rFonts w:ascii="Arial" w:hAnsi="Arial" w:cs="Arial"/>
                <w:sz w:val="18"/>
                <w:szCs w:val="18"/>
              </w:rPr>
              <w:t>Firms; Individuals</w:t>
            </w:r>
          </w:p>
        </w:tc>
      </w:tr>
      <w:tr w:rsidR="0072727A" w14:paraId="6603C92C" w14:textId="77777777" w:rsidTr="00A84A0D">
        <w:trPr>
          <w:jc w:val="center"/>
        </w:trPr>
        <w:tc>
          <w:tcPr>
            <w:tcW w:w="4109" w:type="dxa"/>
          </w:tcPr>
          <w:p w14:paraId="24AEFF51" w14:textId="77777777" w:rsidR="0072727A" w:rsidRDefault="004C6E05">
            <w:pPr>
              <w:spacing w:before="40" w:after="40"/>
              <w:ind w:left="115" w:hanging="115"/>
            </w:pPr>
            <w:r>
              <w:rPr>
                <w:rFonts w:ascii="Arial" w:hAnsi="Arial" w:cs="Arial"/>
                <w:sz w:val="18"/>
                <w:szCs w:val="18"/>
              </w:rPr>
              <w:t>▪ Prepared by Unit:</w:t>
            </w:r>
          </w:p>
        </w:tc>
        <w:tc>
          <w:tcPr>
            <w:tcW w:w="5133" w:type="dxa"/>
          </w:tcPr>
          <w:p w14:paraId="688589C9" w14:textId="77777777" w:rsidR="0072727A" w:rsidRDefault="004C6E05">
            <w:pPr>
              <w:spacing w:before="40" w:after="40"/>
            </w:pPr>
            <w:r>
              <w:rPr>
                <w:rFonts w:ascii="Arial" w:hAnsi="Arial" w:cs="Arial"/>
                <w:sz w:val="18"/>
                <w:szCs w:val="18"/>
              </w:rPr>
              <w:t>INE/ENE - Energy</w:t>
            </w:r>
          </w:p>
        </w:tc>
      </w:tr>
      <w:tr w:rsidR="0072727A" w14:paraId="7EEB1F83" w14:textId="77777777" w:rsidTr="00A84A0D">
        <w:trPr>
          <w:jc w:val="center"/>
        </w:trPr>
        <w:tc>
          <w:tcPr>
            <w:tcW w:w="4109" w:type="dxa"/>
          </w:tcPr>
          <w:p w14:paraId="3A497F11" w14:textId="77777777" w:rsidR="0072727A" w:rsidRDefault="004C6E05">
            <w:pPr>
              <w:spacing w:before="40" w:after="40"/>
              <w:ind w:left="115" w:hanging="115"/>
            </w:pPr>
            <w:r>
              <w:rPr>
                <w:rFonts w:ascii="Arial" w:hAnsi="Arial" w:cs="Arial"/>
                <w:sz w:val="18"/>
                <w:szCs w:val="18"/>
              </w:rPr>
              <w:t>▪ Unit of Disbursement Responsibility:</w:t>
            </w:r>
          </w:p>
        </w:tc>
        <w:tc>
          <w:tcPr>
            <w:tcW w:w="5133" w:type="dxa"/>
          </w:tcPr>
          <w:p w14:paraId="309C8019" w14:textId="77777777" w:rsidR="0072727A" w:rsidRDefault="004C6E05">
            <w:pPr>
              <w:spacing w:before="40" w:after="40"/>
            </w:pPr>
            <w:r>
              <w:rPr>
                <w:rFonts w:ascii="Arial" w:hAnsi="Arial" w:cs="Arial"/>
                <w:sz w:val="18"/>
                <w:szCs w:val="18"/>
              </w:rPr>
              <w:t>INE - Infrastructure and Energy Sector</w:t>
            </w:r>
          </w:p>
        </w:tc>
      </w:tr>
      <w:tr w:rsidR="0072727A" w14:paraId="390269CC" w14:textId="77777777" w:rsidTr="00A84A0D">
        <w:trPr>
          <w:jc w:val="center"/>
        </w:trPr>
        <w:tc>
          <w:tcPr>
            <w:tcW w:w="4109" w:type="dxa"/>
          </w:tcPr>
          <w:p w14:paraId="1D24DC07" w14:textId="6818B19E" w:rsidR="0072727A" w:rsidRDefault="004C6E05">
            <w:pPr>
              <w:spacing w:before="40" w:after="40"/>
            </w:pPr>
            <w:r>
              <w:rPr>
                <w:rFonts w:ascii="Arial" w:hAnsi="Arial" w:cs="Arial"/>
                <w:sz w:val="18"/>
                <w:szCs w:val="18"/>
              </w:rPr>
              <w:t>▪ TC included in Country Strategy (y/n):</w:t>
            </w:r>
            <w:r>
              <w:rPr>
                <w:rFonts w:ascii="Arial" w:hAnsi="Arial" w:cs="Arial"/>
                <w:sz w:val="18"/>
                <w:szCs w:val="18"/>
              </w:rPr>
              <w:br/>
              <w:t>▪ TC included in CPD (y/n):</w:t>
            </w:r>
          </w:p>
        </w:tc>
        <w:tc>
          <w:tcPr>
            <w:tcW w:w="5133" w:type="dxa"/>
          </w:tcPr>
          <w:p w14:paraId="2A19C0B3" w14:textId="1662DC1C" w:rsidR="0072727A" w:rsidRDefault="004C6E05">
            <w:pPr>
              <w:spacing w:before="40" w:after="40"/>
            </w:pPr>
            <w:r>
              <w:rPr>
                <w:rFonts w:ascii="Arial" w:hAnsi="Arial" w:cs="Arial"/>
                <w:sz w:val="18"/>
                <w:szCs w:val="18"/>
              </w:rPr>
              <w:t>No</w:t>
            </w:r>
            <w:r>
              <w:rPr>
                <w:rFonts w:ascii="Arial" w:hAnsi="Arial" w:cs="Arial"/>
                <w:sz w:val="18"/>
                <w:szCs w:val="18"/>
              </w:rPr>
              <w:br/>
            </w:r>
            <w:proofErr w:type="spellStart"/>
            <w:r>
              <w:rPr>
                <w:rFonts w:ascii="Arial" w:hAnsi="Arial" w:cs="Arial"/>
                <w:sz w:val="18"/>
                <w:szCs w:val="18"/>
              </w:rPr>
              <w:t>No</w:t>
            </w:r>
            <w:proofErr w:type="spellEnd"/>
          </w:p>
        </w:tc>
      </w:tr>
      <w:tr w:rsidR="0072727A" w14:paraId="7407F39F" w14:textId="77777777" w:rsidTr="00A84A0D">
        <w:trPr>
          <w:jc w:val="center"/>
        </w:trPr>
        <w:tc>
          <w:tcPr>
            <w:tcW w:w="4109" w:type="dxa"/>
          </w:tcPr>
          <w:p w14:paraId="2CA177A0" w14:textId="77777777" w:rsidR="0072727A" w:rsidRDefault="004C6E05">
            <w:pPr>
              <w:spacing w:before="40" w:after="40"/>
              <w:ind w:left="115" w:hanging="115"/>
            </w:pPr>
            <w:r>
              <w:rPr>
                <w:rFonts w:ascii="Arial" w:hAnsi="Arial" w:cs="Arial"/>
                <w:sz w:val="18"/>
                <w:szCs w:val="18"/>
              </w:rPr>
              <w:t>▪ Alignment to the Update to the Institutional Strategy 2010-2020:</w:t>
            </w:r>
          </w:p>
        </w:tc>
        <w:tc>
          <w:tcPr>
            <w:tcW w:w="5133" w:type="dxa"/>
          </w:tcPr>
          <w:p w14:paraId="4976F7A9" w14:textId="2582A84A" w:rsidR="0072727A" w:rsidRDefault="004C6E05">
            <w:pPr>
              <w:spacing w:before="40" w:after="40"/>
            </w:pPr>
            <w:r>
              <w:rPr>
                <w:rFonts w:ascii="Arial" w:hAnsi="Arial" w:cs="Arial"/>
                <w:sz w:val="18"/>
                <w:szCs w:val="18"/>
              </w:rPr>
              <w:t xml:space="preserve">Productivity and </w:t>
            </w:r>
            <w:r w:rsidR="00A84A0D">
              <w:rPr>
                <w:rFonts w:ascii="Arial" w:hAnsi="Arial" w:cs="Arial"/>
                <w:sz w:val="18"/>
                <w:szCs w:val="18"/>
              </w:rPr>
              <w:t>innovation;</w:t>
            </w:r>
            <w:r>
              <w:rPr>
                <w:rFonts w:ascii="Arial" w:hAnsi="Arial" w:cs="Arial"/>
                <w:sz w:val="18"/>
                <w:szCs w:val="18"/>
              </w:rPr>
              <w:t xml:space="preserve"> Institutional capacity and rule of law</w:t>
            </w:r>
          </w:p>
        </w:tc>
      </w:tr>
    </w:tbl>
    <w:p w14:paraId="1AC89F6D" w14:textId="77777777" w:rsidR="0072727A" w:rsidRDefault="004C6E05" w:rsidP="00A84A0D">
      <w:pPr>
        <w:spacing w:before="240" w:after="120"/>
        <w:ind w:left="576" w:hanging="576"/>
      </w:pPr>
      <w:r>
        <w:rPr>
          <w:rFonts w:ascii="Arial" w:hAnsi="Arial" w:cs="Arial"/>
          <w:b/>
        </w:rPr>
        <w:t>II.</w:t>
      </w:r>
      <w:r>
        <w:rPr>
          <w:rFonts w:ascii="Arial" w:hAnsi="Arial" w:cs="Arial"/>
          <w:b/>
        </w:rPr>
        <w:tab/>
        <w:t>Objective and Justification</w:t>
      </w:r>
    </w:p>
    <w:p w14:paraId="1D98C8C7" w14:textId="021F88A3" w:rsidR="0072727A" w:rsidRDefault="004C6E05">
      <w:pPr>
        <w:spacing w:before="120" w:after="120"/>
        <w:ind w:left="579" w:hanging="579"/>
        <w:jc w:val="both"/>
      </w:pPr>
      <w:r>
        <w:rPr>
          <w:rFonts w:ascii="Arial" w:hAnsi="Arial" w:cs="Arial"/>
        </w:rPr>
        <w:t>2.1</w:t>
      </w:r>
      <w:r>
        <w:rPr>
          <w:rFonts w:ascii="Arial" w:hAnsi="Arial" w:cs="Arial"/>
        </w:rPr>
        <w:tab/>
        <w:t xml:space="preserve">The objective of this TC is to react quickly and with sufficient resources to ensure the Bank's standards in investment projects, reforms and special financing for development in the energy sector demanded by the countries to face the economic crisis </w:t>
      </w:r>
      <w:r w:rsidR="006C7B0C">
        <w:rPr>
          <w:rFonts w:ascii="Arial" w:hAnsi="Arial" w:cs="Arial"/>
        </w:rPr>
        <w:t>caused</w:t>
      </w:r>
      <w:r>
        <w:rPr>
          <w:rFonts w:ascii="Arial" w:hAnsi="Arial" w:cs="Arial"/>
        </w:rPr>
        <w:t xml:space="preserve"> </w:t>
      </w:r>
      <w:r w:rsidR="006C7B0C">
        <w:rPr>
          <w:rFonts w:ascii="Arial" w:hAnsi="Arial" w:cs="Arial"/>
        </w:rPr>
        <w:t>by</w:t>
      </w:r>
      <w:r>
        <w:rPr>
          <w:rFonts w:ascii="Arial" w:hAnsi="Arial" w:cs="Arial"/>
        </w:rPr>
        <w:t xml:space="preserve"> the COVID-19 </w:t>
      </w:r>
      <w:r w:rsidR="006C7B0C">
        <w:rPr>
          <w:rFonts w:ascii="Arial" w:hAnsi="Arial" w:cs="Arial"/>
        </w:rPr>
        <w:t>pandemic</w:t>
      </w:r>
      <w:r>
        <w:rPr>
          <w:rFonts w:ascii="Arial" w:hAnsi="Arial" w:cs="Arial"/>
        </w:rPr>
        <w:t>; as well as contribute with the countries to design financing mechanisms for the recovery of employment in the sector within a sustainable development framework, including the development of productive linkages.</w:t>
      </w:r>
    </w:p>
    <w:p w14:paraId="095B4C45" w14:textId="344F36EB" w:rsidR="0072727A" w:rsidRDefault="004C6E05">
      <w:pPr>
        <w:spacing w:before="120" w:after="120"/>
        <w:ind w:left="579" w:hanging="579"/>
        <w:jc w:val="both"/>
      </w:pPr>
      <w:r>
        <w:rPr>
          <w:rFonts w:ascii="Arial" w:hAnsi="Arial" w:cs="Arial"/>
        </w:rPr>
        <w:t>2.2</w:t>
      </w:r>
      <w:r>
        <w:rPr>
          <w:rFonts w:ascii="Arial" w:hAnsi="Arial" w:cs="Arial"/>
        </w:rPr>
        <w:tab/>
        <w:t xml:space="preserve">The revival of employment is presenting enormous challenges for countries in the context of budgetary redefinitions that have reduced fiscal space and </w:t>
      </w:r>
      <w:proofErr w:type="gramStart"/>
      <w:r>
        <w:rPr>
          <w:rFonts w:ascii="Arial" w:hAnsi="Arial" w:cs="Arial"/>
        </w:rPr>
        <w:t>temporarily suspended</w:t>
      </w:r>
      <w:proofErr w:type="gramEnd"/>
      <w:r>
        <w:rPr>
          <w:rFonts w:ascii="Arial" w:hAnsi="Arial" w:cs="Arial"/>
        </w:rPr>
        <w:t xml:space="preserve"> investment projects pos</w:t>
      </w:r>
      <w:r w:rsidR="00FE192C">
        <w:rPr>
          <w:rFonts w:ascii="Arial" w:hAnsi="Arial" w:cs="Arial"/>
        </w:rPr>
        <w:t>t-</w:t>
      </w:r>
      <w:r>
        <w:rPr>
          <w:rFonts w:ascii="Arial" w:hAnsi="Arial" w:cs="Arial"/>
        </w:rPr>
        <w:t>COVID-19. In some countries</w:t>
      </w:r>
      <w:r w:rsidR="00FE192C">
        <w:rPr>
          <w:rFonts w:ascii="Arial" w:hAnsi="Arial" w:cs="Arial"/>
        </w:rPr>
        <w:t>,</w:t>
      </w:r>
      <w:r>
        <w:rPr>
          <w:rFonts w:ascii="Arial" w:hAnsi="Arial" w:cs="Arial"/>
        </w:rPr>
        <w:t xml:space="preserve"> the fiscal and economic stimul</w:t>
      </w:r>
      <w:r w:rsidR="00FE192C">
        <w:rPr>
          <w:rFonts w:ascii="Arial" w:hAnsi="Arial" w:cs="Arial"/>
        </w:rPr>
        <w:t>i</w:t>
      </w:r>
      <w:r>
        <w:rPr>
          <w:rFonts w:ascii="Arial" w:hAnsi="Arial" w:cs="Arial"/>
        </w:rPr>
        <w:t xml:space="preserve"> already show its limitations on regaining employment, due to the fragile situation of many companies to qualify for loans from banks. The impact on the sector meant the reduction, and in some cases temporary elimination, of revenues in some electricity markets. </w:t>
      </w:r>
      <w:r w:rsidR="00FE192C">
        <w:rPr>
          <w:rFonts w:ascii="Arial" w:hAnsi="Arial" w:cs="Arial"/>
        </w:rPr>
        <w:t>A</w:t>
      </w:r>
      <w:r>
        <w:rPr>
          <w:rFonts w:ascii="Arial" w:hAnsi="Arial" w:cs="Arial"/>
        </w:rPr>
        <w:t>ddition</w:t>
      </w:r>
      <w:r w:rsidR="00FE192C">
        <w:rPr>
          <w:rFonts w:ascii="Arial" w:hAnsi="Arial" w:cs="Arial"/>
        </w:rPr>
        <w:t>ally</w:t>
      </w:r>
      <w:r>
        <w:rPr>
          <w:rFonts w:ascii="Arial" w:hAnsi="Arial" w:cs="Arial"/>
        </w:rPr>
        <w:t xml:space="preserve">, uncertainty remains </w:t>
      </w:r>
      <w:r w:rsidR="00FE192C">
        <w:rPr>
          <w:rFonts w:ascii="Arial" w:hAnsi="Arial" w:cs="Arial"/>
        </w:rPr>
        <w:t xml:space="preserve">on </w:t>
      </w:r>
      <w:r>
        <w:rPr>
          <w:rFonts w:ascii="Arial" w:hAnsi="Arial" w:cs="Arial"/>
        </w:rPr>
        <w:t>whether demand for services will recover. That is why it is necessary to design targeted interventions, with mechanisms to ensure that they arrive on time, with adequate measures, and sufficient resources to prevent the halt of operations in the sector, which could l</w:t>
      </w:r>
      <w:r w:rsidR="00FE192C">
        <w:rPr>
          <w:rFonts w:ascii="Arial" w:hAnsi="Arial" w:cs="Arial"/>
        </w:rPr>
        <w:t>ead to further</w:t>
      </w:r>
      <w:r>
        <w:rPr>
          <w:rFonts w:ascii="Arial" w:hAnsi="Arial" w:cs="Arial"/>
        </w:rPr>
        <w:t xml:space="preserve"> job losses and permanent effects on the provision of essential service for inclusion and development. On the other hand, the design of interventions by industry specialists presents an opportunity to maximize the potential for industry conversion, including the design of instruments to accelerate the incorporation of new technologies </w:t>
      </w:r>
      <w:r>
        <w:rPr>
          <w:rFonts w:ascii="Arial" w:hAnsi="Arial" w:cs="Arial"/>
        </w:rPr>
        <w:lastRenderedPageBreak/>
        <w:t>for sustainable development</w:t>
      </w:r>
      <w:r w:rsidR="00FE192C">
        <w:rPr>
          <w:rFonts w:ascii="Arial" w:hAnsi="Arial" w:cs="Arial"/>
        </w:rPr>
        <w:t>,</w:t>
      </w:r>
      <w:r>
        <w:rPr>
          <w:rFonts w:ascii="Arial" w:hAnsi="Arial" w:cs="Arial"/>
        </w:rPr>
        <w:t xml:space="preserve"> inclusive service management and the potential to chain local suppliers in the revival of construction.</w:t>
      </w:r>
    </w:p>
    <w:p w14:paraId="0E899B9B" w14:textId="5B62745C" w:rsidR="0072727A" w:rsidRDefault="004C6E05">
      <w:pPr>
        <w:spacing w:before="120" w:after="120"/>
        <w:ind w:left="579" w:hanging="579"/>
        <w:jc w:val="both"/>
      </w:pPr>
      <w:r>
        <w:rPr>
          <w:rFonts w:ascii="Arial" w:hAnsi="Arial" w:cs="Arial"/>
        </w:rPr>
        <w:t>2.3</w:t>
      </w:r>
      <w:r>
        <w:rPr>
          <w:rFonts w:ascii="Arial" w:hAnsi="Arial" w:cs="Arial"/>
        </w:rPr>
        <w:tab/>
        <w:t xml:space="preserve">The economic recovery stage of COVID-19 will require a strong boost to investments with high employment impact, after reaching, in a short period of time, high levels of unemployment. The effect on the level of employment will depend to a large extent on promoting greater articulation between the activities to be financed </w:t>
      </w:r>
      <w:r w:rsidR="00227B17">
        <w:rPr>
          <w:rFonts w:ascii="Arial" w:hAnsi="Arial" w:cs="Arial"/>
        </w:rPr>
        <w:t>f</w:t>
      </w:r>
      <w:r>
        <w:rPr>
          <w:rFonts w:ascii="Arial" w:hAnsi="Arial" w:cs="Arial"/>
        </w:rPr>
        <w:t>o</w:t>
      </w:r>
      <w:r w:rsidR="00227B17">
        <w:rPr>
          <w:rFonts w:ascii="Arial" w:hAnsi="Arial" w:cs="Arial"/>
        </w:rPr>
        <w:t>r</w:t>
      </w:r>
      <w:r>
        <w:rPr>
          <w:rFonts w:ascii="Arial" w:hAnsi="Arial" w:cs="Arial"/>
        </w:rPr>
        <w:t xml:space="preserve"> generat</w:t>
      </w:r>
      <w:r w:rsidR="00227B17">
        <w:rPr>
          <w:rFonts w:ascii="Arial" w:hAnsi="Arial" w:cs="Arial"/>
        </w:rPr>
        <w:t>ing</w:t>
      </w:r>
      <w:r>
        <w:rPr>
          <w:rFonts w:ascii="Arial" w:hAnsi="Arial" w:cs="Arial"/>
        </w:rPr>
        <w:t xml:space="preserve"> productive chains across the economy. The investment will have the desired impact on the creation of numerous jobs</w:t>
      </w:r>
      <w:r w:rsidR="00227B17">
        <w:rPr>
          <w:rFonts w:ascii="Arial" w:hAnsi="Arial" w:cs="Arial"/>
        </w:rPr>
        <w:t xml:space="preserve"> – </w:t>
      </w:r>
      <w:r>
        <w:rPr>
          <w:rFonts w:ascii="Arial" w:hAnsi="Arial" w:cs="Arial"/>
        </w:rPr>
        <w:t>directly and indirectly</w:t>
      </w:r>
      <w:r w:rsidR="00227B17">
        <w:rPr>
          <w:rFonts w:ascii="Arial" w:hAnsi="Arial" w:cs="Arial"/>
        </w:rPr>
        <w:t xml:space="preserve"> – </w:t>
      </w:r>
      <w:r>
        <w:rPr>
          <w:rFonts w:ascii="Arial" w:hAnsi="Arial" w:cs="Arial"/>
        </w:rPr>
        <w:t>to the extent that it is possible to increase the local production capacity of machinery and equipment required by the construction and operation of infrastructure. This can</w:t>
      </w:r>
      <w:r w:rsidR="00227B17">
        <w:rPr>
          <w:rFonts w:ascii="Arial" w:hAnsi="Arial" w:cs="Arial"/>
        </w:rPr>
        <w:t>,</w:t>
      </w:r>
      <w:r>
        <w:rPr>
          <w:rFonts w:ascii="Arial" w:hAnsi="Arial" w:cs="Arial"/>
        </w:rPr>
        <w:t xml:space="preserve"> in turn</w:t>
      </w:r>
      <w:r w:rsidR="00227B17">
        <w:rPr>
          <w:rFonts w:ascii="Arial" w:hAnsi="Arial" w:cs="Arial"/>
        </w:rPr>
        <w:t>,</w:t>
      </w:r>
      <w:r>
        <w:rPr>
          <w:rFonts w:ascii="Arial" w:hAnsi="Arial" w:cs="Arial"/>
        </w:rPr>
        <w:t xml:space="preserve"> further promote the development of new suppliers in the sector value </w:t>
      </w:r>
      <w:r w:rsidR="00A84A0D">
        <w:rPr>
          <w:rFonts w:ascii="Arial" w:hAnsi="Arial" w:cs="Arial"/>
        </w:rPr>
        <w:t>chain and</w:t>
      </w:r>
      <w:r>
        <w:rPr>
          <w:rFonts w:ascii="Arial" w:hAnsi="Arial" w:cs="Arial"/>
        </w:rPr>
        <w:t xml:space="preserve"> encourage tools for public utilities on measures to promote the social and gender inclusion and people with disabilities. In the energy sector, a recent report by</w:t>
      </w:r>
      <w:r w:rsidR="00227B17">
        <w:rPr>
          <w:rFonts w:ascii="Arial" w:hAnsi="Arial" w:cs="Arial"/>
        </w:rPr>
        <w:t xml:space="preserve"> the International Renewable Energy Agency</w:t>
      </w:r>
      <w:r>
        <w:rPr>
          <w:rFonts w:ascii="Arial" w:hAnsi="Arial" w:cs="Arial"/>
        </w:rPr>
        <w:t xml:space="preserve"> </w:t>
      </w:r>
      <w:r w:rsidR="00227B17">
        <w:rPr>
          <w:rFonts w:ascii="Arial" w:hAnsi="Arial" w:cs="Arial"/>
        </w:rPr>
        <w:t>(</w:t>
      </w:r>
      <w:r>
        <w:rPr>
          <w:rFonts w:ascii="Arial" w:hAnsi="Arial" w:cs="Arial"/>
        </w:rPr>
        <w:t>IRENA</w:t>
      </w:r>
      <w:r w:rsidR="00227B17">
        <w:rPr>
          <w:rFonts w:ascii="Arial" w:hAnsi="Arial" w:cs="Arial"/>
        </w:rPr>
        <w:t>)</w:t>
      </w:r>
      <w:r>
        <w:rPr>
          <w:rFonts w:ascii="Arial" w:hAnsi="Arial" w:cs="Arial"/>
        </w:rPr>
        <w:t xml:space="preserve"> has highlighted the transition to renewable energ</w:t>
      </w:r>
      <w:r w:rsidR="00227B17">
        <w:rPr>
          <w:rFonts w:ascii="Arial" w:hAnsi="Arial" w:cs="Arial"/>
        </w:rPr>
        <w:t>y (RE)</w:t>
      </w:r>
      <w:r>
        <w:rPr>
          <w:rFonts w:ascii="Arial" w:hAnsi="Arial" w:cs="Arial"/>
        </w:rPr>
        <w:t xml:space="preserve"> is creating numerous employment opportunities and social economic benefits. In 2019, there were already more than 11 million people employed in</w:t>
      </w:r>
      <w:r w:rsidR="00227B17">
        <w:rPr>
          <w:rFonts w:ascii="Arial" w:hAnsi="Arial" w:cs="Arial"/>
        </w:rPr>
        <w:t xml:space="preserve"> RE</w:t>
      </w:r>
      <w:r>
        <w:rPr>
          <w:rFonts w:ascii="Arial" w:hAnsi="Arial" w:cs="Arial"/>
        </w:rPr>
        <w:t xml:space="preserve">, with a concentration in solar PV and </w:t>
      </w:r>
      <w:r w:rsidR="00A84A0D">
        <w:rPr>
          <w:rFonts w:ascii="Arial" w:hAnsi="Arial" w:cs="Arial"/>
        </w:rPr>
        <w:t>biomass.</w:t>
      </w:r>
      <w:r>
        <w:rPr>
          <w:rFonts w:ascii="Arial" w:hAnsi="Arial" w:cs="Arial"/>
        </w:rPr>
        <w:t xml:space="preserve"> Moreover, the </w:t>
      </w:r>
      <w:r w:rsidR="00864969">
        <w:rPr>
          <w:rFonts w:ascii="Arial" w:hAnsi="Arial" w:cs="Arial"/>
        </w:rPr>
        <w:t>RE</w:t>
      </w:r>
      <w:r>
        <w:rPr>
          <w:rFonts w:ascii="Arial" w:hAnsi="Arial" w:cs="Arial"/>
        </w:rPr>
        <w:t xml:space="preserve"> sector has a better gender balance compared to the traditional hydrocarbon sector.</w:t>
      </w:r>
      <w:r w:rsidR="00864969">
        <w:rPr>
          <w:rFonts w:ascii="Arial" w:hAnsi="Arial" w:cs="Arial"/>
        </w:rPr>
        <w:t xml:space="preserve"> </w:t>
      </w:r>
      <w:r>
        <w:rPr>
          <w:rFonts w:ascii="Arial" w:hAnsi="Arial" w:cs="Arial"/>
        </w:rPr>
        <w:t>Employment numbers in the renewable sector have been on upward trend and depending on the scenario selected it can more than triple by 2050. In addition, international experience suggests that infrastructure jobs often represent long-term and well-paid opportunities.</w:t>
      </w:r>
    </w:p>
    <w:p w14:paraId="5023470D" w14:textId="580DD120" w:rsidR="0072727A" w:rsidRDefault="004C6E05">
      <w:pPr>
        <w:spacing w:before="120" w:after="120"/>
        <w:ind w:left="579" w:hanging="579"/>
        <w:jc w:val="both"/>
      </w:pPr>
      <w:r>
        <w:rPr>
          <w:rFonts w:ascii="Arial" w:hAnsi="Arial" w:cs="Arial"/>
        </w:rPr>
        <w:t>2.4</w:t>
      </w:r>
      <w:r>
        <w:rPr>
          <w:rFonts w:ascii="Arial" w:hAnsi="Arial" w:cs="Arial"/>
        </w:rPr>
        <w:tab/>
        <w:t xml:space="preserve">This is a regional operation that will be applicable and available to all eligible countries in LAC. It will finance preparatory activities and studies, including activities for structuring investment transactions in infrastructure and identifying projects not related to specific programs. Opportunities will also be sought to mobilize resources from other entities such as the private sector and other multilateral development institutions </w:t>
      </w:r>
      <w:r w:rsidR="00A84A0D">
        <w:rPr>
          <w:rFonts w:ascii="Arial" w:hAnsi="Arial" w:cs="Arial"/>
        </w:rPr>
        <w:t>based on</w:t>
      </w:r>
      <w:r>
        <w:rPr>
          <w:rFonts w:ascii="Arial" w:hAnsi="Arial" w:cs="Arial"/>
        </w:rPr>
        <w:t xml:space="preserve"> the Bank's commitment to participation, through the reimbursable modality.</w:t>
      </w:r>
    </w:p>
    <w:p w14:paraId="74698AF9" w14:textId="77777777" w:rsidR="0072727A" w:rsidRDefault="004C6E05" w:rsidP="00677C69">
      <w:pPr>
        <w:spacing w:before="240" w:after="120"/>
        <w:ind w:left="576" w:hanging="576"/>
      </w:pPr>
      <w:r>
        <w:rPr>
          <w:rFonts w:ascii="Arial" w:hAnsi="Arial" w:cs="Arial"/>
          <w:b/>
        </w:rPr>
        <w:t>III.</w:t>
      </w:r>
      <w:r>
        <w:rPr>
          <w:rFonts w:ascii="Arial" w:hAnsi="Arial" w:cs="Arial"/>
          <w:b/>
        </w:rPr>
        <w:tab/>
        <w:t>Description of Activities and Outputs</w:t>
      </w:r>
    </w:p>
    <w:p w14:paraId="100556B7" w14:textId="0D5A4134" w:rsidR="0072727A" w:rsidRDefault="004C6E05">
      <w:pPr>
        <w:spacing w:before="120" w:after="120"/>
        <w:ind w:left="579" w:hanging="579"/>
        <w:jc w:val="both"/>
      </w:pPr>
      <w:r>
        <w:rPr>
          <w:rFonts w:ascii="Arial" w:hAnsi="Arial" w:cs="Arial"/>
        </w:rPr>
        <w:t>3.1</w:t>
      </w:r>
      <w:r>
        <w:rPr>
          <w:rFonts w:ascii="Arial" w:hAnsi="Arial" w:cs="Arial"/>
        </w:rPr>
        <w:tab/>
      </w:r>
      <w:r>
        <w:rPr>
          <w:rFonts w:ascii="Arial" w:hAnsi="Arial" w:cs="Arial"/>
          <w:b/>
        </w:rPr>
        <w:t xml:space="preserve">Component </w:t>
      </w:r>
      <w:r w:rsidR="00A84A0D">
        <w:rPr>
          <w:rFonts w:ascii="Arial" w:hAnsi="Arial" w:cs="Arial"/>
          <w:b/>
        </w:rPr>
        <w:t>I.</w:t>
      </w:r>
      <w:r>
        <w:rPr>
          <w:rFonts w:ascii="Arial" w:hAnsi="Arial" w:cs="Arial"/>
          <w:b/>
        </w:rPr>
        <w:t xml:space="preserve"> Preparation of Energy Infrastructure Project Studies. </w:t>
      </w:r>
      <w:r>
        <w:rPr>
          <w:rFonts w:ascii="Arial" w:hAnsi="Arial" w:cs="Arial"/>
        </w:rPr>
        <w:t>This component will finance: (i) development and structuring of methodology for the selection of eligible projects, following a methodology to be agreed with the authorities of the beneficiary countries; (ii) studies, data collection, and technical work needed to structure projects to promote private sector investment; and (iii) development of consultancies for the study or structuring of projects in the sector</w:t>
      </w:r>
      <w:r w:rsidR="003E26C5">
        <w:rPr>
          <w:rFonts w:ascii="Arial" w:hAnsi="Arial" w:cs="Arial"/>
        </w:rPr>
        <w:t>.</w:t>
      </w:r>
    </w:p>
    <w:p w14:paraId="37DC5F75" w14:textId="7B7FE6D0" w:rsidR="0072727A" w:rsidRDefault="004C6E05">
      <w:pPr>
        <w:spacing w:before="120" w:after="120"/>
        <w:ind w:left="579" w:hanging="579"/>
        <w:jc w:val="both"/>
      </w:pPr>
      <w:r>
        <w:rPr>
          <w:rFonts w:ascii="Arial" w:hAnsi="Arial" w:cs="Arial"/>
        </w:rPr>
        <w:t>3.2</w:t>
      </w:r>
      <w:r>
        <w:rPr>
          <w:rFonts w:ascii="Arial" w:hAnsi="Arial" w:cs="Arial"/>
        </w:rPr>
        <w:tab/>
      </w:r>
      <w:r>
        <w:rPr>
          <w:rFonts w:ascii="Arial" w:hAnsi="Arial" w:cs="Arial"/>
          <w:b/>
        </w:rPr>
        <w:t>Component II</w:t>
      </w:r>
      <w:r w:rsidR="00A84A0D">
        <w:rPr>
          <w:rFonts w:ascii="Arial" w:hAnsi="Arial" w:cs="Arial"/>
          <w:b/>
        </w:rPr>
        <w:t>.</w:t>
      </w:r>
      <w:r>
        <w:rPr>
          <w:rFonts w:ascii="Arial" w:hAnsi="Arial" w:cs="Arial"/>
          <w:b/>
        </w:rPr>
        <w:t xml:space="preserve"> Design of specific interventions to reactivate employment in the sector. </w:t>
      </w:r>
      <w:r>
        <w:rPr>
          <w:rFonts w:ascii="Arial" w:hAnsi="Arial" w:cs="Arial"/>
        </w:rPr>
        <w:t>This component will finance: (i) analysis of the sectoral and financial framework of subsectors (</w:t>
      </w:r>
      <w:r w:rsidR="00D05364">
        <w:rPr>
          <w:rFonts w:ascii="Arial" w:hAnsi="Arial" w:cs="Arial"/>
        </w:rPr>
        <w:t>RE</w:t>
      </w:r>
      <w:r>
        <w:rPr>
          <w:rFonts w:ascii="Arial" w:hAnsi="Arial" w:cs="Arial"/>
        </w:rPr>
        <w:t>, institutional reforms, regional energy integration): (ii)</w:t>
      </w:r>
      <w:r w:rsidR="00D05364">
        <w:rPr>
          <w:rFonts w:ascii="Arial" w:hAnsi="Arial" w:cs="Arial"/>
        </w:rPr>
        <w:t> </w:t>
      </w:r>
      <w:r>
        <w:rPr>
          <w:rFonts w:ascii="Arial" w:hAnsi="Arial" w:cs="Arial"/>
        </w:rPr>
        <w:t>data collection and design of performance indicators; (iii) consultancies and cross-country workshops to share good practices and international experience in crisis responses; and (iv) measures for the inclusion in the energy sector of persons at social risk and vulnerability, gender issues and persons with disabilities</w:t>
      </w:r>
      <w:r w:rsidR="00D05364">
        <w:rPr>
          <w:rFonts w:ascii="Arial" w:hAnsi="Arial" w:cs="Arial"/>
        </w:rPr>
        <w:t>.</w:t>
      </w:r>
    </w:p>
    <w:p w14:paraId="1C46CF17" w14:textId="4C8CDA29" w:rsidR="0072727A" w:rsidRDefault="004C6E05">
      <w:pPr>
        <w:spacing w:before="120" w:after="120"/>
        <w:ind w:left="579" w:hanging="579"/>
        <w:jc w:val="both"/>
      </w:pPr>
      <w:r>
        <w:rPr>
          <w:rFonts w:ascii="Arial" w:hAnsi="Arial" w:cs="Arial"/>
        </w:rPr>
        <w:t>3.3</w:t>
      </w:r>
      <w:r>
        <w:rPr>
          <w:rFonts w:ascii="Arial" w:hAnsi="Arial" w:cs="Arial"/>
        </w:rPr>
        <w:tab/>
      </w:r>
      <w:r>
        <w:rPr>
          <w:rFonts w:ascii="Arial" w:hAnsi="Arial" w:cs="Arial"/>
          <w:b/>
        </w:rPr>
        <w:t>Component III</w:t>
      </w:r>
      <w:r w:rsidR="00A84A0D">
        <w:rPr>
          <w:rFonts w:ascii="Arial" w:hAnsi="Arial" w:cs="Arial"/>
          <w:b/>
        </w:rPr>
        <w:t>.</w:t>
      </w:r>
      <w:r>
        <w:rPr>
          <w:rFonts w:ascii="Arial" w:hAnsi="Arial" w:cs="Arial"/>
          <w:b/>
        </w:rPr>
        <w:t xml:space="preserve"> Increase in use of clean technologies, productive value chains and productive efficiency.</w:t>
      </w:r>
      <w:r w:rsidR="00A84A0D">
        <w:rPr>
          <w:rFonts w:ascii="Arial" w:hAnsi="Arial" w:cs="Arial"/>
          <w:b/>
        </w:rPr>
        <w:t xml:space="preserve"> </w:t>
      </w:r>
      <w:r>
        <w:rPr>
          <w:rFonts w:ascii="Arial" w:hAnsi="Arial" w:cs="Arial"/>
        </w:rPr>
        <w:t>Initiatives for the replacement of carbon intense generation fuels with options that are more climate friendly in the energy sector will be financed through: (i) market and potential studies</w:t>
      </w:r>
      <w:r w:rsidR="00D05364">
        <w:rPr>
          <w:rFonts w:ascii="Arial" w:hAnsi="Arial" w:cs="Arial"/>
        </w:rPr>
        <w:t>; and</w:t>
      </w:r>
      <w:r>
        <w:rPr>
          <w:rFonts w:ascii="Arial" w:hAnsi="Arial" w:cs="Arial"/>
        </w:rPr>
        <w:t xml:space="preserve"> (ii) new financing mechanisms and others.</w:t>
      </w:r>
    </w:p>
    <w:p w14:paraId="6383790C" w14:textId="44538823" w:rsidR="0072727A" w:rsidRDefault="004C6E05">
      <w:pPr>
        <w:spacing w:before="120" w:after="120"/>
        <w:ind w:left="579" w:hanging="579"/>
        <w:jc w:val="both"/>
      </w:pPr>
      <w:r>
        <w:rPr>
          <w:rFonts w:ascii="Arial" w:hAnsi="Arial" w:cs="Arial"/>
        </w:rPr>
        <w:t>3.4</w:t>
      </w:r>
      <w:r>
        <w:rPr>
          <w:rFonts w:ascii="Arial" w:hAnsi="Arial" w:cs="Arial"/>
        </w:rPr>
        <w:tab/>
      </w:r>
      <w:r>
        <w:rPr>
          <w:rFonts w:ascii="Arial" w:hAnsi="Arial" w:cs="Arial"/>
          <w:b/>
        </w:rPr>
        <w:t>Component IV</w:t>
      </w:r>
      <w:r w:rsidR="00A84A0D">
        <w:rPr>
          <w:rFonts w:ascii="Arial" w:hAnsi="Arial" w:cs="Arial"/>
          <w:b/>
        </w:rPr>
        <w:t>.</w:t>
      </w:r>
      <w:r>
        <w:rPr>
          <w:rFonts w:ascii="Arial" w:hAnsi="Arial" w:cs="Arial"/>
          <w:b/>
        </w:rPr>
        <w:t xml:space="preserve"> Revision of the current regulatory framework to drive policy reforms. </w:t>
      </w:r>
      <w:r>
        <w:rPr>
          <w:rFonts w:ascii="Arial" w:hAnsi="Arial" w:cs="Arial"/>
        </w:rPr>
        <w:t>This component will finance: (i) the revision of the current regulatory and institutional frameworks to propose adjustments in regulation and management model, market reforms, and improvements in public utility capabilities and efficiencies;</w:t>
      </w:r>
      <w:r w:rsidR="00D05364">
        <w:rPr>
          <w:rFonts w:ascii="Arial" w:hAnsi="Arial" w:cs="Arial"/>
        </w:rPr>
        <w:t xml:space="preserve"> and</w:t>
      </w:r>
      <w:r>
        <w:rPr>
          <w:rFonts w:ascii="Arial" w:hAnsi="Arial" w:cs="Arial"/>
        </w:rPr>
        <w:t xml:space="preserve"> (ii)</w:t>
      </w:r>
      <w:r w:rsidR="00D05364">
        <w:rPr>
          <w:rFonts w:ascii="Arial" w:hAnsi="Arial" w:cs="Arial"/>
        </w:rPr>
        <w:t> </w:t>
      </w:r>
      <w:r>
        <w:rPr>
          <w:rFonts w:ascii="Arial" w:hAnsi="Arial" w:cs="Arial"/>
        </w:rPr>
        <w:t xml:space="preserve">institutional strengthening activities, such as training workshops and visits to </w:t>
      </w:r>
      <w:r>
        <w:rPr>
          <w:rFonts w:ascii="Arial" w:hAnsi="Arial" w:cs="Arial"/>
        </w:rPr>
        <w:lastRenderedPageBreak/>
        <w:t xml:space="preserve">international experiences to promote dialogue for the revision of the regulatory framework and lessons learned from other countries. </w:t>
      </w:r>
    </w:p>
    <w:p w14:paraId="45C7BD71" w14:textId="77777777" w:rsidR="0072727A" w:rsidRDefault="004C6E05" w:rsidP="00677C69">
      <w:pPr>
        <w:spacing w:before="240" w:after="120"/>
        <w:ind w:left="576" w:hanging="576"/>
      </w:pPr>
      <w:r>
        <w:rPr>
          <w:rFonts w:ascii="Arial" w:hAnsi="Arial" w:cs="Arial"/>
          <w:b/>
        </w:rPr>
        <w:t>IV.</w:t>
      </w:r>
      <w:r>
        <w:rPr>
          <w:rFonts w:ascii="Arial" w:hAnsi="Arial" w:cs="Arial"/>
          <w:b/>
        </w:rPr>
        <w:tab/>
        <w:t>Budget</w:t>
      </w:r>
    </w:p>
    <w:p w14:paraId="1ABB6A1A" w14:textId="77777777" w:rsidR="0072727A" w:rsidRDefault="004C6E05">
      <w:pPr>
        <w:spacing w:before="240" w:after="120"/>
        <w:jc w:val="center"/>
      </w:pPr>
      <w:r>
        <w:rPr>
          <w:rFonts w:ascii="Arial" w:hAnsi="Arial" w:cs="Arial"/>
          <w:b/>
          <w:sz w:val="18"/>
          <w:szCs w:val="18"/>
        </w:rPr>
        <w:t>Indicative Budget</w:t>
      </w:r>
    </w:p>
    <w:tbl>
      <w:tblPr>
        <w:tblStyle w:val="TableGrid"/>
        <w:tblW w:w="0" w:type="auto"/>
        <w:tblInd w:w="648" w:type="dxa"/>
        <w:tblLook w:val="04A0" w:firstRow="1" w:lastRow="0" w:firstColumn="1" w:lastColumn="0" w:noHBand="0" w:noVBand="1"/>
      </w:tblPr>
      <w:tblGrid>
        <w:gridCol w:w="1918"/>
        <w:gridCol w:w="2238"/>
        <w:gridCol w:w="2200"/>
        <w:gridCol w:w="2104"/>
      </w:tblGrid>
      <w:tr w:rsidR="0072727A" w14:paraId="27F4A6D1" w14:textId="77777777" w:rsidTr="00677C69">
        <w:tc>
          <w:tcPr>
            <w:tcW w:w="1918" w:type="dxa"/>
            <w:vAlign w:val="center"/>
          </w:tcPr>
          <w:p w14:paraId="22E216F4" w14:textId="77777777" w:rsidR="0072727A" w:rsidRDefault="004C6E05" w:rsidP="00677C69">
            <w:pPr>
              <w:jc w:val="center"/>
            </w:pPr>
            <w:r>
              <w:rPr>
                <w:rFonts w:ascii="Arial" w:hAnsi="Arial" w:cs="Arial"/>
                <w:b/>
                <w:sz w:val="18"/>
                <w:szCs w:val="18"/>
              </w:rPr>
              <w:t>Activity/Component</w:t>
            </w:r>
          </w:p>
        </w:tc>
        <w:tc>
          <w:tcPr>
            <w:tcW w:w="2238" w:type="dxa"/>
          </w:tcPr>
          <w:p w14:paraId="56974842" w14:textId="77777777" w:rsidR="0072727A" w:rsidRDefault="004C6E05" w:rsidP="00677C69">
            <w:pPr>
              <w:jc w:val="center"/>
            </w:pPr>
            <w:r>
              <w:rPr>
                <w:rFonts w:ascii="Arial" w:hAnsi="Arial" w:cs="Arial"/>
                <w:b/>
                <w:sz w:val="18"/>
                <w:szCs w:val="18"/>
              </w:rPr>
              <w:t>IDB/Fund Funding</w:t>
            </w:r>
          </w:p>
        </w:tc>
        <w:tc>
          <w:tcPr>
            <w:tcW w:w="2200" w:type="dxa"/>
          </w:tcPr>
          <w:p w14:paraId="04BBFFF8" w14:textId="77777777" w:rsidR="0072727A" w:rsidRDefault="004C6E05" w:rsidP="00677C69">
            <w:pPr>
              <w:jc w:val="center"/>
            </w:pPr>
            <w:r>
              <w:rPr>
                <w:rFonts w:ascii="Arial" w:hAnsi="Arial" w:cs="Arial"/>
                <w:b/>
                <w:sz w:val="18"/>
                <w:szCs w:val="18"/>
              </w:rPr>
              <w:t>Counterpart Funding</w:t>
            </w:r>
          </w:p>
        </w:tc>
        <w:tc>
          <w:tcPr>
            <w:tcW w:w="2104" w:type="dxa"/>
          </w:tcPr>
          <w:p w14:paraId="3B578777" w14:textId="77777777" w:rsidR="0072727A" w:rsidRDefault="004C6E05" w:rsidP="00677C69">
            <w:pPr>
              <w:jc w:val="center"/>
            </w:pPr>
            <w:r>
              <w:rPr>
                <w:rFonts w:ascii="Arial" w:hAnsi="Arial" w:cs="Arial"/>
                <w:b/>
                <w:sz w:val="18"/>
                <w:szCs w:val="18"/>
              </w:rPr>
              <w:t>Total Funding</w:t>
            </w:r>
          </w:p>
        </w:tc>
      </w:tr>
      <w:tr w:rsidR="0072727A" w14:paraId="6F2444B6" w14:textId="77777777" w:rsidTr="00677C69">
        <w:tc>
          <w:tcPr>
            <w:tcW w:w="1918" w:type="dxa"/>
            <w:vAlign w:val="center"/>
          </w:tcPr>
          <w:p w14:paraId="6FB05772" w14:textId="3CA4A2A0" w:rsidR="0072727A" w:rsidRDefault="004C6E05" w:rsidP="00677C69">
            <w:r>
              <w:rPr>
                <w:rFonts w:ascii="Arial" w:hAnsi="Arial" w:cs="Arial"/>
                <w:sz w:val="18"/>
                <w:szCs w:val="18"/>
              </w:rPr>
              <w:t>Component I</w:t>
            </w:r>
            <w:r w:rsidR="00677C69">
              <w:rPr>
                <w:rFonts w:ascii="Arial" w:hAnsi="Arial" w:cs="Arial"/>
                <w:sz w:val="18"/>
                <w:szCs w:val="18"/>
              </w:rPr>
              <w:t>.</w:t>
            </w:r>
            <w:r>
              <w:rPr>
                <w:rFonts w:ascii="Arial" w:hAnsi="Arial" w:cs="Arial"/>
                <w:sz w:val="18"/>
                <w:szCs w:val="18"/>
              </w:rPr>
              <w:t xml:space="preserve"> Preparation of Energy Infrastructure Project Studies. </w:t>
            </w:r>
          </w:p>
        </w:tc>
        <w:tc>
          <w:tcPr>
            <w:tcW w:w="2238" w:type="dxa"/>
            <w:vAlign w:val="center"/>
          </w:tcPr>
          <w:p w14:paraId="5B17A11B" w14:textId="4FDC6EB1" w:rsidR="0072727A" w:rsidRDefault="004C6E05" w:rsidP="00677C69">
            <w:pPr>
              <w:jc w:val="right"/>
            </w:pPr>
            <w:r>
              <w:rPr>
                <w:rFonts w:ascii="Arial" w:hAnsi="Arial" w:cs="Arial"/>
                <w:sz w:val="18"/>
                <w:szCs w:val="18"/>
              </w:rPr>
              <w:t>US$400</w:t>
            </w:r>
            <w:r w:rsidR="00677C69">
              <w:rPr>
                <w:rFonts w:ascii="Arial" w:hAnsi="Arial" w:cs="Arial"/>
                <w:sz w:val="18"/>
                <w:szCs w:val="18"/>
              </w:rPr>
              <w:t>.</w:t>
            </w:r>
            <w:r>
              <w:rPr>
                <w:rFonts w:ascii="Arial" w:hAnsi="Arial" w:cs="Arial"/>
                <w:sz w:val="18"/>
                <w:szCs w:val="18"/>
              </w:rPr>
              <w:t>000</w:t>
            </w:r>
            <w:r w:rsidR="00677C69">
              <w:rPr>
                <w:rFonts w:ascii="Arial" w:hAnsi="Arial" w:cs="Arial"/>
                <w:sz w:val="18"/>
                <w:szCs w:val="18"/>
              </w:rPr>
              <w:t>,</w:t>
            </w:r>
            <w:r>
              <w:rPr>
                <w:rFonts w:ascii="Arial" w:hAnsi="Arial" w:cs="Arial"/>
                <w:sz w:val="18"/>
                <w:szCs w:val="18"/>
              </w:rPr>
              <w:t>00</w:t>
            </w:r>
          </w:p>
        </w:tc>
        <w:tc>
          <w:tcPr>
            <w:tcW w:w="2200" w:type="dxa"/>
            <w:vAlign w:val="center"/>
          </w:tcPr>
          <w:p w14:paraId="348C69D7" w14:textId="20C789C0" w:rsidR="0072727A" w:rsidRDefault="004C6E05" w:rsidP="00677C69">
            <w:pPr>
              <w:jc w:val="right"/>
            </w:pPr>
            <w:r>
              <w:rPr>
                <w:rFonts w:ascii="Arial" w:hAnsi="Arial" w:cs="Arial"/>
                <w:sz w:val="18"/>
                <w:szCs w:val="18"/>
              </w:rPr>
              <w:t>US$0</w:t>
            </w:r>
            <w:r w:rsidR="00677C69">
              <w:rPr>
                <w:rFonts w:ascii="Arial" w:hAnsi="Arial" w:cs="Arial"/>
                <w:sz w:val="18"/>
                <w:szCs w:val="18"/>
              </w:rPr>
              <w:t>,</w:t>
            </w:r>
            <w:r>
              <w:rPr>
                <w:rFonts w:ascii="Arial" w:hAnsi="Arial" w:cs="Arial"/>
                <w:sz w:val="18"/>
                <w:szCs w:val="18"/>
              </w:rPr>
              <w:t>00</w:t>
            </w:r>
          </w:p>
        </w:tc>
        <w:tc>
          <w:tcPr>
            <w:tcW w:w="2104" w:type="dxa"/>
            <w:vAlign w:val="center"/>
          </w:tcPr>
          <w:p w14:paraId="09C53F91" w14:textId="61F0612B" w:rsidR="0072727A" w:rsidRDefault="004C6E05" w:rsidP="00677C69">
            <w:pPr>
              <w:jc w:val="right"/>
            </w:pPr>
            <w:r>
              <w:rPr>
                <w:rFonts w:ascii="Arial" w:hAnsi="Arial" w:cs="Arial"/>
                <w:sz w:val="18"/>
                <w:szCs w:val="18"/>
              </w:rPr>
              <w:t>US$400</w:t>
            </w:r>
            <w:r w:rsidR="00677C69">
              <w:rPr>
                <w:rFonts w:ascii="Arial" w:hAnsi="Arial" w:cs="Arial"/>
                <w:sz w:val="18"/>
                <w:szCs w:val="18"/>
              </w:rPr>
              <w:t>.</w:t>
            </w:r>
            <w:r>
              <w:rPr>
                <w:rFonts w:ascii="Arial" w:hAnsi="Arial" w:cs="Arial"/>
                <w:sz w:val="18"/>
                <w:szCs w:val="18"/>
              </w:rPr>
              <w:t>000</w:t>
            </w:r>
            <w:r w:rsidR="00677C69">
              <w:rPr>
                <w:rFonts w:ascii="Arial" w:hAnsi="Arial" w:cs="Arial"/>
                <w:sz w:val="18"/>
                <w:szCs w:val="18"/>
              </w:rPr>
              <w:t>,</w:t>
            </w:r>
            <w:r>
              <w:rPr>
                <w:rFonts w:ascii="Arial" w:hAnsi="Arial" w:cs="Arial"/>
                <w:sz w:val="18"/>
                <w:szCs w:val="18"/>
              </w:rPr>
              <w:t>00</w:t>
            </w:r>
          </w:p>
        </w:tc>
      </w:tr>
      <w:tr w:rsidR="0072727A" w14:paraId="0AC657B8" w14:textId="77777777" w:rsidTr="00677C69">
        <w:tc>
          <w:tcPr>
            <w:tcW w:w="1918" w:type="dxa"/>
            <w:vAlign w:val="center"/>
          </w:tcPr>
          <w:p w14:paraId="5D6CEC4E" w14:textId="74FB5753" w:rsidR="0072727A" w:rsidRDefault="004C6E05" w:rsidP="00677C69">
            <w:r>
              <w:rPr>
                <w:rFonts w:ascii="Arial" w:hAnsi="Arial" w:cs="Arial"/>
                <w:sz w:val="18"/>
                <w:szCs w:val="18"/>
              </w:rPr>
              <w:t>Component II</w:t>
            </w:r>
            <w:r w:rsidR="00677C69">
              <w:rPr>
                <w:rFonts w:ascii="Arial" w:hAnsi="Arial" w:cs="Arial"/>
                <w:sz w:val="18"/>
                <w:szCs w:val="18"/>
              </w:rPr>
              <w:t>.</w:t>
            </w:r>
            <w:r>
              <w:rPr>
                <w:rFonts w:ascii="Arial" w:hAnsi="Arial" w:cs="Arial"/>
                <w:sz w:val="18"/>
                <w:szCs w:val="18"/>
              </w:rPr>
              <w:t xml:space="preserve"> Design of specific interventions to reactivate employment in the sector. </w:t>
            </w:r>
          </w:p>
        </w:tc>
        <w:tc>
          <w:tcPr>
            <w:tcW w:w="2238" w:type="dxa"/>
            <w:vAlign w:val="center"/>
          </w:tcPr>
          <w:p w14:paraId="36B265A5" w14:textId="555E23F0" w:rsidR="0072727A" w:rsidRDefault="004C6E05" w:rsidP="00677C69">
            <w:pPr>
              <w:jc w:val="right"/>
            </w:pPr>
            <w:r>
              <w:rPr>
                <w:rFonts w:ascii="Arial" w:hAnsi="Arial" w:cs="Arial"/>
                <w:sz w:val="18"/>
                <w:szCs w:val="18"/>
              </w:rPr>
              <w:t>US$400</w:t>
            </w:r>
            <w:r w:rsidR="00677C69">
              <w:rPr>
                <w:rFonts w:ascii="Arial" w:hAnsi="Arial" w:cs="Arial"/>
                <w:sz w:val="18"/>
                <w:szCs w:val="18"/>
              </w:rPr>
              <w:t>.</w:t>
            </w:r>
            <w:r>
              <w:rPr>
                <w:rFonts w:ascii="Arial" w:hAnsi="Arial" w:cs="Arial"/>
                <w:sz w:val="18"/>
                <w:szCs w:val="18"/>
              </w:rPr>
              <w:t>000</w:t>
            </w:r>
            <w:r w:rsidR="00677C69">
              <w:rPr>
                <w:rFonts w:ascii="Arial" w:hAnsi="Arial" w:cs="Arial"/>
                <w:sz w:val="18"/>
                <w:szCs w:val="18"/>
              </w:rPr>
              <w:t>,</w:t>
            </w:r>
            <w:r>
              <w:rPr>
                <w:rFonts w:ascii="Arial" w:hAnsi="Arial" w:cs="Arial"/>
                <w:sz w:val="18"/>
                <w:szCs w:val="18"/>
              </w:rPr>
              <w:t>00</w:t>
            </w:r>
          </w:p>
        </w:tc>
        <w:tc>
          <w:tcPr>
            <w:tcW w:w="2200" w:type="dxa"/>
            <w:vAlign w:val="center"/>
          </w:tcPr>
          <w:p w14:paraId="74F247B3" w14:textId="5E8E6188" w:rsidR="0072727A" w:rsidRDefault="004C6E05" w:rsidP="00677C69">
            <w:pPr>
              <w:jc w:val="right"/>
            </w:pPr>
            <w:r>
              <w:rPr>
                <w:rFonts w:ascii="Arial" w:hAnsi="Arial" w:cs="Arial"/>
                <w:sz w:val="18"/>
                <w:szCs w:val="18"/>
              </w:rPr>
              <w:t>US$0</w:t>
            </w:r>
            <w:r w:rsidR="00677C69">
              <w:rPr>
                <w:rFonts w:ascii="Arial" w:hAnsi="Arial" w:cs="Arial"/>
                <w:sz w:val="18"/>
                <w:szCs w:val="18"/>
              </w:rPr>
              <w:t>,</w:t>
            </w:r>
            <w:r>
              <w:rPr>
                <w:rFonts w:ascii="Arial" w:hAnsi="Arial" w:cs="Arial"/>
                <w:sz w:val="18"/>
                <w:szCs w:val="18"/>
              </w:rPr>
              <w:t>00</w:t>
            </w:r>
          </w:p>
        </w:tc>
        <w:tc>
          <w:tcPr>
            <w:tcW w:w="2104" w:type="dxa"/>
            <w:vAlign w:val="center"/>
          </w:tcPr>
          <w:p w14:paraId="0DB5994A" w14:textId="15C07DCD" w:rsidR="0072727A" w:rsidRDefault="004C6E05" w:rsidP="00677C69">
            <w:pPr>
              <w:jc w:val="right"/>
            </w:pPr>
            <w:r>
              <w:rPr>
                <w:rFonts w:ascii="Arial" w:hAnsi="Arial" w:cs="Arial"/>
                <w:sz w:val="18"/>
                <w:szCs w:val="18"/>
              </w:rPr>
              <w:t>US$400</w:t>
            </w:r>
            <w:r w:rsidR="00677C69">
              <w:rPr>
                <w:rFonts w:ascii="Arial" w:hAnsi="Arial" w:cs="Arial"/>
                <w:sz w:val="18"/>
                <w:szCs w:val="18"/>
              </w:rPr>
              <w:t>.</w:t>
            </w:r>
            <w:r>
              <w:rPr>
                <w:rFonts w:ascii="Arial" w:hAnsi="Arial" w:cs="Arial"/>
                <w:sz w:val="18"/>
                <w:szCs w:val="18"/>
              </w:rPr>
              <w:t>000</w:t>
            </w:r>
            <w:r w:rsidR="00677C69">
              <w:rPr>
                <w:rFonts w:ascii="Arial" w:hAnsi="Arial" w:cs="Arial"/>
                <w:sz w:val="18"/>
                <w:szCs w:val="18"/>
              </w:rPr>
              <w:t>,</w:t>
            </w:r>
            <w:r>
              <w:rPr>
                <w:rFonts w:ascii="Arial" w:hAnsi="Arial" w:cs="Arial"/>
                <w:sz w:val="18"/>
                <w:szCs w:val="18"/>
              </w:rPr>
              <w:t>00</w:t>
            </w:r>
          </w:p>
        </w:tc>
      </w:tr>
      <w:tr w:rsidR="0072727A" w14:paraId="47198E9C" w14:textId="77777777" w:rsidTr="00677C69">
        <w:tc>
          <w:tcPr>
            <w:tcW w:w="1918" w:type="dxa"/>
            <w:vAlign w:val="center"/>
          </w:tcPr>
          <w:p w14:paraId="761FEB48" w14:textId="1EDF0FFA" w:rsidR="0072727A" w:rsidRDefault="004C6E05" w:rsidP="00677C69">
            <w:r>
              <w:rPr>
                <w:rFonts w:ascii="Arial" w:hAnsi="Arial" w:cs="Arial"/>
                <w:sz w:val="18"/>
                <w:szCs w:val="18"/>
              </w:rPr>
              <w:t>Component III</w:t>
            </w:r>
            <w:r w:rsidR="00677C69">
              <w:rPr>
                <w:rFonts w:ascii="Arial" w:hAnsi="Arial" w:cs="Arial"/>
                <w:sz w:val="18"/>
                <w:szCs w:val="18"/>
              </w:rPr>
              <w:t>.</w:t>
            </w:r>
            <w:r>
              <w:rPr>
                <w:rFonts w:ascii="Arial" w:hAnsi="Arial" w:cs="Arial"/>
                <w:sz w:val="18"/>
                <w:szCs w:val="18"/>
              </w:rPr>
              <w:t xml:space="preserve"> Increase in use of clean technologies, productive value chains and productive efficiency. </w:t>
            </w:r>
          </w:p>
        </w:tc>
        <w:tc>
          <w:tcPr>
            <w:tcW w:w="2238" w:type="dxa"/>
            <w:vAlign w:val="center"/>
          </w:tcPr>
          <w:p w14:paraId="41922743" w14:textId="5EB2C4A9" w:rsidR="0072727A" w:rsidRDefault="004C6E05" w:rsidP="00677C69">
            <w:pPr>
              <w:jc w:val="right"/>
            </w:pPr>
            <w:r>
              <w:rPr>
                <w:rFonts w:ascii="Arial" w:hAnsi="Arial" w:cs="Arial"/>
                <w:sz w:val="18"/>
                <w:szCs w:val="18"/>
              </w:rPr>
              <w:t>US$300</w:t>
            </w:r>
            <w:r w:rsidR="00677C69">
              <w:rPr>
                <w:rFonts w:ascii="Arial" w:hAnsi="Arial" w:cs="Arial"/>
                <w:sz w:val="18"/>
                <w:szCs w:val="18"/>
              </w:rPr>
              <w:t>.</w:t>
            </w:r>
            <w:r>
              <w:rPr>
                <w:rFonts w:ascii="Arial" w:hAnsi="Arial" w:cs="Arial"/>
                <w:sz w:val="18"/>
                <w:szCs w:val="18"/>
              </w:rPr>
              <w:t>000</w:t>
            </w:r>
            <w:r w:rsidR="00677C69">
              <w:rPr>
                <w:rFonts w:ascii="Arial" w:hAnsi="Arial" w:cs="Arial"/>
                <w:sz w:val="18"/>
                <w:szCs w:val="18"/>
              </w:rPr>
              <w:t>,</w:t>
            </w:r>
            <w:r>
              <w:rPr>
                <w:rFonts w:ascii="Arial" w:hAnsi="Arial" w:cs="Arial"/>
                <w:sz w:val="18"/>
                <w:szCs w:val="18"/>
              </w:rPr>
              <w:t>00</w:t>
            </w:r>
          </w:p>
        </w:tc>
        <w:tc>
          <w:tcPr>
            <w:tcW w:w="2200" w:type="dxa"/>
            <w:vAlign w:val="center"/>
          </w:tcPr>
          <w:p w14:paraId="1EF903CB" w14:textId="47C4E009" w:rsidR="0072727A" w:rsidRDefault="004C6E05" w:rsidP="00677C69">
            <w:pPr>
              <w:jc w:val="right"/>
            </w:pPr>
            <w:r>
              <w:rPr>
                <w:rFonts w:ascii="Arial" w:hAnsi="Arial" w:cs="Arial"/>
                <w:sz w:val="18"/>
                <w:szCs w:val="18"/>
              </w:rPr>
              <w:t>US$0</w:t>
            </w:r>
            <w:r w:rsidR="00677C69">
              <w:rPr>
                <w:rFonts w:ascii="Arial" w:hAnsi="Arial" w:cs="Arial"/>
                <w:sz w:val="18"/>
                <w:szCs w:val="18"/>
              </w:rPr>
              <w:t>,</w:t>
            </w:r>
            <w:r>
              <w:rPr>
                <w:rFonts w:ascii="Arial" w:hAnsi="Arial" w:cs="Arial"/>
                <w:sz w:val="18"/>
                <w:szCs w:val="18"/>
              </w:rPr>
              <w:t>00</w:t>
            </w:r>
          </w:p>
        </w:tc>
        <w:tc>
          <w:tcPr>
            <w:tcW w:w="2104" w:type="dxa"/>
            <w:vAlign w:val="center"/>
          </w:tcPr>
          <w:p w14:paraId="52133D0A" w14:textId="156A9A0F" w:rsidR="0072727A" w:rsidRDefault="004C6E05" w:rsidP="00677C69">
            <w:pPr>
              <w:jc w:val="right"/>
            </w:pPr>
            <w:r>
              <w:rPr>
                <w:rFonts w:ascii="Arial" w:hAnsi="Arial" w:cs="Arial"/>
                <w:sz w:val="18"/>
                <w:szCs w:val="18"/>
              </w:rPr>
              <w:t>US$300</w:t>
            </w:r>
            <w:r w:rsidR="00677C69">
              <w:rPr>
                <w:rFonts w:ascii="Arial" w:hAnsi="Arial" w:cs="Arial"/>
                <w:sz w:val="18"/>
                <w:szCs w:val="18"/>
              </w:rPr>
              <w:t>.</w:t>
            </w:r>
            <w:r>
              <w:rPr>
                <w:rFonts w:ascii="Arial" w:hAnsi="Arial" w:cs="Arial"/>
                <w:sz w:val="18"/>
                <w:szCs w:val="18"/>
              </w:rPr>
              <w:t>000</w:t>
            </w:r>
            <w:r w:rsidR="00677C69">
              <w:rPr>
                <w:rFonts w:ascii="Arial" w:hAnsi="Arial" w:cs="Arial"/>
                <w:sz w:val="18"/>
                <w:szCs w:val="18"/>
              </w:rPr>
              <w:t>,</w:t>
            </w:r>
            <w:r>
              <w:rPr>
                <w:rFonts w:ascii="Arial" w:hAnsi="Arial" w:cs="Arial"/>
                <w:sz w:val="18"/>
                <w:szCs w:val="18"/>
              </w:rPr>
              <w:t>00</w:t>
            </w:r>
          </w:p>
        </w:tc>
      </w:tr>
      <w:tr w:rsidR="0072727A" w14:paraId="23C4B1B0" w14:textId="77777777" w:rsidTr="00677C69">
        <w:tc>
          <w:tcPr>
            <w:tcW w:w="1918" w:type="dxa"/>
            <w:vAlign w:val="center"/>
          </w:tcPr>
          <w:p w14:paraId="3A80D8AE" w14:textId="0BDFD17B" w:rsidR="0072727A" w:rsidRDefault="004C6E05" w:rsidP="00677C69">
            <w:r>
              <w:rPr>
                <w:rFonts w:ascii="Arial" w:hAnsi="Arial" w:cs="Arial"/>
                <w:sz w:val="18"/>
                <w:szCs w:val="18"/>
              </w:rPr>
              <w:t>Component IV</w:t>
            </w:r>
            <w:r w:rsidR="00677C69">
              <w:rPr>
                <w:rFonts w:ascii="Arial" w:hAnsi="Arial" w:cs="Arial"/>
                <w:sz w:val="18"/>
                <w:szCs w:val="18"/>
              </w:rPr>
              <w:t>.</w:t>
            </w:r>
            <w:r>
              <w:rPr>
                <w:rFonts w:ascii="Arial" w:hAnsi="Arial" w:cs="Arial"/>
                <w:sz w:val="18"/>
                <w:szCs w:val="18"/>
              </w:rPr>
              <w:t xml:space="preserve"> Revision of the current regulatory framework to drive policy reforms. </w:t>
            </w:r>
          </w:p>
        </w:tc>
        <w:tc>
          <w:tcPr>
            <w:tcW w:w="2238" w:type="dxa"/>
            <w:vAlign w:val="center"/>
          </w:tcPr>
          <w:p w14:paraId="7C055529" w14:textId="37B71E2C" w:rsidR="0072727A" w:rsidRDefault="004C6E05" w:rsidP="00677C69">
            <w:pPr>
              <w:jc w:val="right"/>
            </w:pPr>
            <w:r>
              <w:rPr>
                <w:rFonts w:ascii="Arial" w:hAnsi="Arial" w:cs="Arial"/>
                <w:sz w:val="18"/>
                <w:szCs w:val="18"/>
              </w:rPr>
              <w:t>US$300</w:t>
            </w:r>
            <w:r w:rsidR="00677C69">
              <w:rPr>
                <w:rFonts w:ascii="Arial" w:hAnsi="Arial" w:cs="Arial"/>
                <w:sz w:val="18"/>
                <w:szCs w:val="18"/>
              </w:rPr>
              <w:t>.</w:t>
            </w:r>
            <w:r>
              <w:rPr>
                <w:rFonts w:ascii="Arial" w:hAnsi="Arial" w:cs="Arial"/>
                <w:sz w:val="18"/>
                <w:szCs w:val="18"/>
              </w:rPr>
              <w:t>000</w:t>
            </w:r>
            <w:r w:rsidR="00677C69">
              <w:rPr>
                <w:rFonts w:ascii="Arial" w:hAnsi="Arial" w:cs="Arial"/>
                <w:sz w:val="18"/>
                <w:szCs w:val="18"/>
              </w:rPr>
              <w:t>,</w:t>
            </w:r>
            <w:r>
              <w:rPr>
                <w:rFonts w:ascii="Arial" w:hAnsi="Arial" w:cs="Arial"/>
                <w:sz w:val="18"/>
                <w:szCs w:val="18"/>
              </w:rPr>
              <w:t>00</w:t>
            </w:r>
          </w:p>
        </w:tc>
        <w:tc>
          <w:tcPr>
            <w:tcW w:w="2200" w:type="dxa"/>
            <w:vAlign w:val="center"/>
          </w:tcPr>
          <w:p w14:paraId="73A110CF" w14:textId="58B18A38" w:rsidR="0072727A" w:rsidRDefault="004C6E05" w:rsidP="00677C69">
            <w:pPr>
              <w:jc w:val="right"/>
            </w:pPr>
            <w:r>
              <w:rPr>
                <w:rFonts w:ascii="Arial" w:hAnsi="Arial" w:cs="Arial"/>
                <w:sz w:val="18"/>
                <w:szCs w:val="18"/>
              </w:rPr>
              <w:t>US$0</w:t>
            </w:r>
            <w:r w:rsidR="00677C69">
              <w:rPr>
                <w:rFonts w:ascii="Arial" w:hAnsi="Arial" w:cs="Arial"/>
                <w:sz w:val="18"/>
                <w:szCs w:val="18"/>
              </w:rPr>
              <w:t>,</w:t>
            </w:r>
            <w:r>
              <w:rPr>
                <w:rFonts w:ascii="Arial" w:hAnsi="Arial" w:cs="Arial"/>
                <w:sz w:val="18"/>
                <w:szCs w:val="18"/>
              </w:rPr>
              <w:t>00</w:t>
            </w:r>
          </w:p>
        </w:tc>
        <w:tc>
          <w:tcPr>
            <w:tcW w:w="2104" w:type="dxa"/>
            <w:vAlign w:val="center"/>
          </w:tcPr>
          <w:p w14:paraId="050ECC6A" w14:textId="233D2A5D" w:rsidR="0072727A" w:rsidRDefault="004C6E05" w:rsidP="00677C69">
            <w:pPr>
              <w:jc w:val="right"/>
            </w:pPr>
            <w:r>
              <w:rPr>
                <w:rFonts w:ascii="Arial" w:hAnsi="Arial" w:cs="Arial"/>
                <w:sz w:val="18"/>
                <w:szCs w:val="18"/>
              </w:rPr>
              <w:t>US$300</w:t>
            </w:r>
            <w:r w:rsidR="00677C69">
              <w:rPr>
                <w:rFonts w:ascii="Arial" w:hAnsi="Arial" w:cs="Arial"/>
                <w:sz w:val="18"/>
                <w:szCs w:val="18"/>
              </w:rPr>
              <w:t>.</w:t>
            </w:r>
            <w:r>
              <w:rPr>
                <w:rFonts w:ascii="Arial" w:hAnsi="Arial" w:cs="Arial"/>
                <w:sz w:val="18"/>
                <w:szCs w:val="18"/>
              </w:rPr>
              <w:t>000</w:t>
            </w:r>
            <w:r w:rsidR="00677C69">
              <w:rPr>
                <w:rFonts w:ascii="Arial" w:hAnsi="Arial" w:cs="Arial"/>
                <w:sz w:val="18"/>
                <w:szCs w:val="18"/>
              </w:rPr>
              <w:t>,</w:t>
            </w:r>
            <w:r>
              <w:rPr>
                <w:rFonts w:ascii="Arial" w:hAnsi="Arial" w:cs="Arial"/>
                <w:sz w:val="18"/>
                <w:szCs w:val="18"/>
              </w:rPr>
              <w:t>00</w:t>
            </w:r>
          </w:p>
        </w:tc>
      </w:tr>
      <w:tr w:rsidR="0072727A" w14:paraId="40D8BFAD" w14:textId="77777777" w:rsidTr="00677C69">
        <w:tc>
          <w:tcPr>
            <w:tcW w:w="1918" w:type="dxa"/>
            <w:vAlign w:val="center"/>
          </w:tcPr>
          <w:p w14:paraId="4BE162BC" w14:textId="77777777" w:rsidR="0072727A" w:rsidRDefault="004C6E05" w:rsidP="00D05364">
            <w:pPr>
              <w:jc w:val="center"/>
            </w:pPr>
            <w:r>
              <w:rPr>
                <w:rFonts w:ascii="Arial" w:hAnsi="Arial" w:cs="Arial"/>
                <w:b/>
                <w:sz w:val="18"/>
                <w:szCs w:val="18"/>
              </w:rPr>
              <w:t>Total</w:t>
            </w:r>
          </w:p>
        </w:tc>
        <w:tc>
          <w:tcPr>
            <w:tcW w:w="2238" w:type="dxa"/>
            <w:vAlign w:val="center"/>
          </w:tcPr>
          <w:p w14:paraId="2095B02C" w14:textId="018A8F2E" w:rsidR="0072727A" w:rsidRDefault="004C6E05" w:rsidP="00677C69">
            <w:pPr>
              <w:jc w:val="right"/>
            </w:pPr>
            <w:r>
              <w:rPr>
                <w:rFonts w:ascii="Arial" w:hAnsi="Arial" w:cs="Arial"/>
                <w:b/>
                <w:sz w:val="18"/>
                <w:szCs w:val="18"/>
              </w:rPr>
              <w:t>US$1</w:t>
            </w:r>
            <w:r w:rsidR="00677C69">
              <w:rPr>
                <w:rFonts w:ascii="Arial" w:hAnsi="Arial" w:cs="Arial"/>
                <w:b/>
                <w:sz w:val="18"/>
                <w:szCs w:val="18"/>
              </w:rPr>
              <w:t>.</w:t>
            </w:r>
            <w:r>
              <w:rPr>
                <w:rFonts w:ascii="Arial" w:hAnsi="Arial" w:cs="Arial"/>
                <w:b/>
                <w:sz w:val="18"/>
                <w:szCs w:val="18"/>
              </w:rPr>
              <w:t>400</w:t>
            </w:r>
            <w:r w:rsidR="00677C69">
              <w:rPr>
                <w:rFonts w:ascii="Arial" w:hAnsi="Arial" w:cs="Arial"/>
                <w:b/>
                <w:sz w:val="18"/>
                <w:szCs w:val="18"/>
              </w:rPr>
              <w:t>.</w:t>
            </w:r>
            <w:r>
              <w:rPr>
                <w:rFonts w:ascii="Arial" w:hAnsi="Arial" w:cs="Arial"/>
                <w:b/>
                <w:sz w:val="18"/>
                <w:szCs w:val="18"/>
              </w:rPr>
              <w:t>000.00</w:t>
            </w:r>
          </w:p>
        </w:tc>
        <w:tc>
          <w:tcPr>
            <w:tcW w:w="2200" w:type="dxa"/>
            <w:vAlign w:val="center"/>
          </w:tcPr>
          <w:p w14:paraId="299454B6" w14:textId="0928A442" w:rsidR="0072727A" w:rsidRDefault="004C6E05" w:rsidP="00677C69">
            <w:pPr>
              <w:jc w:val="right"/>
            </w:pPr>
            <w:r>
              <w:rPr>
                <w:rFonts w:ascii="Arial" w:hAnsi="Arial" w:cs="Arial"/>
                <w:b/>
                <w:sz w:val="18"/>
                <w:szCs w:val="18"/>
              </w:rPr>
              <w:t>US$0</w:t>
            </w:r>
            <w:r w:rsidR="00677C69">
              <w:rPr>
                <w:rFonts w:ascii="Arial" w:hAnsi="Arial" w:cs="Arial"/>
                <w:b/>
                <w:sz w:val="18"/>
                <w:szCs w:val="18"/>
              </w:rPr>
              <w:t>,</w:t>
            </w:r>
            <w:r>
              <w:rPr>
                <w:rFonts w:ascii="Arial" w:hAnsi="Arial" w:cs="Arial"/>
                <w:b/>
                <w:sz w:val="18"/>
                <w:szCs w:val="18"/>
              </w:rPr>
              <w:t>00</w:t>
            </w:r>
          </w:p>
        </w:tc>
        <w:tc>
          <w:tcPr>
            <w:tcW w:w="2104" w:type="dxa"/>
            <w:vAlign w:val="center"/>
          </w:tcPr>
          <w:p w14:paraId="3A82A3F5" w14:textId="77777777" w:rsidR="0072727A" w:rsidRDefault="004C6E05" w:rsidP="00677C69">
            <w:pPr>
              <w:jc w:val="right"/>
            </w:pPr>
            <w:r>
              <w:rPr>
                <w:rFonts w:ascii="Arial" w:hAnsi="Arial" w:cs="Arial"/>
                <w:b/>
                <w:sz w:val="18"/>
                <w:szCs w:val="18"/>
              </w:rPr>
              <w:t>US$1,400,000.00</w:t>
            </w:r>
          </w:p>
        </w:tc>
      </w:tr>
    </w:tbl>
    <w:p w14:paraId="563E293C" w14:textId="77777777" w:rsidR="0072727A" w:rsidRDefault="004C6E05" w:rsidP="00677C69">
      <w:pPr>
        <w:spacing w:before="240" w:after="120"/>
        <w:ind w:left="576" w:hanging="576"/>
      </w:pPr>
      <w:r>
        <w:rPr>
          <w:rFonts w:ascii="Arial" w:hAnsi="Arial" w:cs="Arial"/>
          <w:b/>
        </w:rPr>
        <w:t>V.</w:t>
      </w:r>
      <w:r>
        <w:rPr>
          <w:rFonts w:ascii="Arial" w:hAnsi="Arial" w:cs="Arial"/>
          <w:b/>
        </w:rPr>
        <w:tab/>
        <w:t>Executing Agency and Execution Structure</w:t>
      </w:r>
    </w:p>
    <w:p w14:paraId="29C0D763" w14:textId="77777777" w:rsidR="0072727A" w:rsidRDefault="004C6E05">
      <w:pPr>
        <w:spacing w:before="200" w:after="200"/>
        <w:ind w:left="579" w:hanging="579"/>
        <w:jc w:val="both"/>
      </w:pPr>
      <w:r>
        <w:rPr>
          <w:rFonts w:ascii="Arial" w:hAnsi="Arial" w:cs="Arial"/>
        </w:rPr>
        <w:t>5.1</w:t>
      </w:r>
      <w:r>
        <w:rPr>
          <w:rFonts w:ascii="Arial" w:hAnsi="Arial" w:cs="Arial"/>
        </w:rPr>
        <w:tab/>
        <w:t>The Bank will be the Executing Agency (EA) of this operation.</w:t>
      </w:r>
    </w:p>
    <w:p w14:paraId="6613BCB7" w14:textId="4BBC8BC4" w:rsidR="0072727A" w:rsidRDefault="004C6E05">
      <w:pPr>
        <w:spacing w:before="200" w:after="200"/>
        <w:ind w:left="579" w:hanging="579"/>
        <w:jc w:val="both"/>
      </w:pPr>
      <w:r>
        <w:rPr>
          <w:rFonts w:ascii="Arial" w:hAnsi="Arial" w:cs="Arial"/>
        </w:rPr>
        <w:t>5.2</w:t>
      </w:r>
      <w:r>
        <w:rPr>
          <w:rFonts w:ascii="Arial" w:hAnsi="Arial" w:cs="Arial"/>
        </w:rPr>
        <w:tab/>
        <w:t>The Bank will be the Executing Agency (EA) of this operation in accordance with Appendix 10 to the Operational Guidelines for Technical Cooperation Products (GN</w:t>
      </w:r>
      <w:r w:rsidR="007B5AFD">
        <w:rPr>
          <w:rFonts w:ascii="Arial" w:hAnsi="Arial" w:cs="Arial"/>
        </w:rPr>
        <w:noBreakHyphen/>
      </w:r>
      <w:r>
        <w:rPr>
          <w:rFonts w:ascii="Arial" w:hAnsi="Arial" w:cs="Arial"/>
        </w:rPr>
        <w:t>2629-1), considering the Bank's experience in the preparation and development of the operational and technical instruments proposed for this type of operations. The CT will be implemented in coordination with the beneficiary countries and agencies. INE/ENE will act as a Basic Responsibility Unit (UDR) and will be responsible for the procurement processes, which will allow the contracts developed under the CT to be timely and planned at the time of execution.</w:t>
      </w:r>
      <w:r w:rsidR="00677C69">
        <w:rPr>
          <w:rFonts w:ascii="Arial" w:hAnsi="Arial" w:cs="Arial"/>
        </w:rPr>
        <w:t xml:space="preserve"> </w:t>
      </w:r>
      <w:r>
        <w:rPr>
          <w:rFonts w:ascii="Arial" w:hAnsi="Arial" w:cs="Arial"/>
        </w:rPr>
        <w:t>The beneficiary may provide technical inputs to the terms of reference and reports of the consultants, but the Bank will have the autonomy to approve such documents and act as EA of the TC. This dynamic will facilitate a better articulation between the various actors within the framework of the technical dialogue of this TC</w:t>
      </w:r>
      <w:r w:rsidR="00677C69">
        <w:rPr>
          <w:rFonts w:ascii="Arial" w:hAnsi="Arial" w:cs="Arial"/>
        </w:rPr>
        <w:t>.</w:t>
      </w:r>
    </w:p>
    <w:p w14:paraId="1E3BAAD3" w14:textId="77777777" w:rsidR="0072727A" w:rsidRDefault="004C6E05" w:rsidP="00677C69">
      <w:pPr>
        <w:spacing w:before="240" w:after="120"/>
        <w:ind w:left="576" w:hanging="576"/>
      </w:pPr>
      <w:r>
        <w:rPr>
          <w:rFonts w:ascii="Arial" w:hAnsi="Arial" w:cs="Arial"/>
          <w:b/>
        </w:rPr>
        <w:t>VI.</w:t>
      </w:r>
      <w:r>
        <w:rPr>
          <w:rFonts w:ascii="Arial" w:hAnsi="Arial" w:cs="Arial"/>
          <w:b/>
        </w:rPr>
        <w:tab/>
        <w:t>Project Risks and Issues</w:t>
      </w:r>
    </w:p>
    <w:p w14:paraId="72151B2B" w14:textId="513E37A2" w:rsidR="0072727A" w:rsidRDefault="004C6E05">
      <w:pPr>
        <w:spacing w:before="200" w:after="200"/>
        <w:ind w:left="579" w:hanging="579"/>
        <w:jc w:val="both"/>
      </w:pPr>
      <w:r>
        <w:rPr>
          <w:rFonts w:ascii="Arial" w:hAnsi="Arial" w:cs="Arial"/>
        </w:rPr>
        <w:t>6.1</w:t>
      </w:r>
      <w:r>
        <w:rPr>
          <w:rFonts w:ascii="Arial" w:hAnsi="Arial" w:cs="Arial"/>
        </w:rPr>
        <w:tab/>
        <w:t>At this moment, there are no risks significant associated with this TC. A detailed risk analysis will be developed during elaboration of the TC Document</w:t>
      </w:r>
      <w:r w:rsidR="00677C69">
        <w:rPr>
          <w:rFonts w:ascii="Arial" w:hAnsi="Arial" w:cs="Arial"/>
        </w:rPr>
        <w:t>.</w:t>
      </w:r>
    </w:p>
    <w:p w14:paraId="2EC03B81" w14:textId="77777777" w:rsidR="0072727A" w:rsidRDefault="004C6E05" w:rsidP="00677C69">
      <w:pPr>
        <w:spacing w:before="240" w:after="120"/>
        <w:ind w:left="576" w:hanging="576"/>
      </w:pPr>
      <w:r>
        <w:rPr>
          <w:rFonts w:ascii="Arial" w:hAnsi="Arial" w:cs="Arial"/>
          <w:b/>
        </w:rPr>
        <w:t>VII.</w:t>
      </w:r>
      <w:r>
        <w:rPr>
          <w:rFonts w:ascii="Arial" w:hAnsi="Arial" w:cs="Arial"/>
          <w:b/>
        </w:rPr>
        <w:tab/>
        <w:t>Environmental and Social Classification</w:t>
      </w:r>
    </w:p>
    <w:p w14:paraId="1FB79982" w14:textId="77777777" w:rsidR="0072727A" w:rsidRDefault="004C6E05">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72727A"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7F049E" w14:textId="77777777" w:rsidR="009A45EE" w:rsidRDefault="009A45EE">
      <w:r>
        <w:separator/>
      </w:r>
    </w:p>
  </w:endnote>
  <w:endnote w:type="continuationSeparator" w:id="0">
    <w:p w14:paraId="01A309E1" w14:textId="77777777" w:rsidR="009A45EE" w:rsidRDefault="009A4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07AF1" w14:textId="77777777" w:rsidR="0072727A" w:rsidRDefault="004C6E05">
    <w:pPr>
      <w:pStyle w:val="FooterStyle"/>
      <w:jc w:val="center"/>
    </w:pPr>
    <w:r>
      <w:t xml:space="preserve"> - </w:t>
    </w:r>
    <w:r>
      <w:fldChar w:fldCharType="begin"/>
    </w:r>
    <w:r>
      <w:instrText xml:space="preserve"> PAGE </w:instrText>
    </w:r>
    <w:r>
      <w:fldChar w:fldCharType="separate"/>
    </w:r>
    <w:r w:rsidR="00A84A0D">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733D43" w14:textId="77777777" w:rsidR="009A45EE" w:rsidRDefault="009A45EE">
      <w:r>
        <w:separator/>
      </w:r>
    </w:p>
  </w:footnote>
  <w:footnote w:type="continuationSeparator" w:id="0">
    <w:p w14:paraId="625DDA61" w14:textId="77777777" w:rsidR="009A45EE" w:rsidRDefault="009A45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1915A3"/>
    <w:rsid w:val="00217F62"/>
    <w:rsid w:val="00227B17"/>
    <w:rsid w:val="003E26C5"/>
    <w:rsid w:val="004C6E05"/>
    <w:rsid w:val="005B3C23"/>
    <w:rsid w:val="00677C69"/>
    <w:rsid w:val="006C7B0C"/>
    <w:rsid w:val="0072727A"/>
    <w:rsid w:val="00781273"/>
    <w:rsid w:val="007B5AFD"/>
    <w:rsid w:val="00864969"/>
    <w:rsid w:val="008C30CA"/>
    <w:rsid w:val="009A45EE"/>
    <w:rsid w:val="00A84A0D"/>
    <w:rsid w:val="00A906D8"/>
    <w:rsid w:val="00AB5A74"/>
    <w:rsid w:val="00D05364"/>
    <w:rsid w:val="00F071AE"/>
    <w:rsid w:val="00FE19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F8A62"/>
  <w15:docId w15:val="{2134720D-9EE2-47DE-94D2-7D4E97E84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0722BA711B69404DBA2A3A76B67208CF" ma:contentTypeVersion="0" ma:contentTypeDescription="The base project type from which other project content types inherit their information." ma:contentTypeScope="" ma:versionID="d440af0548d24d05f307a76c805b997d">
  <xsd:schema xmlns:xsd="http://www.w3.org/2001/XMLSchema" xmlns:xs="http://www.w3.org/2001/XMLSchema" xmlns:p="http://schemas.microsoft.com/office/2006/metadata/properties" xmlns:ns2="cdc7663a-08f0-4737-9e8c-148ce897a09c" targetNamespace="http://schemas.microsoft.com/office/2006/metadata/properties" ma:root="true" ma:fieldsID="fdd641fa0803d6f98224d7cb7f72d50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725"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66BB0C0B360F54CB8307ED10751F71F" ma:contentTypeVersion="0" ma:contentTypeDescription="A content type to manage public (operations) IDB documents" ma:contentTypeScope="" ma:versionID="8203a12a0a0603ac801ef54056a369ef">
  <xsd:schema xmlns:xsd="http://www.w3.org/2001/XMLSchema" xmlns:xs="http://www.w3.org/2001/XMLSchema" xmlns:p="http://schemas.microsoft.com/office/2006/metadata/properties" xmlns:ns2="cdc7663a-08f0-4737-9e8c-148ce897a09c" targetNamespace="http://schemas.microsoft.com/office/2006/metadata/properties" ma:root="true" ma:fieldsID="37df403ef6b1908865af01ec46817c7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72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RG</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Bonzi Teixeira Augusto Cesar</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EN-REH</TermName>
          <TermId xmlns="http://schemas.microsoft.com/office/infopath/2007/PartnerControls">bc14044a-5020-4002-b61d-5f3750c96619</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46</Value>
      <Value>45</Value>
      <Value>44</Value>
      <Value>1</Value>
      <Value>532</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RG-T3725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EZSHARE-1339447598-13</_dlc_DocId>
    <_dlc_DocIdUrl xmlns="cdc7663a-08f0-4737-9e8c-148ce897a09c">
      <Url>https://idbg.sharepoint.com/teams/EZ-RG-TCP/RG-T3725/_layouts/15/DocIdRedir.aspx?ID=EZSHARE-1339447598-13</Url>
      <Description>EZSHARE-1339447598-13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C61BFBE6-97E5-49CC-97E1-F89DCC9985B9}"/>
</file>

<file path=customXml/itemProps2.xml><?xml version="1.0" encoding="utf-8"?>
<ds:datastoreItem xmlns:ds="http://schemas.openxmlformats.org/officeDocument/2006/customXml" ds:itemID="{2EDA8D39-72D2-479D-A339-BD857785CDC4}"/>
</file>

<file path=customXml/itemProps3.xml><?xml version="1.0" encoding="utf-8"?>
<ds:datastoreItem xmlns:ds="http://schemas.openxmlformats.org/officeDocument/2006/customXml" ds:itemID="{09C54D49-1936-4BBB-A553-1B576433AD88}"/>
</file>

<file path=customXml/itemProps4.xml><?xml version="1.0" encoding="utf-8"?>
<ds:datastoreItem xmlns:ds="http://schemas.openxmlformats.org/officeDocument/2006/customXml" ds:itemID="{9CFAD468-3B1D-446F-955D-386FF28F709C}"/>
</file>

<file path=customXml/itemProps5.xml><?xml version="1.0" encoding="utf-8"?>
<ds:datastoreItem xmlns:ds="http://schemas.openxmlformats.org/officeDocument/2006/customXml" ds:itemID="{6E9E3EA3-AD56-439F-AB1E-BF884F0FBBF4}"/>
</file>

<file path=customXml/itemProps6.xml><?xml version="1.0" encoding="utf-8"?>
<ds:datastoreItem xmlns:ds="http://schemas.openxmlformats.org/officeDocument/2006/customXml" ds:itemID="{EE6A3D7E-FA87-4C5D-836B-D5D883BA253C}"/>
</file>

<file path=docProps/app.xml><?xml version="1.0" encoding="utf-8"?>
<Properties xmlns="http://schemas.openxmlformats.org/officeDocument/2006/extended-properties" xmlns:vt="http://schemas.openxmlformats.org/officeDocument/2006/docPropsVTypes">
  <Template>Normal</Template>
  <TotalTime>87</TotalTime>
  <Pages>3</Pages>
  <Words>1357</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Marquez Barroeta, Fidel</cp:lastModifiedBy>
  <cp:revision>9</cp:revision>
  <dcterms:created xsi:type="dcterms:W3CDTF">2020-06-02T16:42:00Z</dcterms:created>
  <dcterms:modified xsi:type="dcterms:W3CDTF">2020-06-09T16:20:00Z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532;#EN-REH|bc14044a-5020-4002-b61d-5f3750c96619</vt:lpwstr>
  </property>
  <property fmtid="{D5CDD505-2E9C-101B-9397-08002B2CF9AE}" pid="7" name="Fund IDB">
    <vt:lpwstr>46;#INF|474aab72-0205-4196-bca7-4b288939fcb3</vt:lpwstr>
  </property>
  <property fmtid="{D5CDD505-2E9C-101B-9397-08002B2CF9AE}" pid="8" name="Country">
    <vt:lpwstr>44;#RG|2537a5b7-6d8e-482c-94dc-32c3cc44ff65</vt:lpwstr>
  </property>
  <property fmtid="{D5CDD505-2E9C-101B-9397-08002B2CF9AE}" pid="9" name="Sector IDB">
    <vt:lpwstr>45;#EN|4fed196a-cd0b-4970-87de-42da17f9b203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57f2c889-0a07-4bcc-acb4-581b04f97312</vt:lpwstr>
  </property>
  <property fmtid="{D5CDD505-2E9C-101B-9397-08002B2CF9AE}" pid="12" name="Disclosure Activity">
    <vt:lpwstr>TC Abstract</vt:lpwstr>
  </property>
  <property fmtid="{D5CDD505-2E9C-101B-9397-08002B2CF9AE}" pid="13" name="ContentTypeId">
    <vt:lpwstr>0x0101001A458A224826124E8B45B1D613300CFC00E66BB0C0B360F54CB8307ED10751F71F</vt:lpwstr>
  </property>
</Properties>
</file>