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rawings/drawing1.xml" ContentType="application/vnd.openxmlformats-officedocument.drawingml.chartshapes+xml"/>
  <Override PartName="/word/drawings/drawing3.xml" ContentType="application/vnd.openxmlformats-officedocument.drawingml.chartshapes+xml"/>
  <Override PartName="/word/drawings/drawing2.xml" ContentType="application/vnd.openxmlformats-officedocument.drawingml.chartshapes+xml"/>
  <Override PartName="/word/drawings/drawing4.xml" ContentType="application/vnd.openxmlformats-officedocument.drawingml.chartshapes+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1.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A18" w:rsidRPr="00B8426C" w:rsidRDefault="00161A18" w:rsidP="001C55AF">
      <w:pPr>
        <w:jc w:val="center"/>
        <w:rPr>
          <w:rFonts w:ascii="Arial" w:hAnsi="Arial" w:cs="Arial"/>
          <w:b/>
          <w:bCs/>
          <w:szCs w:val="24"/>
        </w:rPr>
      </w:pPr>
      <w:r w:rsidRPr="00B8426C">
        <w:rPr>
          <w:rFonts w:ascii="Arial" w:hAnsi="Arial" w:cs="Arial"/>
          <w:b/>
          <w:bCs/>
          <w:szCs w:val="24"/>
        </w:rPr>
        <w:t>ANEXO A</w:t>
      </w:r>
    </w:p>
    <w:p w:rsidR="00161A18" w:rsidRPr="00B8426C" w:rsidRDefault="00161A18" w:rsidP="00CF48D2">
      <w:pPr>
        <w:rPr>
          <w:rFonts w:ascii="Arial" w:hAnsi="Arial" w:cs="Arial"/>
          <w:szCs w:val="24"/>
          <w:u w:val="single"/>
        </w:rPr>
      </w:pPr>
    </w:p>
    <w:p w:rsidR="00E3460B" w:rsidRPr="00B8426C" w:rsidRDefault="00E3460B" w:rsidP="00CF48D2">
      <w:pPr>
        <w:jc w:val="center"/>
        <w:rPr>
          <w:rFonts w:ascii="Arial" w:hAnsi="Arial" w:cs="Arial"/>
          <w:b/>
          <w:bCs/>
          <w:szCs w:val="24"/>
        </w:rPr>
      </w:pPr>
    </w:p>
    <w:p w:rsidR="00143B88" w:rsidRPr="00B8426C" w:rsidRDefault="00143B88" w:rsidP="00FB4D8D">
      <w:pPr>
        <w:jc w:val="center"/>
        <w:rPr>
          <w:rFonts w:ascii="Arial" w:hAnsi="Arial" w:cs="Arial"/>
          <w:b/>
          <w:bCs/>
          <w:szCs w:val="24"/>
        </w:rPr>
      </w:pPr>
      <w:r w:rsidRPr="00B8426C">
        <w:rPr>
          <w:rFonts w:ascii="Arial" w:hAnsi="Arial" w:cs="Arial"/>
          <w:b/>
          <w:bCs/>
          <w:szCs w:val="24"/>
        </w:rPr>
        <w:t>Linha de Crédito Condicional para Projetos de Investimento - CCLIP</w:t>
      </w:r>
    </w:p>
    <w:p w:rsidR="00161A18" w:rsidRPr="00B8426C" w:rsidRDefault="00143B88" w:rsidP="00FB4D8D">
      <w:pPr>
        <w:jc w:val="center"/>
        <w:rPr>
          <w:rFonts w:ascii="Arial" w:hAnsi="Arial" w:cs="Arial"/>
          <w:b/>
          <w:bCs/>
          <w:szCs w:val="24"/>
        </w:rPr>
      </w:pPr>
      <w:r w:rsidRPr="00B8426C">
        <w:rPr>
          <w:rFonts w:ascii="Arial" w:hAnsi="Arial" w:cs="Arial"/>
          <w:b/>
          <w:bCs/>
          <w:szCs w:val="24"/>
        </w:rPr>
        <w:t>Programa INOVAR PARA CRES</w:t>
      </w:r>
      <w:r w:rsidR="00901980" w:rsidRPr="00B8426C">
        <w:rPr>
          <w:rFonts w:ascii="Arial" w:hAnsi="Arial" w:cs="Arial"/>
          <w:b/>
          <w:bCs/>
          <w:szCs w:val="24"/>
        </w:rPr>
        <w:t>CER</w:t>
      </w:r>
    </w:p>
    <w:p w:rsidR="00901980" w:rsidRPr="00B8426C" w:rsidRDefault="00901980" w:rsidP="009B735F">
      <w:pPr>
        <w:jc w:val="center"/>
        <w:rPr>
          <w:rFonts w:ascii="Arial" w:hAnsi="Arial" w:cs="Arial"/>
          <w:b/>
          <w:bCs/>
          <w:szCs w:val="24"/>
        </w:rPr>
      </w:pPr>
    </w:p>
    <w:p w:rsidR="00161A18" w:rsidRPr="00B8426C" w:rsidRDefault="00227E55" w:rsidP="009B735F">
      <w:pPr>
        <w:jc w:val="center"/>
        <w:rPr>
          <w:rFonts w:ascii="Arial" w:hAnsi="Arial" w:cs="Arial"/>
          <w:i/>
          <w:iCs/>
          <w:szCs w:val="24"/>
        </w:rPr>
      </w:pPr>
      <w:r w:rsidRPr="00B8426C">
        <w:rPr>
          <w:rFonts w:ascii="Arial" w:hAnsi="Arial" w:cs="Arial"/>
          <w:b/>
          <w:bCs/>
          <w:szCs w:val="24"/>
        </w:rPr>
        <w:t>BR-L14</w:t>
      </w:r>
      <w:r w:rsidR="00901980" w:rsidRPr="00B8426C">
        <w:rPr>
          <w:rFonts w:ascii="Arial" w:hAnsi="Arial" w:cs="Arial"/>
          <w:b/>
          <w:bCs/>
          <w:szCs w:val="24"/>
        </w:rPr>
        <w:t>90</w:t>
      </w:r>
    </w:p>
    <w:p w:rsidR="00161A18" w:rsidRPr="00B8426C" w:rsidRDefault="00161A18" w:rsidP="00161A18">
      <w:pPr>
        <w:rPr>
          <w:rFonts w:ascii="Arial" w:hAnsi="Arial" w:cs="Arial"/>
          <w:i/>
          <w:iCs/>
          <w:szCs w:val="24"/>
        </w:rPr>
      </w:pPr>
    </w:p>
    <w:p w:rsidR="00062BB7" w:rsidRPr="00B8426C" w:rsidRDefault="00113597" w:rsidP="00062BB7">
      <w:pPr>
        <w:jc w:val="center"/>
        <w:rPr>
          <w:rFonts w:ascii="Arial" w:hAnsi="Arial" w:cs="Arial"/>
          <w:smallCaps/>
          <w:szCs w:val="24"/>
        </w:rPr>
      </w:pPr>
      <w:r w:rsidRPr="00B8426C">
        <w:rPr>
          <w:rFonts w:ascii="Arial" w:hAnsi="Arial" w:cs="Arial"/>
          <w:smallCaps/>
          <w:szCs w:val="24"/>
        </w:rPr>
        <w:t>Documento do Banco Interamericano de Desenvolvimento</w:t>
      </w:r>
    </w:p>
    <w:p w:rsidR="00062BB7" w:rsidRPr="00B8426C" w:rsidRDefault="00062BB7" w:rsidP="00062BB7">
      <w:pPr>
        <w:spacing w:before="120" w:line="360" w:lineRule="auto"/>
        <w:contextualSpacing/>
        <w:jc w:val="center"/>
        <w:rPr>
          <w:rFonts w:ascii="Arial" w:eastAsia="Calibri" w:hAnsi="Arial" w:cs="Arial"/>
          <w:b/>
          <w:szCs w:val="24"/>
        </w:rPr>
      </w:pPr>
    </w:p>
    <w:p w:rsidR="00062BB7" w:rsidRPr="00B8426C" w:rsidRDefault="00062BB7" w:rsidP="00062BB7">
      <w:pPr>
        <w:tabs>
          <w:tab w:val="left" w:pos="1440"/>
          <w:tab w:val="left" w:pos="3060"/>
        </w:tabs>
        <w:spacing w:after="200" w:line="276" w:lineRule="auto"/>
        <w:jc w:val="center"/>
        <w:rPr>
          <w:rFonts w:ascii="Arial" w:eastAsia="Calibri" w:hAnsi="Arial" w:cs="Arial"/>
          <w:b/>
          <w:smallCaps/>
          <w:szCs w:val="24"/>
        </w:rPr>
      </w:pPr>
    </w:p>
    <w:p w:rsidR="00062BB7" w:rsidRPr="00B8426C" w:rsidRDefault="00062BB7" w:rsidP="00062BB7">
      <w:pPr>
        <w:tabs>
          <w:tab w:val="left" w:pos="1440"/>
          <w:tab w:val="left" w:pos="3060"/>
        </w:tabs>
        <w:spacing w:after="200" w:line="276" w:lineRule="auto"/>
        <w:jc w:val="center"/>
        <w:rPr>
          <w:rFonts w:ascii="Arial" w:eastAsia="Calibri" w:hAnsi="Arial" w:cs="Arial"/>
          <w:b/>
          <w:smallCaps/>
          <w:szCs w:val="24"/>
        </w:rPr>
      </w:pPr>
    </w:p>
    <w:p w:rsidR="00062BB7" w:rsidRPr="00B8426C" w:rsidRDefault="00113597" w:rsidP="00062BB7">
      <w:pPr>
        <w:tabs>
          <w:tab w:val="left" w:pos="1440"/>
          <w:tab w:val="left" w:pos="3060"/>
        </w:tabs>
        <w:spacing w:after="200" w:line="276" w:lineRule="auto"/>
        <w:jc w:val="center"/>
        <w:rPr>
          <w:rFonts w:ascii="Arial" w:eastAsia="Calibri" w:hAnsi="Arial" w:cs="Arial"/>
          <w:b/>
          <w:smallCaps/>
          <w:szCs w:val="24"/>
          <w:highlight w:val="lightGray"/>
        </w:rPr>
      </w:pPr>
      <w:r w:rsidRPr="00B8426C">
        <w:rPr>
          <w:rFonts w:ascii="Arial" w:eastAsia="Calibri" w:hAnsi="Arial" w:cs="Arial"/>
          <w:b/>
          <w:smallCaps/>
          <w:szCs w:val="24"/>
          <w:highlight w:val="lightGray"/>
        </w:rPr>
        <w:t>Brasil</w:t>
      </w:r>
    </w:p>
    <w:p w:rsidR="00062BB7" w:rsidRPr="00B8426C" w:rsidRDefault="00062BB7" w:rsidP="00062BB7">
      <w:pPr>
        <w:tabs>
          <w:tab w:val="left" w:pos="1440"/>
          <w:tab w:val="left" w:pos="3060"/>
        </w:tabs>
        <w:spacing w:after="200" w:line="276" w:lineRule="auto"/>
        <w:jc w:val="center"/>
        <w:rPr>
          <w:rFonts w:ascii="Arial" w:eastAsia="Calibri" w:hAnsi="Arial" w:cs="Arial"/>
          <w:b/>
          <w:smallCaps/>
          <w:szCs w:val="24"/>
          <w:highlight w:val="lightGray"/>
        </w:rPr>
      </w:pPr>
    </w:p>
    <w:p w:rsidR="00146A75" w:rsidRPr="00B8426C" w:rsidRDefault="00146A75" w:rsidP="00062BB7">
      <w:pPr>
        <w:tabs>
          <w:tab w:val="left" w:pos="1440"/>
          <w:tab w:val="left" w:pos="3060"/>
        </w:tabs>
        <w:spacing w:after="200" w:line="276" w:lineRule="auto"/>
        <w:jc w:val="center"/>
        <w:rPr>
          <w:rFonts w:ascii="Arial" w:eastAsia="Calibri" w:hAnsi="Arial" w:cs="Arial"/>
          <w:b/>
          <w:smallCaps/>
          <w:szCs w:val="24"/>
          <w:highlight w:val="lightGray"/>
        </w:rPr>
      </w:pPr>
    </w:p>
    <w:p w:rsidR="00146A75" w:rsidRPr="00B8426C" w:rsidRDefault="00146A75" w:rsidP="00062BB7">
      <w:pPr>
        <w:tabs>
          <w:tab w:val="left" w:pos="1440"/>
          <w:tab w:val="left" w:pos="3060"/>
        </w:tabs>
        <w:spacing w:after="200" w:line="276" w:lineRule="auto"/>
        <w:jc w:val="center"/>
        <w:rPr>
          <w:rFonts w:ascii="Arial" w:eastAsia="Calibri" w:hAnsi="Arial" w:cs="Arial"/>
          <w:b/>
          <w:smallCaps/>
          <w:szCs w:val="24"/>
          <w:highlight w:val="lightGray"/>
        </w:rPr>
      </w:pPr>
    </w:p>
    <w:p w:rsidR="00062BB7" w:rsidRPr="00B8426C" w:rsidRDefault="00062BB7" w:rsidP="00062BB7">
      <w:pPr>
        <w:tabs>
          <w:tab w:val="left" w:pos="1440"/>
          <w:tab w:val="left" w:pos="3060"/>
        </w:tabs>
        <w:spacing w:after="200" w:line="276" w:lineRule="auto"/>
        <w:jc w:val="center"/>
        <w:rPr>
          <w:rFonts w:ascii="Arial" w:eastAsia="Calibri" w:hAnsi="Arial" w:cs="Arial"/>
          <w:b/>
          <w:smallCaps/>
          <w:szCs w:val="24"/>
          <w:highlight w:val="lightGray"/>
        </w:rPr>
      </w:pPr>
    </w:p>
    <w:p w:rsidR="00113597" w:rsidRPr="00B8426C" w:rsidRDefault="00901980" w:rsidP="00901980">
      <w:pPr>
        <w:jc w:val="center"/>
        <w:rPr>
          <w:rFonts w:ascii="Arial" w:hAnsi="Arial" w:cs="Arial"/>
          <w:b/>
          <w:bCs/>
          <w:szCs w:val="24"/>
        </w:rPr>
      </w:pPr>
      <w:r w:rsidRPr="00B8426C">
        <w:rPr>
          <w:rFonts w:ascii="Arial" w:hAnsi="Arial" w:cs="Arial"/>
          <w:b/>
          <w:bCs/>
          <w:szCs w:val="24"/>
        </w:rPr>
        <w:t xml:space="preserve">CONSULTORIA PARA AVALIACAO ECONÔMICA CUSTO-BENEFÍCIO DO </w:t>
      </w:r>
      <w:r w:rsidR="00143B88" w:rsidRPr="00B8426C">
        <w:rPr>
          <w:rFonts w:ascii="Arial" w:hAnsi="Arial" w:cs="Arial"/>
          <w:b/>
          <w:bCs/>
          <w:szCs w:val="24"/>
        </w:rPr>
        <w:t>PROGAMA</w:t>
      </w:r>
      <w:r w:rsidRPr="00B8426C">
        <w:rPr>
          <w:rFonts w:ascii="Arial" w:hAnsi="Arial" w:cs="Arial"/>
          <w:b/>
          <w:bCs/>
          <w:szCs w:val="24"/>
        </w:rPr>
        <w:t xml:space="preserve"> INOVAR PARA CRESCER BR-L1490</w:t>
      </w:r>
    </w:p>
    <w:p w:rsidR="00062BB7" w:rsidRPr="00B8426C" w:rsidRDefault="00062BB7" w:rsidP="00062BB7">
      <w:pPr>
        <w:tabs>
          <w:tab w:val="left" w:pos="1440"/>
          <w:tab w:val="left" w:pos="3060"/>
        </w:tabs>
        <w:spacing w:after="200" w:line="276" w:lineRule="auto"/>
        <w:jc w:val="center"/>
        <w:rPr>
          <w:rFonts w:ascii="Arial" w:eastAsia="Calibri" w:hAnsi="Arial" w:cs="Arial"/>
          <w:b/>
          <w:smallCaps/>
          <w:szCs w:val="24"/>
          <w:highlight w:val="lightGray"/>
        </w:rPr>
      </w:pPr>
    </w:p>
    <w:p w:rsidR="00062BB7" w:rsidRPr="00B8426C" w:rsidRDefault="00062BB7" w:rsidP="00113597">
      <w:pPr>
        <w:jc w:val="center"/>
        <w:rPr>
          <w:rFonts w:ascii="Arial" w:hAnsi="Arial" w:cs="Arial"/>
          <w:i/>
          <w:iCs/>
          <w:szCs w:val="24"/>
        </w:rPr>
      </w:pPr>
      <w:r w:rsidRPr="00B8426C">
        <w:rPr>
          <w:rFonts w:ascii="Arial" w:eastAsia="Calibri" w:hAnsi="Arial" w:cs="Arial"/>
          <w:b/>
          <w:smallCaps/>
          <w:szCs w:val="24"/>
          <w:highlight w:val="lightGray"/>
        </w:rPr>
        <w:t>(</w:t>
      </w:r>
      <w:r w:rsidR="00113597" w:rsidRPr="00B8426C">
        <w:rPr>
          <w:rFonts w:ascii="Arial" w:hAnsi="Arial" w:cs="Arial"/>
          <w:b/>
          <w:bCs/>
          <w:szCs w:val="24"/>
        </w:rPr>
        <w:t>BR-L14</w:t>
      </w:r>
      <w:r w:rsidR="00901980" w:rsidRPr="00B8426C">
        <w:rPr>
          <w:rFonts w:ascii="Arial" w:hAnsi="Arial" w:cs="Arial"/>
          <w:b/>
          <w:bCs/>
          <w:szCs w:val="24"/>
        </w:rPr>
        <w:t>90</w:t>
      </w:r>
      <w:r w:rsidRPr="00B8426C">
        <w:rPr>
          <w:rFonts w:ascii="Arial" w:eastAsia="Calibri" w:hAnsi="Arial" w:cs="Arial"/>
          <w:b/>
          <w:smallCaps/>
          <w:szCs w:val="24"/>
          <w:highlight w:val="lightGray"/>
        </w:rPr>
        <w:t>)</w:t>
      </w:r>
    </w:p>
    <w:p w:rsidR="00062BB7" w:rsidRPr="00B8426C" w:rsidRDefault="00062BB7" w:rsidP="00062BB7">
      <w:pPr>
        <w:tabs>
          <w:tab w:val="left" w:pos="1440"/>
          <w:tab w:val="left" w:pos="3060"/>
        </w:tabs>
        <w:jc w:val="center"/>
        <w:rPr>
          <w:rFonts w:ascii="Arial" w:hAnsi="Arial" w:cs="Arial"/>
          <w:caps/>
          <w:szCs w:val="24"/>
        </w:rPr>
      </w:pPr>
    </w:p>
    <w:p w:rsidR="00062BB7" w:rsidRPr="00B8426C" w:rsidRDefault="00062BB7" w:rsidP="00062BB7">
      <w:pPr>
        <w:tabs>
          <w:tab w:val="left" w:pos="1440"/>
          <w:tab w:val="left" w:pos="3060"/>
        </w:tabs>
        <w:spacing w:after="200" w:line="276" w:lineRule="auto"/>
        <w:jc w:val="center"/>
        <w:rPr>
          <w:rFonts w:ascii="Arial" w:eastAsia="Calibri" w:hAnsi="Arial" w:cs="Arial"/>
          <w:smallCaps/>
          <w:szCs w:val="24"/>
        </w:rPr>
      </w:pPr>
    </w:p>
    <w:p w:rsidR="00062BB7" w:rsidRPr="00B8426C" w:rsidRDefault="00113597" w:rsidP="001C55AF">
      <w:pPr>
        <w:jc w:val="center"/>
        <w:rPr>
          <w:rFonts w:ascii="Arial" w:hAnsi="Arial" w:cs="Arial"/>
          <w:b/>
          <w:bCs/>
          <w:szCs w:val="24"/>
        </w:rPr>
      </w:pPr>
      <w:r w:rsidRPr="00B8426C">
        <w:rPr>
          <w:rFonts w:ascii="Arial" w:hAnsi="Arial" w:cs="Arial"/>
          <w:b/>
          <w:bCs/>
          <w:szCs w:val="24"/>
        </w:rPr>
        <w:t>Anexo de Análise Econômica</w:t>
      </w:r>
    </w:p>
    <w:p w:rsidR="00062BB7" w:rsidRPr="00B8426C" w:rsidRDefault="00062BB7" w:rsidP="00062BB7">
      <w:pPr>
        <w:tabs>
          <w:tab w:val="left" w:pos="1440"/>
          <w:tab w:val="left" w:pos="3060"/>
        </w:tabs>
        <w:spacing w:after="200" w:line="276" w:lineRule="auto"/>
        <w:outlineLvl w:val="0"/>
        <w:rPr>
          <w:rFonts w:ascii="Arial" w:eastAsia="Calibri" w:hAnsi="Arial" w:cs="Arial"/>
          <w:b/>
          <w:smallCaps/>
          <w:szCs w:val="24"/>
        </w:rPr>
      </w:pPr>
    </w:p>
    <w:p w:rsidR="00062BB7" w:rsidRPr="00B8426C" w:rsidRDefault="00062BB7" w:rsidP="00062BB7">
      <w:pPr>
        <w:spacing w:before="120" w:line="360" w:lineRule="auto"/>
        <w:ind w:left="1080"/>
        <w:contextualSpacing/>
        <w:jc w:val="center"/>
        <w:rPr>
          <w:rFonts w:ascii="Arial" w:eastAsia="Calibri" w:hAnsi="Arial" w:cs="Arial"/>
          <w:b/>
          <w:szCs w:val="24"/>
        </w:rPr>
      </w:pPr>
    </w:p>
    <w:p w:rsidR="00062BB7" w:rsidRPr="00B8426C" w:rsidRDefault="00062BB7" w:rsidP="00062BB7">
      <w:pPr>
        <w:tabs>
          <w:tab w:val="left" w:pos="1440"/>
          <w:tab w:val="left" w:pos="3060"/>
        </w:tabs>
        <w:spacing w:after="200" w:line="276" w:lineRule="auto"/>
        <w:jc w:val="center"/>
        <w:rPr>
          <w:rFonts w:ascii="Arial" w:eastAsia="Calibri" w:hAnsi="Arial" w:cs="Arial"/>
          <w:szCs w:val="24"/>
        </w:rPr>
      </w:pPr>
    </w:p>
    <w:p w:rsidR="00113597" w:rsidRPr="00B8426C" w:rsidRDefault="00113597" w:rsidP="00113597">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Cs w:val="24"/>
        </w:rPr>
      </w:pPr>
      <w:r w:rsidRPr="00B8426C">
        <w:rPr>
          <w:rFonts w:ascii="Arial" w:hAnsi="Arial" w:cs="Arial"/>
          <w:szCs w:val="24"/>
        </w:rPr>
        <w:t>Este documento foi elaborado por:</w:t>
      </w:r>
    </w:p>
    <w:p w:rsidR="00113597" w:rsidRPr="00B8426C" w:rsidRDefault="00113597" w:rsidP="00113597">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Cs w:val="24"/>
        </w:rPr>
      </w:pPr>
    </w:p>
    <w:p w:rsidR="00113597" w:rsidRPr="00B8426C" w:rsidRDefault="00113597" w:rsidP="00113597">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Cs w:val="24"/>
        </w:rPr>
      </w:pPr>
      <w:r w:rsidRPr="00B8426C">
        <w:rPr>
          <w:rFonts w:ascii="Arial" w:hAnsi="Arial" w:cs="Arial"/>
          <w:b/>
          <w:szCs w:val="24"/>
        </w:rPr>
        <w:t>Roseli da Silva</w:t>
      </w:r>
    </w:p>
    <w:p w:rsidR="00113597" w:rsidRPr="00B8426C" w:rsidRDefault="00113597" w:rsidP="00113597">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Cs w:val="24"/>
        </w:rPr>
      </w:pPr>
      <w:r w:rsidRPr="00B8426C">
        <w:rPr>
          <w:rFonts w:ascii="Arial" w:hAnsi="Arial" w:cs="Arial"/>
          <w:szCs w:val="24"/>
        </w:rPr>
        <w:t>Economista, Doutora em Teoria Econômica.</w:t>
      </w:r>
    </w:p>
    <w:p w:rsidR="005617F8" w:rsidRPr="00B8426C" w:rsidRDefault="005617F8" w:rsidP="00113597">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Cs w:val="24"/>
        </w:rPr>
      </w:pPr>
      <w:r w:rsidRPr="00B8426C">
        <w:rPr>
          <w:rFonts w:ascii="Arial" w:hAnsi="Arial" w:cs="Arial"/>
          <w:szCs w:val="24"/>
        </w:rPr>
        <w:t>Assistente: Bruna Garcia, graduanda em Economia e Controladoria FEA-RP/USP</w:t>
      </w:r>
    </w:p>
    <w:p w:rsidR="00113597" w:rsidRPr="00B8426C" w:rsidRDefault="00113597" w:rsidP="00113597">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Cs w:val="24"/>
        </w:rPr>
      </w:pPr>
    </w:p>
    <w:p w:rsidR="00E3460B" w:rsidRPr="00B8426C" w:rsidRDefault="00062BB7" w:rsidP="00E3460B">
      <w:pPr>
        <w:pStyle w:val="ListParagraph"/>
        <w:spacing w:before="120"/>
        <w:ind w:firstLine="360"/>
        <w:rPr>
          <w:rFonts w:ascii="Arial" w:eastAsia="Calibri" w:hAnsi="Arial" w:cs="Arial"/>
          <w:b/>
          <w:szCs w:val="24"/>
        </w:rPr>
      </w:pPr>
      <w:r w:rsidRPr="00B8426C">
        <w:rPr>
          <w:rFonts w:ascii="Arial" w:eastAsia="Calibri" w:hAnsi="Arial" w:cs="Arial"/>
          <w:b/>
          <w:szCs w:val="24"/>
        </w:rPr>
        <w:br w:type="page"/>
      </w:r>
    </w:p>
    <w:p w:rsidR="00E3460B" w:rsidRPr="00B8426C" w:rsidRDefault="00E3460B" w:rsidP="00E3460B">
      <w:pPr>
        <w:pStyle w:val="ListParagraph"/>
        <w:spacing w:before="120"/>
        <w:ind w:firstLine="360"/>
        <w:rPr>
          <w:rFonts w:ascii="Arial" w:eastAsia="Calibri" w:hAnsi="Arial" w:cs="Arial"/>
          <w:b/>
          <w:szCs w:val="24"/>
        </w:rPr>
      </w:pPr>
    </w:p>
    <w:p w:rsidR="00E3460B" w:rsidRPr="00B8426C" w:rsidRDefault="00E3460B" w:rsidP="00E3460B">
      <w:pPr>
        <w:pStyle w:val="ListParagraph"/>
        <w:spacing w:before="120"/>
        <w:ind w:firstLine="360"/>
        <w:rPr>
          <w:rFonts w:ascii="Arial" w:hAnsi="Arial" w:cs="Arial"/>
          <w:b/>
          <w:szCs w:val="24"/>
        </w:rPr>
      </w:pPr>
      <w:r w:rsidRPr="00B8426C">
        <w:rPr>
          <w:rFonts w:ascii="Arial" w:hAnsi="Arial" w:cs="Arial"/>
          <w:b/>
          <w:szCs w:val="24"/>
        </w:rPr>
        <w:t>Sumário</w:t>
      </w:r>
    </w:p>
    <w:p w:rsidR="00E3460B" w:rsidRPr="00B8426C" w:rsidRDefault="00E3460B" w:rsidP="00E3460B">
      <w:pPr>
        <w:pStyle w:val="ListParagraph"/>
        <w:spacing w:before="120"/>
        <w:ind w:left="1080"/>
        <w:rPr>
          <w:rFonts w:ascii="Arial" w:hAnsi="Arial" w:cs="Arial"/>
          <w:b/>
          <w:szCs w:val="24"/>
        </w:rPr>
      </w:pPr>
    </w:p>
    <w:p w:rsidR="00E3460B" w:rsidRPr="00B8426C" w:rsidRDefault="00E3460B" w:rsidP="00E3460B">
      <w:pPr>
        <w:pStyle w:val="ListParagraph"/>
        <w:spacing w:before="120"/>
        <w:ind w:left="1080"/>
        <w:rPr>
          <w:rFonts w:ascii="Arial" w:hAnsi="Arial" w:cs="Arial"/>
          <w:b/>
          <w:szCs w:val="24"/>
        </w:rPr>
      </w:pPr>
    </w:p>
    <w:p w:rsidR="00E3460B" w:rsidRPr="00B8426C" w:rsidRDefault="00E3460B" w:rsidP="00E3460B">
      <w:pPr>
        <w:pStyle w:val="ListParagraph"/>
        <w:spacing w:before="120"/>
        <w:ind w:left="1080"/>
        <w:rPr>
          <w:rFonts w:ascii="Arial" w:hAnsi="Arial" w:cs="Arial"/>
          <w:b/>
          <w:szCs w:val="24"/>
        </w:rPr>
      </w:pPr>
    </w:p>
    <w:p w:rsidR="00693532" w:rsidRPr="00B8426C" w:rsidRDefault="00E3460B">
      <w:pPr>
        <w:pStyle w:val="TOC1"/>
        <w:rPr>
          <w:rFonts w:ascii="Arial" w:eastAsiaTheme="minorEastAsia" w:hAnsi="Arial" w:cs="Arial"/>
          <w:noProof/>
          <w:sz w:val="22"/>
          <w:szCs w:val="22"/>
          <w:lang w:val="pt-BR" w:eastAsia="pt-BR"/>
        </w:rPr>
      </w:pPr>
      <w:r w:rsidRPr="00B8426C">
        <w:rPr>
          <w:rFonts w:ascii="Arial" w:hAnsi="Arial" w:cs="Arial"/>
          <w:b/>
          <w:lang w:val="pt-BR"/>
        </w:rPr>
        <w:fldChar w:fldCharType="begin"/>
      </w:r>
      <w:r w:rsidRPr="00B8426C">
        <w:rPr>
          <w:rFonts w:ascii="Arial" w:hAnsi="Arial" w:cs="Arial"/>
          <w:b/>
          <w:lang w:val="pt-BR"/>
        </w:rPr>
        <w:instrText xml:space="preserve"> TOC \o "1-4" \h \z \u </w:instrText>
      </w:r>
      <w:r w:rsidRPr="00B8426C">
        <w:rPr>
          <w:rFonts w:ascii="Arial" w:hAnsi="Arial" w:cs="Arial"/>
          <w:b/>
          <w:lang w:val="pt-BR"/>
        </w:rPr>
        <w:fldChar w:fldCharType="separate"/>
      </w:r>
      <w:hyperlink w:anchor="_Toc483345017" w:history="1">
        <w:r w:rsidR="00693532" w:rsidRPr="00B8426C">
          <w:rPr>
            <w:rStyle w:val="Hyperlink"/>
            <w:rFonts w:ascii="Arial" w:hAnsi="Arial" w:cs="Arial"/>
            <w:noProof/>
          </w:rPr>
          <w:t>1</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Sumário Executivo</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_Toc483345017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1</w:t>
        </w:r>
        <w:r w:rsidR="00693532" w:rsidRPr="00B8426C">
          <w:rPr>
            <w:rFonts w:ascii="Arial" w:hAnsi="Arial" w:cs="Arial"/>
            <w:noProof/>
            <w:webHidden/>
          </w:rPr>
          <w:fldChar w:fldCharType="end"/>
        </w:r>
      </w:hyperlink>
    </w:p>
    <w:p w:rsidR="00693532" w:rsidRPr="00B8426C" w:rsidRDefault="005A6555">
      <w:pPr>
        <w:pStyle w:val="TOC1"/>
        <w:rPr>
          <w:rFonts w:ascii="Arial" w:eastAsiaTheme="minorEastAsia" w:hAnsi="Arial" w:cs="Arial"/>
          <w:noProof/>
          <w:sz w:val="22"/>
          <w:szCs w:val="22"/>
          <w:lang w:val="pt-BR" w:eastAsia="pt-BR"/>
        </w:rPr>
      </w:pPr>
      <w:hyperlink w:anchor="_Toc483345018" w:history="1">
        <w:r w:rsidR="00693532" w:rsidRPr="00B8426C">
          <w:rPr>
            <w:rStyle w:val="Hyperlink"/>
            <w:rFonts w:ascii="Arial" w:hAnsi="Arial" w:cs="Arial"/>
            <w:noProof/>
          </w:rPr>
          <w:t>2</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Introdução: inovação, produtividade e crescimento econômico</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_Toc483345018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2</w:t>
        </w:r>
        <w:r w:rsidR="00693532" w:rsidRPr="00B8426C">
          <w:rPr>
            <w:rFonts w:ascii="Arial" w:hAnsi="Arial" w:cs="Arial"/>
            <w:noProof/>
            <w:webHidden/>
          </w:rPr>
          <w:fldChar w:fldCharType="end"/>
        </w:r>
      </w:hyperlink>
    </w:p>
    <w:p w:rsidR="00693532" w:rsidRPr="00B8426C" w:rsidRDefault="005A6555">
      <w:pPr>
        <w:pStyle w:val="TOC2"/>
        <w:rPr>
          <w:rFonts w:ascii="Arial" w:eastAsiaTheme="minorEastAsia" w:hAnsi="Arial" w:cs="Arial"/>
          <w:noProof/>
          <w:sz w:val="22"/>
          <w:szCs w:val="22"/>
          <w:lang w:val="pt-BR" w:eastAsia="pt-BR"/>
        </w:rPr>
      </w:pPr>
      <w:hyperlink w:anchor="_Toc483345019" w:history="1">
        <w:r w:rsidR="00693532" w:rsidRPr="00B8426C">
          <w:rPr>
            <w:rStyle w:val="Hyperlink"/>
            <w:rFonts w:ascii="Arial" w:hAnsi="Arial" w:cs="Arial"/>
            <w:noProof/>
          </w:rPr>
          <w:t>2.1</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Crescimento econômico e inovação: caso brasileiro recente</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_Toc483345019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3</w:t>
        </w:r>
        <w:r w:rsidR="00693532" w:rsidRPr="00B8426C">
          <w:rPr>
            <w:rFonts w:ascii="Arial" w:hAnsi="Arial" w:cs="Arial"/>
            <w:noProof/>
            <w:webHidden/>
          </w:rPr>
          <w:fldChar w:fldCharType="end"/>
        </w:r>
      </w:hyperlink>
    </w:p>
    <w:p w:rsidR="00693532" w:rsidRPr="00B8426C" w:rsidRDefault="005A6555">
      <w:pPr>
        <w:pStyle w:val="TOC1"/>
        <w:rPr>
          <w:rFonts w:ascii="Arial" w:eastAsiaTheme="minorEastAsia" w:hAnsi="Arial" w:cs="Arial"/>
          <w:noProof/>
          <w:sz w:val="22"/>
          <w:szCs w:val="22"/>
          <w:lang w:val="pt-BR" w:eastAsia="pt-BR"/>
        </w:rPr>
      </w:pPr>
      <w:hyperlink w:anchor="_Toc483345020" w:history="1">
        <w:r w:rsidR="00693532" w:rsidRPr="00B8426C">
          <w:rPr>
            <w:rStyle w:val="Hyperlink"/>
            <w:rFonts w:ascii="Arial" w:hAnsi="Arial" w:cs="Arial"/>
            <w:noProof/>
          </w:rPr>
          <w:t>3</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Componentes do Programa Inovar para Crescer</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_Toc483345020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13</w:t>
        </w:r>
        <w:r w:rsidR="00693532" w:rsidRPr="00B8426C">
          <w:rPr>
            <w:rFonts w:ascii="Arial" w:hAnsi="Arial" w:cs="Arial"/>
            <w:noProof/>
            <w:webHidden/>
          </w:rPr>
          <w:fldChar w:fldCharType="end"/>
        </w:r>
      </w:hyperlink>
    </w:p>
    <w:p w:rsidR="00693532" w:rsidRPr="00B8426C" w:rsidRDefault="005A6555">
      <w:pPr>
        <w:pStyle w:val="TOC1"/>
        <w:rPr>
          <w:rFonts w:ascii="Arial" w:eastAsiaTheme="minorEastAsia" w:hAnsi="Arial" w:cs="Arial"/>
          <w:noProof/>
          <w:sz w:val="22"/>
          <w:szCs w:val="22"/>
          <w:lang w:val="pt-BR" w:eastAsia="pt-BR"/>
        </w:rPr>
      </w:pPr>
      <w:hyperlink w:anchor="_Toc483345021" w:history="1">
        <w:r w:rsidR="00693532" w:rsidRPr="00B8426C">
          <w:rPr>
            <w:rStyle w:val="Hyperlink"/>
            <w:rFonts w:ascii="Arial" w:hAnsi="Arial" w:cs="Arial"/>
            <w:noProof/>
          </w:rPr>
          <w:t>4</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Identificação de Custos e Benefícios</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_Toc483345021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15</w:t>
        </w:r>
        <w:r w:rsidR="00693532" w:rsidRPr="00B8426C">
          <w:rPr>
            <w:rFonts w:ascii="Arial" w:hAnsi="Arial" w:cs="Arial"/>
            <w:noProof/>
            <w:webHidden/>
          </w:rPr>
          <w:fldChar w:fldCharType="end"/>
        </w:r>
      </w:hyperlink>
    </w:p>
    <w:p w:rsidR="00693532" w:rsidRPr="00B8426C" w:rsidRDefault="005A6555">
      <w:pPr>
        <w:pStyle w:val="TOC2"/>
        <w:rPr>
          <w:rFonts w:ascii="Arial" w:eastAsiaTheme="minorEastAsia" w:hAnsi="Arial" w:cs="Arial"/>
          <w:noProof/>
          <w:sz w:val="22"/>
          <w:szCs w:val="22"/>
          <w:lang w:val="pt-BR" w:eastAsia="pt-BR"/>
        </w:rPr>
      </w:pPr>
      <w:hyperlink w:anchor="_Toc483345022" w:history="1">
        <w:r w:rsidR="00693532" w:rsidRPr="00B8426C">
          <w:rPr>
            <w:rStyle w:val="Hyperlink"/>
            <w:rFonts w:ascii="Arial" w:hAnsi="Arial" w:cs="Arial"/>
            <w:noProof/>
          </w:rPr>
          <w:t>4.1</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Identificação de Custos e Benefícios Econômicos</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_Toc483345022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15</w:t>
        </w:r>
        <w:r w:rsidR="00693532" w:rsidRPr="00B8426C">
          <w:rPr>
            <w:rFonts w:ascii="Arial" w:hAnsi="Arial" w:cs="Arial"/>
            <w:noProof/>
            <w:webHidden/>
          </w:rPr>
          <w:fldChar w:fldCharType="end"/>
        </w:r>
      </w:hyperlink>
    </w:p>
    <w:p w:rsidR="00693532" w:rsidRPr="00B8426C" w:rsidRDefault="005A6555">
      <w:pPr>
        <w:pStyle w:val="TOC1"/>
        <w:rPr>
          <w:rFonts w:ascii="Arial" w:eastAsiaTheme="minorEastAsia" w:hAnsi="Arial" w:cs="Arial"/>
          <w:noProof/>
          <w:sz w:val="22"/>
          <w:szCs w:val="22"/>
          <w:lang w:val="pt-BR" w:eastAsia="pt-BR"/>
        </w:rPr>
      </w:pPr>
      <w:hyperlink w:anchor="_Toc483345023" w:history="1">
        <w:r w:rsidR="00693532" w:rsidRPr="00B8426C">
          <w:rPr>
            <w:rStyle w:val="Hyperlink"/>
            <w:rFonts w:ascii="Arial" w:hAnsi="Arial" w:cs="Arial"/>
            <w:noProof/>
          </w:rPr>
          <w:t>5</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Pressupostos e metodologia</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_Toc483345023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18</w:t>
        </w:r>
        <w:r w:rsidR="00693532" w:rsidRPr="00B8426C">
          <w:rPr>
            <w:rFonts w:ascii="Arial" w:hAnsi="Arial" w:cs="Arial"/>
            <w:noProof/>
            <w:webHidden/>
          </w:rPr>
          <w:fldChar w:fldCharType="end"/>
        </w:r>
      </w:hyperlink>
    </w:p>
    <w:p w:rsidR="00693532" w:rsidRPr="00B8426C" w:rsidRDefault="005A6555">
      <w:pPr>
        <w:pStyle w:val="TOC2"/>
        <w:rPr>
          <w:rFonts w:ascii="Arial" w:eastAsiaTheme="minorEastAsia" w:hAnsi="Arial" w:cs="Arial"/>
          <w:noProof/>
          <w:sz w:val="22"/>
          <w:szCs w:val="22"/>
          <w:lang w:val="pt-BR" w:eastAsia="pt-BR"/>
        </w:rPr>
      </w:pPr>
      <w:hyperlink w:anchor="_Toc483345025" w:history="1">
        <w:r w:rsidR="00693532" w:rsidRPr="00B8426C">
          <w:rPr>
            <w:rStyle w:val="Hyperlink"/>
            <w:rFonts w:ascii="Arial" w:hAnsi="Arial" w:cs="Arial"/>
            <w:noProof/>
          </w:rPr>
          <w:t>5.1</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Pressupostos cenário-base</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_Toc483345025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19</w:t>
        </w:r>
        <w:r w:rsidR="00693532" w:rsidRPr="00B8426C">
          <w:rPr>
            <w:rFonts w:ascii="Arial" w:hAnsi="Arial" w:cs="Arial"/>
            <w:noProof/>
            <w:webHidden/>
          </w:rPr>
          <w:fldChar w:fldCharType="end"/>
        </w:r>
      </w:hyperlink>
    </w:p>
    <w:p w:rsidR="00693532" w:rsidRPr="00B8426C" w:rsidRDefault="005A6555">
      <w:pPr>
        <w:pStyle w:val="TOC1"/>
        <w:rPr>
          <w:rFonts w:ascii="Arial" w:eastAsiaTheme="minorEastAsia" w:hAnsi="Arial" w:cs="Arial"/>
          <w:noProof/>
          <w:sz w:val="22"/>
          <w:szCs w:val="22"/>
          <w:lang w:val="pt-BR" w:eastAsia="pt-BR"/>
        </w:rPr>
      </w:pPr>
      <w:hyperlink w:anchor="_Toc483345026" w:history="1">
        <w:r w:rsidR="00693532" w:rsidRPr="00B8426C">
          <w:rPr>
            <w:rStyle w:val="Hyperlink"/>
            <w:rFonts w:ascii="Arial" w:hAnsi="Arial" w:cs="Arial"/>
            <w:noProof/>
          </w:rPr>
          <w:t>6</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Análise Econômica</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_Toc483345026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22</w:t>
        </w:r>
        <w:r w:rsidR="00693532" w:rsidRPr="00B8426C">
          <w:rPr>
            <w:rFonts w:ascii="Arial" w:hAnsi="Arial" w:cs="Arial"/>
            <w:noProof/>
            <w:webHidden/>
          </w:rPr>
          <w:fldChar w:fldCharType="end"/>
        </w:r>
      </w:hyperlink>
    </w:p>
    <w:p w:rsidR="00693532" w:rsidRPr="00B8426C" w:rsidRDefault="005A6555">
      <w:pPr>
        <w:pStyle w:val="TOC2"/>
        <w:rPr>
          <w:rFonts w:ascii="Arial" w:eastAsiaTheme="minorEastAsia" w:hAnsi="Arial" w:cs="Arial"/>
          <w:noProof/>
          <w:sz w:val="22"/>
          <w:szCs w:val="22"/>
          <w:lang w:val="pt-BR" w:eastAsia="pt-BR"/>
        </w:rPr>
      </w:pPr>
      <w:hyperlink w:anchor="_Toc483345033" w:history="1">
        <w:r w:rsidR="00693532" w:rsidRPr="00B8426C">
          <w:rPr>
            <w:rStyle w:val="Hyperlink"/>
            <w:rFonts w:ascii="Arial" w:hAnsi="Arial" w:cs="Arial"/>
            <w:noProof/>
          </w:rPr>
          <w:t>6.1</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Análises de sensibilidade e de cenário</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_Toc483345033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26</w:t>
        </w:r>
        <w:r w:rsidR="00693532" w:rsidRPr="00B8426C">
          <w:rPr>
            <w:rFonts w:ascii="Arial" w:hAnsi="Arial" w:cs="Arial"/>
            <w:noProof/>
            <w:webHidden/>
          </w:rPr>
          <w:fldChar w:fldCharType="end"/>
        </w:r>
      </w:hyperlink>
    </w:p>
    <w:p w:rsidR="00693532" w:rsidRPr="00B8426C" w:rsidRDefault="005A6555">
      <w:pPr>
        <w:pStyle w:val="TOC1"/>
        <w:rPr>
          <w:rFonts w:ascii="Arial" w:eastAsiaTheme="minorEastAsia" w:hAnsi="Arial" w:cs="Arial"/>
          <w:noProof/>
          <w:sz w:val="22"/>
          <w:szCs w:val="22"/>
          <w:lang w:val="pt-BR" w:eastAsia="pt-BR"/>
        </w:rPr>
      </w:pPr>
      <w:hyperlink w:anchor="_Toc483345034" w:history="1">
        <w:r w:rsidR="00693532" w:rsidRPr="00B8426C">
          <w:rPr>
            <w:rStyle w:val="Hyperlink"/>
            <w:rFonts w:ascii="Arial" w:hAnsi="Arial" w:cs="Arial"/>
            <w:noProof/>
          </w:rPr>
          <w:t>7</w:t>
        </w:r>
        <w:r w:rsidR="00693532" w:rsidRPr="00B8426C">
          <w:rPr>
            <w:rFonts w:ascii="Arial" w:eastAsiaTheme="minorEastAsia" w:hAnsi="Arial" w:cs="Arial"/>
            <w:noProof/>
            <w:sz w:val="22"/>
            <w:szCs w:val="22"/>
            <w:lang w:val="pt-BR" w:eastAsia="pt-BR"/>
          </w:rPr>
          <w:tab/>
        </w:r>
        <w:r w:rsidR="00693532" w:rsidRPr="00B8426C">
          <w:rPr>
            <w:rStyle w:val="Hyperlink"/>
            <w:rFonts w:ascii="Arial" w:hAnsi="Arial" w:cs="Arial"/>
            <w:noProof/>
          </w:rPr>
          <w:t>Referências Bibliográficas</w:t>
        </w:r>
        <w:r w:rsidR="00693532" w:rsidRPr="00B8426C">
          <w:rPr>
            <w:rFonts w:ascii="Arial" w:hAnsi="Arial" w:cs="Arial"/>
            <w:noProof/>
            <w:webHidden/>
          </w:rPr>
          <w:tab/>
        </w:r>
        <w:r w:rsidR="00693532" w:rsidRPr="00B8426C">
          <w:rPr>
            <w:rFonts w:ascii="Arial" w:hAnsi="Arial" w:cs="Arial"/>
            <w:noProof/>
            <w:webHidden/>
          </w:rPr>
          <w:fldChar w:fldCharType="begin"/>
        </w:r>
        <w:r w:rsidR="00693532" w:rsidRPr="00B8426C">
          <w:rPr>
            <w:rFonts w:ascii="Arial" w:hAnsi="Arial" w:cs="Arial"/>
            <w:noProof/>
            <w:webHidden/>
          </w:rPr>
          <w:instrText xml:space="preserve"> PAGEREF _Toc483345034 \h </w:instrText>
        </w:r>
        <w:r w:rsidR="00693532" w:rsidRPr="00B8426C">
          <w:rPr>
            <w:rFonts w:ascii="Arial" w:hAnsi="Arial" w:cs="Arial"/>
            <w:noProof/>
            <w:webHidden/>
          </w:rPr>
        </w:r>
        <w:r w:rsidR="00693532" w:rsidRPr="00B8426C">
          <w:rPr>
            <w:rFonts w:ascii="Arial" w:hAnsi="Arial" w:cs="Arial"/>
            <w:noProof/>
            <w:webHidden/>
          </w:rPr>
          <w:fldChar w:fldCharType="separate"/>
        </w:r>
        <w:r w:rsidR="00693532" w:rsidRPr="00B8426C">
          <w:rPr>
            <w:rFonts w:ascii="Arial" w:hAnsi="Arial" w:cs="Arial"/>
            <w:noProof/>
            <w:webHidden/>
          </w:rPr>
          <w:t>30</w:t>
        </w:r>
        <w:r w:rsidR="00693532" w:rsidRPr="00B8426C">
          <w:rPr>
            <w:rFonts w:ascii="Arial" w:hAnsi="Arial" w:cs="Arial"/>
            <w:noProof/>
            <w:webHidden/>
          </w:rPr>
          <w:fldChar w:fldCharType="end"/>
        </w:r>
      </w:hyperlink>
    </w:p>
    <w:p w:rsidR="00E3460B" w:rsidRPr="00B8426C" w:rsidRDefault="00E3460B" w:rsidP="00E3460B">
      <w:pPr>
        <w:pStyle w:val="ListParagraph"/>
        <w:spacing w:before="120" w:line="360" w:lineRule="auto"/>
        <w:ind w:left="0"/>
        <w:rPr>
          <w:rFonts w:ascii="Arial" w:hAnsi="Arial" w:cs="Arial"/>
          <w:b/>
          <w:szCs w:val="24"/>
        </w:rPr>
      </w:pPr>
      <w:r w:rsidRPr="00B8426C">
        <w:rPr>
          <w:rFonts w:ascii="Arial" w:hAnsi="Arial" w:cs="Arial"/>
          <w:b/>
          <w:szCs w:val="24"/>
        </w:rPr>
        <w:fldChar w:fldCharType="end"/>
      </w:r>
    </w:p>
    <w:p w:rsidR="00E3460B" w:rsidRPr="00B8426C" w:rsidRDefault="00E3460B" w:rsidP="00E3460B">
      <w:pPr>
        <w:pStyle w:val="ListParagraph"/>
        <w:spacing w:before="120"/>
        <w:ind w:left="1080"/>
        <w:rPr>
          <w:rFonts w:ascii="Arial" w:hAnsi="Arial" w:cs="Arial"/>
          <w:b/>
          <w:szCs w:val="24"/>
        </w:rPr>
      </w:pPr>
    </w:p>
    <w:p w:rsidR="00E3460B" w:rsidRPr="00B8426C" w:rsidRDefault="00E3460B" w:rsidP="00E3460B">
      <w:pPr>
        <w:pStyle w:val="ListParagraph"/>
        <w:spacing w:before="120"/>
        <w:ind w:left="1080"/>
        <w:rPr>
          <w:rFonts w:ascii="Arial" w:hAnsi="Arial" w:cs="Arial"/>
          <w:b/>
          <w:szCs w:val="24"/>
        </w:rPr>
      </w:pPr>
    </w:p>
    <w:p w:rsidR="00E3460B" w:rsidRPr="00B8426C" w:rsidRDefault="00E3460B" w:rsidP="00E3460B">
      <w:pPr>
        <w:pStyle w:val="ListParagraph"/>
        <w:spacing w:before="120"/>
        <w:ind w:left="1080"/>
        <w:rPr>
          <w:rFonts w:ascii="Arial" w:hAnsi="Arial" w:cs="Arial"/>
          <w:b/>
          <w:szCs w:val="24"/>
        </w:rPr>
      </w:pPr>
    </w:p>
    <w:p w:rsidR="00E3460B" w:rsidRPr="00B8426C" w:rsidRDefault="00E3460B" w:rsidP="001147E1">
      <w:pPr>
        <w:pStyle w:val="Heading1"/>
        <w:numPr>
          <w:ilvl w:val="0"/>
          <w:numId w:val="2"/>
        </w:numPr>
        <w:spacing w:before="0" w:after="0"/>
        <w:rPr>
          <w:rFonts w:cs="Arial"/>
          <w:b w:val="0"/>
        </w:rPr>
        <w:sectPr w:rsidR="00E3460B" w:rsidRPr="00B8426C" w:rsidSect="00E3460B">
          <w:pgSz w:w="11906" w:h="16838" w:code="9"/>
          <w:pgMar w:top="1417" w:right="1701" w:bottom="1417" w:left="1701" w:header="708" w:footer="708" w:gutter="0"/>
          <w:pgNumType w:start="1"/>
          <w:cols w:space="720"/>
          <w:docGrid w:linePitch="326"/>
        </w:sectPr>
      </w:pPr>
    </w:p>
    <w:p w:rsidR="00901980" w:rsidRPr="00B8426C" w:rsidRDefault="00E0727D" w:rsidP="001147E1">
      <w:pPr>
        <w:pStyle w:val="Heading1"/>
        <w:numPr>
          <w:ilvl w:val="0"/>
          <w:numId w:val="2"/>
        </w:numPr>
        <w:spacing w:before="0" w:after="0"/>
        <w:rPr>
          <w:rFonts w:cs="Arial"/>
          <w:sz w:val="24"/>
          <w:szCs w:val="24"/>
        </w:rPr>
      </w:pPr>
      <w:bookmarkStart w:id="0" w:name="_Toc483345017"/>
      <w:r w:rsidRPr="00B8426C">
        <w:rPr>
          <w:rFonts w:cs="Arial"/>
          <w:sz w:val="24"/>
          <w:szCs w:val="24"/>
        </w:rPr>
        <w:t>Sumário Executivo</w:t>
      </w:r>
      <w:bookmarkEnd w:id="0"/>
    </w:p>
    <w:p w:rsidR="001F4E13" w:rsidRPr="00B8426C" w:rsidRDefault="001F4E13" w:rsidP="001F4E13">
      <w:pPr>
        <w:rPr>
          <w:rFonts w:ascii="Arial" w:hAnsi="Arial" w:cs="Arial"/>
          <w:sz w:val="22"/>
          <w:szCs w:val="22"/>
        </w:rPr>
      </w:pPr>
    </w:p>
    <w:p w:rsidR="00146A75" w:rsidRPr="00B8426C" w:rsidRDefault="001F4E13"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A Financiadora de Estudos e Projetos (</w:t>
      </w:r>
      <w:r w:rsidR="00D72E4D">
        <w:rPr>
          <w:rFonts w:ascii="Arial" w:hAnsi="Arial" w:cs="Arial"/>
          <w:szCs w:val="24"/>
        </w:rPr>
        <w:t>Finep</w:t>
      </w:r>
      <w:r w:rsidRPr="00B8426C">
        <w:rPr>
          <w:rFonts w:ascii="Arial" w:hAnsi="Arial" w:cs="Arial"/>
          <w:szCs w:val="24"/>
        </w:rPr>
        <w:t xml:space="preserve">) solicitou apoio financeiro do BID para desenhar o projeto Inovar para Crescer em função dos seguintes desafios enfrentados pela </w:t>
      </w:r>
      <w:r w:rsidR="00D72E4D">
        <w:rPr>
          <w:rFonts w:ascii="Arial" w:hAnsi="Arial" w:cs="Arial"/>
          <w:szCs w:val="24"/>
        </w:rPr>
        <w:t>Finep</w:t>
      </w:r>
      <w:r w:rsidRPr="00B8426C">
        <w:rPr>
          <w:rFonts w:ascii="Arial" w:hAnsi="Arial" w:cs="Arial"/>
          <w:szCs w:val="24"/>
        </w:rPr>
        <w:t xml:space="preserve"> para a promoção da inovação no Brasil: (i) reverter a vulnerabilidade externa nos segmentos intensivos em tecnologia; (ii) estimular a implantação de atividades contínuas de P&amp;D nas empresas; (iii) elevar a competitividade da empresa brasileira; (iv) apoiar a inserção de empresas inovadoras em mercados globais; (v) estimular a participação do capital privado em inovação; (vi) estruturar competências para liderança futura em setores estratégicos para a economia; e, (vii) estimular a adoção de procedimentos que promovam a sustentabilidade. O projeto Inovar para Crescer buscará financiar: (i) inovação em setores estratégicos; (ii) apoio a inovação descentralizada e focalizada em empresas de menor porte; (iii) financiamento de empreendedores tecnológicos em estágio inicial; e, (iv) financiamento de inovação social e modernização institucional.</w:t>
      </w:r>
    </w:p>
    <w:p w:rsidR="00607FC3" w:rsidRPr="00B8426C" w:rsidRDefault="001F4E13"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O objetivo do presente relatório é apresentar a avaliação econômica do projeto sobre a base dos resultados econômicos diferenciais incrementais (comparação da situação com e sem projeto) de modo que os resultados do desenvolvimento possam ser demonstrados ao fim das intervenções previstas pelo Programa</w:t>
      </w:r>
      <w:r w:rsidR="00607FC3" w:rsidRPr="00B8426C">
        <w:rPr>
          <w:rFonts w:ascii="Arial" w:hAnsi="Arial" w:cs="Arial"/>
          <w:szCs w:val="24"/>
        </w:rPr>
        <w:t>.</w:t>
      </w:r>
    </w:p>
    <w:p w:rsidR="00044264" w:rsidRPr="00B8426C" w:rsidRDefault="00607FC3"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A fim de alcançar es</w:t>
      </w:r>
      <w:r w:rsidR="00985BB4" w:rsidRPr="00B8426C">
        <w:rPr>
          <w:rFonts w:ascii="Arial" w:hAnsi="Arial" w:cs="Arial"/>
          <w:szCs w:val="24"/>
        </w:rPr>
        <w:t>t</w:t>
      </w:r>
      <w:r w:rsidRPr="00B8426C">
        <w:rPr>
          <w:rFonts w:ascii="Arial" w:hAnsi="Arial" w:cs="Arial"/>
          <w:szCs w:val="24"/>
        </w:rPr>
        <w:t xml:space="preserve">e objetivo, por meio da literatura </w:t>
      </w:r>
      <w:r w:rsidR="00044264" w:rsidRPr="00B8426C">
        <w:rPr>
          <w:rFonts w:ascii="Arial" w:hAnsi="Arial" w:cs="Arial"/>
          <w:szCs w:val="24"/>
        </w:rPr>
        <w:t xml:space="preserve">econômica </w:t>
      </w:r>
      <w:r w:rsidRPr="00B8426C">
        <w:rPr>
          <w:rFonts w:ascii="Arial" w:hAnsi="Arial" w:cs="Arial"/>
          <w:szCs w:val="24"/>
        </w:rPr>
        <w:t xml:space="preserve">e dos </w:t>
      </w:r>
      <w:r w:rsidR="00044264" w:rsidRPr="00B8426C">
        <w:rPr>
          <w:rFonts w:ascii="Arial" w:hAnsi="Arial" w:cs="Arial"/>
          <w:szCs w:val="24"/>
        </w:rPr>
        <w:t xml:space="preserve">indicadores </w:t>
      </w:r>
      <w:r w:rsidR="00985BB4" w:rsidRPr="00B8426C">
        <w:rPr>
          <w:rFonts w:ascii="Arial" w:hAnsi="Arial" w:cs="Arial"/>
          <w:szCs w:val="24"/>
        </w:rPr>
        <w:t xml:space="preserve">e dados </w:t>
      </w:r>
      <w:r w:rsidRPr="00B8426C">
        <w:rPr>
          <w:rFonts w:ascii="Arial" w:hAnsi="Arial" w:cs="Arial"/>
          <w:szCs w:val="24"/>
        </w:rPr>
        <w:t xml:space="preserve">disponíveis, </w:t>
      </w:r>
      <w:r w:rsidR="00044264" w:rsidRPr="00B8426C">
        <w:rPr>
          <w:rFonts w:ascii="Arial" w:hAnsi="Arial" w:cs="Arial"/>
          <w:szCs w:val="24"/>
        </w:rPr>
        <w:t>apresentados</w:t>
      </w:r>
      <w:r w:rsidRPr="00B8426C">
        <w:rPr>
          <w:rFonts w:ascii="Arial" w:hAnsi="Arial" w:cs="Arial"/>
          <w:szCs w:val="24"/>
        </w:rPr>
        <w:t xml:space="preserve"> nas próximas seções, </w:t>
      </w:r>
      <w:r w:rsidR="00044264" w:rsidRPr="00B8426C">
        <w:rPr>
          <w:rFonts w:ascii="Arial" w:hAnsi="Arial" w:cs="Arial"/>
          <w:szCs w:val="24"/>
        </w:rPr>
        <w:t xml:space="preserve">estabeleceu-se uma metodologia de análise que foi aplicada aos componentes do programa, segundo cronograma de desembolsos planejado pela equipe técnica do BID e da </w:t>
      </w:r>
      <w:r w:rsidR="00D72E4D">
        <w:rPr>
          <w:rFonts w:ascii="Arial" w:hAnsi="Arial" w:cs="Arial"/>
          <w:szCs w:val="24"/>
        </w:rPr>
        <w:t>Finep.</w:t>
      </w:r>
      <w:bookmarkStart w:id="1" w:name="_GoBack"/>
      <w:bookmarkEnd w:id="1"/>
    </w:p>
    <w:p w:rsidR="008158C2" w:rsidRPr="00B8426C" w:rsidRDefault="008158C2"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A metodologia consiste em precificar os benefícios econômicos por meio da elasticidade da receita de vendas por trabalhador em relação ao investimento em Pesquisa, Desenvolvimento e Inovação (PDI) por trabalhador, estimada a partir de dados de projetos de inovação realizados entre 2012 e 2015 por empresas apoiadas pela </w:t>
      </w:r>
      <w:r w:rsidR="00D72E4D">
        <w:rPr>
          <w:rFonts w:ascii="Arial" w:hAnsi="Arial" w:cs="Arial"/>
          <w:szCs w:val="24"/>
        </w:rPr>
        <w:t>FINEP</w:t>
      </w:r>
      <w:r w:rsidRPr="00B8426C">
        <w:rPr>
          <w:rFonts w:ascii="Arial" w:hAnsi="Arial" w:cs="Arial"/>
          <w:szCs w:val="24"/>
        </w:rPr>
        <w:t xml:space="preserve">, para setores prioritários quando possível. As elasticidades foram aplicadas à receita de vendas por trabalhador, como proxy da produtividade do trabalho, produzindo estimativas de benefícios incrementais devidos ao programa, projetados pelos anos de maturação (três anos) e de vida útil (5 anos) para cada desembolso anual projetado, em função do número de beneficiários planejados. </w:t>
      </w:r>
    </w:p>
    <w:p w:rsidR="00044264" w:rsidRPr="00B8426C" w:rsidRDefault="00044264"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Os resultados, em síntese, apontam</w:t>
      </w:r>
      <w:r w:rsidR="00AC5988" w:rsidRPr="00B8426C">
        <w:rPr>
          <w:rFonts w:ascii="Arial" w:hAnsi="Arial" w:cs="Arial"/>
          <w:szCs w:val="24"/>
        </w:rPr>
        <w:t xml:space="preserve"> viabilidade econômica com uma taxa interna de retorno social de </w:t>
      </w:r>
      <w:r w:rsidR="00C56168" w:rsidRPr="00B8426C">
        <w:rPr>
          <w:rFonts w:ascii="Arial" w:hAnsi="Arial" w:cs="Arial"/>
          <w:szCs w:val="24"/>
        </w:rPr>
        <w:t>24,3</w:t>
      </w:r>
      <w:r w:rsidR="00AC5988" w:rsidRPr="00B8426C">
        <w:rPr>
          <w:rFonts w:ascii="Arial" w:hAnsi="Arial" w:cs="Arial"/>
          <w:szCs w:val="24"/>
        </w:rPr>
        <w:t>% para o pro</w:t>
      </w:r>
      <w:r w:rsidR="00DE1F65" w:rsidRPr="00B8426C">
        <w:rPr>
          <w:rFonts w:ascii="Arial" w:hAnsi="Arial" w:cs="Arial"/>
          <w:szCs w:val="24"/>
        </w:rPr>
        <w:t>grama</w:t>
      </w:r>
      <w:r w:rsidR="00AC5988" w:rsidRPr="00B8426C">
        <w:rPr>
          <w:rFonts w:ascii="Arial" w:hAnsi="Arial" w:cs="Arial"/>
          <w:szCs w:val="24"/>
        </w:rPr>
        <w:t xml:space="preserve"> como um todo</w:t>
      </w:r>
      <w:r w:rsidR="0065547A" w:rsidRPr="00B8426C">
        <w:rPr>
          <w:rFonts w:ascii="Arial" w:hAnsi="Arial" w:cs="Arial"/>
          <w:szCs w:val="24"/>
        </w:rPr>
        <w:t xml:space="preserve">, para um cenário-base bastante conservador, que sequer contabilizou externalidades positivas clássicas, tais como </w:t>
      </w:r>
      <w:r w:rsidR="0065547A" w:rsidRPr="00B8426C">
        <w:rPr>
          <w:rFonts w:ascii="Arial" w:hAnsi="Arial" w:cs="Arial"/>
          <w:i/>
          <w:szCs w:val="24"/>
        </w:rPr>
        <w:t>spillover</w:t>
      </w:r>
      <w:r w:rsidR="0065547A" w:rsidRPr="00B8426C">
        <w:rPr>
          <w:rFonts w:ascii="Arial" w:hAnsi="Arial" w:cs="Arial"/>
          <w:szCs w:val="24"/>
        </w:rPr>
        <w:t xml:space="preserve"> e sequestro de carbono</w:t>
      </w:r>
      <w:r w:rsidR="00AC5988" w:rsidRPr="00B8426C">
        <w:rPr>
          <w:rFonts w:ascii="Arial" w:hAnsi="Arial" w:cs="Arial"/>
          <w:szCs w:val="24"/>
        </w:rPr>
        <w:t xml:space="preserve">. Os parâmetros sensibilizados </w:t>
      </w:r>
      <w:r w:rsidR="001479FE" w:rsidRPr="00B8426C">
        <w:rPr>
          <w:rFonts w:ascii="Arial" w:hAnsi="Arial" w:cs="Arial"/>
          <w:szCs w:val="24"/>
        </w:rPr>
        <w:t>individualmente mostraram a robustez do</w:t>
      </w:r>
      <w:r w:rsidR="00910DAD" w:rsidRPr="00B8426C">
        <w:rPr>
          <w:rFonts w:ascii="Arial" w:hAnsi="Arial" w:cs="Arial"/>
          <w:szCs w:val="24"/>
        </w:rPr>
        <w:t>s</w:t>
      </w:r>
      <w:r w:rsidR="001479FE" w:rsidRPr="00B8426C">
        <w:rPr>
          <w:rFonts w:ascii="Arial" w:hAnsi="Arial" w:cs="Arial"/>
          <w:szCs w:val="24"/>
        </w:rPr>
        <w:t xml:space="preserve"> resultado</w:t>
      </w:r>
      <w:r w:rsidR="00910DAD" w:rsidRPr="00B8426C">
        <w:rPr>
          <w:rFonts w:ascii="Arial" w:hAnsi="Arial" w:cs="Arial"/>
          <w:szCs w:val="24"/>
        </w:rPr>
        <w:t>s</w:t>
      </w:r>
      <w:r w:rsidR="001479FE" w:rsidRPr="00B8426C">
        <w:rPr>
          <w:rFonts w:ascii="Arial" w:hAnsi="Arial" w:cs="Arial"/>
          <w:szCs w:val="24"/>
        </w:rPr>
        <w:t>,</w:t>
      </w:r>
      <w:r w:rsidR="00DE1F65" w:rsidRPr="00B8426C">
        <w:rPr>
          <w:rFonts w:ascii="Arial" w:hAnsi="Arial" w:cs="Arial"/>
          <w:szCs w:val="24"/>
        </w:rPr>
        <w:t xml:space="preserve"> sendo que os </w:t>
      </w:r>
      <w:r w:rsidR="00DD3DF2" w:rsidRPr="00B8426C">
        <w:rPr>
          <w:rFonts w:ascii="Arial" w:hAnsi="Arial" w:cs="Arial"/>
          <w:szCs w:val="24"/>
        </w:rPr>
        <w:t>com maior impacto sobre as variações do VPL são: o crescimento da proporção de investimento em inovação/vendas de empresas beneficiárias de setores estratégicos (componente 1); e a taxa de crescimento esperada do PIB.(afeta a todos os componentes)</w:t>
      </w:r>
      <w:r w:rsidR="00910DAD" w:rsidRPr="00B8426C">
        <w:rPr>
          <w:rFonts w:ascii="Arial" w:hAnsi="Arial" w:cs="Arial"/>
          <w:szCs w:val="24"/>
        </w:rPr>
        <w:t>.</w:t>
      </w:r>
      <w:r w:rsidR="00DD3DF2" w:rsidRPr="00B8426C">
        <w:rPr>
          <w:rFonts w:ascii="Arial" w:hAnsi="Arial" w:cs="Arial"/>
          <w:szCs w:val="24"/>
        </w:rPr>
        <w:t xml:space="preserve"> A análise de cenários, em que todos os parâmetros são alterados simultaneamente (o que é altamente improvável, tanto para o cenário pessimista quanto para o otimista) indica que as chances de </w:t>
      </w:r>
      <w:r w:rsidR="00C56168" w:rsidRPr="00B8426C">
        <w:rPr>
          <w:rFonts w:ascii="Arial" w:hAnsi="Arial" w:cs="Arial"/>
          <w:szCs w:val="24"/>
        </w:rPr>
        <w:t>que o VPL seja negativo são de 5,67</w:t>
      </w:r>
      <w:r w:rsidR="00DD3DF2" w:rsidRPr="00B8426C">
        <w:rPr>
          <w:rFonts w:ascii="Arial" w:hAnsi="Arial" w:cs="Arial"/>
          <w:szCs w:val="24"/>
        </w:rPr>
        <w:t>% apenas.</w:t>
      </w:r>
    </w:p>
    <w:p w:rsidR="00044264" w:rsidRPr="00B8426C" w:rsidRDefault="00044264" w:rsidP="00AC5988">
      <w:pPr>
        <w:pStyle w:val="ListParagraph"/>
        <w:spacing w:before="120" w:after="120"/>
        <w:ind w:left="454"/>
        <w:contextualSpacing w:val="0"/>
        <w:jc w:val="both"/>
        <w:rPr>
          <w:rFonts w:ascii="Arial" w:hAnsi="Arial" w:cs="Arial"/>
          <w:szCs w:val="24"/>
        </w:rPr>
      </w:pPr>
    </w:p>
    <w:p w:rsidR="009E1542" w:rsidRPr="00B8426C" w:rsidRDefault="009E1542"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br w:type="page"/>
      </w:r>
    </w:p>
    <w:p w:rsidR="00E3460B" w:rsidRPr="00B8426C" w:rsidRDefault="00E3460B" w:rsidP="001147E1">
      <w:pPr>
        <w:pStyle w:val="Heading1"/>
        <w:numPr>
          <w:ilvl w:val="0"/>
          <w:numId w:val="2"/>
        </w:numPr>
        <w:spacing w:before="0" w:after="0"/>
        <w:rPr>
          <w:rFonts w:cs="Arial"/>
          <w:sz w:val="24"/>
          <w:szCs w:val="24"/>
        </w:rPr>
      </w:pPr>
      <w:bookmarkStart w:id="2" w:name="_Toc483345018"/>
      <w:r w:rsidRPr="00B8426C">
        <w:rPr>
          <w:rFonts w:cs="Arial"/>
          <w:sz w:val="24"/>
          <w:szCs w:val="24"/>
        </w:rPr>
        <w:t>Introdução</w:t>
      </w:r>
      <w:r w:rsidR="00CA6ED5" w:rsidRPr="00B8426C">
        <w:rPr>
          <w:rFonts w:cs="Arial"/>
          <w:sz w:val="24"/>
          <w:szCs w:val="24"/>
        </w:rPr>
        <w:t xml:space="preserve">: </w:t>
      </w:r>
      <w:r w:rsidR="005571DF" w:rsidRPr="00B8426C">
        <w:rPr>
          <w:rFonts w:cs="Arial"/>
          <w:sz w:val="24"/>
          <w:szCs w:val="24"/>
        </w:rPr>
        <w:t xml:space="preserve">inovação, </w:t>
      </w:r>
      <w:r w:rsidR="00CA6ED5" w:rsidRPr="00B8426C">
        <w:rPr>
          <w:rFonts w:cs="Arial"/>
          <w:sz w:val="24"/>
          <w:szCs w:val="24"/>
        </w:rPr>
        <w:t xml:space="preserve">produtividade e crescimento </w:t>
      </w:r>
      <w:r w:rsidR="00995B09" w:rsidRPr="00B8426C">
        <w:rPr>
          <w:rFonts w:cs="Arial"/>
          <w:sz w:val="24"/>
          <w:szCs w:val="24"/>
        </w:rPr>
        <w:t>econômico</w:t>
      </w:r>
      <w:bookmarkEnd w:id="2"/>
    </w:p>
    <w:p w:rsidR="00E3460B" w:rsidRPr="00B8426C" w:rsidRDefault="00E3460B" w:rsidP="00146A75">
      <w:pPr>
        <w:pStyle w:val="ListParagraph"/>
        <w:spacing w:before="120" w:after="120"/>
        <w:ind w:left="454"/>
        <w:contextualSpacing w:val="0"/>
        <w:jc w:val="both"/>
        <w:rPr>
          <w:rFonts w:ascii="Arial" w:hAnsi="Arial" w:cs="Arial"/>
          <w:szCs w:val="24"/>
        </w:rPr>
      </w:pPr>
    </w:p>
    <w:p w:rsidR="00FB2926" w:rsidRPr="00B8426C" w:rsidRDefault="00995B09"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Os fatores fundamentais que propiciam o c</w:t>
      </w:r>
      <w:r w:rsidR="00480487" w:rsidRPr="00B8426C">
        <w:rPr>
          <w:rFonts w:ascii="Arial" w:hAnsi="Arial" w:cs="Arial"/>
          <w:szCs w:val="24"/>
        </w:rPr>
        <w:t xml:space="preserve">rescimento econômico sustentável </w:t>
      </w:r>
      <w:r w:rsidR="0088591A" w:rsidRPr="00B8426C">
        <w:rPr>
          <w:rFonts w:ascii="Arial" w:hAnsi="Arial" w:cs="Arial"/>
          <w:szCs w:val="24"/>
        </w:rPr>
        <w:t xml:space="preserve">e que diferenciam as trajetórias de crescimento entre países </w:t>
      </w:r>
      <w:r w:rsidR="00480487" w:rsidRPr="00B8426C">
        <w:rPr>
          <w:rFonts w:ascii="Arial" w:hAnsi="Arial" w:cs="Arial"/>
          <w:szCs w:val="24"/>
        </w:rPr>
        <w:t xml:space="preserve">é tema </w:t>
      </w:r>
      <w:r w:rsidR="0088591A" w:rsidRPr="00B8426C">
        <w:rPr>
          <w:rFonts w:ascii="Arial" w:hAnsi="Arial" w:cs="Arial"/>
          <w:szCs w:val="24"/>
        </w:rPr>
        <w:t xml:space="preserve">recorrente na literatura econômica teórica e empírica. Em períodos de recessão profunda e de elevado desemprego, como atualmente no Brasil, </w:t>
      </w:r>
      <w:r w:rsidR="000D16A5" w:rsidRPr="00B8426C">
        <w:rPr>
          <w:rFonts w:ascii="Arial" w:hAnsi="Arial" w:cs="Arial"/>
          <w:szCs w:val="24"/>
        </w:rPr>
        <w:t>o tema</w:t>
      </w:r>
      <w:r w:rsidR="0088591A" w:rsidRPr="00B8426C">
        <w:rPr>
          <w:rFonts w:ascii="Arial" w:hAnsi="Arial" w:cs="Arial"/>
          <w:szCs w:val="24"/>
        </w:rPr>
        <w:t xml:space="preserve"> alcança a grande mídia e as redes sociais e passa para o debate público, acirrando discussões sobre políticas públicas e prioridades </w:t>
      </w:r>
      <w:r w:rsidR="00FB2926" w:rsidRPr="00B8426C">
        <w:rPr>
          <w:rFonts w:ascii="Arial" w:hAnsi="Arial" w:cs="Arial"/>
          <w:szCs w:val="24"/>
        </w:rPr>
        <w:t xml:space="preserve">orçamentárias, bem como sobre os papeis do investimento público e privados que possam estimular o crescimento econômico. </w:t>
      </w:r>
    </w:p>
    <w:p w:rsidR="007C00A2" w:rsidRPr="00B8426C" w:rsidRDefault="00BF542B"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Do ponto de vista conceitual, </w:t>
      </w:r>
      <w:r w:rsidR="00BA15D0" w:rsidRPr="00B8426C">
        <w:rPr>
          <w:rFonts w:ascii="Arial" w:hAnsi="Arial" w:cs="Arial"/>
          <w:szCs w:val="24"/>
        </w:rPr>
        <w:t>um resultado fundamental d</w:t>
      </w:r>
      <w:r w:rsidRPr="00B8426C">
        <w:rPr>
          <w:rFonts w:ascii="Arial" w:hAnsi="Arial" w:cs="Arial"/>
          <w:szCs w:val="24"/>
        </w:rPr>
        <w:t xml:space="preserve">o modelo de crescimento econômico neoclássico </w:t>
      </w:r>
      <w:r w:rsidRPr="00B8426C">
        <w:rPr>
          <w:rFonts w:ascii="Arial" w:hAnsi="Arial" w:cs="Arial"/>
          <w:szCs w:val="24"/>
        </w:rPr>
        <w:fldChar w:fldCharType="begin" w:fldLock="1"/>
      </w:r>
      <w:r w:rsidRPr="00B8426C">
        <w:rPr>
          <w:rFonts w:ascii="Arial" w:hAnsi="Arial" w:cs="Arial"/>
          <w:szCs w:val="24"/>
        </w:rPr>
        <w:instrText>ADDIN CSL_CITATION { "citationItems" : [ { "id" : "ITEM-1", "itemData" : { "author" : [ { "dropping-particle" : "", "family" : "Solow", "given" : "R M", "non-dropping-particle" : "", "parse-names" : false, "suffix" : "" } ], "container-title" : "The Quarterly Journal of Econometrics", "id" : "ITEM-1", "issued" : { "date-parts" : [ [ "1956" ] ] }, "page" : "65-94", "title" : "A contribution to the theory of economic growth", "type" : "article-journal", "volume" : "70" }, "uris" : [ "http://www.mendeley.com/documents/?uuid=e9312dfe-03f5-4f38-9d7e-afbde607763d" ] } ], "mendeley" : { "formattedCitation" : "(SOLOW, 1956)", "plainTextFormattedCitation" : "(SOLOW, 1956)", "previouslyFormattedCitation" : "(SOLOW, 1956)" }, "properties" : { "noteIndex" : 0 }, "schema" : "https://github.com/citation-style-language/schema/raw/master/csl-citation.json" }</w:instrText>
      </w:r>
      <w:r w:rsidRPr="00B8426C">
        <w:rPr>
          <w:rFonts w:ascii="Arial" w:hAnsi="Arial" w:cs="Arial"/>
          <w:szCs w:val="24"/>
        </w:rPr>
        <w:fldChar w:fldCharType="separate"/>
      </w:r>
      <w:r w:rsidRPr="00B8426C">
        <w:rPr>
          <w:rFonts w:ascii="Arial" w:hAnsi="Arial" w:cs="Arial"/>
          <w:noProof/>
          <w:szCs w:val="24"/>
        </w:rPr>
        <w:t>(SOLOW, 1956)</w:t>
      </w:r>
      <w:r w:rsidRPr="00B8426C">
        <w:rPr>
          <w:rFonts w:ascii="Arial" w:hAnsi="Arial" w:cs="Arial"/>
          <w:szCs w:val="24"/>
        </w:rPr>
        <w:fldChar w:fldCharType="end"/>
      </w:r>
      <w:r w:rsidR="00BA15D0" w:rsidRPr="00B8426C">
        <w:rPr>
          <w:rFonts w:ascii="Arial" w:hAnsi="Arial" w:cs="Arial"/>
          <w:szCs w:val="24"/>
        </w:rPr>
        <w:t xml:space="preserve"> </w:t>
      </w:r>
      <w:r w:rsidR="000D16A5" w:rsidRPr="00B8426C">
        <w:rPr>
          <w:rFonts w:ascii="Arial" w:hAnsi="Arial" w:cs="Arial"/>
          <w:szCs w:val="24"/>
        </w:rPr>
        <w:t>é</w:t>
      </w:r>
      <w:r w:rsidR="00BA15D0" w:rsidRPr="00B8426C">
        <w:rPr>
          <w:rFonts w:ascii="Arial" w:hAnsi="Arial" w:cs="Arial"/>
          <w:szCs w:val="24"/>
        </w:rPr>
        <w:t xml:space="preserve"> que o crescimento de longo prazo não pode ser sustentado apenas por acumulação de capital. Tal perspectiva foi desafiada pelos modelos mais recentes de crescimento endógeno </w:t>
      </w:r>
      <w:r w:rsidR="00BA15D0" w:rsidRPr="00B8426C">
        <w:rPr>
          <w:rFonts w:ascii="Arial" w:hAnsi="Arial" w:cs="Arial"/>
          <w:szCs w:val="24"/>
        </w:rPr>
        <w:fldChar w:fldCharType="begin" w:fldLock="1"/>
      </w:r>
      <w:r w:rsidR="00A32126" w:rsidRPr="00B8426C">
        <w:rPr>
          <w:rFonts w:ascii="Arial" w:hAnsi="Arial" w:cs="Arial"/>
          <w:szCs w:val="24"/>
        </w:rPr>
        <w:instrText>ADDIN CSL_CITATION { "citationItems" : [ { "id" : "ITEM-1", "itemData" : { "author" : [ { "dropping-particle" : "", "family" : "Romer", "given" : "P.M.", "non-dropping-particle" : "", "parse-names" : false, "suffix" : "" } ], "container-title" : "Journal of Political Economy", "id" : "ITEM-1", "issued" : { "date-parts" : [ [ "1986" ] ] }, "page" : "1002-37", "title" : "Increasing returns and long-run growth", "type" : "article-journal", "volume" : "95" }, "uris" : [ "http://www.mendeley.com/documents/?uuid=0025441f-711f-4ddb-bb09-de3abb480641" ] } ], "mendeley" : { "formattedCitation" : "(ROMER, 1986)", "plainTextFormattedCitation" : "(ROMER, 1986)", "previouslyFormattedCitation" : "(ROMER, 1986)" }, "properties" : { "noteIndex" : 0 }, "schema" : "https://github.com/citation-style-language/schema/raw/master/csl-citation.json" }</w:instrText>
      </w:r>
      <w:r w:rsidR="00BA15D0" w:rsidRPr="00B8426C">
        <w:rPr>
          <w:rFonts w:ascii="Arial" w:hAnsi="Arial" w:cs="Arial"/>
          <w:szCs w:val="24"/>
        </w:rPr>
        <w:fldChar w:fldCharType="separate"/>
      </w:r>
      <w:r w:rsidR="00BA15D0" w:rsidRPr="00B8426C">
        <w:rPr>
          <w:rFonts w:ascii="Arial" w:hAnsi="Arial" w:cs="Arial"/>
          <w:noProof/>
          <w:szCs w:val="24"/>
        </w:rPr>
        <w:t>(ROMER, 1986)</w:t>
      </w:r>
      <w:r w:rsidR="00BA15D0" w:rsidRPr="00B8426C">
        <w:rPr>
          <w:rFonts w:ascii="Arial" w:hAnsi="Arial" w:cs="Arial"/>
          <w:szCs w:val="24"/>
        </w:rPr>
        <w:fldChar w:fldCharType="end"/>
      </w:r>
      <w:r w:rsidR="0045306E" w:rsidRPr="00B8426C">
        <w:rPr>
          <w:rFonts w:ascii="Arial" w:hAnsi="Arial" w:cs="Arial"/>
          <w:szCs w:val="24"/>
        </w:rPr>
        <w:t xml:space="preserve">, em que </w:t>
      </w:r>
      <w:r w:rsidR="001349FD" w:rsidRPr="00B8426C">
        <w:rPr>
          <w:rFonts w:ascii="Arial" w:hAnsi="Arial" w:cs="Arial"/>
          <w:szCs w:val="24"/>
        </w:rPr>
        <w:t>o crescimento da produtividade</w:t>
      </w:r>
      <w:r w:rsidR="00E66440" w:rsidRPr="00B8426C">
        <w:rPr>
          <w:rFonts w:ascii="Arial" w:hAnsi="Arial" w:cs="Arial"/>
          <w:szCs w:val="24"/>
        </w:rPr>
        <w:t xml:space="preserve"> aumentada do trabalho</w:t>
      </w:r>
      <w:r w:rsidR="001349FD" w:rsidRPr="00B8426C">
        <w:rPr>
          <w:rFonts w:ascii="Arial" w:hAnsi="Arial" w:cs="Arial"/>
          <w:szCs w:val="24"/>
        </w:rPr>
        <w:t xml:space="preserve"> é funcionalm</w:t>
      </w:r>
      <w:r w:rsidR="00CD3792" w:rsidRPr="00B8426C">
        <w:rPr>
          <w:rFonts w:ascii="Arial" w:hAnsi="Arial" w:cs="Arial"/>
          <w:szCs w:val="24"/>
        </w:rPr>
        <w:t>ente dependente do crescimento d</w:t>
      </w:r>
      <w:r w:rsidR="001349FD" w:rsidRPr="00B8426C">
        <w:rPr>
          <w:rFonts w:ascii="Arial" w:hAnsi="Arial" w:cs="Arial"/>
          <w:szCs w:val="24"/>
        </w:rPr>
        <w:t>o capital, por meio de “</w:t>
      </w:r>
      <w:r w:rsidR="001349FD" w:rsidRPr="00B8426C">
        <w:rPr>
          <w:rFonts w:ascii="Arial" w:hAnsi="Arial" w:cs="Arial"/>
          <w:i/>
          <w:szCs w:val="24"/>
        </w:rPr>
        <w:t>learning by doing</w:t>
      </w:r>
      <w:r w:rsidR="001349FD" w:rsidRPr="00B8426C">
        <w:rPr>
          <w:rFonts w:ascii="Arial" w:hAnsi="Arial" w:cs="Arial"/>
          <w:szCs w:val="24"/>
        </w:rPr>
        <w:t xml:space="preserve">” e de efeitos de transbordamentos de tecnologia (externalidades positivas), de tal forma que um aumento na taxa de investimento em capital físico pode também sustentar um aumento permanente no crescimento da produtividade e, então, na taxa de crescimento da economia. </w:t>
      </w:r>
      <w:r w:rsidR="00CD3792" w:rsidRPr="00B8426C">
        <w:rPr>
          <w:rFonts w:ascii="Arial" w:hAnsi="Arial" w:cs="Arial"/>
          <w:szCs w:val="24"/>
        </w:rPr>
        <w:t xml:space="preserve">Buscando melhor compreensão dos fatores que explicam as divergências entre países desenvolvidos e subdensenvolvidos, os modelos de crescimento têm evoluído no sentido de </w:t>
      </w:r>
      <w:r w:rsidR="00A32126" w:rsidRPr="00B8426C">
        <w:rPr>
          <w:rFonts w:ascii="Arial" w:hAnsi="Arial" w:cs="Arial"/>
          <w:szCs w:val="24"/>
        </w:rPr>
        <w:t>combinarem elementos da teoria S</w:t>
      </w:r>
      <w:r w:rsidR="000D16A5" w:rsidRPr="00B8426C">
        <w:rPr>
          <w:rFonts w:ascii="Arial" w:hAnsi="Arial" w:cs="Arial"/>
          <w:szCs w:val="24"/>
        </w:rPr>
        <w:t>c</w:t>
      </w:r>
      <w:r w:rsidR="00A32126" w:rsidRPr="00B8426C">
        <w:rPr>
          <w:rFonts w:ascii="Arial" w:hAnsi="Arial" w:cs="Arial"/>
          <w:szCs w:val="24"/>
        </w:rPr>
        <w:t>humpeteriana, destacando o papel de inovaç</w:t>
      </w:r>
      <w:r w:rsidR="009C1FE9" w:rsidRPr="00B8426C">
        <w:rPr>
          <w:rFonts w:ascii="Arial" w:hAnsi="Arial" w:cs="Arial"/>
          <w:szCs w:val="24"/>
        </w:rPr>
        <w:t>ões</w:t>
      </w:r>
      <w:r w:rsidR="009C1FE9" w:rsidRPr="00B8426C">
        <w:rPr>
          <w:rFonts w:ascii="Arial" w:hAnsi="Arial" w:cs="Arial"/>
          <w:vertAlign w:val="superscript"/>
        </w:rPr>
        <w:footnoteReference w:id="1"/>
      </w:r>
      <w:r w:rsidR="009C1FE9" w:rsidRPr="00B8426C">
        <w:rPr>
          <w:rFonts w:ascii="Arial" w:hAnsi="Arial" w:cs="Arial"/>
          <w:szCs w:val="24"/>
        </w:rPr>
        <w:t xml:space="preserve"> </w:t>
      </w:r>
      <w:r w:rsidR="00A32126" w:rsidRPr="00B8426C">
        <w:rPr>
          <w:rFonts w:ascii="Arial" w:hAnsi="Arial" w:cs="Arial"/>
          <w:szCs w:val="24"/>
        </w:rPr>
        <w:t>no processo de acumulação de capital e seus efeitos sobre o crescimento da produtividade</w:t>
      </w:r>
      <w:r w:rsidR="000D16A5" w:rsidRPr="00B8426C">
        <w:rPr>
          <w:rFonts w:ascii="Arial" w:hAnsi="Arial" w:cs="Arial"/>
          <w:szCs w:val="24"/>
        </w:rPr>
        <w:t xml:space="preserve"> do trabalho  </w:t>
      </w:r>
      <w:r w:rsidR="00A32126" w:rsidRPr="00B8426C">
        <w:rPr>
          <w:rFonts w:ascii="Arial" w:hAnsi="Arial" w:cs="Arial"/>
          <w:szCs w:val="24"/>
        </w:rPr>
        <w:fldChar w:fldCharType="begin" w:fldLock="1"/>
      </w:r>
      <w:r w:rsidR="00465C9D" w:rsidRPr="00B8426C">
        <w:rPr>
          <w:rFonts w:ascii="Arial" w:hAnsi="Arial" w:cs="Arial"/>
          <w:szCs w:val="24"/>
        </w:rPr>
        <w:instrText>ADDIN CSL_CITATION { "citationItems" : [ { "id" : "ITEM-1", "itemData" : { "DOI" : "10.1023/A:1009769717601", "ISBN" : "13814338", "ISSN" : "13814338", "abstract" : "We study capital accumulation and innovation as determinants of long-run growth by adding capital to our earlier model of creative destruction. No special functional forms are imposed on the aggregate production function. The equations describing perfect foresight equilibrium are identical to those of the augmented Ramsey-Cass-Koopmans model, except that the rate of technological change is a function of the stock of capital per effective worker. Contrary to previous models, a subsidy to capital accumulation will raise the long-run growth rate. The key assumption is that capital is used in R and D. Some evidence is presented on the capital intensity of R and D.", "author" : [ { "dropping-particle" : "", "family" : "Howitt", "given" : "Peter", "non-dropping-particle" : "", "parse-names" : false, "suffix" : "" }, { "dropping-particle" : "", "family" : "Aghion", "given" : "Philippe", "non-dropping-particle" : "", "parse-names" : false, "suffix" : "" } ], "container-title" : "Journal of Economic Growth", "id" : "ITEM-1", "issue" : "2", "issued" : { "date-parts" : [ [ "1998" ] ] }, "page" : "111-130", "title" : "Capital accumulation and innovation as complementary factors in long-run growth", "type" : "article-journal", "volume" : "3" }, "uris" : [ "http://www.mendeley.com/documents/?uuid=fb9c73d9-4897-47fc-8775-8a0685157cd3" ] } ], "mendeley" : { "formattedCitation" : "(HOWITT; AGHION, 1998)", "plainTextFormattedCitation" : "(HOWITT; AGHION, 1998)", "previouslyFormattedCitation" : "(HOWITT; AGHION, 1998)" }, "properties" : { "noteIndex" : 0 }, "schema" : "https://github.com/citation-style-language/schema/raw/master/csl-citation.json" }</w:instrText>
      </w:r>
      <w:r w:rsidR="00A32126" w:rsidRPr="00B8426C">
        <w:rPr>
          <w:rFonts w:ascii="Arial" w:hAnsi="Arial" w:cs="Arial"/>
          <w:szCs w:val="24"/>
        </w:rPr>
        <w:fldChar w:fldCharType="separate"/>
      </w:r>
      <w:r w:rsidR="00A32126" w:rsidRPr="00B8426C">
        <w:rPr>
          <w:rFonts w:ascii="Arial" w:hAnsi="Arial" w:cs="Arial"/>
          <w:noProof/>
          <w:szCs w:val="24"/>
        </w:rPr>
        <w:t>(HOWITT; AGHION, 1998)</w:t>
      </w:r>
      <w:r w:rsidR="00A32126" w:rsidRPr="00B8426C">
        <w:rPr>
          <w:rFonts w:ascii="Arial" w:hAnsi="Arial" w:cs="Arial"/>
          <w:szCs w:val="24"/>
        </w:rPr>
        <w:fldChar w:fldCharType="end"/>
      </w:r>
      <w:r w:rsidR="00E66440" w:rsidRPr="00B8426C">
        <w:rPr>
          <w:rFonts w:ascii="Arial" w:hAnsi="Arial" w:cs="Arial"/>
          <w:szCs w:val="24"/>
        </w:rPr>
        <w:t>.</w:t>
      </w:r>
    </w:p>
    <w:p w:rsidR="00664E0C" w:rsidRPr="00B8426C" w:rsidRDefault="00641FBC"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A adoção de novas tecnologias frequentemente sofre a oposição daqueles que </w:t>
      </w:r>
      <w:r w:rsidR="001346F8" w:rsidRPr="00B8426C">
        <w:rPr>
          <w:rFonts w:ascii="Arial" w:hAnsi="Arial" w:cs="Arial"/>
          <w:szCs w:val="24"/>
        </w:rPr>
        <w:t xml:space="preserve">inicialmente </w:t>
      </w:r>
      <w:r w:rsidRPr="00B8426C">
        <w:rPr>
          <w:rFonts w:ascii="Arial" w:hAnsi="Arial" w:cs="Arial"/>
          <w:szCs w:val="24"/>
        </w:rPr>
        <w:t>perderiam a partir da sua introdução</w:t>
      </w:r>
      <w:r w:rsidR="001346F8" w:rsidRPr="00B8426C">
        <w:rPr>
          <w:rFonts w:ascii="Arial" w:hAnsi="Arial" w:cs="Arial"/>
          <w:szCs w:val="24"/>
        </w:rPr>
        <w:t>, tais como a reação de trabalhadores contra a adoção de tecnologias poupadoras de mão-de-obra e firmas que tentam antecipar inovações de rivais</w:t>
      </w:r>
      <w:r w:rsidR="00664E0C" w:rsidRPr="00B8426C">
        <w:rPr>
          <w:rFonts w:ascii="Arial" w:hAnsi="Arial" w:cs="Arial"/>
          <w:szCs w:val="24"/>
        </w:rPr>
        <w:t xml:space="preserve">, porém muito dessa oposição se dá na esfera política. Esses possíveis </w:t>
      </w:r>
      <w:r w:rsidR="00664E0C" w:rsidRPr="00B8426C">
        <w:rPr>
          <w:rFonts w:ascii="Arial" w:hAnsi="Arial" w:cs="Arial"/>
          <w:i/>
          <w:szCs w:val="24"/>
        </w:rPr>
        <w:t>tradeoffs</w:t>
      </w:r>
      <w:r w:rsidR="00664E0C" w:rsidRPr="00B8426C">
        <w:rPr>
          <w:rFonts w:ascii="Arial" w:hAnsi="Arial" w:cs="Arial"/>
          <w:szCs w:val="24"/>
        </w:rPr>
        <w:t xml:space="preserve"> econômicos só poderiam ser endereçados num contexto de complexos modelos de equilíbrio geral, com hipóteses simplificadoras bastante restritivas a fim de torná-los tratáveis e,</w:t>
      </w:r>
      <w:r w:rsidR="00AE118E" w:rsidRPr="00B8426C">
        <w:rPr>
          <w:rFonts w:ascii="Arial" w:hAnsi="Arial" w:cs="Arial"/>
          <w:szCs w:val="24"/>
        </w:rPr>
        <w:t xml:space="preserve"> em geral, são abstraídos da </w:t>
      </w:r>
      <w:r w:rsidR="00664E0C" w:rsidRPr="00B8426C">
        <w:rPr>
          <w:rFonts w:ascii="Arial" w:hAnsi="Arial" w:cs="Arial"/>
          <w:szCs w:val="24"/>
        </w:rPr>
        <w:t>análise</w:t>
      </w:r>
      <w:r w:rsidR="00AE118E" w:rsidRPr="00B8426C">
        <w:rPr>
          <w:rFonts w:ascii="Arial" w:hAnsi="Arial" w:cs="Arial"/>
          <w:szCs w:val="24"/>
        </w:rPr>
        <w:t xml:space="preserve"> empírica</w:t>
      </w:r>
      <w:r w:rsidR="00664E0C" w:rsidRPr="00B8426C">
        <w:rPr>
          <w:rFonts w:ascii="Arial" w:hAnsi="Arial" w:cs="Arial"/>
          <w:szCs w:val="24"/>
        </w:rPr>
        <w:t>.</w:t>
      </w:r>
    </w:p>
    <w:p w:rsidR="00925A43" w:rsidRPr="00B8426C" w:rsidRDefault="00925A43"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As evidências empíricas mostram que os países industrializados líderes do mundo </w:t>
      </w:r>
      <w:r w:rsidR="001D6CA3" w:rsidRPr="00B8426C">
        <w:rPr>
          <w:rFonts w:ascii="Arial" w:hAnsi="Arial" w:cs="Arial"/>
          <w:szCs w:val="24"/>
        </w:rPr>
        <w:t xml:space="preserve">investem quantias consideráveis em Pesquisa &amp; Desenvolvimento (P&amp;D, ou R&amp;D, do inglês) com o objetivo de gerar inovações. </w:t>
      </w:r>
      <w:r w:rsidR="00CB7364" w:rsidRPr="00B8426C">
        <w:rPr>
          <w:rFonts w:ascii="Arial" w:hAnsi="Arial" w:cs="Arial"/>
          <w:szCs w:val="24"/>
        </w:rPr>
        <w:t xml:space="preserve">Como exemplos: </w:t>
      </w:r>
      <w:r w:rsidR="001D6CA3" w:rsidRPr="00B8426C">
        <w:rPr>
          <w:rFonts w:ascii="Arial" w:hAnsi="Arial" w:cs="Arial"/>
          <w:szCs w:val="24"/>
        </w:rPr>
        <w:t>os Estados Unidos da América (EUA), tais gastos foram de 2,2 a 2,9 por cento do GDP a cada ano de 1957 a 2004</w:t>
      </w:r>
      <w:r w:rsidR="00CB7364" w:rsidRPr="00B8426C">
        <w:rPr>
          <w:rFonts w:ascii="Arial" w:hAnsi="Arial" w:cs="Arial"/>
          <w:szCs w:val="24"/>
        </w:rPr>
        <w:t xml:space="preserve">; em 1996, 73% do gasto em P&amp;D do mundo </w:t>
      </w:r>
      <w:r w:rsidR="00AE118E" w:rsidRPr="00B8426C">
        <w:rPr>
          <w:rFonts w:ascii="Arial" w:hAnsi="Arial" w:cs="Arial"/>
          <w:szCs w:val="24"/>
        </w:rPr>
        <w:t>foram</w:t>
      </w:r>
      <w:r w:rsidR="00CB7364" w:rsidRPr="00B8426C">
        <w:rPr>
          <w:rFonts w:ascii="Arial" w:hAnsi="Arial" w:cs="Arial"/>
          <w:szCs w:val="24"/>
        </w:rPr>
        <w:t xml:space="preserve"> </w:t>
      </w:r>
      <w:r w:rsidR="00AE118E" w:rsidRPr="00B8426C">
        <w:rPr>
          <w:rFonts w:ascii="Arial" w:hAnsi="Arial" w:cs="Arial"/>
          <w:szCs w:val="24"/>
        </w:rPr>
        <w:t>realizados</w:t>
      </w:r>
      <w:r w:rsidR="00CB7364" w:rsidRPr="00B8426C">
        <w:rPr>
          <w:rFonts w:ascii="Arial" w:hAnsi="Arial" w:cs="Arial"/>
          <w:szCs w:val="24"/>
        </w:rPr>
        <w:t xml:space="preserve"> por apenas cinco países, EUA, Japão, Alemanha, França e Reino Unido, nesta ordem decrescente. Na maior parte dos países, os avanços tecnológicos decorrem da implementação de inovações já desenvolvidas em outros lugares, ainda assim há custos envolviment</w:t>
      </w:r>
      <w:r w:rsidR="00C7063E" w:rsidRPr="00B8426C">
        <w:rPr>
          <w:rFonts w:ascii="Arial" w:hAnsi="Arial" w:cs="Arial"/>
          <w:szCs w:val="24"/>
        </w:rPr>
        <w:t>os nesse processo decorrentes do fato de</w:t>
      </w:r>
      <w:r w:rsidR="00CB7364" w:rsidRPr="00B8426C">
        <w:rPr>
          <w:rFonts w:ascii="Arial" w:hAnsi="Arial" w:cs="Arial"/>
          <w:szCs w:val="24"/>
        </w:rPr>
        <w:t xml:space="preserve"> que tecnologias são dependentes do contexto e do conhecimento tecnológico local</w:t>
      </w:r>
      <w:r w:rsidR="00C7063E" w:rsidRPr="00B8426C">
        <w:rPr>
          <w:rFonts w:ascii="Arial" w:hAnsi="Arial" w:cs="Arial"/>
          <w:szCs w:val="24"/>
        </w:rPr>
        <w:t>, assim, tanto o processo de implementação quanto de desenvolvimento de inovações possuem os benefícios associados à elevação da produtividade</w:t>
      </w:r>
      <w:r w:rsidR="008E6A30" w:rsidRPr="00B8426C">
        <w:rPr>
          <w:rFonts w:ascii="Arial" w:hAnsi="Arial" w:cs="Arial"/>
          <w:szCs w:val="24"/>
        </w:rPr>
        <w:t xml:space="preserve"> e devem ser alvos de políticas públicas, enquanto países em que as firmas não são induzidas a fazer tais investimentos ficarão estagnados. No entanto, transferência de tecnologia por meio de gastos em implementação</w:t>
      </w:r>
      <w:r w:rsidR="008D39CE" w:rsidRPr="00B8426C">
        <w:rPr>
          <w:rFonts w:ascii="Arial" w:hAnsi="Arial" w:cs="Arial"/>
          <w:szCs w:val="24"/>
        </w:rPr>
        <w:t xml:space="preserve"> não </w:t>
      </w:r>
      <w:r w:rsidR="00BD0E7D" w:rsidRPr="00B8426C">
        <w:rPr>
          <w:rFonts w:ascii="Arial" w:hAnsi="Arial" w:cs="Arial"/>
          <w:szCs w:val="24"/>
        </w:rPr>
        <w:t>é suf</w:t>
      </w:r>
      <w:r w:rsidR="008D39CE" w:rsidRPr="00B8426C">
        <w:rPr>
          <w:rFonts w:ascii="Arial" w:hAnsi="Arial" w:cs="Arial"/>
          <w:szCs w:val="24"/>
        </w:rPr>
        <w:t xml:space="preserve">iciente para que países em desenvolvimento convirjam, no longo prazo, às taxas de crescimento dos desenvolvidos, uma vez que </w:t>
      </w:r>
      <w:r w:rsidR="00BD0E7D" w:rsidRPr="00B8426C">
        <w:rPr>
          <w:rFonts w:ascii="Arial" w:hAnsi="Arial" w:cs="Arial"/>
          <w:szCs w:val="24"/>
        </w:rPr>
        <w:t>as inovações alcançadas nos últimos não necessariamente são apropriadas para as condições dos países mais pobres que as implementam e porque as restrições financeiras pode impedi-los de investir a níveis necessários para acompanhar a fronteira</w:t>
      </w:r>
      <w:r w:rsidR="008E6A30" w:rsidRPr="00B8426C">
        <w:rPr>
          <w:rFonts w:ascii="Arial" w:hAnsi="Arial" w:cs="Arial"/>
          <w:szCs w:val="24"/>
        </w:rPr>
        <w:t xml:space="preserve"> </w:t>
      </w:r>
      <w:r w:rsidR="008E6A30" w:rsidRPr="00B8426C">
        <w:rPr>
          <w:rFonts w:ascii="Arial" w:hAnsi="Arial" w:cs="Arial"/>
          <w:szCs w:val="24"/>
        </w:rPr>
        <w:fldChar w:fldCharType="begin" w:fldLock="1"/>
      </w:r>
      <w:r w:rsidR="00F17EEA" w:rsidRPr="00B8426C">
        <w:rPr>
          <w:rFonts w:ascii="Arial" w:hAnsi="Arial" w:cs="Arial"/>
          <w:szCs w:val="24"/>
        </w:rPr>
        <w:instrText>ADDIN CSL_CITATION { "citationItems" : [ { "id" : "ITEM-1", "itemData" : { "DOI" : "10.1057/9780230226203.0432", "author" : [ { "dropping-particle" : "", "family" : "Howitt", "given" : "Peter", "non-dropping-particle" : "", "parse-names" : false, "suffix" : "" }, { "dropping-particle" : "", "family" : "Weil", "given" : "David N", "non-dropping-particle" : "", "parse-names" : false, "suffix" : "" } ], "container-title" : "The New Palgrave Dictionary of Economics", "editor" : [ { "dropping-particle" : "", "family" : "Durlauf", "given" : "Steven N", "non-dropping-particle" : "", "parse-names" : false, "suffix" : "" }, { "dropping-particle" : "", "family" : "Blume", "given" : "Lawrence E", "non-dropping-particle" : "", "parse-names" : false, "suffix" : "" } ], "id" : "ITEM-1", "issued" : { "date-parts" : [ [ "2008" ] ] }, "note" : "From Duplicate 2 (economic growth - Howitt, Peter; Weil, David N)\n\nFrom Duplicate 1 ( economic growth - Howitt, Peter; Weil, David N )\n", "publisher" : "Palgrave Macmillan", "publisher-place" : "Basingstoke", "title" : "economic growth", "type" : "chapter" }, "uris" : [ "http://www.mendeley.com/documents/?uuid=456705b9-d78d-49c6-b1ab-7868a2c3fe50" ] } ], "mendeley" : { "formattedCitation" : "(HOWITT; WEIL, 2008)", "plainTextFormattedCitation" : "(HOWITT; WEIL, 2008)", "previouslyFormattedCitation" : "(HOWITT; WEIL, 2008)" }, "properties" : { "noteIndex" : 0 }, "schema" : "https://github.com/citation-style-language/schema/raw/master/csl-citation.json" }</w:instrText>
      </w:r>
      <w:r w:rsidR="008E6A30" w:rsidRPr="00B8426C">
        <w:rPr>
          <w:rFonts w:ascii="Arial" w:hAnsi="Arial" w:cs="Arial"/>
          <w:szCs w:val="24"/>
        </w:rPr>
        <w:fldChar w:fldCharType="separate"/>
      </w:r>
      <w:r w:rsidR="008E6A30" w:rsidRPr="00B8426C">
        <w:rPr>
          <w:rFonts w:ascii="Arial" w:hAnsi="Arial" w:cs="Arial"/>
          <w:noProof/>
          <w:szCs w:val="24"/>
        </w:rPr>
        <w:t>(HOWITT; WEIL, 2008)</w:t>
      </w:r>
      <w:r w:rsidR="008E6A30" w:rsidRPr="00B8426C">
        <w:rPr>
          <w:rFonts w:ascii="Arial" w:hAnsi="Arial" w:cs="Arial"/>
          <w:szCs w:val="24"/>
        </w:rPr>
        <w:fldChar w:fldCharType="end"/>
      </w:r>
      <w:r w:rsidR="008E6A30" w:rsidRPr="00B8426C">
        <w:rPr>
          <w:rFonts w:ascii="Arial" w:hAnsi="Arial" w:cs="Arial"/>
          <w:szCs w:val="24"/>
        </w:rPr>
        <w:t>.</w:t>
      </w:r>
    </w:p>
    <w:p w:rsidR="00A96182" w:rsidRPr="00B8426C" w:rsidRDefault="00B17AA6"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Outro fator relevante para a compreensão de diferenças em crescimento econômico entre países pode estar no grau de eficiência</w:t>
      </w:r>
      <w:r w:rsidR="0053061B" w:rsidRPr="00B8426C">
        <w:rPr>
          <w:rFonts w:ascii="Arial" w:hAnsi="Arial" w:cs="Arial"/>
          <w:szCs w:val="24"/>
        </w:rPr>
        <w:t xml:space="preserve"> em que a implementação da tecnologia é realizada: recursos econômicos podem ser mal alocados devido a vários fatores, como resultado, por exemplo, de sistemas tributários </w:t>
      </w:r>
      <w:r w:rsidR="004714B5" w:rsidRPr="00B8426C">
        <w:rPr>
          <w:rFonts w:ascii="Arial" w:hAnsi="Arial" w:cs="Arial"/>
          <w:szCs w:val="24"/>
        </w:rPr>
        <w:t>que produzem mais distorções</w:t>
      </w:r>
      <w:r w:rsidR="0053061B" w:rsidRPr="00B8426C">
        <w:rPr>
          <w:rFonts w:ascii="Arial" w:hAnsi="Arial" w:cs="Arial"/>
          <w:szCs w:val="24"/>
        </w:rPr>
        <w:t>, subsídios direcionados por fatores políticos, competição im</w:t>
      </w:r>
      <w:r w:rsidR="000073DD" w:rsidRPr="00B8426C">
        <w:rPr>
          <w:rFonts w:ascii="Arial" w:hAnsi="Arial" w:cs="Arial"/>
          <w:szCs w:val="24"/>
        </w:rPr>
        <w:t>perfeita, entre outros</w:t>
      </w:r>
      <w:r w:rsidR="0053061B" w:rsidRPr="00B8426C">
        <w:rPr>
          <w:rFonts w:ascii="Arial" w:hAnsi="Arial" w:cs="Arial"/>
          <w:szCs w:val="24"/>
        </w:rPr>
        <w:t>, que causam discrepâncias entre as taxas marginais de substituição dos recursos</w:t>
      </w:r>
      <w:r w:rsidR="000073DD" w:rsidRPr="00B8426C">
        <w:rPr>
          <w:rFonts w:ascii="Arial" w:hAnsi="Arial" w:cs="Arial"/>
          <w:szCs w:val="24"/>
        </w:rPr>
        <w:t xml:space="preserve"> e podem diminuir os efeitos das inovações sobre a produtividade marginal.</w:t>
      </w:r>
      <w:r w:rsidR="00557390" w:rsidRPr="00B8426C">
        <w:rPr>
          <w:rFonts w:ascii="Arial" w:hAnsi="Arial" w:cs="Arial"/>
          <w:szCs w:val="24"/>
        </w:rPr>
        <w:t xml:space="preserve"> </w:t>
      </w:r>
    </w:p>
    <w:p w:rsidR="00A96182" w:rsidRPr="00B8426C" w:rsidRDefault="00A96182" w:rsidP="004714B5">
      <w:pPr>
        <w:pStyle w:val="ListParagraph"/>
        <w:spacing w:before="120" w:after="120"/>
        <w:ind w:left="454"/>
        <w:contextualSpacing w:val="0"/>
        <w:jc w:val="both"/>
        <w:rPr>
          <w:rFonts w:ascii="Arial" w:hAnsi="Arial" w:cs="Arial"/>
          <w:szCs w:val="24"/>
        </w:rPr>
      </w:pPr>
    </w:p>
    <w:p w:rsidR="00B17AA6" w:rsidRPr="00B8426C" w:rsidRDefault="00B3580B" w:rsidP="001147E1">
      <w:pPr>
        <w:pStyle w:val="Heading2"/>
        <w:numPr>
          <w:ilvl w:val="0"/>
          <w:numId w:val="3"/>
        </w:numPr>
        <w:rPr>
          <w:rFonts w:cs="Arial"/>
        </w:rPr>
      </w:pPr>
      <w:bookmarkStart w:id="3" w:name="_Toc483345019"/>
      <w:r w:rsidRPr="00B8426C">
        <w:rPr>
          <w:rFonts w:cs="Arial"/>
        </w:rPr>
        <w:t>Cr</w:t>
      </w:r>
      <w:r w:rsidR="00346550" w:rsidRPr="00B8426C">
        <w:rPr>
          <w:rFonts w:cs="Arial"/>
        </w:rPr>
        <w:t xml:space="preserve">escimento econômico </w:t>
      </w:r>
      <w:r w:rsidRPr="00B8426C">
        <w:rPr>
          <w:rFonts w:cs="Arial"/>
        </w:rPr>
        <w:t>e inovação</w:t>
      </w:r>
      <w:r w:rsidR="00AC5988" w:rsidRPr="00B8426C">
        <w:rPr>
          <w:rFonts w:cs="Arial"/>
        </w:rPr>
        <w:t>: caso</w:t>
      </w:r>
      <w:r w:rsidR="00B7082C" w:rsidRPr="00B8426C">
        <w:rPr>
          <w:rFonts w:cs="Arial"/>
        </w:rPr>
        <w:t xml:space="preserve"> brasileiro</w:t>
      </w:r>
      <w:r w:rsidR="00AC5988" w:rsidRPr="00B8426C">
        <w:rPr>
          <w:rFonts w:cs="Arial"/>
        </w:rPr>
        <w:t xml:space="preserve"> recente</w:t>
      </w:r>
      <w:bookmarkEnd w:id="3"/>
      <w:r w:rsidR="0053061B" w:rsidRPr="00B8426C">
        <w:rPr>
          <w:rFonts w:cs="Arial"/>
        </w:rPr>
        <w:t xml:space="preserve"> </w:t>
      </w:r>
    </w:p>
    <w:p w:rsidR="00664E0C" w:rsidRPr="00B8426C" w:rsidRDefault="00664E0C" w:rsidP="004714B5">
      <w:pPr>
        <w:pStyle w:val="ListParagraph"/>
        <w:spacing w:before="120" w:after="120"/>
        <w:ind w:left="454"/>
        <w:contextualSpacing w:val="0"/>
        <w:jc w:val="both"/>
        <w:rPr>
          <w:rFonts w:ascii="Arial" w:hAnsi="Arial" w:cs="Arial"/>
          <w:szCs w:val="24"/>
        </w:rPr>
      </w:pPr>
    </w:p>
    <w:p w:rsidR="003C2E13" w:rsidRPr="00B8426C" w:rsidRDefault="007F146C"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Ao longo das cinco últimas décadas, o</w:t>
      </w:r>
      <w:r w:rsidR="00EF05F4" w:rsidRPr="00B8426C">
        <w:rPr>
          <w:rFonts w:ascii="Arial" w:hAnsi="Arial" w:cs="Arial"/>
          <w:szCs w:val="24"/>
        </w:rPr>
        <w:t xml:space="preserve"> crescimento econômico brasileiro car</w:t>
      </w:r>
      <w:r w:rsidRPr="00B8426C">
        <w:rPr>
          <w:rFonts w:ascii="Arial" w:hAnsi="Arial" w:cs="Arial"/>
          <w:szCs w:val="24"/>
        </w:rPr>
        <w:t xml:space="preserve">acteriza-se por movimentos guiados pelo investimento público, desde os programas de desenvolvimento das décadas de sessenta e setenta, que produziram o chamado milagre econômico, até as estratégias mais recentes </w:t>
      </w:r>
      <w:r w:rsidR="009B2B07" w:rsidRPr="00B8426C">
        <w:rPr>
          <w:rFonts w:ascii="Arial" w:hAnsi="Arial" w:cs="Arial"/>
          <w:szCs w:val="24"/>
        </w:rPr>
        <w:t>de estímulo da demanda agregada.</w:t>
      </w:r>
    </w:p>
    <w:p w:rsidR="003C2E13" w:rsidRPr="00B8426C" w:rsidRDefault="003C2E13" w:rsidP="003C2E13">
      <w:pPr>
        <w:spacing w:before="120" w:after="120"/>
        <w:jc w:val="both"/>
        <w:rPr>
          <w:rFonts w:ascii="Arial" w:hAnsi="Arial" w:cs="Arial"/>
          <w:szCs w:val="24"/>
        </w:rPr>
      </w:pPr>
    </w:p>
    <w:p w:rsidR="008B0C47" w:rsidRPr="00B8426C" w:rsidRDefault="008B0C47" w:rsidP="00F82E04">
      <w:pPr>
        <w:spacing w:before="120" w:after="120"/>
        <w:jc w:val="center"/>
        <w:rPr>
          <w:rFonts w:ascii="Arial" w:hAnsi="Arial" w:cs="Arial"/>
          <w:szCs w:val="24"/>
        </w:rPr>
      </w:pPr>
      <w:r w:rsidRPr="00B8426C">
        <w:rPr>
          <w:rFonts w:ascii="Arial" w:hAnsi="Arial" w:cs="Arial"/>
          <w:noProof/>
          <w:lang w:val="en-US"/>
        </w:rPr>
        <w:drawing>
          <wp:inline distT="0" distB="0" distL="0" distR="0" wp14:anchorId="0C6D57AC" wp14:editId="59C90766">
            <wp:extent cx="5732145" cy="3102462"/>
            <wp:effectExtent l="0" t="0" r="20955" b="222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B0C47" w:rsidRPr="00B8426C" w:rsidRDefault="008B0C47" w:rsidP="008B0C47">
      <w:pPr>
        <w:spacing w:before="120" w:after="120"/>
        <w:jc w:val="both"/>
        <w:rPr>
          <w:rFonts w:ascii="Arial" w:hAnsi="Arial" w:cs="Arial"/>
          <w:szCs w:val="24"/>
        </w:rPr>
      </w:pPr>
      <w:r w:rsidRPr="00B8426C">
        <w:rPr>
          <w:rFonts w:ascii="Arial" w:hAnsi="Arial" w:cs="Arial"/>
          <w:b/>
          <w:szCs w:val="24"/>
        </w:rPr>
        <w:t xml:space="preserve">Figura 1: </w:t>
      </w:r>
      <w:r w:rsidRPr="00B8426C">
        <w:rPr>
          <w:rFonts w:ascii="Arial" w:hAnsi="Arial" w:cs="Arial"/>
          <w:szCs w:val="24"/>
        </w:rPr>
        <w:t>Taxa de crescimento do PIB brasileiro (% aa)</w:t>
      </w:r>
      <w:r w:rsidR="00F82E04" w:rsidRPr="00B8426C">
        <w:rPr>
          <w:rFonts w:ascii="Arial" w:hAnsi="Arial" w:cs="Arial"/>
          <w:szCs w:val="24"/>
        </w:rPr>
        <w:t xml:space="preserve"> de 1962 a 2016</w:t>
      </w:r>
    </w:p>
    <w:p w:rsidR="00F82E04" w:rsidRPr="00B8426C" w:rsidRDefault="00F82E04" w:rsidP="008B0C47">
      <w:pPr>
        <w:spacing w:before="120" w:after="120"/>
        <w:jc w:val="both"/>
        <w:rPr>
          <w:rFonts w:ascii="Arial" w:hAnsi="Arial" w:cs="Arial"/>
          <w:b/>
          <w:szCs w:val="24"/>
        </w:rPr>
      </w:pPr>
    </w:p>
    <w:p w:rsidR="006F0C1F" w:rsidRPr="00B8426C" w:rsidRDefault="00135917"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À taxa de crescimento média anual de mais de 8% alcançada na década de setenta, seguiu-se a turbulenta década perdida em que o país sofreu crises de balanço de pagamentos e de hiperinflação, com tentativas sem sucesso de estabilização, finalizando a década de oitenta com uma taxa média de cerca de 3% ao ano, para iniciar os anos noventa com seu pior desempenho anual até hoje, uma queda de 4,35%. </w:t>
      </w:r>
      <w:r w:rsidR="003C2E13" w:rsidRPr="00B8426C">
        <w:rPr>
          <w:rFonts w:ascii="Arial" w:hAnsi="Arial" w:cs="Arial"/>
          <w:szCs w:val="24"/>
        </w:rPr>
        <w:t>A partir dos anos dois mil, as políticas de distribuição de rendas (programas sociais, ganhos reais em salários e aposentadorias alcançados por elevações do salário mínimo, necessários para alcançar os objetivos de redução da pobreza e desigualdade de renda) e de gerenciamento de demanda, acompanhando as benesses de uma expansão nos preços internacionais de commodities que favorece países com este viés exportador, como o Brasil, marcaram fortemente o ciclo de expansão entre 2004 e 2008 com taxa de crescimento anual média de 4,8%.</w:t>
      </w:r>
      <w:r w:rsidR="00DE2BBB" w:rsidRPr="00B8426C">
        <w:rPr>
          <w:rFonts w:ascii="Arial" w:hAnsi="Arial" w:cs="Arial"/>
          <w:szCs w:val="24"/>
        </w:rPr>
        <w:t xml:space="preserve"> Em 2009, os efeitos da crise financeira de 2007-2008 se fez sentir em uma queda do produto de 0,13% em menor escala que nos países desenvolvidos, devido a</w:t>
      </w:r>
      <w:r w:rsidR="00A13D61" w:rsidRPr="00B8426C">
        <w:rPr>
          <w:rFonts w:ascii="Arial" w:hAnsi="Arial" w:cs="Arial"/>
          <w:szCs w:val="24"/>
        </w:rPr>
        <w:t>o aprofundamento das políticas de gerenciamento de demanda</w:t>
      </w:r>
      <w:r w:rsidR="006F0C1F" w:rsidRPr="00B8426C">
        <w:rPr>
          <w:rFonts w:ascii="Arial" w:hAnsi="Arial" w:cs="Arial"/>
          <w:szCs w:val="24"/>
        </w:rPr>
        <w:t xml:space="preserve"> agregada </w:t>
      </w:r>
      <w:r w:rsidR="00A13D61" w:rsidRPr="00B8426C">
        <w:rPr>
          <w:rFonts w:ascii="Arial" w:hAnsi="Arial" w:cs="Arial"/>
          <w:szCs w:val="24"/>
        </w:rPr>
        <w:t>(monetária e fiscal expansionistas</w:t>
      </w:r>
      <w:r w:rsidR="006F0C1F" w:rsidRPr="00B8426C">
        <w:rPr>
          <w:rFonts w:ascii="Arial" w:hAnsi="Arial" w:cs="Arial"/>
          <w:szCs w:val="24"/>
        </w:rPr>
        <w:t>, direcionamento de crédito por meios de bancos públicos, como parte da chamada Nova Matriz Econômica</w:t>
      </w:r>
      <w:r w:rsidR="00A13D61" w:rsidRPr="00B8426C">
        <w:rPr>
          <w:rFonts w:ascii="Arial" w:hAnsi="Arial" w:cs="Arial"/>
          <w:szCs w:val="24"/>
        </w:rPr>
        <w:t>), logrando uma taxa de crescimento média entre 2010 e 2014 de 4%</w:t>
      </w:r>
      <w:r w:rsidR="006F0C1F" w:rsidRPr="00B8426C">
        <w:rPr>
          <w:rFonts w:ascii="Arial" w:hAnsi="Arial" w:cs="Arial"/>
          <w:szCs w:val="24"/>
        </w:rPr>
        <w:t>. P</w:t>
      </w:r>
      <w:r w:rsidR="00A13D61" w:rsidRPr="00B8426C">
        <w:rPr>
          <w:rFonts w:ascii="Arial" w:hAnsi="Arial" w:cs="Arial"/>
          <w:szCs w:val="24"/>
        </w:rPr>
        <w:t xml:space="preserve">orém, como toda política de gerenciamento de demanda, chegou-se a um esgotamento já em 2014, </w:t>
      </w:r>
      <w:r w:rsidR="006F0C1F" w:rsidRPr="00B8426C">
        <w:rPr>
          <w:rFonts w:ascii="Arial" w:hAnsi="Arial" w:cs="Arial"/>
          <w:szCs w:val="24"/>
        </w:rPr>
        <w:t>ano marcado também pelo ciclo político-eleitoral. Com a reeleição da Presidente Dilma Roussef e os desdobramentos das investigações da Lava-Jato, o país passa a viver sua mais profunda recessão em meio a uma crise política sem precedentes.</w:t>
      </w:r>
    </w:p>
    <w:p w:rsidR="001F1D14" w:rsidRPr="00B8426C" w:rsidRDefault="00CA7F41"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A Figura 1 ilustra esses movimentos e também, por meio da média móvel em dez anos, observa-se que em termos de longo prazo a taxa de crescimento brasileira esteja em torno de 3%, sendo que a taxa média de crescimento nos últimos 25 anos, desde 1992, é de 2,6%. </w:t>
      </w:r>
      <w:r w:rsidR="000C5E44" w:rsidRPr="00B8426C">
        <w:rPr>
          <w:rFonts w:ascii="Arial" w:hAnsi="Arial" w:cs="Arial"/>
          <w:szCs w:val="24"/>
        </w:rPr>
        <w:t>As flutuações econômicas são normais em qualquer economia, mas elas pouco ajudam a responder a pergunta fundamental aqui: por que a economia brasileira cresce a taxas tão baixas no longo prazo, quando comparada internacionalmente? Ou seja, para entender esse comportamento, devemos buscar explicações nos elementos destacados na subseção anterior, que são o que afetam a capacidade de produzir, a oferta agregada da economia.</w:t>
      </w:r>
    </w:p>
    <w:p w:rsidR="00AD49CB" w:rsidRPr="00B8426C" w:rsidRDefault="00AD49CB"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Ao longo dos anos 2000, o atendimento da expansão de demanda pode ser alcançado pela elevação da capacidade instalada, não sendo suficiente para estimular a elevação da taxa de investimento como proporção do PIB, que </w:t>
      </w:r>
      <w:r w:rsidR="00EB399C" w:rsidRPr="00B8426C">
        <w:rPr>
          <w:rFonts w:ascii="Arial" w:hAnsi="Arial" w:cs="Arial"/>
          <w:szCs w:val="24"/>
        </w:rPr>
        <w:t>se manteve</w:t>
      </w:r>
      <w:r w:rsidRPr="00B8426C">
        <w:rPr>
          <w:rFonts w:ascii="Arial" w:hAnsi="Arial" w:cs="Arial"/>
          <w:szCs w:val="24"/>
        </w:rPr>
        <w:t xml:space="preserve"> em torno de 18%, como ilustra a figura 2</w:t>
      </w:r>
      <w:r w:rsidR="00664FDD" w:rsidRPr="00B8426C">
        <w:rPr>
          <w:rFonts w:ascii="Arial" w:hAnsi="Arial" w:cs="Arial"/>
          <w:szCs w:val="24"/>
        </w:rPr>
        <w:t xml:space="preserve">, mesmo com a realização de diversos programas governamentais de investimento e aceleração de crescimento (para uma síntese, veja </w:t>
      </w:r>
      <w:r w:rsidR="00664FDD" w:rsidRPr="00B8426C">
        <w:rPr>
          <w:rFonts w:ascii="Arial" w:hAnsi="Arial" w:cs="Arial"/>
          <w:szCs w:val="24"/>
        </w:rPr>
        <w:fldChar w:fldCharType="begin" w:fldLock="1"/>
      </w:r>
      <w:r w:rsidR="009627D9" w:rsidRPr="00B8426C">
        <w:rPr>
          <w:rFonts w:ascii="Arial" w:hAnsi="Arial" w:cs="Arial"/>
          <w:szCs w:val="24"/>
        </w:rPr>
        <w:instrText>ADDIN CSL_CITATION { "citationItems" : [ { "id" : "ITEM-1", "itemData" : { "ISBN" : "9788578112288", "author" : [ { "dropping-particle" : "", "family" : "Negri", "given" : "Fernanda", "non-dropping-particle" : "De", "parse-names" : false, "suffix" : "" }, { "dropping-particle" : "", "family" : "Cavalcante", "given" : "Luiz Ricardo", "non-dropping-particle" : "", "parse-names" : false, "suffix" : "" } ], "id" : "ITEM-1", "issued" : { "date-parts" : [ [ "2014" ] ] }, "number-of-pages" : "445", "publisher" : "Instituto de Pesquisa Econ\u00f4mica Aplicada - IPEA", "title" : "PRODUTIVIDADE NO BRASIL: desempenho e determinantes", "type" : "book", "volume" : "1" }, "uris" : [ "http://www.mendeley.com/documents/?uuid=4800d6ac-84cb-407b-b097-28cbb1c390ba" ] } ], "mendeley" : { "formattedCitation" : "(DE NEGRI; CAVALCANTE, 2014)", "plainTextFormattedCitation" : "(DE NEGRI; CAVALCANTE, 2014)", "previouslyFormattedCitation" : "(DE NEGRI; CAVALCANTE, 2014)" }, "properties" : { "noteIndex" : 0 }, "schema" : "https://github.com/citation-style-language/schema/raw/master/csl-citation.json" }</w:instrText>
      </w:r>
      <w:r w:rsidR="00664FDD" w:rsidRPr="00B8426C">
        <w:rPr>
          <w:rFonts w:ascii="Arial" w:hAnsi="Arial" w:cs="Arial"/>
          <w:szCs w:val="24"/>
        </w:rPr>
        <w:fldChar w:fldCharType="separate"/>
      </w:r>
      <w:r w:rsidR="00664FDD" w:rsidRPr="00B8426C">
        <w:rPr>
          <w:rFonts w:ascii="Arial" w:hAnsi="Arial" w:cs="Arial"/>
          <w:noProof/>
          <w:szCs w:val="24"/>
        </w:rPr>
        <w:t>(DE NEGRI; CAVALCANTE, 2014)</w:t>
      </w:r>
      <w:r w:rsidR="00664FDD" w:rsidRPr="00B8426C">
        <w:rPr>
          <w:rFonts w:ascii="Arial" w:hAnsi="Arial" w:cs="Arial"/>
          <w:szCs w:val="24"/>
        </w:rPr>
        <w:fldChar w:fldCharType="end"/>
      </w:r>
      <w:r w:rsidR="00664FDD" w:rsidRPr="00B8426C">
        <w:rPr>
          <w:rFonts w:ascii="Arial" w:hAnsi="Arial" w:cs="Arial"/>
          <w:szCs w:val="24"/>
        </w:rPr>
        <w:t>, principalmente capítulo 1)</w:t>
      </w:r>
    </w:p>
    <w:p w:rsidR="00AD49CB" w:rsidRPr="00B8426C" w:rsidRDefault="00AD49CB" w:rsidP="005F2E1D">
      <w:pPr>
        <w:spacing w:before="120" w:after="120"/>
        <w:jc w:val="center"/>
        <w:rPr>
          <w:rFonts w:ascii="Arial" w:hAnsi="Arial" w:cs="Arial"/>
          <w:szCs w:val="24"/>
        </w:rPr>
      </w:pPr>
      <w:r w:rsidRPr="00B8426C">
        <w:rPr>
          <w:rFonts w:ascii="Arial" w:hAnsi="Arial" w:cs="Arial"/>
          <w:noProof/>
          <w:lang w:val="en-US"/>
        </w:rPr>
        <w:drawing>
          <wp:inline distT="0" distB="0" distL="0" distR="0" wp14:anchorId="6FB7318E" wp14:editId="61F51875">
            <wp:extent cx="5732145" cy="4252669"/>
            <wp:effectExtent l="0" t="0" r="190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4252669"/>
                    </a:xfrm>
                    <a:prstGeom prst="rect">
                      <a:avLst/>
                    </a:prstGeom>
                    <a:noFill/>
                    <a:ln>
                      <a:noFill/>
                    </a:ln>
                  </pic:spPr>
                </pic:pic>
              </a:graphicData>
            </a:graphic>
          </wp:inline>
        </w:drawing>
      </w:r>
    </w:p>
    <w:p w:rsidR="000C5E44" w:rsidRPr="00B8426C" w:rsidRDefault="00AD49CB" w:rsidP="00254411">
      <w:pPr>
        <w:spacing w:before="120" w:after="120"/>
        <w:jc w:val="both"/>
        <w:rPr>
          <w:rFonts w:ascii="Arial" w:hAnsi="Arial" w:cs="Arial"/>
          <w:szCs w:val="24"/>
        </w:rPr>
      </w:pPr>
      <w:r w:rsidRPr="00B8426C">
        <w:rPr>
          <w:rFonts w:ascii="Arial" w:hAnsi="Arial" w:cs="Arial"/>
          <w:b/>
          <w:szCs w:val="24"/>
        </w:rPr>
        <w:t>Figura 2:</w:t>
      </w:r>
      <w:r w:rsidRPr="00B8426C">
        <w:rPr>
          <w:rFonts w:ascii="Arial" w:hAnsi="Arial" w:cs="Arial"/>
          <w:szCs w:val="24"/>
        </w:rPr>
        <w:t xml:space="preserve"> Taxa de investimento e nível de utilização da capacidade instalada (fonte: </w:t>
      </w:r>
      <w:r w:rsidRPr="00B8426C">
        <w:rPr>
          <w:rFonts w:ascii="Arial" w:hAnsi="Arial" w:cs="Arial"/>
          <w:szCs w:val="24"/>
        </w:rPr>
        <w:fldChar w:fldCharType="begin" w:fldLock="1"/>
      </w:r>
      <w:r w:rsidR="00664FDD" w:rsidRPr="00B8426C">
        <w:rPr>
          <w:rFonts w:ascii="Arial" w:hAnsi="Arial" w:cs="Arial"/>
          <w:szCs w:val="24"/>
        </w:rPr>
        <w:instrText>ADDIN CSL_CITATION { "citationItems" : [ { "id" : "ITEM-1", "itemData" : { "ISBN" : "9788578112288", "author" : [ { "dropping-particle" : "", "family" : "Negri", "given" : "Fernanda", "non-dropping-particle" : "De", "parse-names" : false, "suffix" : "" }, { "dropping-particle" : "", "family" : "Cavalcante", "given" : "Luiz Ricardo", "non-dropping-particle" : "", "parse-names" : false, "suffix" : "" } ], "id" : "ITEM-1", "issued" : { "date-parts" : [ [ "2014" ] ] }, "number-of-pages" : "445", "publisher" : "Instituto de Pesquisa Econ\u00f4mica Aplicada - IPEA", "title" : "PRODUTIVIDADE NO BRASIL: desempenho e determinantes", "type" : "book", "volume" : "1" }, "uris" : [ "http://www.mendeley.com/documents/?uuid=4800d6ac-84cb-407b-b097-28cbb1c390ba" ] } ], "mendeley" : { "formattedCitation" : "(DE NEGRI; CAVALCANTE, 2014)", "plainTextFormattedCitation" : "(DE NEGRI; CAVALCANTE, 2014)", "previouslyFormattedCitation" : "(DE NEGRI; CAVALCANTE, 2014)" }, "properties" : { "noteIndex" : 0 }, "schema" : "https://github.com/citation-style-language/schema/raw/master/csl-citation.json" }</w:instrText>
      </w:r>
      <w:r w:rsidRPr="00B8426C">
        <w:rPr>
          <w:rFonts w:ascii="Arial" w:hAnsi="Arial" w:cs="Arial"/>
          <w:szCs w:val="24"/>
        </w:rPr>
        <w:fldChar w:fldCharType="separate"/>
      </w:r>
      <w:r w:rsidRPr="00B8426C">
        <w:rPr>
          <w:rFonts w:ascii="Arial" w:hAnsi="Arial" w:cs="Arial"/>
          <w:noProof/>
          <w:szCs w:val="24"/>
        </w:rPr>
        <w:t>(DE NEGRI; CAVALCANTE, 2014)</w:t>
      </w:r>
      <w:r w:rsidRPr="00B8426C">
        <w:rPr>
          <w:rFonts w:ascii="Arial" w:hAnsi="Arial" w:cs="Arial"/>
          <w:szCs w:val="24"/>
        </w:rPr>
        <w:fldChar w:fldCharType="end"/>
      </w:r>
      <w:r w:rsidRPr="00B8426C">
        <w:rPr>
          <w:rFonts w:ascii="Arial" w:hAnsi="Arial" w:cs="Arial"/>
          <w:szCs w:val="24"/>
        </w:rPr>
        <w:t>, pág.</w:t>
      </w:r>
      <w:r w:rsidR="00F27B51" w:rsidRPr="00B8426C">
        <w:rPr>
          <w:rFonts w:ascii="Arial" w:hAnsi="Arial" w:cs="Arial"/>
          <w:szCs w:val="24"/>
        </w:rPr>
        <w:t xml:space="preserve"> 21</w:t>
      </w:r>
      <w:r w:rsidR="00B3580B" w:rsidRPr="00B8426C">
        <w:rPr>
          <w:rFonts w:ascii="Arial" w:hAnsi="Arial" w:cs="Arial"/>
          <w:szCs w:val="24"/>
        </w:rPr>
        <w:t>)</w:t>
      </w:r>
    </w:p>
    <w:p w:rsidR="009627D9" w:rsidRPr="00B8426C" w:rsidRDefault="00254411"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w:t>
      </w:r>
      <w:r w:rsidR="009627D9" w:rsidRPr="00B8426C">
        <w:rPr>
          <w:rFonts w:ascii="Arial" w:hAnsi="Arial" w:cs="Arial"/>
          <w:szCs w:val="24"/>
        </w:rPr>
        <w:t>Além da ampliação do estoque de capital, a capacidade de oferta da economia pode crescer por meio do aumento do estoque de mão de obra ocupado na produção</w:t>
      </w:r>
      <w:r w:rsidR="00AE62F9" w:rsidRPr="00B8426C">
        <w:rPr>
          <w:rFonts w:ascii="Arial" w:hAnsi="Arial" w:cs="Arial"/>
          <w:szCs w:val="24"/>
        </w:rPr>
        <w:t xml:space="preserve"> (</w:t>
      </w:r>
      <w:r w:rsidR="009627D9" w:rsidRPr="00B8426C">
        <w:rPr>
          <w:rFonts w:ascii="Arial" w:hAnsi="Arial" w:cs="Arial"/>
          <w:szCs w:val="24"/>
        </w:rPr>
        <w:t>taxa de ocupação</w:t>
      </w:r>
      <w:r w:rsidR="00AE62F9" w:rsidRPr="00B8426C">
        <w:rPr>
          <w:rFonts w:ascii="Arial" w:hAnsi="Arial" w:cs="Arial"/>
          <w:szCs w:val="24"/>
        </w:rPr>
        <w:t>)</w:t>
      </w:r>
      <w:r w:rsidR="009627D9" w:rsidRPr="00B8426C">
        <w:rPr>
          <w:rFonts w:ascii="Arial" w:hAnsi="Arial" w:cs="Arial"/>
          <w:szCs w:val="24"/>
        </w:rPr>
        <w:t xml:space="preserve"> e por meio da taxa de crescimento da produtividade do trabalho. Sem entrar na discussão sobre as formas de mensuração dessas taxas, vale destacar que entre 2000 e 2009 apenas um terço da taxa de crescimento do PIB pode ser atribuído ao crescimento da produtividade do trabalho. De Negri e Cavalcante reportam resultados, para o perí</w:t>
      </w:r>
      <w:r w:rsidR="00E42567" w:rsidRPr="00B8426C">
        <w:rPr>
          <w:rFonts w:ascii="Arial" w:hAnsi="Arial" w:cs="Arial"/>
          <w:szCs w:val="24"/>
        </w:rPr>
        <w:t>o</w:t>
      </w:r>
      <w:r w:rsidR="009627D9" w:rsidRPr="00B8426C">
        <w:rPr>
          <w:rFonts w:ascii="Arial" w:hAnsi="Arial" w:cs="Arial"/>
          <w:szCs w:val="24"/>
        </w:rPr>
        <w:t xml:space="preserve">do de 2000 a 2011, de que apenas 26% do crescimento do valor adicionado no Brasil pode ser atribuído a ganhos de produtividade, percentual muito inferior a estimados para países como China (93%), Índia (82%) e Russia (40%) </w:t>
      </w:r>
      <w:r w:rsidR="009627D9" w:rsidRPr="00B8426C">
        <w:rPr>
          <w:rFonts w:ascii="Arial" w:hAnsi="Arial" w:cs="Arial"/>
          <w:szCs w:val="24"/>
        </w:rPr>
        <w:fldChar w:fldCharType="begin" w:fldLock="1"/>
      </w:r>
      <w:r w:rsidR="00F2697C" w:rsidRPr="00B8426C">
        <w:rPr>
          <w:rFonts w:ascii="Arial" w:hAnsi="Arial" w:cs="Arial"/>
          <w:szCs w:val="24"/>
        </w:rPr>
        <w:instrText>ADDIN CSL_CITATION { "citationItems" : [ { "id" : "ITEM-1", "itemData" : { "ISBN" : "9788578112288", "author" : [ { "dropping-particle" : "", "family" : "Negri", "given" : "Fernanda", "non-dropping-particle" : "De", "parse-names" : false, "suffix" : "" }, { "dropping-particle" : "", "family" : "Cavalcante", "given" : "Luiz Ricardo", "non-dropping-particle" : "", "parse-names" : false, "suffix" : "" } ], "id" : "ITEM-1", "issued" : { "date-parts" : [ [ "2014" ] ] }, "number-of-pages" : "445", "publisher" : "Instituto de Pesquisa Econ\u00f4mica Aplicada - IPEA", "title" : "PRODUTIVIDADE NO BRASIL: desempenho e determinantes", "type" : "book", "volume" : "1" }, "uris" : [ "http://www.mendeley.com/documents/?uuid=4800d6ac-84cb-407b-b097-28cbb1c390ba" ] } ], "mendeley" : { "formattedCitation" : "(DE NEGRI; CAVALCANTE, 2014)", "manualFormatting" : "(DE NEGRI; CAVALCANTE, 2014, p\u00e1g 26)", "plainTextFormattedCitation" : "(DE NEGRI; CAVALCANTE, 2014)", "previouslyFormattedCitation" : "(DE NEGRI; CAVALCANTE, 2014)" }, "properties" : { "noteIndex" : 0 }, "schema" : "https://github.com/citation-style-language/schema/raw/master/csl-citation.json" }</w:instrText>
      </w:r>
      <w:r w:rsidR="009627D9" w:rsidRPr="00B8426C">
        <w:rPr>
          <w:rFonts w:ascii="Arial" w:hAnsi="Arial" w:cs="Arial"/>
          <w:szCs w:val="24"/>
        </w:rPr>
        <w:fldChar w:fldCharType="separate"/>
      </w:r>
      <w:r w:rsidR="009627D9" w:rsidRPr="00B8426C">
        <w:rPr>
          <w:rFonts w:ascii="Arial" w:hAnsi="Arial" w:cs="Arial"/>
          <w:noProof/>
          <w:szCs w:val="24"/>
        </w:rPr>
        <w:t>(DE NEGRI; CAVALCANTE, 2014, p</w:t>
      </w:r>
      <w:r w:rsidR="00F2697C" w:rsidRPr="00B8426C">
        <w:rPr>
          <w:rFonts w:ascii="Arial" w:hAnsi="Arial" w:cs="Arial"/>
          <w:noProof/>
          <w:szCs w:val="24"/>
        </w:rPr>
        <w:t>ág 26</w:t>
      </w:r>
      <w:r w:rsidR="009627D9" w:rsidRPr="00B8426C">
        <w:rPr>
          <w:rFonts w:ascii="Arial" w:hAnsi="Arial" w:cs="Arial"/>
          <w:noProof/>
          <w:szCs w:val="24"/>
        </w:rPr>
        <w:t>)</w:t>
      </w:r>
      <w:r w:rsidR="009627D9" w:rsidRPr="00B8426C">
        <w:rPr>
          <w:rFonts w:ascii="Arial" w:hAnsi="Arial" w:cs="Arial"/>
          <w:szCs w:val="24"/>
        </w:rPr>
        <w:fldChar w:fldCharType="end"/>
      </w:r>
      <w:r w:rsidR="00E42567" w:rsidRPr="00B8426C">
        <w:rPr>
          <w:rFonts w:ascii="Arial" w:hAnsi="Arial" w:cs="Arial"/>
          <w:szCs w:val="24"/>
        </w:rPr>
        <w:t xml:space="preserve">. </w:t>
      </w:r>
      <w:r w:rsidR="00C17204" w:rsidRPr="00B8426C">
        <w:rPr>
          <w:rFonts w:ascii="Arial" w:hAnsi="Arial" w:cs="Arial"/>
          <w:szCs w:val="24"/>
        </w:rPr>
        <w:t>No capítulo 4 dessa mesma referência, Bonelli destaca a baixa produtividade do trabalho, entre outros fatores, como potencial explicação para o que denomina de “armadilha do crescimento lento”</w:t>
      </w:r>
      <w:r w:rsidR="00416B76" w:rsidRPr="00B8426C">
        <w:rPr>
          <w:rFonts w:ascii="Arial" w:hAnsi="Arial" w:cs="Arial"/>
          <w:szCs w:val="24"/>
        </w:rPr>
        <w:t xml:space="preserve">, que, de certa forma, engloba os argumentos da chamada “armadilha da renda média”, segundo a qual a desaceleração do crescimento seria devida a dificuldades de mudar de um padrão de acumulação de fatores para um baseado em inovação de processos e produto (para uma revisão da escassa literatura e evidências empíricas, ver </w:t>
      </w:r>
      <w:r w:rsidR="00416B76" w:rsidRPr="00B8426C">
        <w:rPr>
          <w:rFonts w:ascii="Arial" w:hAnsi="Arial" w:cs="Arial"/>
          <w:szCs w:val="24"/>
        </w:rPr>
        <w:fldChar w:fldCharType="begin" w:fldLock="1"/>
      </w:r>
      <w:r w:rsidR="00F17EEA" w:rsidRPr="00B8426C">
        <w:rPr>
          <w:rFonts w:ascii="Arial" w:hAnsi="Arial" w:cs="Arial"/>
          <w:szCs w:val="24"/>
        </w:rPr>
        <w:instrText>ADDIN CSL_CITATION { "citationItems" : [ { "id" : "ITEM-1", "itemData" : { "author" : [ { "dropping-particle" : "", "family" : "Im", "given" : "Fernando Gabriel", "non-dropping-particle" : "", "parse-names" : false, "suffix" : "" }, { "dropping-particle" : "", "family" : "Rosenblatt", "given" : "David", "non-dropping-particle" : "", "parse-names" : false, "suffix" : "" } ], "container-title" : "Policy Research Working Paper 6594", "id" : "ITEM-1", "issue" : "September", "issued" : { "date-parts" : [ [ "2013" ] ] }, "title" : "Middle-Income Traps A Conceptual and Empirical Survey", "type" : "article-journal" }, "uris" : [ "http://www.mendeley.com/documents/?uuid=34c1af78-3ceb-4b09-8c57-59ab1146b3b1" ] } ], "mendeley" : { "formattedCitation" : "(IM; ROSENBLATT, 2013)", "plainTextFormattedCitation" : "(IM; ROSENBLATT, 2013)", "previouslyFormattedCitation" : "(IM; ROSENBLATT, 2013)" }, "properties" : { "noteIndex" : 0 }, "schema" : "https://github.com/citation-style-language/schema/raw/master/csl-citation.json" }</w:instrText>
      </w:r>
      <w:r w:rsidR="00416B76" w:rsidRPr="00B8426C">
        <w:rPr>
          <w:rFonts w:ascii="Arial" w:hAnsi="Arial" w:cs="Arial"/>
          <w:szCs w:val="24"/>
        </w:rPr>
        <w:fldChar w:fldCharType="separate"/>
      </w:r>
      <w:r w:rsidR="00416B76" w:rsidRPr="00B8426C">
        <w:rPr>
          <w:rFonts w:ascii="Arial" w:hAnsi="Arial" w:cs="Arial"/>
          <w:noProof/>
          <w:szCs w:val="24"/>
        </w:rPr>
        <w:t>(IM; ROSENBLATT, 2013)</w:t>
      </w:r>
      <w:r w:rsidR="00416B76" w:rsidRPr="00B8426C">
        <w:rPr>
          <w:rFonts w:ascii="Arial" w:hAnsi="Arial" w:cs="Arial"/>
          <w:szCs w:val="24"/>
        </w:rPr>
        <w:fldChar w:fldCharType="end"/>
      </w:r>
      <w:r w:rsidR="00F62300" w:rsidRPr="00B8426C">
        <w:rPr>
          <w:rFonts w:ascii="Arial" w:hAnsi="Arial" w:cs="Arial"/>
          <w:szCs w:val="24"/>
        </w:rPr>
        <w:t>).</w:t>
      </w:r>
    </w:p>
    <w:p w:rsidR="001A35EE" w:rsidRPr="00B8426C" w:rsidRDefault="001A35EE" w:rsidP="00006F31">
      <w:pPr>
        <w:pStyle w:val="ListParagraph"/>
        <w:spacing w:before="120" w:after="120"/>
        <w:ind w:left="454"/>
        <w:contextualSpacing w:val="0"/>
        <w:jc w:val="both"/>
        <w:rPr>
          <w:rFonts w:ascii="Arial" w:hAnsi="Arial" w:cs="Arial"/>
          <w:szCs w:val="24"/>
        </w:rPr>
      </w:pPr>
    </w:p>
    <w:p w:rsidR="001A35EE" w:rsidRPr="00B8426C" w:rsidRDefault="001A35EE" w:rsidP="0076490D">
      <w:pPr>
        <w:spacing w:before="120" w:after="120"/>
        <w:jc w:val="center"/>
        <w:rPr>
          <w:rFonts w:ascii="Arial" w:hAnsi="Arial" w:cs="Arial"/>
          <w:szCs w:val="24"/>
        </w:rPr>
      </w:pPr>
      <w:r w:rsidRPr="00B8426C">
        <w:rPr>
          <w:rFonts w:ascii="Arial" w:hAnsi="Arial" w:cs="Arial"/>
          <w:noProof/>
          <w:lang w:val="en-US"/>
        </w:rPr>
        <w:drawing>
          <wp:inline distT="0" distB="0" distL="0" distR="0" wp14:anchorId="4ED0A7DC" wp14:editId="35C491D1">
            <wp:extent cx="4969565" cy="3030816"/>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8918" cy="3030422"/>
                    </a:xfrm>
                    <a:prstGeom prst="rect">
                      <a:avLst/>
                    </a:prstGeom>
                    <a:noFill/>
                    <a:ln>
                      <a:noFill/>
                    </a:ln>
                  </pic:spPr>
                </pic:pic>
              </a:graphicData>
            </a:graphic>
          </wp:inline>
        </w:drawing>
      </w:r>
    </w:p>
    <w:p w:rsidR="001A35EE" w:rsidRPr="00B8426C" w:rsidRDefault="001A35EE" w:rsidP="00006F31">
      <w:pPr>
        <w:spacing w:before="120" w:after="120"/>
        <w:jc w:val="both"/>
        <w:rPr>
          <w:rFonts w:ascii="Arial" w:hAnsi="Arial" w:cs="Arial"/>
          <w:szCs w:val="24"/>
        </w:rPr>
      </w:pPr>
      <w:r w:rsidRPr="00B8426C">
        <w:rPr>
          <w:rFonts w:ascii="Arial" w:hAnsi="Arial" w:cs="Arial"/>
          <w:b/>
          <w:szCs w:val="24"/>
        </w:rPr>
        <w:t xml:space="preserve">Figura 3: </w:t>
      </w:r>
      <w:r w:rsidRPr="00B8426C">
        <w:rPr>
          <w:rFonts w:ascii="Arial" w:hAnsi="Arial" w:cs="Arial"/>
          <w:szCs w:val="24"/>
        </w:rPr>
        <w:t xml:space="preserve">Taxas médias de produtividade do trabalho, em períodos selecionados (fonte: </w:t>
      </w:r>
      <w:r w:rsidRPr="00B8426C">
        <w:rPr>
          <w:rFonts w:ascii="Arial" w:hAnsi="Arial" w:cs="Arial"/>
          <w:szCs w:val="24"/>
        </w:rPr>
        <w:fldChar w:fldCharType="begin" w:fldLock="1"/>
      </w:r>
      <w:r w:rsidRPr="00B8426C">
        <w:rPr>
          <w:rFonts w:ascii="Arial" w:hAnsi="Arial" w:cs="Arial"/>
          <w:szCs w:val="24"/>
        </w:rPr>
        <w:instrText>ADDIN CSL_CITATION { "citationItems" : [ { "id" : "ITEM-1", "itemData" : { "ISBN" : "9788578112288", "author" : [ { "dropping-particle" : "", "family" : "Negri", "given" : "Fernanda", "non-dropping-particle" : "De", "parse-names" : false, "suffix" : "" }, { "dropping-particle" : "", "family" : "Cavalcante", "given" : "Luiz Ricardo", "non-dropping-particle" : "", "parse-names" : false, "suffix" : "" } ], "id" : "ITEM-1", "issued" : { "date-parts" : [ [ "2014" ] ] }, "number-of-pages" : "445", "publisher" : "Instituto de Pesquisa Econ\u00f4mica Aplicada - IPEA", "title" : "PRODUTIVIDADE NO BRASIL: desempenho e determinantes", "type" : "book", "volume" : "1" }, "uris" : [ "http://www.mendeley.com/documents/?uuid=4800d6ac-84cb-407b-b097-28cbb1c390ba" ] } ], "mendeley" : { "formattedCitation" : "(DE NEGRI; CAVALCANTE, 2014)", "plainTextFormattedCitation" : "(DE NEGRI; CAVALCANTE, 2014)", "previouslyFormattedCitation" : "(DE NEGRI; CAVALCANTE, 2014)" }, "properties" : { "noteIndex" : 0 }, "schema" : "https://github.com/citation-style-language/schema/raw/master/csl-citation.json" }</w:instrText>
      </w:r>
      <w:r w:rsidRPr="00B8426C">
        <w:rPr>
          <w:rFonts w:ascii="Arial" w:hAnsi="Arial" w:cs="Arial"/>
          <w:szCs w:val="24"/>
        </w:rPr>
        <w:fldChar w:fldCharType="separate"/>
      </w:r>
      <w:r w:rsidRPr="00B8426C">
        <w:rPr>
          <w:rFonts w:ascii="Arial" w:hAnsi="Arial" w:cs="Arial"/>
          <w:noProof/>
          <w:szCs w:val="24"/>
        </w:rPr>
        <w:t>(DE NEGRI; CAVALCANTE, 2014)</w:t>
      </w:r>
      <w:r w:rsidRPr="00B8426C">
        <w:rPr>
          <w:rFonts w:ascii="Arial" w:hAnsi="Arial" w:cs="Arial"/>
          <w:szCs w:val="24"/>
        </w:rPr>
        <w:fldChar w:fldCharType="end"/>
      </w:r>
      <w:r w:rsidRPr="00B8426C">
        <w:rPr>
          <w:rFonts w:ascii="Arial" w:hAnsi="Arial" w:cs="Arial"/>
          <w:szCs w:val="24"/>
        </w:rPr>
        <w:t>, capítulo 5, pág. 149</w:t>
      </w:r>
      <w:r w:rsidR="00B3580B" w:rsidRPr="00B8426C">
        <w:rPr>
          <w:rFonts w:ascii="Arial" w:hAnsi="Arial" w:cs="Arial"/>
          <w:szCs w:val="24"/>
        </w:rPr>
        <w:t>)</w:t>
      </w:r>
      <w:r w:rsidRPr="00B8426C">
        <w:rPr>
          <w:rFonts w:ascii="Arial" w:hAnsi="Arial" w:cs="Arial"/>
          <w:szCs w:val="24"/>
        </w:rPr>
        <w:t>.</w:t>
      </w:r>
    </w:p>
    <w:p w:rsidR="00C17204" w:rsidRPr="00B8426C" w:rsidRDefault="00C17204" w:rsidP="00006F31">
      <w:pPr>
        <w:spacing w:before="120" w:after="120"/>
        <w:jc w:val="both"/>
        <w:rPr>
          <w:rFonts w:ascii="Arial" w:hAnsi="Arial" w:cs="Arial"/>
          <w:szCs w:val="24"/>
        </w:rPr>
      </w:pPr>
    </w:p>
    <w:p w:rsidR="001A35EE" w:rsidRPr="00B8426C" w:rsidRDefault="001A35EE"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A figura 3 ilustra a diferença importante da produtividade do trabalho entre dois períodos distintos para explicar o crescimento médio do produto per capita: 90% do crescimento do produto per capita de 1992-2001 se deveram à produtividade do trabalho, enquanto que no período 2001-2009, apenas 51,2% deve-se a esse fator, são as variáveis demográficas e do mercado de trabalho que explicam o crescimento mais acelerado do PIB per capita.</w:t>
      </w:r>
      <w:r w:rsidR="009C5F9C" w:rsidRPr="00B8426C">
        <w:rPr>
          <w:rFonts w:ascii="Arial" w:hAnsi="Arial" w:cs="Arial"/>
          <w:szCs w:val="24"/>
        </w:rPr>
        <w:t xml:space="preserve"> </w:t>
      </w:r>
      <w:r w:rsidRPr="00B8426C">
        <w:rPr>
          <w:rFonts w:ascii="Arial" w:hAnsi="Arial" w:cs="Arial"/>
          <w:szCs w:val="24"/>
        </w:rPr>
        <w:t>A decomposição das taxas médias de crescimento da produtividade do trabalho por setores econômicos também revela um aspecto muito relevante do problema</w:t>
      </w:r>
      <w:r w:rsidR="00733D25" w:rsidRPr="00B8426C">
        <w:rPr>
          <w:rFonts w:ascii="Arial" w:hAnsi="Arial" w:cs="Arial"/>
          <w:szCs w:val="24"/>
        </w:rPr>
        <w:t>: a indústria em geral e a de transformação em particular</w:t>
      </w:r>
      <w:r w:rsidR="009C5F9C" w:rsidRPr="00B8426C">
        <w:rPr>
          <w:rFonts w:ascii="Arial" w:hAnsi="Arial" w:cs="Arial"/>
          <w:szCs w:val="24"/>
        </w:rPr>
        <w:t xml:space="preserve"> são os que apresentaram uma taxa de crescimento negativa no período 2000-2009. O setor de serviços, devido a sua maior participação no pessoal ocupado, foi o que mais contribuiu para a média geral do período. A figura 4 mostra essa decomposição setorial. </w:t>
      </w:r>
    </w:p>
    <w:p w:rsidR="00F360C0" w:rsidRPr="00B8426C" w:rsidRDefault="00F360C0" w:rsidP="00EC5C9D">
      <w:pPr>
        <w:spacing w:before="120" w:after="120"/>
        <w:jc w:val="center"/>
        <w:rPr>
          <w:rFonts w:ascii="Arial" w:hAnsi="Arial" w:cs="Arial"/>
          <w:szCs w:val="24"/>
        </w:rPr>
      </w:pPr>
      <w:r w:rsidRPr="00B8426C">
        <w:rPr>
          <w:rFonts w:ascii="Arial" w:hAnsi="Arial" w:cs="Arial"/>
          <w:noProof/>
          <w:lang w:val="en-US"/>
        </w:rPr>
        <w:drawing>
          <wp:inline distT="0" distB="0" distL="0" distR="0" wp14:anchorId="607792B0" wp14:editId="664365CB">
            <wp:extent cx="5460521" cy="4197567"/>
            <wp:effectExtent l="0" t="0" r="698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8377" cy="4195919"/>
                    </a:xfrm>
                    <a:prstGeom prst="rect">
                      <a:avLst/>
                    </a:prstGeom>
                    <a:noFill/>
                    <a:ln>
                      <a:noFill/>
                    </a:ln>
                  </pic:spPr>
                </pic:pic>
              </a:graphicData>
            </a:graphic>
          </wp:inline>
        </w:drawing>
      </w:r>
    </w:p>
    <w:p w:rsidR="00F360C0" w:rsidRPr="00B8426C" w:rsidRDefault="00081969" w:rsidP="00081969">
      <w:pPr>
        <w:spacing w:before="120" w:after="120"/>
        <w:jc w:val="both"/>
        <w:rPr>
          <w:rFonts w:ascii="Arial" w:hAnsi="Arial" w:cs="Arial"/>
          <w:szCs w:val="24"/>
        </w:rPr>
      </w:pPr>
      <w:r w:rsidRPr="00B8426C">
        <w:rPr>
          <w:rFonts w:ascii="Arial" w:hAnsi="Arial" w:cs="Arial"/>
          <w:b/>
          <w:szCs w:val="24"/>
        </w:rPr>
        <w:t>Figura 4</w:t>
      </w:r>
      <w:r w:rsidR="00F360C0" w:rsidRPr="00B8426C">
        <w:rPr>
          <w:rFonts w:ascii="Arial" w:hAnsi="Arial" w:cs="Arial"/>
          <w:b/>
          <w:szCs w:val="24"/>
        </w:rPr>
        <w:t>:</w:t>
      </w:r>
      <w:r w:rsidR="00F360C0" w:rsidRPr="00B8426C">
        <w:rPr>
          <w:rFonts w:ascii="Arial" w:hAnsi="Arial" w:cs="Arial"/>
          <w:szCs w:val="24"/>
        </w:rPr>
        <w:t xml:space="preserve"> Taxas médias de produtividade do trabalho, entre 2001 e 2012, por setores (fonte: </w:t>
      </w:r>
      <w:r w:rsidR="00F360C0" w:rsidRPr="00B8426C">
        <w:rPr>
          <w:rFonts w:ascii="Arial" w:hAnsi="Arial" w:cs="Arial"/>
          <w:szCs w:val="24"/>
        </w:rPr>
        <w:fldChar w:fldCharType="begin" w:fldLock="1"/>
      </w:r>
      <w:r w:rsidR="00F360C0" w:rsidRPr="00B8426C">
        <w:rPr>
          <w:rFonts w:ascii="Arial" w:hAnsi="Arial" w:cs="Arial"/>
          <w:szCs w:val="24"/>
        </w:rPr>
        <w:instrText>ADDIN CSL_CITATION { "citationItems" : [ { "id" : "ITEM-1", "itemData" : { "ISBN" : "9788578112288", "author" : [ { "dropping-particle" : "", "family" : "Negri", "given" : "Fernanda", "non-dropping-particle" : "De", "parse-names" : false, "suffix" : "" }, { "dropping-particle" : "", "family" : "Cavalcante", "given" : "Luiz Ricardo", "non-dropping-particle" : "", "parse-names" : false, "suffix" : "" } ], "id" : "ITEM-1", "issued" : { "date-parts" : [ [ "2014" ] ] }, "number-of-pages" : "445", "publisher" : "Instituto de Pesquisa Econ\u00f4mica Aplicada - IPEA", "title" : "PRODUTIVIDADE NO BRASIL: desempenho e determinantes", "type" : "book", "volume" : "1" }, "uris" : [ "http://www.mendeley.com/documents/?uuid=4800d6ac-84cb-407b-b097-28cbb1c390ba" ] } ], "mendeley" : { "formattedCitation" : "(DE NEGRI; CAVALCANTE, 2014)", "plainTextFormattedCitation" : "(DE NEGRI; CAVALCANTE, 2014)", "previouslyFormattedCitation" : "(DE NEGRI; CAVALCANTE, 2014)" }, "properties" : { "noteIndex" : 0 }, "schema" : "https://github.com/citation-style-language/schema/raw/master/csl-citation.json" }</w:instrText>
      </w:r>
      <w:r w:rsidR="00F360C0" w:rsidRPr="00B8426C">
        <w:rPr>
          <w:rFonts w:ascii="Arial" w:hAnsi="Arial" w:cs="Arial"/>
          <w:szCs w:val="24"/>
        </w:rPr>
        <w:fldChar w:fldCharType="separate"/>
      </w:r>
      <w:r w:rsidR="00F360C0" w:rsidRPr="00B8426C">
        <w:rPr>
          <w:rFonts w:ascii="Arial" w:hAnsi="Arial" w:cs="Arial"/>
          <w:noProof/>
          <w:szCs w:val="24"/>
        </w:rPr>
        <w:t>(DE NEGRI; CAVALCANTE, 2014)</w:t>
      </w:r>
      <w:r w:rsidR="00F360C0" w:rsidRPr="00B8426C">
        <w:rPr>
          <w:rFonts w:ascii="Arial" w:hAnsi="Arial" w:cs="Arial"/>
          <w:szCs w:val="24"/>
        </w:rPr>
        <w:fldChar w:fldCharType="end"/>
      </w:r>
      <w:r w:rsidR="00F360C0" w:rsidRPr="00B8426C">
        <w:rPr>
          <w:rFonts w:ascii="Arial" w:hAnsi="Arial" w:cs="Arial"/>
          <w:szCs w:val="24"/>
        </w:rPr>
        <w:t>, capítulo 8, pág. 270).</w:t>
      </w:r>
    </w:p>
    <w:p w:rsidR="00081969" w:rsidRPr="00B8426C" w:rsidRDefault="00081969" w:rsidP="00081969">
      <w:pPr>
        <w:spacing w:before="120" w:after="120"/>
        <w:jc w:val="both"/>
        <w:rPr>
          <w:rFonts w:ascii="Arial" w:hAnsi="Arial" w:cs="Arial"/>
          <w:szCs w:val="24"/>
        </w:rPr>
      </w:pPr>
    </w:p>
    <w:p w:rsidR="009C5F9C" w:rsidRPr="00B8426C" w:rsidRDefault="00E0727D"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w:t>
      </w:r>
      <w:r w:rsidR="00BA5BFC" w:rsidRPr="00B8426C">
        <w:rPr>
          <w:rFonts w:ascii="Arial" w:hAnsi="Arial" w:cs="Arial"/>
          <w:szCs w:val="24"/>
        </w:rPr>
        <w:t>Vale destacar que a produtividade do trabalho</w:t>
      </w:r>
      <w:r w:rsidR="00794FD2" w:rsidRPr="00B8426C">
        <w:rPr>
          <w:rFonts w:ascii="Arial" w:hAnsi="Arial" w:cs="Arial"/>
          <w:szCs w:val="24"/>
        </w:rPr>
        <w:t xml:space="preserve"> do setor industrial</w:t>
      </w:r>
      <w:r w:rsidR="00BA5BFC" w:rsidRPr="00B8426C">
        <w:rPr>
          <w:rFonts w:ascii="Arial" w:hAnsi="Arial" w:cs="Arial"/>
          <w:szCs w:val="24"/>
        </w:rPr>
        <w:t xml:space="preserve"> difere de forma </w:t>
      </w:r>
      <w:r w:rsidR="00382909" w:rsidRPr="00B8426C">
        <w:rPr>
          <w:rFonts w:ascii="Arial" w:hAnsi="Arial" w:cs="Arial"/>
          <w:szCs w:val="24"/>
        </w:rPr>
        <w:t>significativa entre</w:t>
      </w:r>
      <w:r w:rsidR="00BA5BFC" w:rsidRPr="00B8426C">
        <w:rPr>
          <w:rFonts w:ascii="Arial" w:hAnsi="Arial" w:cs="Arial"/>
          <w:szCs w:val="24"/>
        </w:rPr>
        <w:t xml:space="preserve"> unidades da federação</w:t>
      </w:r>
      <w:r w:rsidR="00794FD2" w:rsidRPr="00B8426C">
        <w:rPr>
          <w:rFonts w:ascii="Arial" w:hAnsi="Arial" w:cs="Arial"/>
          <w:szCs w:val="24"/>
        </w:rPr>
        <w:t>, revelando um ordenamento diferente do que seria obtido se observássemos o PIB per capita</w:t>
      </w:r>
      <w:r w:rsidR="00AA2907" w:rsidRPr="00B8426C">
        <w:rPr>
          <w:rFonts w:ascii="Arial" w:hAnsi="Arial" w:cs="Arial"/>
          <w:szCs w:val="24"/>
        </w:rPr>
        <w:t xml:space="preserve">, conforme figura </w:t>
      </w:r>
      <w:r w:rsidR="00CD7752" w:rsidRPr="00B8426C">
        <w:rPr>
          <w:rFonts w:ascii="Arial" w:hAnsi="Arial" w:cs="Arial"/>
          <w:szCs w:val="24"/>
        </w:rPr>
        <w:t>5</w:t>
      </w:r>
      <w:r w:rsidR="00AA2907" w:rsidRPr="00B8426C">
        <w:rPr>
          <w:rFonts w:ascii="Arial" w:hAnsi="Arial" w:cs="Arial"/>
          <w:szCs w:val="24"/>
        </w:rPr>
        <w:t>.</w:t>
      </w:r>
      <w:r w:rsidR="00AD085D" w:rsidRPr="00B8426C">
        <w:rPr>
          <w:rFonts w:ascii="Arial" w:hAnsi="Arial" w:cs="Arial"/>
          <w:szCs w:val="24"/>
        </w:rPr>
        <w:t xml:space="preserve"> A explicação para essas diferenças pode ser atribuída às diferentes taxas de ocupação e de participação, porém os autores encontram explicações plausíveis na presença da indústria extrativa mineral, elevando a produtividade do trabalho em estados como Pará e Rio de Janeiro, assim como a presença de setores mais dinâmicos ou mais intensivos em capital pode elevar a produtividade de estados como Amazonas e Bahia; da mesma forma, estados com indústria mais tradicional ou com parque </w:t>
      </w:r>
      <w:r w:rsidR="007018C3" w:rsidRPr="00B8426C">
        <w:rPr>
          <w:rFonts w:ascii="Arial" w:hAnsi="Arial" w:cs="Arial"/>
          <w:szCs w:val="24"/>
        </w:rPr>
        <w:t>industrial</w:t>
      </w:r>
      <w:r w:rsidR="00AD085D" w:rsidRPr="00B8426C">
        <w:rPr>
          <w:rFonts w:ascii="Arial" w:hAnsi="Arial" w:cs="Arial"/>
          <w:szCs w:val="24"/>
        </w:rPr>
        <w:t xml:space="preserve"> mais antigo, como São Paulo, exibem uma posição mais baixa no ranking.</w:t>
      </w:r>
    </w:p>
    <w:p w:rsidR="00AA2907" w:rsidRPr="00B8426C" w:rsidRDefault="00AA2907" w:rsidP="00037738">
      <w:pPr>
        <w:spacing w:before="120" w:after="120"/>
        <w:jc w:val="center"/>
        <w:rPr>
          <w:rFonts w:ascii="Arial" w:hAnsi="Arial" w:cs="Arial"/>
          <w:szCs w:val="24"/>
        </w:rPr>
      </w:pPr>
      <w:r w:rsidRPr="00B8426C">
        <w:rPr>
          <w:rFonts w:ascii="Arial" w:hAnsi="Arial" w:cs="Arial"/>
          <w:noProof/>
          <w:lang w:val="en-US"/>
        </w:rPr>
        <w:drawing>
          <wp:inline distT="0" distB="0" distL="0" distR="0" wp14:anchorId="60A8FCBF" wp14:editId="4DF51AA8">
            <wp:extent cx="4754880" cy="3740391"/>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55680" cy="3741020"/>
                    </a:xfrm>
                    <a:prstGeom prst="rect">
                      <a:avLst/>
                    </a:prstGeom>
                    <a:noFill/>
                    <a:ln>
                      <a:noFill/>
                    </a:ln>
                  </pic:spPr>
                </pic:pic>
              </a:graphicData>
            </a:graphic>
          </wp:inline>
        </w:drawing>
      </w:r>
    </w:p>
    <w:p w:rsidR="00AA2907" w:rsidRPr="00B8426C" w:rsidRDefault="00AA2907" w:rsidP="00037738">
      <w:pPr>
        <w:spacing w:before="120" w:after="120"/>
        <w:jc w:val="both"/>
        <w:rPr>
          <w:rFonts w:ascii="Arial" w:hAnsi="Arial" w:cs="Arial"/>
          <w:szCs w:val="24"/>
        </w:rPr>
      </w:pPr>
      <w:r w:rsidRPr="00B8426C">
        <w:rPr>
          <w:rFonts w:ascii="Arial" w:hAnsi="Arial" w:cs="Arial"/>
          <w:b/>
          <w:szCs w:val="24"/>
        </w:rPr>
        <w:t xml:space="preserve">Figura </w:t>
      </w:r>
      <w:r w:rsidR="00F360C0" w:rsidRPr="00B8426C">
        <w:rPr>
          <w:rFonts w:ascii="Arial" w:hAnsi="Arial" w:cs="Arial"/>
          <w:b/>
          <w:szCs w:val="24"/>
        </w:rPr>
        <w:t>6</w:t>
      </w:r>
      <w:r w:rsidRPr="00B8426C">
        <w:rPr>
          <w:rFonts w:ascii="Arial" w:hAnsi="Arial" w:cs="Arial"/>
          <w:b/>
          <w:szCs w:val="24"/>
        </w:rPr>
        <w:t>:</w:t>
      </w:r>
      <w:r w:rsidRPr="00B8426C">
        <w:rPr>
          <w:rFonts w:ascii="Arial" w:hAnsi="Arial" w:cs="Arial"/>
          <w:szCs w:val="24"/>
        </w:rPr>
        <w:t xml:space="preserve"> Taxas médias de produtividade do trabalho, entre 2000 e 2009, por setores (fonte: </w:t>
      </w:r>
      <w:r w:rsidRPr="00B8426C">
        <w:rPr>
          <w:rFonts w:ascii="Arial" w:hAnsi="Arial" w:cs="Arial"/>
          <w:szCs w:val="24"/>
        </w:rPr>
        <w:fldChar w:fldCharType="begin" w:fldLock="1"/>
      </w:r>
      <w:r w:rsidRPr="00B8426C">
        <w:rPr>
          <w:rFonts w:ascii="Arial" w:hAnsi="Arial" w:cs="Arial"/>
          <w:szCs w:val="24"/>
        </w:rPr>
        <w:instrText>ADDIN CSL_CITATION { "citationItems" : [ { "id" : "ITEM-1", "itemData" : { "ISBN" : "9788578112288", "author" : [ { "dropping-particle" : "", "family" : "Negri", "given" : "Fernanda", "non-dropping-particle" : "De", "parse-names" : false, "suffix" : "" }, { "dropping-particle" : "", "family" : "Cavalcante", "given" : "Luiz Ricardo", "non-dropping-particle" : "", "parse-names" : false, "suffix" : "" } ], "id" : "ITEM-1", "issued" : { "date-parts" : [ [ "2014" ] ] }, "number-of-pages" : "445", "publisher" : "Instituto de Pesquisa Econ\u00f4mica Aplicada - IPEA", "title" : "PRODUTIVIDADE NO BRASIL: desempenho e determinantes", "type" : "book", "volume" : "1" }, "uris" : [ "http://www.mendeley.com/documents/?uuid=4800d6ac-84cb-407b-b097-28cbb1c390ba" ] } ], "mendeley" : { "formattedCitation" : "(DE NEGRI; CAVALCANTE, 2014)", "plainTextFormattedCitation" : "(DE NEGRI; CAVALCANTE, 2014)", "previouslyFormattedCitation" : "(DE NEGRI; CAVALCANTE, 2014)" }, "properties" : { "noteIndex" : 0 }, "schema" : "https://github.com/citation-style-language/schema/raw/master/csl-citation.json" }</w:instrText>
      </w:r>
      <w:r w:rsidRPr="00B8426C">
        <w:rPr>
          <w:rFonts w:ascii="Arial" w:hAnsi="Arial" w:cs="Arial"/>
          <w:szCs w:val="24"/>
        </w:rPr>
        <w:fldChar w:fldCharType="separate"/>
      </w:r>
      <w:r w:rsidRPr="00B8426C">
        <w:rPr>
          <w:rFonts w:ascii="Arial" w:hAnsi="Arial" w:cs="Arial"/>
          <w:noProof/>
          <w:szCs w:val="24"/>
        </w:rPr>
        <w:t>(DE NEGRI; CAVALCANTE, 2014)</w:t>
      </w:r>
      <w:r w:rsidRPr="00B8426C">
        <w:rPr>
          <w:rFonts w:ascii="Arial" w:hAnsi="Arial" w:cs="Arial"/>
          <w:szCs w:val="24"/>
        </w:rPr>
        <w:fldChar w:fldCharType="end"/>
      </w:r>
      <w:r w:rsidRPr="00B8426C">
        <w:rPr>
          <w:rFonts w:ascii="Arial" w:hAnsi="Arial" w:cs="Arial"/>
          <w:szCs w:val="24"/>
        </w:rPr>
        <w:t>, capítulo 5, pág. 163</w:t>
      </w:r>
      <w:r w:rsidR="00B3580B" w:rsidRPr="00B8426C">
        <w:rPr>
          <w:rFonts w:ascii="Arial" w:hAnsi="Arial" w:cs="Arial"/>
          <w:szCs w:val="24"/>
        </w:rPr>
        <w:t>)</w:t>
      </w:r>
      <w:r w:rsidRPr="00B8426C">
        <w:rPr>
          <w:rFonts w:ascii="Arial" w:hAnsi="Arial" w:cs="Arial"/>
          <w:szCs w:val="24"/>
        </w:rPr>
        <w:t>.</w:t>
      </w:r>
    </w:p>
    <w:p w:rsidR="0079095A" w:rsidRPr="00B8426C" w:rsidRDefault="0079095A" w:rsidP="00037738">
      <w:pPr>
        <w:spacing w:before="120" w:after="120"/>
        <w:jc w:val="both"/>
        <w:rPr>
          <w:rFonts w:ascii="Arial" w:hAnsi="Arial" w:cs="Arial"/>
          <w:szCs w:val="24"/>
        </w:rPr>
      </w:pPr>
    </w:p>
    <w:p w:rsidR="00DB5471" w:rsidRPr="00B8426C" w:rsidRDefault="00037738"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w:t>
      </w:r>
      <w:r w:rsidR="0079095A" w:rsidRPr="00B8426C">
        <w:rPr>
          <w:rFonts w:ascii="Arial" w:hAnsi="Arial" w:cs="Arial"/>
          <w:szCs w:val="24"/>
        </w:rPr>
        <w:t>A persistência de baixas da produtividade, principalmente do trabalho, no Brasil comparadas às internacionais de países em desenvolvimento não se esgota na análise dos efeitos da estrutura produtiva e, necessariamente, reflete elementos estruturais tais como</w:t>
      </w:r>
      <w:r w:rsidR="00732986" w:rsidRPr="00B8426C">
        <w:rPr>
          <w:rFonts w:ascii="Arial" w:hAnsi="Arial" w:cs="Arial"/>
          <w:szCs w:val="24"/>
        </w:rPr>
        <w:t>:</w:t>
      </w:r>
      <w:r w:rsidR="0079095A" w:rsidRPr="00B8426C">
        <w:rPr>
          <w:rFonts w:ascii="Arial" w:hAnsi="Arial" w:cs="Arial"/>
          <w:szCs w:val="24"/>
        </w:rPr>
        <w:t xml:space="preserve"> a qualificação da mão de obra, embora o país tenha avançado significativamente em escolaridade média nos </w:t>
      </w:r>
      <w:r w:rsidR="00732986" w:rsidRPr="00B8426C">
        <w:rPr>
          <w:rFonts w:ascii="Arial" w:hAnsi="Arial" w:cs="Arial"/>
          <w:szCs w:val="24"/>
        </w:rPr>
        <w:t>últimos vinte anos; desenvolvimento de tecnologias de processo e de inovação; deficiências de infraestrutura, apontada pelo baixo investimento como proporção do PIB; fatores institucionais ou de ambiente de negócios, expressos na excessiva burocracia</w:t>
      </w:r>
      <w:r w:rsidR="00DB5471" w:rsidRPr="00B8426C">
        <w:rPr>
          <w:rFonts w:ascii="Arial" w:hAnsi="Arial" w:cs="Arial"/>
          <w:szCs w:val="24"/>
        </w:rPr>
        <w:t>, lentidão do judiciário, complexa estrutura tributária, como exemplos – esses são os aspectos institucionais e culturais apontados pela literatura teórica sintetizada na subseção anterior.</w:t>
      </w:r>
    </w:p>
    <w:p w:rsidR="00AA2907" w:rsidRPr="00B8426C" w:rsidRDefault="00037738"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w:t>
      </w:r>
      <w:r w:rsidR="00967A05" w:rsidRPr="00B8426C">
        <w:rPr>
          <w:rFonts w:ascii="Arial" w:hAnsi="Arial" w:cs="Arial"/>
          <w:szCs w:val="24"/>
        </w:rPr>
        <w:t>Em busca de expressar os impactos desses fatores de difícil mensuração</w:t>
      </w:r>
      <w:r w:rsidR="000142D6" w:rsidRPr="00B8426C">
        <w:rPr>
          <w:rFonts w:ascii="Arial" w:hAnsi="Arial" w:cs="Arial"/>
          <w:szCs w:val="24"/>
        </w:rPr>
        <w:t xml:space="preserve"> sobre produtividade</w:t>
      </w:r>
      <w:r w:rsidR="00A828AD" w:rsidRPr="00B8426C">
        <w:rPr>
          <w:rFonts w:ascii="Arial" w:hAnsi="Arial" w:cs="Arial"/>
          <w:szCs w:val="24"/>
        </w:rPr>
        <w:t xml:space="preserve"> e crescimento econômico</w:t>
      </w:r>
      <w:r w:rsidR="000142D6" w:rsidRPr="00B8426C">
        <w:rPr>
          <w:rFonts w:ascii="Arial" w:hAnsi="Arial" w:cs="Arial"/>
          <w:szCs w:val="24"/>
        </w:rPr>
        <w:t xml:space="preserve">, inclusive </w:t>
      </w:r>
      <w:r w:rsidR="00A828AD" w:rsidRPr="00B8426C">
        <w:rPr>
          <w:rFonts w:ascii="Arial" w:hAnsi="Arial" w:cs="Arial"/>
          <w:szCs w:val="24"/>
        </w:rPr>
        <w:t xml:space="preserve">os </w:t>
      </w:r>
      <w:r w:rsidR="000142D6" w:rsidRPr="00B8426C">
        <w:rPr>
          <w:rFonts w:ascii="Arial" w:hAnsi="Arial" w:cs="Arial"/>
          <w:szCs w:val="24"/>
        </w:rPr>
        <w:t xml:space="preserve">de sustentabilidade ambiental, </w:t>
      </w:r>
      <w:r w:rsidR="00A828AD" w:rsidRPr="00B8426C">
        <w:rPr>
          <w:rFonts w:ascii="Arial" w:hAnsi="Arial" w:cs="Arial"/>
          <w:szCs w:val="24"/>
        </w:rPr>
        <w:t xml:space="preserve">o </w:t>
      </w:r>
      <w:r w:rsidR="004337C8" w:rsidRPr="00B8426C">
        <w:rPr>
          <w:rFonts w:ascii="Arial" w:hAnsi="Arial" w:cs="Arial"/>
          <w:szCs w:val="24"/>
        </w:rPr>
        <w:t>Fórum</w:t>
      </w:r>
      <w:r w:rsidR="00A828AD" w:rsidRPr="00B8426C">
        <w:rPr>
          <w:rFonts w:ascii="Arial" w:hAnsi="Arial" w:cs="Arial"/>
          <w:szCs w:val="24"/>
        </w:rPr>
        <w:t xml:space="preserve"> Econômico Mundial tem aprimorado a metodologia de um indicador de competividade global</w:t>
      </w:r>
      <w:r w:rsidR="004337C8" w:rsidRPr="00B8426C">
        <w:rPr>
          <w:rFonts w:ascii="Arial" w:hAnsi="Arial" w:cs="Arial"/>
          <w:szCs w:val="24"/>
        </w:rPr>
        <w:t xml:space="preserve"> há mais de três décadas, sendo os últimos resultados reportados no relatório 201</w:t>
      </w:r>
      <w:r w:rsidR="00F17EEA" w:rsidRPr="00B8426C">
        <w:rPr>
          <w:rFonts w:ascii="Arial" w:hAnsi="Arial" w:cs="Arial"/>
          <w:szCs w:val="24"/>
        </w:rPr>
        <w:t>6-2017</w:t>
      </w:r>
      <w:r w:rsidR="004337C8" w:rsidRPr="00B8426C">
        <w:rPr>
          <w:rFonts w:ascii="Arial" w:hAnsi="Arial" w:cs="Arial"/>
          <w:szCs w:val="24"/>
        </w:rPr>
        <w:t>, com a participação de 1</w:t>
      </w:r>
      <w:r w:rsidR="00F17EEA" w:rsidRPr="00B8426C">
        <w:rPr>
          <w:rFonts w:ascii="Arial" w:hAnsi="Arial" w:cs="Arial"/>
          <w:szCs w:val="24"/>
        </w:rPr>
        <w:t>38</w:t>
      </w:r>
      <w:r w:rsidR="004337C8" w:rsidRPr="00B8426C">
        <w:rPr>
          <w:rFonts w:ascii="Arial" w:hAnsi="Arial" w:cs="Arial"/>
          <w:szCs w:val="24"/>
        </w:rPr>
        <w:t xml:space="preserve"> países.</w:t>
      </w:r>
      <w:r w:rsidR="00EF7E25" w:rsidRPr="00B8426C">
        <w:rPr>
          <w:rFonts w:ascii="Arial" w:hAnsi="Arial" w:cs="Arial"/>
          <w:szCs w:val="24"/>
        </w:rPr>
        <w:t xml:space="preserve"> Partindo de uma definição de competitividade como o conjunto de instituições, políticas e fatores que determinam o nível de produtividade de um país, o indicador é baseado em doze pilares: </w:t>
      </w:r>
      <w:r w:rsidR="00D54FA2" w:rsidRPr="00B8426C">
        <w:rPr>
          <w:rFonts w:ascii="Arial" w:hAnsi="Arial" w:cs="Arial"/>
          <w:szCs w:val="24"/>
        </w:rPr>
        <w:t xml:space="preserve">1) </w:t>
      </w:r>
      <w:r w:rsidR="00EF7E25" w:rsidRPr="00B8426C">
        <w:rPr>
          <w:rFonts w:ascii="Arial" w:hAnsi="Arial" w:cs="Arial"/>
          <w:szCs w:val="24"/>
        </w:rPr>
        <w:t xml:space="preserve">instituições, </w:t>
      </w:r>
      <w:r w:rsidR="00D54FA2" w:rsidRPr="00B8426C">
        <w:rPr>
          <w:rFonts w:ascii="Arial" w:hAnsi="Arial" w:cs="Arial"/>
          <w:szCs w:val="24"/>
        </w:rPr>
        <w:t xml:space="preserve">2) </w:t>
      </w:r>
      <w:r w:rsidR="005E7CF4" w:rsidRPr="00B8426C">
        <w:rPr>
          <w:rFonts w:ascii="Arial" w:hAnsi="Arial" w:cs="Arial"/>
          <w:szCs w:val="24"/>
        </w:rPr>
        <w:t>infraestrutura</w:t>
      </w:r>
      <w:r w:rsidR="00EF7E25" w:rsidRPr="00B8426C">
        <w:rPr>
          <w:rFonts w:ascii="Arial" w:hAnsi="Arial" w:cs="Arial"/>
          <w:szCs w:val="24"/>
        </w:rPr>
        <w:t>,</w:t>
      </w:r>
      <w:r w:rsidR="005E7CF4" w:rsidRPr="00B8426C">
        <w:rPr>
          <w:rFonts w:ascii="Arial" w:hAnsi="Arial" w:cs="Arial"/>
          <w:szCs w:val="24"/>
        </w:rPr>
        <w:t xml:space="preserve"> </w:t>
      </w:r>
      <w:r w:rsidR="00D54FA2" w:rsidRPr="00B8426C">
        <w:rPr>
          <w:rFonts w:ascii="Arial" w:hAnsi="Arial" w:cs="Arial"/>
          <w:szCs w:val="24"/>
        </w:rPr>
        <w:t xml:space="preserve">3) </w:t>
      </w:r>
      <w:r w:rsidR="005E7CF4" w:rsidRPr="00B8426C">
        <w:rPr>
          <w:rFonts w:ascii="Arial" w:hAnsi="Arial" w:cs="Arial"/>
          <w:szCs w:val="24"/>
        </w:rPr>
        <w:t xml:space="preserve">ambiente macroeconômico, </w:t>
      </w:r>
      <w:r w:rsidR="00D54FA2" w:rsidRPr="00B8426C">
        <w:rPr>
          <w:rFonts w:ascii="Arial" w:hAnsi="Arial" w:cs="Arial"/>
          <w:szCs w:val="24"/>
        </w:rPr>
        <w:t xml:space="preserve">4) </w:t>
      </w:r>
      <w:r w:rsidR="005E7CF4" w:rsidRPr="00B8426C">
        <w:rPr>
          <w:rFonts w:ascii="Arial" w:hAnsi="Arial" w:cs="Arial"/>
          <w:szCs w:val="24"/>
        </w:rPr>
        <w:t xml:space="preserve">saúde e educação primária, </w:t>
      </w:r>
      <w:r w:rsidR="00D54FA2" w:rsidRPr="00B8426C">
        <w:rPr>
          <w:rFonts w:ascii="Arial" w:hAnsi="Arial" w:cs="Arial"/>
          <w:szCs w:val="24"/>
        </w:rPr>
        <w:t xml:space="preserve">5) </w:t>
      </w:r>
      <w:r w:rsidR="005E7CF4" w:rsidRPr="00B8426C">
        <w:rPr>
          <w:rFonts w:ascii="Arial" w:hAnsi="Arial" w:cs="Arial"/>
          <w:szCs w:val="24"/>
        </w:rPr>
        <w:t xml:space="preserve">educação superior e treinamento, </w:t>
      </w:r>
      <w:r w:rsidR="00D54FA2" w:rsidRPr="00B8426C">
        <w:rPr>
          <w:rFonts w:ascii="Arial" w:hAnsi="Arial" w:cs="Arial"/>
          <w:szCs w:val="24"/>
        </w:rPr>
        <w:t xml:space="preserve">6) </w:t>
      </w:r>
      <w:r w:rsidR="005E7CF4" w:rsidRPr="00B8426C">
        <w:rPr>
          <w:rFonts w:ascii="Arial" w:hAnsi="Arial" w:cs="Arial"/>
          <w:szCs w:val="24"/>
        </w:rPr>
        <w:t xml:space="preserve">eficiência no mercado de bens, </w:t>
      </w:r>
      <w:r w:rsidR="00D54FA2" w:rsidRPr="00B8426C">
        <w:rPr>
          <w:rFonts w:ascii="Arial" w:hAnsi="Arial" w:cs="Arial"/>
          <w:szCs w:val="24"/>
        </w:rPr>
        <w:t xml:space="preserve">7) </w:t>
      </w:r>
      <w:r w:rsidR="005E7CF4" w:rsidRPr="00B8426C">
        <w:rPr>
          <w:rFonts w:ascii="Arial" w:hAnsi="Arial" w:cs="Arial"/>
          <w:szCs w:val="24"/>
        </w:rPr>
        <w:t xml:space="preserve">eficiência no mercado de trabalho, </w:t>
      </w:r>
      <w:r w:rsidR="00D54FA2" w:rsidRPr="00B8426C">
        <w:rPr>
          <w:rFonts w:ascii="Arial" w:hAnsi="Arial" w:cs="Arial"/>
          <w:szCs w:val="24"/>
        </w:rPr>
        <w:t xml:space="preserve">8) </w:t>
      </w:r>
      <w:r w:rsidR="005E7CF4" w:rsidRPr="00B8426C">
        <w:rPr>
          <w:rFonts w:ascii="Arial" w:hAnsi="Arial" w:cs="Arial"/>
          <w:szCs w:val="24"/>
        </w:rPr>
        <w:t xml:space="preserve">desenvolvimento dos mercados financeiros; </w:t>
      </w:r>
      <w:r w:rsidR="00D54FA2" w:rsidRPr="00B8426C">
        <w:rPr>
          <w:rFonts w:ascii="Arial" w:hAnsi="Arial" w:cs="Arial"/>
          <w:szCs w:val="24"/>
        </w:rPr>
        <w:t xml:space="preserve">9) </w:t>
      </w:r>
      <w:r w:rsidR="005E7CF4" w:rsidRPr="00B8426C">
        <w:rPr>
          <w:rFonts w:ascii="Arial" w:hAnsi="Arial" w:cs="Arial"/>
          <w:szCs w:val="24"/>
        </w:rPr>
        <w:t xml:space="preserve">prontidão tecnológica, </w:t>
      </w:r>
      <w:r w:rsidR="00D54FA2" w:rsidRPr="00B8426C">
        <w:rPr>
          <w:rFonts w:ascii="Arial" w:hAnsi="Arial" w:cs="Arial"/>
          <w:szCs w:val="24"/>
        </w:rPr>
        <w:t xml:space="preserve">10) </w:t>
      </w:r>
      <w:r w:rsidR="005E7CF4" w:rsidRPr="00B8426C">
        <w:rPr>
          <w:rFonts w:ascii="Arial" w:hAnsi="Arial" w:cs="Arial"/>
          <w:szCs w:val="24"/>
        </w:rPr>
        <w:t xml:space="preserve">tamanho do mercado, </w:t>
      </w:r>
      <w:r w:rsidR="00D54FA2" w:rsidRPr="00B8426C">
        <w:rPr>
          <w:rFonts w:ascii="Arial" w:hAnsi="Arial" w:cs="Arial"/>
          <w:szCs w:val="24"/>
        </w:rPr>
        <w:t xml:space="preserve">11) </w:t>
      </w:r>
      <w:r w:rsidR="005E7CF4" w:rsidRPr="00B8426C">
        <w:rPr>
          <w:rFonts w:ascii="Arial" w:hAnsi="Arial" w:cs="Arial"/>
          <w:szCs w:val="24"/>
        </w:rPr>
        <w:t>sofisticação dos negócios,</w:t>
      </w:r>
      <w:r w:rsidR="00D54FA2" w:rsidRPr="00B8426C">
        <w:rPr>
          <w:rFonts w:ascii="Arial" w:hAnsi="Arial" w:cs="Arial"/>
          <w:szCs w:val="24"/>
        </w:rPr>
        <w:t xml:space="preserve"> e 12)</w:t>
      </w:r>
      <w:r w:rsidR="005E7CF4" w:rsidRPr="00B8426C">
        <w:rPr>
          <w:rFonts w:ascii="Arial" w:hAnsi="Arial" w:cs="Arial"/>
          <w:szCs w:val="24"/>
        </w:rPr>
        <w:t xml:space="preserve"> inovação</w:t>
      </w:r>
      <w:r w:rsidR="00EF7E25" w:rsidRPr="00B8426C">
        <w:rPr>
          <w:rFonts w:ascii="Arial" w:hAnsi="Arial" w:cs="Arial"/>
          <w:szCs w:val="24"/>
        </w:rPr>
        <w:t>.</w:t>
      </w:r>
      <w:r w:rsidR="005E7CF4" w:rsidRPr="00B8426C">
        <w:rPr>
          <w:rFonts w:ascii="Arial" w:hAnsi="Arial" w:cs="Arial"/>
          <w:szCs w:val="24"/>
        </w:rPr>
        <w:t xml:space="preserve"> </w:t>
      </w:r>
      <w:r w:rsidR="00D54FA2" w:rsidRPr="00B8426C">
        <w:rPr>
          <w:rFonts w:ascii="Arial" w:hAnsi="Arial" w:cs="Arial"/>
          <w:szCs w:val="24"/>
        </w:rPr>
        <w:t xml:space="preserve">Os pilares 1 a 4 </w:t>
      </w:r>
      <w:r w:rsidR="00B3760E" w:rsidRPr="00B8426C">
        <w:rPr>
          <w:rFonts w:ascii="Arial" w:hAnsi="Arial" w:cs="Arial"/>
          <w:szCs w:val="24"/>
        </w:rPr>
        <w:t>são os principais direcionadores de fatores</w:t>
      </w:r>
      <w:r w:rsidR="00DB76D6" w:rsidRPr="00B8426C">
        <w:rPr>
          <w:rFonts w:ascii="Arial" w:hAnsi="Arial" w:cs="Arial"/>
          <w:szCs w:val="24"/>
        </w:rPr>
        <w:t xml:space="preserve"> básicos</w:t>
      </w:r>
      <w:r w:rsidR="00B3760E" w:rsidRPr="00B8426C">
        <w:rPr>
          <w:rFonts w:ascii="Arial" w:hAnsi="Arial" w:cs="Arial"/>
          <w:szCs w:val="24"/>
        </w:rPr>
        <w:t>, de 5 a 10 estão elencados os direcionadores de eficiência, e em 11 e 12, os direcionadores de inovação das economias</w:t>
      </w:r>
      <w:r w:rsidR="000A2DCB" w:rsidRPr="00B8426C">
        <w:rPr>
          <w:rFonts w:ascii="Arial" w:hAnsi="Arial" w:cs="Arial"/>
          <w:szCs w:val="24"/>
        </w:rPr>
        <w:t>.</w:t>
      </w:r>
      <w:r w:rsidR="00D54FA2" w:rsidRPr="00B8426C">
        <w:rPr>
          <w:rFonts w:ascii="Arial" w:hAnsi="Arial" w:cs="Arial"/>
          <w:szCs w:val="24"/>
        </w:rPr>
        <w:t xml:space="preserve"> </w:t>
      </w:r>
      <w:r w:rsidR="00F17EEA" w:rsidRPr="00B8426C">
        <w:rPr>
          <w:rFonts w:ascii="Arial" w:hAnsi="Arial" w:cs="Arial"/>
          <w:szCs w:val="24"/>
        </w:rPr>
        <w:fldChar w:fldCharType="begin" w:fldLock="1"/>
      </w:r>
      <w:r w:rsidR="003C2483" w:rsidRPr="00B8426C">
        <w:rPr>
          <w:rFonts w:ascii="Arial" w:hAnsi="Arial" w:cs="Arial"/>
          <w:szCs w:val="24"/>
        </w:rPr>
        <w:instrText>ADDIN CSL_CITATION { "citationItems" : [ { "id" : "ITEM-1", "itemData" : { "DOI" : "92-95044-35-5", "ISBN" : "13: 978-1-944835-04-0", "ISSN" : "08958696", "PMID" : "18210231", "abstract" : "The Global Competitiveness Report 2016-2017 assesses the competitiveness landscape of 138 economies, providing insight into the drivers of their productivity and prosperity. This year\u2019s edition highlights that declining openness is threatening growth and prosperity. It also highlights that monetary stimulus measures such as quantitative easing are not enough to sustain growth and must be accompanied by competitiveness reforms. Final key finding points to the fact that updated business practices and investment in innovation are now as important as infrastructure, skills and efficient markets. Switzerland, Singapore and the United States remain the three world\u2019s most competitive economies. \u201cDeclining openness in the global economy is harming competitiveness and making it harder for leaders to drive sustainable, inclusive growth,\u201d said Klaus Schwab, Founder and Executive Chairman, World Economic Forum. The Report series remains the most comprehensive assessment of national competitiveness worldwide", "author" : [ { "dropping-particle" : "", "family" : "WEF", "given" : "", "non-dropping-particle" : "", "parse-names" : false, "suffix" : "" } ], "container-title" : "World Economic Forum Reports 2016", "id" : "ITEM-1", "issued" : { "date-parts" : [ [ "2016" ] ] }, "number-of-pages" : "1-383", "title" : "The Global Competitiveness Report 2016\u20132017", "type" : "book" }, "uris" : [ "http://www.mendeley.com/documents/?uuid=bab75a0a-5b7c-430d-9cbb-6e33e90edf7c" ] } ], "mendeley" : { "formattedCitation" : "(WEF, 2016)", "plainTextFormattedCitation" : "(WEF, 2016)", "previouslyFormattedCitation" : "(WEF, 2016)" }, "properties" : { "noteIndex" : 0 }, "schema" : "https://github.com/citation-style-language/schema/raw/master/csl-citation.json" }</w:instrText>
      </w:r>
      <w:r w:rsidR="00F17EEA" w:rsidRPr="00B8426C">
        <w:rPr>
          <w:rFonts w:ascii="Arial" w:hAnsi="Arial" w:cs="Arial"/>
          <w:szCs w:val="24"/>
        </w:rPr>
        <w:fldChar w:fldCharType="separate"/>
      </w:r>
      <w:r w:rsidR="00F17EEA" w:rsidRPr="00B8426C">
        <w:rPr>
          <w:rFonts w:ascii="Arial" w:hAnsi="Arial" w:cs="Arial"/>
          <w:noProof/>
          <w:szCs w:val="24"/>
        </w:rPr>
        <w:t>(WEF, 2016)</w:t>
      </w:r>
      <w:r w:rsidR="00F17EEA" w:rsidRPr="00B8426C">
        <w:rPr>
          <w:rFonts w:ascii="Arial" w:hAnsi="Arial" w:cs="Arial"/>
          <w:szCs w:val="24"/>
        </w:rPr>
        <w:fldChar w:fldCharType="end"/>
      </w:r>
    </w:p>
    <w:p w:rsidR="00DB76D6" w:rsidRPr="00B8426C" w:rsidRDefault="003C2483"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Em 2014, a</w:t>
      </w:r>
      <w:r w:rsidR="00F17EEA" w:rsidRPr="00B8426C">
        <w:rPr>
          <w:rFonts w:ascii="Arial" w:hAnsi="Arial" w:cs="Arial"/>
          <w:szCs w:val="24"/>
        </w:rPr>
        <w:t xml:space="preserve"> economia brasileira estava classificada</w:t>
      </w:r>
      <w:r w:rsidR="00B3760E" w:rsidRPr="00B8426C">
        <w:rPr>
          <w:rFonts w:ascii="Arial" w:hAnsi="Arial" w:cs="Arial"/>
          <w:szCs w:val="24"/>
        </w:rPr>
        <w:t xml:space="preserve"> como em transição de uma economia direcionada por pilares de efici</w:t>
      </w:r>
      <w:r w:rsidR="00F17EEA" w:rsidRPr="00B8426C">
        <w:rPr>
          <w:rFonts w:ascii="Arial" w:hAnsi="Arial" w:cs="Arial"/>
          <w:szCs w:val="24"/>
        </w:rPr>
        <w:t>ência para os de inovação e estava</w:t>
      </w:r>
      <w:r w:rsidR="00B3760E" w:rsidRPr="00B8426C">
        <w:rPr>
          <w:rFonts w:ascii="Arial" w:hAnsi="Arial" w:cs="Arial"/>
          <w:szCs w:val="24"/>
        </w:rPr>
        <w:t xml:space="preserve"> na 57ª posição de acordo com o Índice de Competitividade Global (The Global Competitiveness Index, GCI)</w:t>
      </w:r>
      <w:r w:rsidR="00640F2C" w:rsidRPr="00B8426C">
        <w:rPr>
          <w:rFonts w:ascii="Arial" w:hAnsi="Arial" w:cs="Arial"/>
          <w:szCs w:val="24"/>
        </w:rPr>
        <w:t xml:space="preserve"> de 2014. De lá para cá caiu 18 posições em 2015 e mais 6 posições para o atual relatório</w:t>
      </w:r>
      <w:r w:rsidR="00B3760E" w:rsidRPr="00B8426C">
        <w:rPr>
          <w:rFonts w:ascii="Arial" w:hAnsi="Arial" w:cs="Arial"/>
          <w:szCs w:val="24"/>
        </w:rPr>
        <w:t xml:space="preserve">, enquanto China </w:t>
      </w:r>
      <w:r w:rsidR="00640F2C" w:rsidRPr="00B8426C">
        <w:rPr>
          <w:rFonts w:ascii="Arial" w:hAnsi="Arial" w:cs="Arial"/>
          <w:szCs w:val="24"/>
        </w:rPr>
        <w:t>continua</w:t>
      </w:r>
      <w:r w:rsidR="00B3760E" w:rsidRPr="00B8426C">
        <w:rPr>
          <w:rFonts w:ascii="Arial" w:hAnsi="Arial" w:cs="Arial"/>
          <w:szCs w:val="24"/>
        </w:rPr>
        <w:t xml:space="preserve"> em 28ª posição, </w:t>
      </w:r>
      <w:r w:rsidR="001C4CCA" w:rsidRPr="00B8426C">
        <w:rPr>
          <w:rFonts w:ascii="Arial" w:hAnsi="Arial" w:cs="Arial"/>
          <w:szCs w:val="24"/>
        </w:rPr>
        <w:t>Rússia</w:t>
      </w:r>
      <w:r w:rsidR="00B3760E" w:rsidRPr="00B8426C">
        <w:rPr>
          <w:rFonts w:ascii="Arial" w:hAnsi="Arial" w:cs="Arial"/>
          <w:szCs w:val="24"/>
        </w:rPr>
        <w:t xml:space="preserve"> </w:t>
      </w:r>
      <w:r w:rsidR="00640F2C" w:rsidRPr="00B8426C">
        <w:rPr>
          <w:rFonts w:ascii="Arial" w:hAnsi="Arial" w:cs="Arial"/>
          <w:szCs w:val="24"/>
        </w:rPr>
        <w:t xml:space="preserve">melhora 10 posições em dois anos, subindo para 43ª, </w:t>
      </w:r>
      <w:r w:rsidR="00B3760E" w:rsidRPr="00B8426C">
        <w:rPr>
          <w:rFonts w:ascii="Arial" w:hAnsi="Arial" w:cs="Arial"/>
          <w:szCs w:val="24"/>
        </w:rPr>
        <w:t xml:space="preserve">Índia </w:t>
      </w:r>
      <w:r w:rsidR="00640F2C" w:rsidRPr="00B8426C">
        <w:rPr>
          <w:rFonts w:ascii="Arial" w:hAnsi="Arial" w:cs="Arial"/>
          <w:szCs w:val="24"/>
        </w:rPr>
        <w:t>sai da posição de</w:t>
      </w:r>
      <w:r w:rsidR="00B3760E" w:rsidRPr="00B8426C">
        <w:rPr>
          <w:rFonts w:ascii="Arial" w:hAnsi="Arial" w:cs="Arial"/>
          <w:szCs w:val="24"/>
        </w:rPr>
        <w:t xml:space="preserve"> 72ª</w:t>
      </w:r>
      <w:r w:rsidR="00640F2C" w:rsidRPr="00B8426C">
        <w:rPr>
          <w:rFonts w:ascii="Arial" w:hAnsi="Arial" w:cs="Arial"/>
          <w:szCs w:val="24"/>
        </w:rPr>
        <w:t xml:space="preserve"> em 2014 para 39ª atualmente</w:t>
      </w:r>
      <w:r w:rsidR="00DB76D6" w:rsidRPr="00B8426C">
        <w:rPr>
          <w:rFonts w:ascii="Arial" w:hAnsi="Arial" w:cs="Arial"/>
          <w:szCs w:val="24"/>
        </w:rPr>
        <w:t xml:space="preserve">, </w:t>
      </w:r>
      <w:r w:rsidR="00EA3DAF" w:rsidRPr="00B8426C">
        <w:rPr>
          <w:rFonts w:ascii="Arial" w:hAnsi="Arial" w:cs="Arial"/>
          <w:szCs w:val="24"/>
        </w:rPr>
        <w:t xml:space="preserve">e África do Sul, </w:t>
      </w:r>
      <w:r w:rsidR="00640F2C" w:rsidRPr="00B8426C">
        <w:rPr>
          <w:rFonts w:ascii="Arial" w:hAnsi="Arial" w:cs="Arial"/>
          <w:szCs w:val="24"/>
        </w:rPr>
        <w:t xml:space="preserve">também subiu 11 posições para </w:t>
      </w:r>
      <w:r w:rsidR="00EA3DAF" w:rsidRPr="00B8426C">
        <w:rPr>
          <w:rFonts w:ascii="Arial" w:hAnsi="Arial" w:cs="Arial"/>
          <w:szCs w:val="24"/>
        </w:rPr>
        <w:t xml:space="preserve">em </w:t>
      </w:r>
      <w:r w:rsidR="00640F2C" w:rsidRPr="00B8426C">
        <w:rPr>
          <w:rFonts w:ascii="Arial" w:hAnsi="Arial" w:cs="Arial"/>
          <w:szCs w:val="24"/>
        </w:rPr>
        <w:t>47</w:t>
      </w:r>
      <w:r w:rsidR="00EA3DAF" w:rsidRPr="00B8426C">
        <w:rPr>
          <w:rFonts w:ascii="Arial" w:hAnsi="Arial" w:cs="Arial"/>
          <w:szCs w:val="24"/>
        </w:rPr>
        <w:t xml:space="preserve">ª, </w:t>
      </w:r>
      <w:r w:rsidR="00DB76D6" w:rsidRPr="00B8426C">
        <w:rPr>
          <w:rFonts w:ascii="Arial" w:hAnsi="Arial" w:cs="Arial"/>
          <w:szCs w:val="24"/>
        </w:rPr>
        <w:t>para termos uma comparaç</w:t>
      </w:r>
      <w:r w:rsidR="00EA3DAF" w:rsidRPr="00B8426C">
        <w:rPr>
          <w:rFonts w:ascii="Arial" w:hAnsi="Arial" w:cs="Arial"/>
          <w:szCs w:val="24"/>
        </w:rPr>
        <w:t>ão entre os BRICS</w:t>
      </w:r>
      <w:r w:rsidR="00DB76D6" w:rsidRPr="00B8426C">
        <w:rPr>
          <w:rFonts w:ascii="Arial" w:hAnsi="Arial" w:cs="Arial"/>
          <w:szCs w:val="24"/>
        </w:rPr>
        <w:t xml:space="preserve">. Considerando apenas os pilares de fatores básicos, o Brasil figura na </w:t>
      </w:r>
      <w:r w:rsidRPr="00B8426C">
        <w:rPr>
          <w:rFonts w:ascii="Arial" w:hAnsi="Arial" w:cs="Arial"/>
          <w:szCs w:val="24"/>
        </w:rPr>
        <w:t>103</w:t>
      </w:r>
      <w:r w:rsidR="00DB76D6" w:rsidRPr="00B8426C">
        <w:rPr>
          <w:rFonts w:ascii="Arial" w:hAnsi="Arial" w:cs="Arial"/>
          <w:szCs w:val="24"/>
        </w:rPr>
        <w:t xml:space="preserve">ª posição, os de eficiência, em </w:t>
      </w:r>
      <w:r w:rsidRPr="00B8426C">
        <w:rPr>
          <w:rFonts w:ascii="Arial" w:hAnsi="Arial" w:cs="Arial"/>
          <w:szCs w:val="24"/>
        </w:rPr>
        <w:t>61</w:t>
      </w:r>
      <w:r w:rsidR="00DB76D6" w:rsidRPr="00B8426C">
        <w:rPr>
          <w:rFonts w:ascii="Arial" w:hAnsi="Arial" w:cs="Arial"/>
          <w:szCs w:val="24"/>
        </w:rPr>
        <w:t xml:space="preserve">ª posição, que tem o maior peso para as economias com aquela classificação, já para os de inovação, em </w:t>
      </w:r>
      <w:r w:rsidRPr="00B8426C">
        <w:rPr>
          <w:rFonts w:ascii="Arial" w:hAnsi="Arial" w:cs="Arial"/>
          <w:szCs w:val="24"/>
        </w:rPr>
        <w:t>72</w:t>
      </w:r>
      <w:r w:rsidR="00DB76D6" w:rsidRPr="00B8426C">
        <w:rPr>
          <w:rFonts w:ascii="Arial" w:hAnsi="Arial" w:cs="Arial"/>
          <w:szCs w:val="24"/>
        </w:rPr>
        <w:t>ª posição.</w:t>
      </w:r>
      <w:r w:rsidR="00EA3DAF" w:rsidRPr="00B8426C">
        <w:rPr>
          <w:rFonts w:ascii="Arial" w:hAnsi="Arial" w:cs="Arial"/>
          <w:szCs w:val="24"/>
        </w:rPr>
        <w:t xml:space="preserve"> </w:t>
      </w:r>
      <w:r w:rsidRPr="00B8426C">
        <w:rPr>
          <w:rFonts w:ascii="Arial" w:hAnsi="Arial" w:cs="Arial"/>
          <w:szCs w:val="24"/>
        </w:rPr>
        <w:t xml:space="preserve">Atualmente, o país é classificado como uma economia no estágio dois, direcionada por pilares de eficiência. </w:t>
      </w:r>
      <w:r w:rsidR="00EA3DAF" w:rsidRPr="00B8426C">
        <w:rPr>
          <w:rFonts w:ascii="Arial" w:hAnsi="Arial" w:cs="Arial"/>
          <w:szCs w:val="24"/>
        </w:rPr>
        <w:t xml:space="preserve">A figura </w:t>
      </w:r>
      <w:r w:rsidRPr="00B8426C">
        <w:rPr>
          <w:rFonts w:ascii="Arial" w:hAnsi="Arial" w:cs="Arial"/>
          <w:szCs w:val="24"/>
        </w:rPr>
        <w:t>6</w:t>
      </w:r>
      <w:r w:rsidR="00EA3DAF" w:rsidRPr="00B8426C">
        <w:rPr>
          <w:rFonts w:ascii="Arial" w:hAnsi="Arial" w:cs="Arial"/>
          <w:szCs w:val="24"/>
        </w:rPr>
        <w:t xml:space="preserve"> ilustra o comportamento geral do Bra</w:t>
      </w:r>
      <w:r w:rsidRPr="00B8426C">
        <w:rPr>
          <w:rFonts w:ascii="Arial" w:hAnsi="Arial" w:cs="Arial"/>
          <w:szCs w:val="24"/>
        </w:rPr>
        <w:t>s</w:t>
      </w:r>
      <w:r w:rsidR="00EA3DAF" w:rsidRPr="00B8426C">
        <w:rPr>
          <w:rFonts w:ascii="Arial" w:hAnsi="Arial" w:cs="Arial"/>
          <w:szCs w:val="24"/>
        </w:rPr>
        <w:t>il em termos de competitividade.</w:t>
      </w:r>
    </w:p>
    <w:p w:rsidR="00F17EEA" w:rsidRPr="00B8426C" w:rsidRDefault="00F17EEA" w:rsidP="006D7DA9">
      <w:pPr>
        <w:spacing w:before="120" w:after="120"/>
        <w:jc w:val="center"/>
        <w:rPr>
          <w:rFonts w:ascii="Arial" w:hAnsi="Arial" w:cs="Arial"/>
          <w:szCs w:val="24"/>
        </w:rPr>
      </w:pPr>
      <w:r w:rsidRPr="00B8426C">
        <w:rPr>
          <w:rFonts w:ascii="Arial" w:hAnsi="Arial" w:cs="Arial"/>
          <w:noProof/>
          <w:szCs w:val="24"/>
          <w:lang w:val="en-US"/>
        </w:rPr>
        <w:drawing>
          <wp:inline distT="0" distB="0" distL="0" distR="0" wp14:anchorId="6255E989" wp14:editId="14ED07A9">
            <wp:extent cx="5565913" cy="31301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7285" cy="3130967"/>
                    </a:xfrm>
                    <a:prstGeom prst="rect">
                      <a:avLst/>
                    </a:prstGeom>
                    <a:noFill/>
                    <a:ln>
                      <a:noFill/>
                    </a:ln>
                  </pic:spPr>
                </pic:pic>
              </a:graphicData>
            </a:graphic>
          </wp:inline>
        </w:drawing>
      </w:r>
    </w:p>
    <w:p w:rsidR="00EA3DAF" w:rsidRPr="00B8426C" w:rsidRDefault="00EA3DAF" w:rsidP="003C2483">
      <w:pPr>
        <w:spacing w:before="120" w:after="120"/>
        <w:jc w:val="both"/>
        <w:rPr>
          <w:rFonts w:ascii="Arial" w:hAnsi="Arial" w:cs="Arial"/>
          <w:szCs w:val="24"/>
        </w:rPr>
      </w:pPr>
      <w:r w:rsidRPr="00B8426C">
        <w:rPr>
          <w:rFonts w:ascii="Arial" w:hAnsi="Arial" w:cs="Arial"/>
          <w:b/>
          <w:szCs w:val="24"/>
        </w:rPr>
        <w:t xml:space="preserve">Figura </w:t>
      </w:r>
      <w:r w:rsidR="003C2483" w:rsidRPr="00B8426C">
        <w:rPr>
          <w:rFonts w:ascii="Arial" w:hAnsi="Arial" w:cs="Arial"/>
          <w:b/>
          <w:szCs w:val="24"/>
        </w:rPr>
        <w:t>6</w:t>
      </w:r>
      <w:r w:rsidRPr="00B8426C">
        <w:rPr>
          <w:rFonts w:ascii="Arial" w:hAnsi="Arial" w:cs="Arial"/>
          <w:b/>
          <w:szCs w:val="24"/>
        </w:rPr>
        <w:t>:</w:t>
      </w:r>
      <w:r w:rsidRPr="00B8426C">
        <w:rPr>
          <w:rFonts w:ascii="Arial" w:hAnsi="Arial" w:cs="Arial"/>
          <w:szCs w:val="24"/>
        </w:rPr>
        <w:t xml:space="preserve"> </w:t>
      </w:r>
      <w:r w:rsidR="00486B55" w:rsidRPr="00B8426C">
        <w:rPr>
          <w:rFonts w:ascii="Arial" w:hAnsi="Arial" w:cs="Arial"/>
          <w:szCs w:val="24"/>
        </w:rPr>
        <w:t xml:space="preserve">Brasil: </w:t>
      </w:r>
      <w:r w:rsidRPr="00B8426C">
        <w:rPr>
          <w:rFonts w:ascii="Arial" w:hAnsi="Arial" w:cs="Arial"/>
          <w:szCs w:val="24"/>
        </w:rPr>
        <w:t xml:space="preserve">Índice de </w:t>
      </w:r>
      <w:r w:rsidR="00486B55" w:rsidRPr="00B8426C">
        <w:rPr>
          <w:rFonts w:ascii="Arial" w:hAnsi="Arial" w:cs="Arial"/>
          <w:szCs w:val="24"/>
        </w:rPr>
        <w:t>C</w:t>
      </w:r>
      <w:r w:rsidRPr="00B8426C">
        <w:rPr>
          <w:rFonts w:ascii="Arial" w:hAnsi="Arial" w:cs="Arial"/>
          <w:szCs w:val="24"/>
        </w:rPr>
        <w:t xml:space="preserve">ompetitividade </w:t>
      </w:r>
      <w:r w:rsidR="00486B55" w:rsidRPr="00B8426C">
        <w:rPr>
          <w:rFonts w:ascii="Arial" w:hAnsi="Arial" w:cs="Arial"/>
          <w:szCs w:val="24"/>
        </w:rPr>
        <w:t>Global e seus pilares (fonte:</w:t>
      </w:r>
      <w:r w:rsidR="003C2483" w:rsidRPr="00B8426C">
        <w:rPr>
          <w:rFonts w:ascii="Arial" w:hAnsi="Arial" w:cs="Arial"/>
          <w:szCs w:val="24"/>
        </w:rPr>
        <w:t xml:space="preserve"> </w:t>
      </w:r>
      <w:r w:rsidR="003C2483" w:rsidRPr="00B8426C">
        <w:rPr>
          <w:rFonts w:ascii="Arial" w:hAnsi="Arial" w:cs="Arial"/>
          <w:szCs w:val="24"/>
        </w:rPr>
        <w:fldChar w:fldCharType="begin" w:fldLock="1"/>
      </w:r>
      <w:r w:rsidR="003974A5" w:rsidRPr="00B8426C">
        <w:rPr>
          <w:rFonts w:ascii="Arial" w:hAnsi="Arial" w:cs="Arial"/>
          <w:szCs w:val="24"/>
        </w:rPr>
        <w:instrText>ADDIN CSL_CITATION { "citationItems" : [ { "id" : "ITEM-1", "itemData" : { "DOI" : "92-95044-35-5", "ISBN" : "13: 978-1-944835-04-0", "ISSN" : "08958696", "PMID" : "18210231", "abstract" : "The Global Competitiveness Report 2016-2017 assesses the competitiveness landscape of 138 economies, providing insight into the drivers of their productivity and prosperity. This year\u2019s edition highlights that declining openness is threatening growth and prosperity. It also highlights that monetary stimulus measures such as quantitative easing are not enough to sustain growth and must be accompanied by competitiveness reforms. Final key finding points to the fact that updated business practices and investment in innovation are now as important as infrastructure, skills and efficient markets. Switzerland, Singapore and the United States remain the three world\u2019s most competitive economies. \u201cDeclining openness in the global economy is harming competitiveness and making it harder for leaders to drive sustainable, inclusive growth,\u201d said Klaus Schwab, Founder and Executive Chairman, World Economic Forum. The Report series remains the most comprehensive assessment of national competitiveness worldwide", "author" : [ { "dropping-particle" : "", "family" : "WEF", "given" : "", "non-dropping-particle" : "", "parse-names" : false, "suffix" : "" } ], "container-title" : "World Economic Forum Reports 2016", "id" : "ITEM-1", "issued" : { "date-parts" : [ [ "2016" ] ] }, "number-of-pages" : "1-383", "title" : "The Global Competitiveness Report 2016\u20132017", "type" : "book" }, "uris" : [ "http://www.mendeley.com/documents/?uuid=bab75a0a-5b7c-430d-9cbb-6e33e90edf7c" ] } ], "mendeley" : { "formattedCitation" : "(WEF, 2016)", "plainTextFormattedCitation" : "(WEF, 2016)", "previouslyFormattedCitation" : "(WEF, 2016)" }, "properties" : { "noteIndex" : 0 }, "schema" : "https://github.com/citation-style-language/schema/raw/master/csl-citation.json" }</w:instrText>
      </w:r>
      <w:r w:rsidR="003C2483" w:rsidRPr="00B8426C">
        <w:rPr>
          <w:rFonts w:ascii="Arial" w:hAnsi="Arial" w:cs="Arial"/>
          <w:szCs w:val="24"/>
        </w:rPr>
        <w:fldChar w:fldCharType="separate"/>
      </w:r>
      <w:r w:rsidR="003C2483" w:rsidRPr="00B8426C">
        <w:rPr>
          <w:rFonts w:ascii="Arial" w:hAnsi="Arial" w:cs="Arial"/>
          <w:noProof/>
          <w:szCs w:val="24"/>
        </w:rPr>
        <w:t>(WEF, 2016)</w:t>
      </w:r>
      <w:r w:rsidR="003C2483" w:rsidRPr="00B8426C">
        <w:rPr>
          <w:rFonts w:ascii="Arial" w:hAnsi="Arial" w:cs="Arial"/>
          <w:szCs w:val="24"/>
        </w:rPr>
        <w:fldChar w:fldCharType="end"/>
      </w:r>
      <w:r w:rsidR="00486B55" w:rsidRPr="00B8426C">
        <w:rPr>
          <w:rFonts w:ascii="Arial" w:hAnsi="Arial" w:cs="Arial"/>
          <w:szCs w:val="24"/>
        </w:rPr>
        <w:t>, pág. 1</w:t>
      </w:r>
      <w:r w:rsidR="006D7DA9" w:rsidRPr="00B8426C">
        <w:rPr>
          <w:rFonts w:ascii="Arial" w:hAnsi="Arial" w:cs="Arial"/>
          <w:szCs w:val="24"/>
        </w:rPr>
        <w:t>26</w:t>
      </w:r>
      <w:r w:rsidR="00486B55" w:rsidRPr="00B8426C">
        <w:rPr>
          <w:rFonts w:ascii="Arial" w:hAnsi="Arial" w:cs="Arial"/>
          <w:szCs w:val="24"/>
        </w:rPr>
        <w:t>)</w:t>
      </w:r>
    </w:p>
    <w:p w:rsidR="00EA3DAF" w:rsidRPr="00B8426C" w:rsidRDefault="00EA3DAF" w:rsidP="006D7DA9">
      <w:pPr>
        <w:pStyle w:val="ListParagraph"/>
        <w:spacing w:before="120" w:after="120"/>
        <w:ind w:left="454"/>
        <w:contextualSpacing w:val="0"/>
        <w:jc w:val="both"/>
        <w:rPr>
          <w:rFonts w:ascii="Arial" w:hAnsi="Arial" w:cs="Arial"/>
          <w:szCs w:val="24"/>
        </w:rPr>
      </w:pPr>
    </w:p>
    <w:p w:rsidR="00486B55" w:rsidRPr="00B8426C" w:rsidRDefault="006D7DA9"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w:t>
      </w:r>
      <w:r w:rsidR="00486B55" w:rsidRPr="00B8426C">
        <w:rPr>
          <w:rFonts w:ascii="Arial" w:hAnsi="Arial" w:cs="Arial"/>
          <w:szCs w:val="24"/>
        </w:rPr>
        <w:t xml:space="preserve">Os principais fatores problemáticos para a realização de negócios também são destacados na figura </w:t>
      </w:r>
      <w:r w:rsidR="003974A5" w:rsidRPr="00B8426C">
        <w:rPr>
          <w:rFonts w:ascii="Arial" w:hAnsi="Arial" w:cs="Arial"/>
          <w:szCs w:val="24"/>
        </w:rPr>
        <w:t>7</w:t>
      </w:r>
      <w:r w:rsidR="00486B55" w:rsidRPr="00B8426C">
        <w:rPr>
          <w:rFonts w:ascii="Arial" w:hAnsi="Arial" w:cs="Arial"/>
          <w:szCs w:val="24"/>
        </w:rPr>
        <w:t>, segundo o Executive Survey Opinion,</w:t>
      </w:r>
      <w:r w:rsidR="003974A5" w:rsidRPr="00B8426C">
        <w:rPr>
          <w:rFonts w:ascii="Arial" w:hAnsi="Arial" w:cs="Arial"/>
          <w:szCs w:val="24"/>
        </w:rPr>
        <w:t xml:space="preserve"> do mesmo relatório,</w:t>
      </w:r>
      <w:r w:rsidR="00486B55" w:rsidRPr="00B8426C">
        <w:rPr>
          <w:rFonts w:ascii="Arial" w:hAnsi="Arial" w:cs="Arial"/>
          <w:szCs w:val="24"/>
        </w:rPr>
        <w:t xml:space="preserve"> que captura as opiniões de líderes no mundo dos negócios</w:t>
      </w:r>
      <w:r w:rsidR="001E0191" w:rsidRPr="00B8426C">
        <w:rPr>
          <w:rFonts w:ascii="Arial" w:hAnsi="Arial" w:cs="Arial"/>
          <w:szCs w:val="24"/>
        </w:rPr>
        <w:t xml:space="preserve"> sobre aspectos qualitativos não disponíveis nos dados em escala global </w:t>
      </w:r>
      <w:r w:rsidR="003974A5" w:rsidRPr="00B8426C">
        <w:rPr>
          <w:rFonts w:ascii="Arial" w:hAnsi="Arial" w:cs="Arial"/>
          <w:szCs w:val="24"/>
        </w:rPr>
        <w:t>que teve 128</w:t>
      </w:r>
      <w:r w:rsidR="00486B55" w:rsidRPr="00B8426C">
        <w:rPr>
          <w:rFonts w:ascii="Arial" w:hAnsi="Arial" w:cs="Arial"/>
          <w:szCs w:val="24"/>
        </w:rPr>
        <w:t xml:space="preserve"> respondentes para o Brasil</w:t>
      </w:r>
      <w:r w:rsidR="001E0191" w:rsidRPr="00B8426C">
        <w:rPr>
          <w:rFonts w:ascii="Arial" w:hAnsi="Arial" w:cs="Arial"/>
          <w:szCs w:val="24"/>
        </w:rPr>
        <w:t xml:space="preserve"> nesta edição.</w:t>
      </w:r>
    </w:p>
    <w:p w:rsidR="001E0191" w:rsidRPr="00B8426C" w:rsidRDefault="003974A5" w:rsidP="003974A5">
      <w:pPr>
        <w:spacing w:before="120" w:after="120"/>
        <w:jc w:val="both"/>
        <w:rPr>
          <w:rFonts w:ascii="Arial" w:hAnsi="Arial" w:cs="Arial"/>
          <w:szCs w:val="24"/>
        </w:rPr>
      </w:pPr>
      <w:r w:rsidRPr="00B8426C">
        <w:rPr>
          <w:rFonts w:ascii="Arial" w:hAnsi="Arial" w:cs="Arial"/>
          <w:noProof/>
          <w:szCs w:val="24"/>
          <w:lang w:val="en-US"/>
        </w:rPr>
        <w:drawing>
          <wp:inline distT="0" distB="0" distL="0" distR="0" wp14:anchorId="4685EFA4" wp14:editId="1B475121">
            <wp:extent cx="5724939" cy="2243216"/>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5026" cy="2243250"/>
                    </a:xfrm>
                    <a:prstGeom prst="rect">
                      <a:avLst/>
                    </a:prstGeom>
                    <a:noFill/>
                    <a:ln>
                      <a:noFill/>
                    </a:ln>
                  </pic:spPr>
                </pic:pic>
              </a:graphicData>
            </a:graphic>
          </wp:inline>
        </w:drawing>
      </w:r>
    </w:p>
    <w:p w:rsidR="001E0191" w:rsidRPr="00B8426C" w:rsidRDefault="001E0191" w:rsidP="003974A5">
      <w:pPr>
        <w:spacing w:before="120" w:after="120"/>
        <w:jc w:val="both"/>
        <w:rPr>
          <w:rFonts w:ascii="Arial" w:hAnsi="Arial" w:cs="Arial"/>
          <w:szCs w:val="24"/>
        </w:rPr>
      </w:pPr>
      <w:r w:rsidRPr="00B8426C">
        <w:rPr>
          <w:rFonts w:ascii="Arial" w:hAnsi="Arial" w:cs="Arial"/>
          <w:b/>
          <w:szCs w:val="24"/>
        </w:rPr>
        <w:t xml:space="preserve">Figura </w:t>
      </w:r>
      <w:r w:rsidR="00413C30" w:rsidRPr="00B8426C">
        <w:rPr>
          <w:rFonts w:ascii="Arial" w:hAnsi="Arial" w:cs="Arial"/>
          <w:b/>
          <w:szCs w:val="24"/>
        </w:rPr>
        <w:t>7</w:t>
      </w:r>
      <w:r w:rsidRPr="00B8426C">
        <w:rPr>
          <w:rFonts w:ascii="Arial" w:hAnsi="Arial" w:cs="Arial"/>
          <w:b/>
          <w:szCs w:val="24"/>
        </w:rPr>
        <w:t>:</w:t>
      </w:r>
      <w:r w:rsidRPr="00B8426C">
        <w:rPr>
          <w:rFonts w:ascii="Arial" w:hAnsi="Arial" w:cs="Arial"/>
          <w:szCs w:val="24"/>
        </w:rPr>
        <w:t xml:space="preserve"> Fatores mais problemáticos para a realização de negócios (fonte</w:t>
      </w:r>
      <w:r w:rsidR="003974A5" w:rsidRPr="00B8426C">
        <w:rPr>
          <w:rFonts w:ascii="Arial" w:hAnsi="Arial" w:cs="Arial"/>
          <w:szCs w:val="24"/>
        </w:rPr>
        <w:t>:</w:t>
      </w:r>
      <w:r w:rsidRPr="00B8426C">
        <w:rPr>
          <w:rFonts w:ascii="Arial" w:hAnsi="Arial" w:cs="Arial"/>
          <w:szCs w:val="24"/>
        </w:rPr>
        <w:t xml:space="preserve"> </w:t>
      </w:r>
      <w:r w:rsidR="003974A5" w:rsidRPr="00B8426C">
        <w:rPr>
          <w:rFonts w:ascii="Arial" w:hAnsi="Arial" w:cs="Arial"/>
          <w:szCs w:val="24"/>
        </w:rPr>
        <w:fldChar w:fldCharType="begin" w:fldLock="1"/>
      </w:r>
      <w:r w:rsidR="00DF40FB" w:rsidRPr="00B8426C">
        <w:rPr>
          <w:rFonts w:ascii="Arial" w:hAnsi="Arial" w:cs="Arial"/>
          <w:szCs w:val="24"/>
        </w:rPr>
        <w:instrText>ADDIN CSL_CITATION { "citationItems" : [ { "id" : "ITEM-1", "itemData" : { "DOI" : "92-95044-35-5", "ISBN" : "13: 978-1-944835-04-0", "ISSN" : "08958696", "PMID" : "18210231", "abstract" : "The Global Competitiveness Report 2016-2017 assesses the competitiveness landscape of 138 economies, providing insight into the drivers of their productivity and prosperity. This year\u2019s edition highlights that declining openness is threatening growth and prosperity. It also highlights that monetary stimulus measures such as quantitative easing are not enough to sustain growth and must be accompanied by competitiveness reforms. Final key finding points to the fact that updated business practices and investment in innovation are now as important as infrastructure, skills and efficient markets. Switzerland, Singapore and the United States remain the three world\u2019s most competitive economies. \u201cDeclining openness in the global economy is harming competitiveness and making it harder for leaders to drive sustainable, inclusive growth,\u201d said Klaus Schwab, Founder and Executive Chairman, World Economic Forum. The Report series remains the most comprehensive assessment of national competitiveness worldwide", "author" : [ { "dropping-particle" : "", "family" : "WEF", "given" : "", "non-dropping-particle" : "", "parse-names" : false, "suffix" : "" } ], "container-title" : "World Economic Forum Reports 2016", "id" : "ITEM-1", "issued" : { "date-parts" : [ [ "2016" ] ] }, "number-of-pages" : "1-383", "title" : "The Global Competitiveness Report 2016\u20132017", "type" : "book" }, "uris" : [ "http://www.mendeley.com/documents/?uuid=bab75a0a-5b7c-430d-9cbb-6e33e90edf7c" ] } ], "mendeley" : { "formattedCitation" : "(WEF, 2016)", "plainTextFormattedCitation" : "(WEF, 2016)", "previouslyFormattedCitation" : "(WEF, 2016)" }, "properties" : { "noteIndex" : 0 }, "schema" : "https://github.com/citation-style-language/schema/raw/master/csl-citation.json" }</w:instrText>
      </w:r>
      <w:r w:rsidR="003974A5" w:rsidRPr="00B8426C">
        <w:rPr>
          <w:rFonts w:ascii="Arial" w:hAnsi="Arial" w:cs="Arial"/>
          <w:szCs w:val="24"/>
        </w:rPr>
        <w:fldChar w:fldCharType="separate"/>
      </w:r>
      <w:r w:rsidR="003974A5" w:rsidRPr="00B8426C">
        <w:rPr>
          <w:rFonts w:ascii="Arial" w:hAnsi="Arial" w:cs="Arial"/>
          <w:noProof/>
          <w:szCs w:val="24"/>
        </w:rPr>
        <w:t>(WEF, 2016)</w:t>
      </w:r>
      <w:r w:rsidR="003974A5" w:rsidRPr="00B8426C">
        <w:rPr>
          <w:rFonts w:ascii="Arial" w:hAnsi="Arial" w:cs="Arial"/>
          <w:szCs w:val="24"/>
        </w:rPr>
        <w:fldChar w:fldCharType="end"/>
      </w:r>
      <w:r w:rsidRPr="00B8426C">
        <w:rPr>
          <w:rFonts w:ascii="Arial" w:hAnsi="Arial" w:cs="Arial"/>
          <w:szCs w:val="24"/>
        </w:rPr>
        <w:t xml:space="preserve"> pág. 1</w:t>
      </w:r>
      <w:r w:rsidR="003974A5" w:rsidRPr="00B8426C">
        <w:rPr>
          <w:rFonts w:ascii="Arial" w:hAnsi="Arial" w:cs="Arial"/>
          <w:szCs w:val="24"/>
        </w:rPr>
        <w:t>26</w:t>
      </w:r>
      <w:r w:rsidRPr="00B8426C">
        <w:rPr>
          <w:rFonts w:ascii="Arial" w:hAnsi="Arial" w:cs="Arial"/>
          <w:szCs w:val="24"/>
        </w:rPr>
        <w:t>)</w:t>
      </w:r>
    </w:p>
    <w:p w:rsidR="004E4672" w:rsidRPr="00B8426C" w:rsidRDefault="00413C30" w:rsidP="00345893">
      <w:pPr>
        <w:pStyle w:val="ListParagraph"/>
        <w:numPr>
          <w:ilvl w:val="1"/>
          <w:numId w:val="2"/>
        </w:numPr>
        <w:spacing w:before="120" w:after="120"/>
        <w:contextualSpacing w:val="0"/>
        <w:jc w:val="both"/>
        <w:rPr>
          <w:rFonts w:ascii="Arial" w:hAnsi="Arial" w:cs="Arial"/>
          <w:szCs w:val="24"/>
        </w:rPr>
      </w:pPr>
      <w:r w:rsidRPr="00B8426C">
        <w:rPr>
          <w:rFonts w:ascii="Arial" w:hAnsi="Arial" w:cs="Arial"/>
          <w:szCs w:val="24"/>
        </w:rPr>
        <w:t>O comportamento de queda da competitividade do Brasil</w:t>
      </w:r>
      <w:r w:rsidR="00D56678" w:rsidRPr="00B8426C">
        <w:rPr>
          <w:rFonts w:ascii="Arial" w:hAnsi="Arial" w:cs="Arial"/>
          <w:szCs w:val="24"/>
        </w:rPr>
        <w:t xml:space="preserve"> expresso no Índice de Competitividade Global nos últimos anos reflete os choques negativos nos termos de troca e crise política, que eleva ainda mais as incertezas sobre a capacidade de recuperação da economia. </w:t>
      </w:r>
      <w:r w:rsidR="004E4CBF" w:rsidRPr="00B8426C">
        <w:rPr>
          <w:rFonts w:ascii="Arial" w:hAnsi="Arial" w:cs="Arial"/>
          <w:szCs w:val="24"/>
        </w:rPr>
        <w:t xml:space="preserve">Os termos de troca </w:t>
      </w:r>
      <w:r w:rsidR="00BB4642" w:rsidRPr="00B8426C">
        <w:rPr>
          <w:rFonts w:ascii="Arial" w:hAnsi="Arial" w:cs="Arial"/>
          <w:szCs w:val="24"/>
        </w:rPr>
        <w:t>(</w:t>
      </w:r>
      <w:r w:rsidR="00345893" w:rsidRPr="00B8426C">
        <w:rPr>
          <w:rFonts w:ascii="Arial" w:hAnsi="Arial" w:cs="Arial"/>
          <w:szCs w:val="24"/>
        </w:rPr>
        <w:t>razão entre os índices de preço das exportações e os índices de preço das importações</w:t>
      </w:r>
      <w:r w:rsidR="00BB4642" w:rsidRPr="00B8426C">
        <w:rPr>
          <w:rFonts w:ascii="Arial" w:hAnsi="Arial" w:cs="Arial"/>
          <w:szCs w:val="24"/>
        </w:rPr>
        <w:t xml:space="preserve">) </w:t>
      </w:r>
      <w:r w:rsidR="004E4CBF" w:rsidRPr="00B8426C">
        <w:rPr>
          <w:rFonts w:ascii="Arial" w:hAnsi="Arial" w:cs="Arial"/>
          <w:szCs w:val="24"/>
        </w:rPr>
        <w:t>sofreram com a queda da atividade econômica na China e a queda dos preços das commodities nos mercados internacional</w:t>
      </w:r>
      <w:r w:rsidR="00330EEE" w:rsidRPr="00B8426C">
        <w:rPr>
          <w:rFonts w:ascii="Arial" w:hAnsi="Arial" w:cs="Arial"/>
          <w:szCs w:val="24"/>
        </w:rPr>
        <w:t>, como ilustra a figura 8.</w:t>
      </w:r>
    </w:p>
    <w:p w:rsidR="00332CEA" w:rsidRPr="00B8426C" w:rsidRDefault="00345893" w:rsidP="00332CEA">
      <w:pPr>
        <w:spacing w:before="120" w:after="120"/>
        <w:jc w:val="center"/>
        <w:rPr>
          <w:rFonts w:ascii="Arial" w:hAnsi="Arial" w:cs="Arial"/>
          <w:szCs w:val="24"/>
        </w:rPr>
      </w:pPr>
      <w:r w:rsidRPr="00B8426C">
        <w:rPr>
          <w:rFonts w:ascii="Arial" w:hAnsi="Arial" w:cs="Arial"/>
          <w:noProof/>
          <w:lang w:val="en-US"/>
        </w:rPr>
        <w:drawing>
          <wp:inline distT="0" distB="0" distL="0" distR="0" wp14:anchorId="48AE2355" wp14:editId="5B8E4746">
            <wp:extent cx="4572000" cy="2743200"/>
            <wp:effectExtent l="0" t="0" r="19050" b="1905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B4642" w:rsidRPr="00B8426C" w:rsidRDefault="00BB4642" w:rsidP="00900943">
      <w:pPr>
        <w:spacing w:before="120" w:after="120"/>
        <w:jc w:val="both"/>
        <w:rPr>
          <w:rFonts w:ascii="Arial" w:hAnsi="Arial" w:cs="Arial"/>
          <w:szCs w:val="24"/>
        </w:rPr>
      </w:pPr>
      <w:r w:rsidRPr="00B8426C">
        <w:rPr>
          <w:rFonts w:ascii="Arial" w:hAnsi="Arial" w:cs="Arial"/>
          <w:b/>
          <w:szCs w:val="24"/>
        </w:rPr>
        <w:t>Figura 8:</w:t>
      </w:r>
      <w:r w:rsidRPr="00B8426C">
        <w:rPr>
          <w:rFonts w:ascii="Arial" w:hAnsi="Arial" w:cs="Arial"/>
          <w:szCs w:val="24"/>
        </w:rPr>
        <w:t xml:space="preserve"> Evolução dos Termos de troca brasileiros de </w:t>
      </w:r>
      <w:r w:rsidR="00345893" w:rsidRPr="00B8426C">
        <w:rPr>
          <w:rFonts w:ascii="Arial" w:hAnsi="Arial" w:cs="Arial"/>
          <w:szCs w:val="24"/>
        </w:rPr>
        <w:t>1989</w:t>
      </w:r>
      <w:r w:rsidRPr="00B8426C">
        <w:rPr>
          <w:rFonts w:ascii="Arial" w:hAnsi="Arial" w:cs="Arial"/>
          <w:szCs w:val="24"/>
        </w:rPr>
        <w:t xml:space="preserve"> a 2016 (base</w:t>
      </w:r>
      <w:r w:rsidR="00345893" w:rsidRPr="00B8426C">
        <w:rPr>
          <w:rFonts w:ascii="Arial" w:hAnsi="Arial" w:cs="Arial"/>
          <w:szCs w:val="24"/>
        </w:rPr>
        <w:t>: média</w:t>
      </w:r>
      <w:r w:rsidRPr="00B8426C">
        <w:rPr>
          <w:rFonts w:ascii="Arial" w:hAnsi="Arial" w:cs="Arial"/>
          <w:szCs w:val="24"/>
        </w:rPr>
        <w:t xml:space="preserve"> 200</w:t>
      </w:r>
      <w:r w:rsidR="00345893" w:rsidRPr="00B8426C">
        <w:rPr>
          <w:rFonts w:ascii="Arial" w:hAnsi="Arial" w:cs="Arial"/>
          <w:szCs w:val="24"/>
        </w:rPr>
        <w:t>6</w:t>
      </w:r>
      <w:r w:rsidRPr="00B8426C">
        <w:rPr>
          <w:rFonts w:ascii="Arial" w:hAnsi="Arial" w:cs="Arial"/>
          <w:szCs w:val="24"/>
        </w:rPr>
        <w:t xml:space="preserve">) </w:t>
      </w:r>
    </w:p>
    <w:p w:rsidR="004E4672" w:rsidRPr="00B8426C" w:rsidRDefault="004E4672" w:rsidP="00900943">
      <w:pPr>
        <w:spacing w:before="120" w:after="120"/>
        <w:jc w:val="both"/>
        <w:rPr>
          <w:rFonts w:ascii="Arial" w:hAnsi="Arial" w:cs="Arial"/>
          <w:szCs w:val="24"/>
        </w:rPr>
      </w:pPr>
    </w:p>
    <w:p w:rsidR="004E4672" w:rsidRPr="00B8426C" w:rsidRDefault="004E4672"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Além disso, as exportações </w:t>
      </w:r>
      <w:r w:rsidR="00A044A3" w:rsidRPr="00B8426C">
        <w:rPr>
          <w:rFonts w:ascii="Arial" w:hAnsi="Arial" w:cs="Arial"/>
          <w:szCs w:val="24"/>
        </w:rPr>
        <w:t xml:space="preserve">da indústria de transformação </w:t>
      </w:r>
      <w:r w:rsidRPr="00B8426C">
        <w:rPr>
          <w:rFonts w:ascii="Arial" w:hAnsi="Arial" w:cs="Arial"/>
          <w:szCs w:val="24"/>
        </w:rPr>
        <w:t>brasileira</w:t>
      </w:r>
      <w:r w:rsidR="00A044A3" w:rsidRPr="00B8426C">
        <w:rPr>
          <w:rFonts w:ascii="Arial" w:hAnsi="Arial" w:cs="Arial"/>
          <w:szCs w:val="24"/>
        </w:rPr>
        <w:t>,</w:t>
      </w:r>
      <w:r w:rsidRPr="00B8426C">
        <w:rPr>
          <w:rFonts w:ascii="Arial" w:hAnsi="Arial" w:cs="Arial"/>
          <w:szCs w:val="24"/>
        </w:rPr>
        <w:t xml:space="preserve"> quando</w:t>
      </w:r>
      <w:r w:rsidR="00A044A3" w:rsidRPr="00B8426C">
        <w:rPr>
          <w:rFonts w:ascii="Arial" w:hAnsi="Arial" w:cs="Arial"/>
          <w:szCs w:val="24"/>
        </w:rPr>
        <w:t xml:space="preserve"> classificadas quanto ao seu grau de intensidade tecnológica, apresentam uma queda da participação </w:t>
      </w:r>
      <w:r w:rsidRPr="00B8426C">
        <w:rPr>
          <w:rFonts w:ascii="Arial" w:hAnsi="Arial" w:cs="Arial"/>
          <w:szCs w:val="24"/>
        </w:rPr>
        <w:t>de alta e média-alta intensidade tecnológica no total nos anos dois mil, saindo de uma participação de 35,6% em 2000 para 23,4% em 2016 (figura 9), ou seja estamos exportando menos produtos</w:t>
      </w:r>
      <w:r w:rsidR="00A044A3" w:rsidRPr="00B8426C">
        <w:rPr>
          <w:rFonts w:ascii="Arial" w:hAnsi="Arial" w:cs="Arial"/>
          <w:szCs w:val="24"/>
        </w:rPr>
        <w:t xml:space="preserve"> industriais</w:t>
      </w:r>
      <w:r w:rsidRPr="00B8426C">
        <w:rPr>
          <w:rFonts w:ascii="Arial" w:hAnsi="Arial" w:cs="Arial"/>
          <w:szCs w:val="24"/>
        </w:rPr>
        <w:t xml:space="preserve"> mais elaborados do ponto de vista tecnológico em nossa indústria de transformação.</w:t>
      </w:r>
    </w:p>
    <w:p w:rsidR="004E4672" w:rsidRPr="00B8426C" w:rsidRDefault="000B7F44" w:rsidP="004A6134">
      <w:pPr>
        <w:spacing w:before="120" w:after="120"/>
        <w:jc w:val="center"/>
        <w:rPr>
          <w:rFonts w:ascii="Arial" w:hAnsi="Arial" w:cs="Arial"/>
          <w:szCs w:val="24"/>
        </w:rPr>
      </w:pPr>
      <w:r w:rsidRPr="00B8426C">
        <w:rPr>
          <w:rFonts w:ascii="Arial" w:hAnsi="Arial" w:cs="Arial"/>
          <w:noProof/>
          <w:lang w:val="en-US"/>
        </w:rPr>
        <w:drawing>
          <wp:inline distT="0" distB="0" distL="0" distR="0" wp14:anchorId="7C513FA3" wp14:editId="5403500B">
            <wp:extent cx="5643562" cy="3842147"/>
            <wp:effectExtent l="0" t="0" r="14605" b="2540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30EEE" w:rsidRPr="00B8426C" w:rsidRDefault="00330EEE" w:rsidP="00330EEE">
      <w:pPr>
        <w:spacing w:before="120" w:after="120"/>
        <w:jc w:val="both"/>
        <w:rPr>
          <w:rFonts w:ascii="Arial" w:hAnsi="Arial" w:cs="Arial"/>
          <w:szCs w:val="24"/>
        </w:rPr>
      </w:pPr>
      <w:r w:rsidRPr="00B8426C">
        <w:rPr>
          <w:rFonts w:ascii="Arial" w:hAnsi="Arial" w:cs="Arial"/>
          <w:b/>
          <w:szCs w:val="24"/>
        </w:rPr>
        <w:t>Figura 9:</w:t>
      </w:r>
      <w:r w:rsidRPr="00B8426C">
        <w:rPr>
          <w:rFonts w:ascii="Arial" w:hAnsi="Arial" w:cs="Arial"/>
          <w:szCs w:val="24"/>
        </w:rPr>
        <w:t xml:space="preserve"> Exportações brasileiras classificadas pelo grau de intensidade tecnologia como proporção do total de exportações</w:t>
      </w:r>
      <w:r w:rsidR="00EB2AF1" w:rsidRPr="00B8426C">
        <w:rPr>
          <w:rFonts w:ascii="Arial" w:hAnsi="Arial" w:cs="Arial"/>
          <w:szCs w:val="24"/>
        </w:rPr>
        <w:t xml:space="preserve"> (1997-2016)</w:t>
      </w:r>
      <w:r w:rsidRPr="00B8426C">
        <w:rPr>
          <w:rFonts w:ascii="Arial" w:hAnsi="Arial" w:cs="Arial"/>
          <w:szCs w:val="24"/>
        </w:rPr>
        <w:t>.</w:t>
      </w:r>
    </w:p>
    <w:p w:rsidR="00B96FCF" w:rsidRPr="00B8426C" w:rsidRDefault="00B96FCF" w:rsidP="00330EEE">
      <w:pPr>
        <w:spacing w:before="120" w:after="120"/>
        <w:jc w:val="both"/>
        <w:rPr>
          <w:rFonts w:ascii="Arial" w:hAnsi="Arial" w:cs="Arial"/>
          <w:szCs w:val="24"/>
        </w:rPr>
      </w:pPr>
    </w:p>
    <w:p w:rsidR="00413C30" w:rsidRPr="00B8426C" w:rsidRDefault="00900943"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w:t>
      </w:r>
      <w:r w:rsidR="008052D6" w:rsidRPr="00B8426C">
        <w:rPr>
          <w:rFonts w:ascii="Arial" w:hAnsi="Arial" w:cs="Arial"/>
          <w:szCs w:val="24"/>
        </w:rPr>
        <w:t>Observa-se, a partir desse conjunto de informações sobre competitividade e comportamento das exportações brasileiras, um baixo grau de complexidade econômica, com baixa diversificação de produtos e grau de inovação tecnológica insipiente</w:t>
      </w:r>
      <w:r w:rsidR="00B96FCF" w:rsidRPr="00B8426C">
        <w:rPr>
          <w:rFonts w:ascii="Arial" w:hAnsi="Arial" w:cs="Arial"/>
          <w:szCs w:val="24"/>
        </w:rPr>
        <w:t xml:space="preserve"> na economia brasileira</w:t>
      </w:r>
      <w:r w:rsidR="008052D6" w:rsidRPr="00B8426C">
        <w:rPr>
          <w:rFonts w:ascii="Arial" w:hAnsi="Arial" w:cs="Arial"/>
          <w:szCs w:val="24"/>
        </w:rPr>
        <w:t xml:space="preserve">. O </w:t>
      </w:r>
      <w:r w:rsidR="00B96FCF" w:rsidRPr="00B8426C">
        <w:rPr>
          <w:rFonts w:ascii="Arial" w:hAnsi="Arial" w:cs="Arial"/>
          <w:szCs w:val="24"/>
        </w:rPr>
        <w:t>Í</w:t>
      </w:r>
      <w:r w:rsidR="008052D6" w:rsidRPr="00B8426C">
        <w:rPr>
          <w:rFonts w:ascii="Arial" w:hAnsi="Arial" w:cs="Arial"/>
          <w:szCs w:val="24"/>
        </w:rPr>
        <w:t>ndice de Complexidade Econômica</w:t>
      </w:r>
      <w:r w:rsidR="00B96FCF" w:rsidRPr="00B8426C">
        <w:rPr>
          <w:rFonts w:ascii="Arial" w:hAnsi="Arial" w:cs="Arial"/>
          <w:szCs w:val="24"/>
        </w:rPr>
        <w:t xml:space="preserve"> que </w:t>
      </w:r>
      <w:r w:rsidR="00D157D8" w:rsidRPr="00B8426C">
        <w:rPr>
          <w:rFonts w:ascii="Arial" w:hAnsi="Arial" w:cs="Arial"/>
          <w:szCs w:val="24"/>
        </w:rPr>
        <w:t>leva em conta quantos produtos diferentes um país pode produzir (diversidade) e o número de países capazes de produzir aqueles produtos (ubiquidade), a partir da pauta de exportações de cada país, resultando numa classificação entre eles, expressa no indicador. O Brasil, ao longo dos anos, vem perdendo sistematicamente posições de acordo com esse indicador, ocupando atualmente a posição 54 entre 124 países, como mostra a figura 10.</w:t>
      </w:r>
    </w:p>
    <w:p w:rsidR="00B96FCF" w:rsidRPr="00B8426C" w:rsidRDefault="00B96FCF" w:rsidP="00B96FCF">
      <w:pPr>
        <w:spacing w:before="120" w:after="120"/>
        <w:jc w:val="center"/>
        <w:rPr>
          <w:rFonts w:ascii="Arial" w:hAnsi="Arial" w:cs="Arial"/>
          <w:szCs w:val="24"/>
        </w:rPr>
      </w:pPr>
      <w:r w:rsidRPr="00B8426C">
        <w:rPr>
          <w:rFonts w:ascii="Arial" w:hAnsi="Arial" w:cs="Arial"/>
          <w:noProof/>
          <w:lang w:val="en-US"/>
        </w:rPr>
        <w:drawing>
          <wp:inline distT="0" distB="0" distL="0" distR="0" wp14:anchorId="1E228B31" wp14:editId="2E429E6F">
            <wp:extent cx="4675367" cy="2433099"/>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96FCF" w:rsidRPr="00B8426C" w:rsidRDefault="00B96FCF" w:rsidP="00B96FCF">
      <w:pPr>
        <w:rPr>
          <w:rFonts w:ascii="Arial" w:hAnsi="Arial" w:cs="Arial"/>
          <w:color w:val="000000"/>
          <w:sz w:val="22"/>
          <w:szCs w:val="22"/>
          <w:lang w:eastAsia="pt-BR"/>
        </w:rPr>
      </w:pPr>
      <w:r w:rsidRPr="00B8426C">
        <w:rPr>
          <w:rFonts w:ascii="Arial" w:hAnsi="Arial" w:cs="Arial"/>
          <w:b/>
          <w:szCs w:val="24"/>
        </w:rPr>
        <w:t>Figura 10:</w:t>
      </w:r>
      <w:r w:rsidRPr="00B8426C">
        <w:rPr>
          <w:rFonts w:ascii="Arial" w:hAnsi="Arial" w:cs="Arial"/>
          <w:szCs w:val="24"/>
        </w:rPr>
        <w:t xml:space="preserve"> </w:t>
      </w:r>
      <w:r w:rsidRPr="00B8426C">
        <w:rPr>
          <w:rFonts w:ascii="Arial" w:hAnsi="Arial" w:cs="Arial"/>
          <w:color w:val="000000"/>
          <w:sz w:val="22"/>
          <w:szCs w:val="22"/>
          <w:lang w:eastAsia="pt-BR"/>
        </w:rPr>
        <w:t>Índice de Complexidade Econômica - classificação do Brasil de 1995 a 2014</w:t>
      </w:r>
    </w:p>
    <w:p w:rsidR="00A62B34" w:rsidRPr="00B8426C" w:rsidRDefault="00C43376"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w:t>
      </w:r>
      <w:r w:rsidR="008837B4" w:rsidRPr="00B8426C">
        <w:rPr>
          <w:rFonts w:ascii="Arial" w:hAnsi="Arial" w:cs="Arial"/>
          <w:szCs w:val="24"/>
        </w:rPr>
        <w:t xml:space="preserve">Já que inovação tecnológica é um ponto fundamental para aumentar a produtividade e a competitividade das empresas, e, dessa forma, induzir ao crescimento econômico, </w:t>
      </w:r>
      <w:r w:rsidRPr="00B8426C">
        <w:rPr>
          <w:rFonts w:ascii="Arial" w:hAnsi="Arial" w:cs="Arial"/>
          <w:szCs w:val="24"/>
        </w:rPr>
        <w:t xml:space="preserve">torna-se importante sintetizar em dados a situação do Brasil em termos de investimentos em Pesquisa e Desenvolvimento (P&amp;D) e em Inovação de produtos e processos. </w:t>
      </w:r>
      <w:r w:rsidR="000637EE" w:rsidRPr="00B8426C">
        <w:rPr>
          <w:rFonts w:ascii="Arial" w:hAnsi="Arial" w:cs="Arial"/>
          <w:szCs w:val="24"/>
        </w:rPr>
        <w:t xml:space="preserve">Dados da OCDE indicam que o percentual de gasto bruto em P&amp;D como proporção do PIB no Brasil são da ordem de 1,2%, enquanto a média da OCDE é de 2,4% em 2014. </w:t>
      </w:r>
    </w:p>
    <w:p w:rsidR="00A62B34" w:rsidRPr="00B8426C" w:rsidRDefault="00D72E4D" w:rsidP="00A62B34">
      <w:pPr>
        <w:spacing w:before="120" w:after="120"/>
        <w:jc w:val="both"/>
        <w:rPr>
          <w:rFonts w:ascii="Arial" w:hAnsi="Arial" w:cs="Arial"/>
          <w:szCs w:val="24"/>
        </w:rPr>
      </w:pPr>
      <w:r>
        <w:rPr>
          <w:rFonts w:ascii="Arial" w:hAnsi="Arial" w:cs="Arial"/>
          <w:noProof/>
          <w:szCs w:val="24"/>
          <w:lang w:val="en-US"/>
        </w:rPr>
        <w:drawing>
          <wp:inline distT="0" distB="0" distL="0" distR="0">
            <wp:extent cx="6179820" cy="2057400"/>
            <wp:effectExtent l="0" t="0" r="0" b="0"/>
            <wp:docPr id="15" name="Picture 5" descr="Direct and Indirect Government Funding of Business R&am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rect and Indirect Government Funding of Business R&amp;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79820" cy="2057400"/>
                    </a:xfrm>
                    <a:prstGeom prst="rect">
                      <a:avLst/>
                    </a:prstGeom>
                    <a:noFill/>
                    <a:ln>
                      <a:noFill/>
                    </a:ln>
                  </pic:spPr>
                </pic:pic>
              </a:graphicData>
            </a:graphic>
          </wp:inline>
        </w:drawing>
      </w:r>
    </w:p>
    <w:p w:rsidR="00A62B34" w:rsidRPr="00B8426C" w:rsidRDefault="00A62B34" w:rsidP="00A62B34">
      <w:pPr>
        <w:spacing w:before="120" w:after="120"/>
        <w:jc w:val="both"/>
        <w:rPr>
          <w:rFonts w:ascii="Arial" w:hAnsi="Arial" w:cs="Arial"/>
          <w:szCs w:val="24"/>
        </w:rPr>
      </w:pPr>
      <w:r w:rsidRPr="00B8426C">
        <w:rPr>
          <w:rFonts w:ascii="Arial" w:hAnsi="Arial" w:cs="Arial"/>
          <w:b/>
          <w:szCs w:val="24"/>
        </w:rPr>
        <w:t xml:space="preserve">Figura </w:t>
      </w:r>
      <w:r w:rsidR="007C44F1" w:rsidRPr="00B8426C">
        <w:rPr>
          <w:rFonts w:ascii="Arial" w:hAnsi="Arial" w:cs="Arial"/>
          <w:b/>
          <w:szCs w:val="24"/>
        </w:rPr>
        <w:t>11</w:t>
      </w:r>
      <w:r w:rsidRPr="00B8426C">
        <w:rPr>
          <w:rFonts w:ascii="Arial" w:hAnsi="Arial" w:cs="Arial"/>
          <w:b/>
          <w:szCs w:val="24"/>
        </w:rPr>
        <w:t>:</w:t>
      </w:r>
      <w:r w:rsidRPr="00B8426C">
        <w:rPr>
          <w:rFonts w:ascii="Arial" w:hAnsi="Arial" w:cs="Arial"/>
          <w:szCs w:val="24"/>
        </w:rPr>
        <w:t xml:space="preserve"> Financiamento direto e indireto do governo a empresas de P&amp;D (Fonte: Science technology and Industry Scoreboard, 2015) </w:t>
      </w:r>
    </w:p>
    <w:p w:rsidR="00A62B34" w:rsidRPr="00B8426C" w:rsidRDefault="00A62B34" w:rsidP="00A62B34">
      <w:pPr>
        <w:spacing w:before="120" w:after="120"/>
        <w:jc w:val="both"/>
        <w:rPr>
          <w:rFonts w:ascii="Arial" w:hAnsi="Arial" w:cs="Arial"/>
          <w:szCs w:val="24"/>
        </w:rPr>
      </w:pPr>
    </w:p>
    <w:p w:rsidR="00694B52" w:rsidRPr="00B8426C" w:rsidRDefault="00CC4D97"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w:t>
      </w:r>
      <w:r w:rsidR="00F55EC2" w:rsidRPr="00B8426C">
        <w:rPr>
          <w:rFonts w:ascii="Arial" w:hAnsi="Arial" w:cs="Arial"/>
          <w:szCs w:val="24"/>
        </w:rPr>
        <w:t xml:space="preserve">Outra fonte muito relevante para </w:t>
      </w:r>
      <w:r w:rsidR="00694B52" w:rsidRPr="00B8426C">
        <w:rPr>
          <w:rFonts w:ascii="Arial" w:hAnsi="Arial" w:cs="Arial"/>
          <w:szCs w:val="24"/>
        </w:rPr>
        <w:t>analisar o processo de inovação empresarial no Brasil é a</w:t>
      </w:r>
      <w:r w:rsidR="00694B52" w:rsidRPr="00B8426C">
        <w:rPr>
          <w:rFonts w:ascii="Arial" w:hAnsi="Arial" w:cs="Arial"/>
        </w:rPr>
        <w:t xml:space="preserve"> Pesquisa de Inovação (PINTEC), realizada pelo IBGE, que tem por objetivo a construção de indicadores setoriais nacionais das atividades de inovação das empresas brasileiras, mostrando quais fatores influenciam o comportamento inovador das empresas, as estratégias adotadas, os esforços empreendidos, os incentivos e os resultados da inovação. A série da PINTEC começou em 2000, trazendo informações relativas ao triênio 1998-2000, seguida pelas pesquisas de 2003 (triênio 2001-2003), 2005 (triênio 2003-2005), 2008 (triênio 2006-2008), 2011 (triênio 2009-2011), tendo sua mais recente edição em 2014 (triênio 2012-2014). A Pesquisa atual não registra alterações em relação a de 2011, tornando possível a comparação dos resultados agregados entre elas.</w:t>
      </w:r>
    </w:p>
    <w:p w:rsidR="000637EE" w:rsidRPr="00B8426C" w:rsidRDefault="00CC4D97"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Segundo</w:t>
      </w:r>
      <w:r w:rsidR="000637EE" w:rsidRPr="00B8426C">
        <w:rPr>
          <w:rFonts w:ascii="Arial" w:hAnsi="Arial" w:cs="Arial"/>
          <w:szCs w:val="24"/>
        </w:rPr>
        <w:t xml:space="preserve"> dados da</w:t>
      </w:r>
      <w:r w:rsidRPr="00B8426C">
        <w:rPr>
          <w:rFonts w:ascii="Arial" w:hAnsi="Arial" w:cs="Arial"/>
          <w:szCs w:val="24"/>
        </w:rPr>
        <w:t>s</w:t>
      </w:r>
      <w:r w:rsidR="000637EE" w:rsidRPr="00B8426C">
        <w:rPr>
          <w:rFonts w:ascii="Arial" w:hAnsi="Arial" w:cs="Arial"/>
          <w:szCs w:val="24"/>
        </w:rPr>
        <w:t xml:space="preserve"> PINTEC</w:t>
      </w:r>
      <w:r w:rsidRPr="00B8426C">
        <w:rPr>
          <w:rFonts w:ascii="Arial" w:hAnsi="Arial" w:cs="Arial"/>
          <w:szCs w:val="24"/>
        </w:rPr>
        <w:t>s</w:t>
      </w:r>
      <w:r w:rsidR="000637EE" w:rsidRPr="00B8426C">
        <w:rPr>
          <w:rFonts w:ascii="Arial" w:hAnsi="Arial" w:cs="Arial"/>
          <w:szCs w:val="24"/>
        </w:rPr>
        <w:t xml:space="preserve">, </w:t>
      </w:r>
      <w:r w:rsidRPr="00B8426C">
        <w:rPr>
          <w:rFonts w:ascii="Arial" w:hAnsi="Arial" w:cs="Arial"/>
          <w:szCs w:val="24"/>
        </w:rPr>
        <w:t xml:space="preserve">podemos observar que o investimento em atividades inovativas como proporção da receita operacional líquida vem caindo de 2008 para 2014, representando 2,54% na última pesquisa, enquanto que o percentual de empresas que realizam inovação mantém-se abaixo de 30%. </w:t>
      </w:r>
      <w:r w:rsidR="008167F7" w:rsidRPr="00B8426C">
        <w:rPr>
          <w:rFonts w:ascii="Arial" w:hAnsi="Arial" w:cs="Arial"/>
          <w:szCs w:val="24"/>
        </w:rPr>
        <w:t xml:space="preserve">Como era de se esperar, as empresas maiores têm mais condições de assumir os riscos de projetos de inovação, </w:t>
      </w:r>
      <w:r w:rsidR="007C0D16" w:rsidRPr="00B8426C">
        <w:rPr>
          <w:rFonts w:ascii="Arial" w:hAnsi="Arial" w:cs="Arial"/>
          <w:szCs w:val="24"/>
        </w:rPr>
        <w:t>como mostra a tabela 1.</w:t>
      </w:r>
    </w:p>
    <w:p w:rsidR="007C0D16" w:rsidRPr="00B8426C" w:rsidRDefault="007C0D16" w:rsidP="007C0D16">
      <w:pPr>
        <w:spacing w:before="120" w:after="120"/>
        <w:jc w:val="both"/>
        <w:rPr>
          <w:rFonts w:ascii="Arial" w:hAnsi="Arial" w:cs="Arial"/>
          <w:szCs w:val="24"/>
        </w:rPr>
      </w:pPr>
      <w:r w:rsidRPr="00B8426C">
        <w:rPr>
          <w:rFonts w:ascii="Arial" w:hAnsi="Arial" w:cs="Arial"/>
          <w:noProof/>
          <w:lang w:val="en-US"/>
        </w:rPr>
        <w:drawing>
          <wp:inline distT="0" distB="0" distL="0" distR="0" wp14:anchorId="4CC4D4AD" wp14:editId="361FCE36">
            <wp:extent cx="6189345" cy="1659895"/>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89345" cy="1659895"/>
                    </a:xfrm>
                    <a:prstGeom prst="rect">
                      <a:avLst/>
                    </a:prstGeom>
                    <a:noFill/>
                    <a:ln>
                      <a:noFill/>
                    </a:ln>
                  </pic:spPr>
                </pic:pic>
              </a:graphicData>
            </a:graphic>
          </wp:inline>
        </w:drawing>
      </w:r>
    </w:p>
    <w:p w:rsidR="00BF5C02" w:rsidRPr="00B8426C" w:rsidRDefault="008167F7" w:rsidP="00BF5C02">
      <w:pPr>
        <w:spacing w:before="120" w:after="120"/>
        <w:jc w:val="both"/>
        <w:rPr>
          <w:rFonts w:ascii="Arial" w:hAnsi="Arial" w:cs="Arial"/>
          <w:szCs w:val="24"/>
        </w:rPr>
      </w:pPr>
      <w:r w:rsidRPr="00B8426C">
        <w:rPr>
          <w:rFonts w:ascii="Arial" w:hAnsi="Arial" w:cs="Arial"/>
          <w:b/>
          <w:szCs w:val="24"/>
        </w:rPr>
        <w:t>Tabela 1:</w:t>
      </w:r>
      <w:r w:rsidRPr="00B8426C">
        <w:rPr>
          <w:rFonts w:ascii="Arial" w:hAnsi="Arial" w:cs="Arial"/>
          <w:szCs w:val="24"/>
        </w:rPr>
        <w:t xml:space="preserve"> Investimento em PDI relação à receita de vendas e percentual de empresas que inovam, Pintec 2011 e 2014, de acordo com tamanho da empresa.</w:t>
      </w:r>
    </w:p>
    <w:p w:rsidR="00BF5C02" w:rsidRPr="00B8426C" w:rsidRDefault="008167F7" w:rsidP="00BF5C02">
      <w:pPr>
        <w:pStyle w:val="ListParagraph"/>
        <w:numPr>
          <w:ilvl w:val="1"/>
          <w:numId w:val="2"/>
        </w:numPr>
        <w:spacing w:before="120" w:after="120"/>
        <w:jc w:val="both"/>
        <w:rPr>
          <w:rFonts w:ascii="Arial" w:hAnsi="Arial" w:cs="Arial"/>
          <w:szCs w:val="24"/>
        </w:rPr>
      </w:pPr>
      <w:r w:rsidRPr="00B8426C">
        <w:rPr>
          <w:rFonts w:ascii="Arial" w:hAnsi="Arial" w:cs="Arial"/>
          <w:szCs w:val="24"/>
        </w:rPr>
        <w:t xml:space="preserve">A figura </w:t>
      </w:r>
      <w:r w:rsidR="000534F4" w:rsidRPr="00B8426C">
        <w:rPr>
          <w:rFonts w:ascii="Arial" w:hAnsi="Arial" w:cs="Arial"/>
          <w:szCs w:val="24"/>
        </w:rPr>
        <w:t xml:space="preserve">12 </w:t>
      </w:r>
      <w:r w:rsidRPr="00B8426C">
        <w:rPr>
          <w:rFonts w:ascii="Arial" w:hAnsi="Arial" w:cs="Arial"/>
          <w:szCs w:val="24"/>
        </w:rPr>
        <w:t>abaixo ilustra outro aspecto relevante do perfil de inovação das empresas brasile</w:t>
      </w:r>
      <w:r w:rsidR="000534F4" w:rsidRPr="00B8426C">
        <w:rPr>
          <w:rFonts w:ascii="Arial" w:hAnsi="Arial" w:cs="Arial"/>
          <w:szCs w:val="24"/>
        </w:rPr>
        <w:t xml:space="preserve">iras: a principal fonte de </w:t>
      </w:r>
      <w:r w:rsidR="000A521B" w:rsidRPr="00B8426C">
        <w:rPr>
          <w:rFonts w:ascii="Arial" w:hAnsi="Arial" w:cs="Arial"/>
          <w:szCs w:val="24"/>
        </w:rPr>
        <w:t>financiamento é própria e menos de 15% utilizaram financiamento público em 2011 e 2014. Essa pode ser uma evidência de baixa oferta de recursos públicos para viabilizar a inovação nas empresas.</w:t>
      </w:r>
    </w:p>
    <w:p w:rsidR="000637EE" w:rsidRPr="00B8426C" w:rsidRDefault="005C17D7" w:rsidP="005C17D7">
      <w:pPr>
        <w:spacing w:before="120" w:after="120"/>
        <w:jc w:val="center"/>
        <w:rPr>
          <w:rFonts w:ascii="Arial" w:hAnsi="Arial" w:cs="Arial"/>
          <w:szCs w:val="24"/>
        </w:rPr>
      </w:pPr>
      <w:r w:rsidRPr="00B8426C">
        <w:rPr>
          <w:rFonts w:ascii="Arial" w:hAnsi="Arial" w:cs="Arial"/>
          <w:noProof/>
          <w:lang w:val="en-US"/>
        </w:rPr>
        <w:drawing>
          <wp:inline distT="0" distB="0" distL="0" distR="0" wp14:anchorId="7D36AD87" wp14:editId="35AC11EC">
            <wp:extent cx="5112689" cy="3283888"/>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A521B" w:rsidRPr="00B8426C" w:rsidRDefault="000A521B" w:rsidP="000A521B">
      <w:pPr>
        <w:spacing w:before="120" w:after="120"/>
        <w:rPr>
          <w:rFonts w:ascii="Arial" w:hAnsi="Arial" w:cs="Arial"/>
          <w:szCs w:val="24"/>
        </w:rPr>
      </w:pPr>
      <w:r w:rsidRPr="00B8426C">
        <w:rPr>
          <w:rFonts w:ascii="Arial" w:hAnsi="Arial" w:cs="Arial"/>
          <w:b/>
          <w:szCs w:val="24"/>
        </w:rPr>
        <w:t>Figura 12:</w:t>
      </w:r>
      <w:r w:rsidRPr="00B8426C">
        <w:rPr>
          <w:rFonts w:ascii="Arial" w:hAnsi="Arial" w:cs="Arial"/>
          <w:szCs w:val="24"/>
        </w:rPr>
        <w:t xml:space="preserve"> Principais fontes de financiamento de inovação em empresas (PINTEC 2011 e 2014)</w:t>
      </w:r>
    </w:p>
    <w:p w:rsidR="000B7F44" w:rsidRPr="00B8426C" w:rsidRDefault="000B7F44" w:rsidP="000637EE">
      <w:pPr>
        <w:spacing w:before="120" w:after="120"/>
        <w:jc w:val="both"/>
        <w:rPr>
          <w:rFonts w:ascii="Arial" w:hAnsi="Arial" w:cs="Arial"/>
          <w:szCs w:val="24"/>
        </w:rPr>
      </w:pPr>
    </w:p>
    <w:p w:rsidR="002A6DAB" w:rsidRPr="00B8426C" w:rsidRDefault="00151719" w:rsidP="000637EE">
      <w:pPr>
        <w:pStyle w:val="ListParagraph"/>
        <w:numPr>
          <w:ilvl w:val="1"/>
          <w:numId w:val="2"/>
        </w:numPr>
        <w:tabs>
          <w:tab w:val="clear" w:pos="576"/>
          <w:tab w:val="num" w:pos="426"/>
        </w:tabs>
        <w:spacing w:before="120" w:after="120"/>
        <w:jc w:val="both"/>
        <w:rPr>
          <w:rFonts w:ascii="Arial" w:hAnsi="Arial" w:cs="Arial"/>
          <w:szCs w:val="24"/>
        </w:rPr>
      </w:pPr>
      <w:r w:rsidRPr="00B8426C">
        <w:rPr>
          <w:rFonts w:ascii="Arial" w:hAnsi="Arial" w:cs="Arial"/>
          <w:szCs w:val="24"/>
        </w:rPr>
        <w:t xml:space="preserve"> Os dados aqui sintetizados mostram um quadro complexo. Num momento de severa recessão</w:t>
      </w:r>
      <w:r w:rsidR="00987320" w:rsidRPr="00B8426C">
        <w:rPr>
          <w:rFonts w:ascii="Arial" w:hAnsi="Arial" w:cs="Arial"/>
          <w:szCs w:val="24"/>
        </w:rPr>
        <w:t xml:space="preserve"> e uma aguda crise política</w:t>
      </w:r>
      <w:r w:rsidRPr="00B8426C">
        <w:rPr>
          <w:rFonts w:ascii="Arial" w:hAnsi="Arial" w:cs="Arial"/>
          <w:szCs w:val="24"/>
        </w:rPr>
        <w:t xml:space="preserve">, o país </w:t>
      </w:r>
      <w:r w:rsidR="007C0D16" w:rsidRPr="00B8426C">
        <w:rPr>
          <w:rFonts w:ascii="Arial" w:hAnsi="Arial" w:cs="Arial"/>
          <w:szCs w:val="24"/>
        </w:rPr>
        <w:t>se v</w:t>
      </w:r>
      <w:r w:rsidR="00987320" w:rsidRPr="00B8426C">
        <w:rPr>
          <w:rFonts w:ascii="Arial" w:hAnsi="Arial" w:cs="Arial"/>
          <w:szCs w:val="24"/>
        </w:rPr>
        <w:t>ê em meio</w:t>
      </w:r>
      <w:r w:rsidR="007C0D16" w:rsidRPr="00B8426C">
        <w:rPr>
          <w:rFonts w:ascii="Arial" w:hAnsi="Arial" w:cs="Arial"/>
          <w:szCs w:val="24"/>
        </w:rPr>
        <w:t xml:space="preserve"> a grandes desafios: </w:t>
      </w:r>
      <w:r w:rsidR="00987320" w:rsidRPr="00B8426C">
        <w:rPr>
          <w:rFonts w:ascii="Arial" w:hAnsi="Arial" w:cs="Arial"/>
          <w:szCs w:val="24"/>
        </w:rPr>
        <w:t>reverter o ciclo conjuntural e retomar o crescimento econômico, e, num horizonte de médio prazo, buscar elevar suas condições de produção, por meio de investimentos que induzam maior produtividade do trabalho e ganhos de competitividade internacional. O investimento em inovação pode ser um caminho para alcançarmos uma capacidade de crescer de forma sustentada, inaugurando uma nova etapa de desenvolvimento econômico e social.</w:t>
      </w:r>
    </w:p>
    <w:p w:rsidR="00987320" w:rsidRPr="00B8426C" w:rsidRDefault="00987320" w:rsidP="00987320">
      <w:pPr>
        <w:pStyle w:val="ListParagraph"/>
        <w:spacing w:before="120" w:after="120"/>
        <w:ind w:left="576"/>
        <w:jc w:val="both"/>
        <w:rPr>
          <w:rFonts w:ascii="Arial" w:hAnsi="Arial" w:cs="Arial"/>
          <w:szCs w:val="24"/>
        </w:rPr>
      </w:pPr>
    </w:p>
    <w:p w:rsidR="00A17829" w:rsidRPr="00B8426C" w:rsidRDefault="00A17829" w:rsidP="001147E1">
      <w:pPr>
        <w:pStyle w:val="Heading1"/>
        <w:numPr>
          <w:ilvl w:val="0"/>
          <w:numId w:val="2"/>
        </w:numPr>
        <w:spacing w:before="0" w:after="0"/>
        <w:rPr>
          <w:rFonts w:cs="Arial"/>
          <w:sz w:val="24"/>
          <w:szCs w:val="24"/>
        </w:rPr>
      </w:pPr>
      <w:bookmarkStart w:id="4" w:name="_Toc483345020"/>
      <w:r w:rsidRPr="00B8426C">
        <w:rPr>
          <w:rFonts w:cs="Arial"/>
          <w:sz w:val="24"/>
          <w:szCs w:val="24"/>
        </w:rPr>
        <w:t xml:space="preserve">Componentes do </w:t>
      </w:r>
      <w:r w:rsidR="003313CD" w:rsidRPr="00B8426C">
        <w:rPr>
          <w:rFonts w:cs="Arial"/>
          <w:sz w:val="24"/>
          <w:szCs w:val="24"/>
        </w:rPr>
        <w:t>Programa</w:t>
      </w:r>
      <w:r w:rsidRPr="00B8426C">
        <w:rPr>
          <w:rFonts w:cs="Arial"/>
          <w:sz w:val="24"/>
          <w:szCs w:val="24"/>
        </w:rPr>
        <w:t xml:space="preserve"> </w:t>
      </w:r>
      <w:r w:rsidR="00AA141C" w:rsidRPr="00B8426C">
        <w:rPr>
          <w:rFonts w:cs="Arial"/>
          <w:sz w:val="24"/>
          <w:szCs w:val="24"/>
        </w:rPr>
        <w:t>Inovar para Crescer</w:t>
      </w:r>
      <w:bookmarkEnd w:id="4"/>
      <w:r w:rsidRPr="00B8426C">
        <w:rPr>
          <w:rFonts w:cs="Arial"/>
          <w:sz w:val="24"/>
          <w:szCs w:val="24"/>
        </w:rPr>
        <w:t xml:space="preserve"> </w:t>
      </w:r>
    </w:p>
    <w:p w:rsidR="00055464" w:rsidRPr="00B8426C" w:rsidRDefault="00055464" w:rsidP="000637EE">
      <w:pPr>
        <w:spacing w:before="120" w:after="120"/>
        <w:jc w:val="both"/>
        <w:rPr>
          <w:rFonts w:ascii="Arial" w:hAnsi="Arial" w:cs="Arial"/>
          <w:szCs w:val="24"/>
        </w:rPr>
      </w:pPr>
    </w:p>
    <w:p w:rsidR="00E43A30" w:rsidRPr="00B8426C" w:rsidRDefault="001F19CF"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Tendo em vista o exposto </w:t>
      </w:r>
      <w:r w:rsidR="00A62B34" w:rsidRPr="00B8426C">
        <w:rPr>
          <w:rFonts w:ascii="Arial" w:hAnsi="Arial" w:cs="Arial"/>
          <w:szCs w:val="24"/>
        </w:rPr>
        <w:t>no capítulo anterior</w:t>
      </w:r>
      <w:r w:rsidRPr="00B8426C">
        <w:rPr>
          <w:rFonts w:ascii="Arial" w:hAnsi="Arial" w:cs="Arial"/>
          <w:szCs w:val="24"/>
        </w:rPr>
        <w:t>,</w:t>
      </w:r>
      <w:r w:rsidR="00A62B34" w:rsidRPr="00B8426C">
        <w:rPr>
          <w:rFonts w:ascii="Arial" w:hAnsi="Arial" w:cs="Arial"/>
          <w:szCs w:val="24"/>
        </w:rPr>
        <w:t xml:space="preserve"> depreende-se a necessidade de que o Brasil aprofunde sua política de </w:t>
      </w:r>
      <w:r w:rsidR="005E343B" w:rsidRPr="00B8426C">
        <w:rPr>
          <w:rFonts w:ascii="Arial" w:hAnsi="Arial" w:cs="Arial"/>
          <w:szCs w:val="24"/>
        </w:rPr>
        <w:t xml:space="preserve">incentivo à elevação do </w:t>
      </w:r>
      <w:r w:rsidR="00A62B34" w:rsidRPr="00B8426C">
        <w:rPr>
          <w:rFonts w:ascii="Arial" w:hAnsi="Arial" w:cs="Arial"/>
          <w:szCs w:val="24"/>
        </w:rPr>
        <w:t>investimento</w:t>
      </w:r>
      <w:r w:rsidR="005E343B" w:rsidRPr="00B8426C">
        <w:rPr>
          <w:rFonts w:ascii="Arial" w:hAnsi="Arial" w:cs="Arial"/>
          <w:szCs w:val="24"/>
        </w:rPr>
        <w:t xml:space="preserve"> privado em inovação, com o objetivo de elevar a competitividade e a produtividade da economia.</w:t>
      </w:r>
      <w:r w:rsidR="00FF18D3" w:rsidRPr="00B8426C">
        <w:rPr>
          <w:rFonts w:ascii="Arial" w:hAnsi="Arial" w:cs="Arial"/>
          <w:szCs w:val="24"/>
        </w:rPr>
        <w:t xml:space="preserve"> Tal necessidade </w:t>
      </w:r>
      <w:r w:rsidR="00CB18EA" w:rsidRPr="00B8426C">
        <w:rPr>
          <w:rFonts w:ascii="Arial" w:hAnsi="Arial" w:cs="Arial"/>
          <w:szCs w:val="24"/>
        </w:rPr>
        <w:t>figura como ponto central</w:t>
      </w:r>
      <w:r w:rsidR="00FF18D3" w:rsidRPr="00B8426C">
        <w:rPr>
          <w:rFonts w:ascii="Arial" w:hAnsi="Arial" w:cs="Arial"/>
          <w:szCs w:val="24"/>
        </w:rPr>
        <w:t xml:space="preserve"> </w:t>
      </w:r>
      <w:r w:rsidR="00CB18EA" w:rsidRPr="00B8426C">
        <w:rPr>
          <w:rFonts w:ascii="Arial" w:hAnsi="Arial" w:cs="Arial"/>
          <w:szCs w:val="24"/>
        </w:rPr>
        <w:t xml:space="preserve">das ações </w:t>
      </w:r>
      <w:r w:rsidR="00FF18D3" w:rsidRPr="00B8426C">
        <w:rPr>
          <w:rFonts w:ascii="Arial" w:hAnsi="Arial" w:cs="Arial"/>
          <w:szCs w:val="24"/>
        </w:rPr>
        <w:t>do Ministério da Ciência, Tecnologia, Inovação e Comunicações brasileiro</w:t>
      </w:r>
      <w:r w:rsidR="00CB18EA" w:rsidRPr="00B8426C">
        <w:rPr>
          <w:rFonts w:ascii="Arial" w:hAnsi="Arial" w:cs="Arial"/>
          <w:szCs w:val="24"/>
        </w:rPr>
        <w:t xml:space="preserve">, cujos objetivos estão </w:t>
      </w:r>
      <w:r w:rsidR="00FF18D3" w:rsidRPr="00B8426C">
        <w:rPr>
          <w:rFonts w:ascii="Arial" w:hAnsi="Arial" w:cs="Arial"/>
          <w:szCs w:val="24"/>
        </w:rPr>
        <w:t xml:space="preserve">expressos no documento de planejamento </w:t>
      </w:r>
      <w:r w:rsidR="00B46A5C" w:rsidRPr="00B8426C">
        <w:rPr>
          <w:rFonts w:ascii="Arial" w:hAnsi="Arial" w:cs="Arial"/>
          <w:szCs w:val="24"/>
        </w:rPr>
        <w:t xml:space="preserve">Estratégia Nacional de Ciência, Tecnologia e Inovação </w:t>
      </w:r>
      <w:r w:rsidR="007F50E2" w:rsidRPr="00B8426C">
        <w:rPr>
          <w:rFonts w:ascii="Arial" w:hAnsi="Arial" w:cs="Arial"/>
          <w:szCs w:val="24"/>
        </w:rPr>
        <w:t xml:space="preserve">(ENCTI) </w:t>
      </w:r>
      <w:r w:rsidR="00B46A5C" w:rsidRPr="00B8426C">
        <w:rPr>
          <w:rFonts w:ascii="Arial" w:hAnsi="Arial" w:cs="Arial"/>
          <w:szCs w:val="24"/>
        </w:rPr>
        <w:t>2016-2019</w:t>
      </w:r>
      <w:r w:rsidR="00DB673E" w:rsidRPr="00B8426C">
        <w:rPr>
          <w:rFonts w:ascii="Arial" w:hAnsi="Arial" w:cs="Arial"/>
          <w:szCs w:val="24"/>
        </w:rPr>
        <w:t>, e indicam as cadeias setoriais de química, mineração, indústria 4.0, saúde, alimentos e agroindústrias, biocombustíveis, biorefinarias, cidades inteligentes e mudança climática como eixos prioritários estratégicos</w:t>
      </w:r>
      <w:r w:rsidR="00CB18EA" w:rsidRPr="00B8426C">
        <w:rPr>
          <w:rFonts w:ascii="Arial" w:hAnsi="Arial" w:cs="Arial"/>
          <w:szCs w:val="24"/>
        </w:rPr>
        <w:t xml:space="preserve"> </w:t>
      </w:r>
      <w:r w:rsidR="00CB18EA" w:rsidRPr="00B8426C">
        <w:rPr>
          <w:rFonts w:ascii="Arial" w:hAnsi="Arial" w:cs="Arial"/>
          <w:szCs w:val="24"/>
        </w:rPr>
        <w:fldChar w:fldCharType="begin" w:fldLock="1"/>
      </w:r>
      <w:r w:rsidR="009E30DF" w:rsidRPr="00B8426C">
        <w:rPr>
          <w:rFonts w:ascii="Arial" w:hAnsi="Arial" w:cs="Arial"/>
          <w:szCs w:val="24"/>
        </w:rPr>
        <w:instrText>ADDIN CSL_CITATION { "citationItems" : [ { "id" : "ITEM-1", "itemData" : { "abstract" : "Estrat\u00e9gia Nacional para Ci\u00eancia, Tecnologia e Inova\u00e7\u00e3o (ENCTI) destaca a import\u00e2ncia da ci\u00eancia, a tecnologia e a inova\u00e7\u00e3o (C,T&amp;I) como eixo estruturante do desenvolvimento do Pa\u00eds e estabelece diretrizes que ir\u00e3o orientar as a\u00e7\u00f5es nacionais e regionais no horizonte temporal de 2012 a 2015.", "author" : [ { "dropping-particle" : "", "family" : "Brasil", "given" : "Minist\u00e9rio Da Ci\u00eancia Tecnologia E Inova\u00e7\u00e3o", "non-dropping-particle" : "", "parse-names" : false, "suffix" : "" } ], "id" : "ITEM-1", "issued" : { "date-parts" : [ [ "2012" ] ] }, "page" : "220", "title" : "Estrat\u00e9gia Nacional de Ci\u00eancia, Tecnologia e Inova\u00e7\u00e3o 2016 - 2019", "type" : "article-journal" }, "uris" : [ "http://www.mendeley.com/documents/?uuid=45b05655-f261-439a-8234-843b10274fb3" ] } ], "mendeley" : { "formattedCitation" : "(BRASIL, 2012)", "plainTextFormattedCitation" : "(BRASIL, 2012)", "previouslyFormattedCitation" : "(BRASIL, 2012)" }, "properties" : { "noteIndex" : 0 }, "schema" : "https://github.com/citation-style-language/schema/raw/master/csl-citation.json" }</w:instrText>
      </w:r>
      <w:r w:rsidR="00CB18EA" w:rsidRPr="00B8426C">
        <w:rPr>
          <w:rFonts w:ascii="Arial" w:hAnsi="Arial" w:cs="Arial"/>
          <w:szCs w:val="24"/>
        </w:rPr>
        <w:fldChar w:fldCharType="separate"/>
      </w:r>
      <w:r w:rsidR="00CB18EA" w:rsidRPr="00B8426C">
        <w:rPr>
          <w:rFonts w:ascii="Arial" w:hAnsi="Arial" w:cs="Arial"/>
          <w:noProof/>
          <w:szCs w:val="24"/>
        </w:rPr>
        <w:t>(BRASIL, 2012)</w:t>
      </w:r>
      <w:r w:rsidR="00CB18EA" w:rsidRPr="00B8426C">
        <w:rPr>
          <w:rFonts w:ascii="Arial" w:hAnsi="Arial" w:cs="Arial"/>
          <w:szCs w:val="24"/>
        </w:rPr>
        <w:fldChar w:fldCharType="end"/>
      </w:r>
      <w:r w:rsidR="00CB18EA" w:rsidRPr="00B8426C">
        <w:rPr>
          <w:rFonts w:ascii="Arial" w:hAnsi="Arial" w:cs="Arial"/>
          <w:szCs w:val="24"/>
        </w:rPr>
        <w:t>.</w:t>
      </w:r>
    </w:p>
    <w:p w:rsidR="00E3460B" w:rsidRPr="00B8426C" w:rsidRDefault="00E43A30"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w:t>
      </w:r>
      <w:r w:rsidR="00C1659D" w:rsidRPr="00B8426C">
        <w:rPr>
          <w:rFonts w:ascii="Arial" w:hAnsi="Arial" w:cs="Arial"/>
          <w:szCs w:val="24"/>
        </w:rPr>
        <w:t>O</w:t>
      </w:r>
      <w:r w:rsidRPr="00B8426C">
        <w:rPr>
          <w:rFonts w:ascii="Arial" w:hAnsi="Arial" w:cs="Arial"/>
          <w:szCs w:val="24"/>
        </w:rPr>
        <w:t xml:space="preserve"> </w:t>
      </w:r>
      <w:r w:rsidR="00CB18EA" w:rsidRPr="00B8426C">
        <w:rPr>
          <w:rFonts w:ascii="Arial" w:hAnsi="Arial" w:cs="Arial"/>
          <w:szCs w:val="24"/>
        </w:rPr>
        <w:t>P</w:t>
      </w:r>
      <w:r w:rsidR="00C1659D" w:rsidRPr="00B8426C">
        <w:rPr>
          <w:rFonts w:ascii="Arial" w:hAnsi="Arial" w:cs="Arial"/>
          <w:szCs w:val="24"/>
        </w:rPr>
        <w:t xml:space="preserve">rograma </w:t>
      </w:r>
      <w:r w:rsidR="00CB18EA" w:rsidRPr="00B8426C">
        <w:rPr>
          <w:rFonts w:ascii="Arial" w:hAnsi="Arial" w:cs="Arial"/>
          <w:szCs w:val="24"/>
        </w:rPr>
        <w:t>Inovar para Crescer</w:t>
      </w:r>
      <w:r w:rsidR="00C1659D" w:rsidRPr="00B8426C">
        <w:rPr>
          <w:rFonts w:ascii="Arial" w:hAnsi="Arial" w:cs="Arial"/>
          <w:szCs w:val="24"/>
        </w:rPr>
        <w:t xml:space="preserve"> </w:t>
      </w:r>
      <w:r w:rsidRPr="00B8426C">
        <w:rPr>
          <w:rFonts w:ascii="Arial" w:hAnsi="Arial" w:cs="Arial"/>
          <w:szCs w:val="24"/>
        </w:rPr>
        <w:t>vai ao encontro</w:t>
      </w:r>
      <w:r w:rsidR="00CB18EA" w:rsidRPr="00B8426C">
        <w:rPr>
          <w:rFonts w:ascii="Arial" w:hAnsi="Arial" w:cs="Arial"/>
          <w:szCs w:val="24"/>
        </w:rPr>
        <w:t xml:space="preserve"> daqueles objetivos, aportando recursos para a Financiadora de Estudos e Projetos (</w:t>
      </w:r>
      <w:r w:rsidR="00D72E4D">
        <w:rPr>
          <w:rFonts w:ascii="Arial" w:hAnsi="Arial" w:cs="Arial"/>
          <w:szCs w:val="24"/>
        </w:rPr>
        <w:t>FINEP</w:t>
      </w:r>
      <w:r w:rsidR="00CB18EA" w:rsidRPr="00B8426C">
        <w:rPr>
          <w:rFonts w:ascii="Arial" w:hAnsi="Arial" w:cs="Arial"/>
          <w:szCs w:val="24"/>
        </w:rPr>
        <w:t xml:space="preserve">) em função dos seguintes desafios enfrentados pela </w:t>
      </w:r>
      <w:r w:rsidR="00D72E4D">
        <w:rPr>
          <w:rFonts w:ascii="Arial" w:hAnsi="Arial" w:cs="Arial"/>
          <w:szCs w:val="24"/>
        </w:rPr>
        <w:t>FINEP</w:t>
      </w:r>
      <w:r w:rsidR="00CB18EA" w:rsidRPr="00B8426C">
        <w:rPr>
          <w:rFonts w:ascii="Arial" w:hAnsi="Arial" w:cs="Arial"/>
          <w:szCs w:val="24"/>
        </w:rPr>
        <w:t xml:space="preserve"> para a promoção da inovação no Brasil: (i) reverter a vulnerabilidade externa nos segmentos intensivos em tecnologia; (ii) estimular a implantação de atividades contínuas de P&amp;D nas empresas; (iii) elevar a competitividade da empresa brasileira; (iv) apoiar a inserção de empresas inovadoras em mercados globais; (v) estimular a participação do capital privado em inovação; (vi) estruturar competências para liderança futura em setores estratégicos para a economia; e, (vii) estimular a adoção de procedimentos que promovam a sustentabilidade. O projeto Inovar para Crescer buscará financiar: (i) inovação em setores estratégicos; (ii) apoio a inovação descentralizada e focalizada em empresas de menor porte; (iii) financiamento de empreendedores tecnológicos em estágio inicial; e, (iv) financiamento de inovação social e modernização institucional.</w:t>
      </w:r>
    </w:p>
    <w:p w:rsidR="00C1659D" w:rsidRPr="00B8426C" w:rsidRDefault="001D2585"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Para atingir </w:t>
      </w:r>
      <w:r w:rsidR="004A24AB" w:rsidRPr="00B8426C">
        <w:rPr>
          <w:rFonts w:ascii="Arial" w:hAnsi="Arial" w:cs="Arial"/>
          <w:szCs w:val="24"/>
        </w:rPr>
        <w:t>aqueles</w:t>
      </w:r>
      <w:r w:rsidRPr="00B8426C">
        <w:rPr>
          <w:rFonts w:ascii="Arial" w:hAnsi="Arial" w:cs="Arial"/>
          <w:szCs w:val="24"/>
        </w:rPr>
        <w:t xml:space="preserve"> objetivos,</w:t>
      </w:r>
      <w:r w:rsidR="004A24AB" w:rsidRPr="00B8426C">
        <w:rPr>
          <w:rFonts w:ascii="Arial" w:hAnsi="Arial" w:cs="Arial"/>
          <w:szCs w:val="24"/>
        </w:rPr>
        <w:t xml:space="preserve"> </w:t>
      </w:r>
      <w:r w:rsidR="002956A0" w:rsidRPr="00B8426C">
        <w:rPr>
          <w:rFonts w:ascii="Arial" w:hAnsi="Arial" w:cs="Arial"/>
          <w:szCs w:val="24"/>
        </w:rPr>
        <w:t>a</w:t>
      </w:r>
      <w:r w:rsidR="002956A0" w:rsidRPr="00B8426C">
        <w:rPr>
          <w:rFonts w:ascii="Arial" w:hAnsi="Arial" w:cs="Arial"/>
        </w:rPr>
        <w:t xml:space="preserve"> linha de crédito </w:t>
      </w:r>
      <w:r w:rsidR="007F50E2" w:rsidRPr="00B8426C">
        <w:rPr>
          <w:rFonts w:ascii="Arial" w:hAnsi="Arial" w:cs="Arial"/>
        </w:rPr>
        <w:t>é do tipo CCLIP num total de USD</w:t>
      </w:r>
      <w:r w:rsidR="002956A0" w:rsidRPr="00B8426C">
        <w:rPr>
          <w:rFonts w:ascii="Arial" w:hAnsi="Arial" w:cs="Arial"/>
        </w:rPr>
        <w:t xml:space="preserve"> 1,5 bi, que podem ser utilizados em três fases em um período de 12 anos. A primeira fase, a ser executada em 4 anos, </w:t>
      </w:r>
      <w:r w:rsidR="00CB18EA" w:rsidRPr="00B8426C">
        <w:rPr>
          <w:rFonts w:ascii="Arial" w:hAnsi="Arial" w:cs="Arial"/>
          <w:szCs w:val="24"/>
        </w:rPr>
        <w:t xml:space="preserve">disponibiliza o total de </w:t>
      </w:r>
      <w:r w:rsidR="007F50E2" w:rsidRPr="00B8426C">
        <w:rPr>
          <w:rFonts w:ascii="Arial" w:hAnsi="Arial" w:cs="Arial"/>
          <w:szCs w:val="24"/>
        </w:rPr>
        <w:t>USD 713,15 mi, sendo USD</w:t>
      </w:r>
      <w:r w:rsidR="00C46F40" w:rsidRPr="00B8426C">
        <w:rPr>
          <w:rFonts w:ascii="Arial" w:hAnsi="Arial" w:cs="Arial"/>
          <w:szCs w:val="24"/>
        </w:rPr>
        <w:t xml:space="preserve"> 600 mi de emprés</w:t>
      </w:r>
      <w:r w:rsidR="007F50E2" w:rsidRPr="00B8426C">
        <w:rPr>
          <w:rFonts w:ascii="Arial" w:hAnsi="Arial" w:cs="Arial"/>
          <w:szCs w:val="24"/>
        </w:rPr>
        <w:t>timo do BID (84% do total) e USD</w:t>
      </w:r>
      <w:r w:rsidR="00C46F40" w:rsidRPr="00B8426C">
        <w:rPr>
          <w:rFonts w:ascii="Arial" w:hAnsi="Arial" w:cs="Arial"/>
          <w:szCs w:val="24"/>
        </w:rPr>
        <w:t xml:space="preserve"> 113,15 como contrapartida da </w:t>
      </w:r>
      <w:r w:rsidR="00D72E4D">
        <w:rPr>
          <w:rFonts w:ascii="Arial" w:hAnsi="Arial" w:cs="Arial"/>
          <w:szCs w:val="24"/>
        </w:rPr>
        <w:t>FINEP</w:t>
      </w:r>
      <w:r w:rsidR="00C46F40" w:rsidRPr="00B8426C">
        <w:rPr>
          <w:rFonts w:ascii="Arial" w:hAnsi="Arial" w:cs="Arial"/>
          <w:szCs w:val="24"/>
        </w:rPr>
        <w:t xml:space="preserve"> (16% do total).  O </w:t>
      </w:r>
      <w:r w:rsidR="00024C7A" w:rsidRPr="00B8426C">
        <w:rPr>
          <w:rFonts w:ascii="Arial" w:hAnsi="Arial" w:cs="Arial"/>
          <w:szCs w:val="24"/>
        </w:rPr>
        <w:t xml:space="preserve">Programa é composto por </w:t>
      </w:r>
      <w:r w:rsidR="00CB18EA" w:rsidRPr="00B8426C">
        <w:rPr>
          <w:rFonts w:ascii="Arial" w:hAnsi="Arial" w:cs="Arial"/>
          <w:szCs w:val="24"/>
        </w:rPr>
        <w:t>quatro</w:t>
      </w:r>
      <w:r w:rsidR="00024C7A" w:rsidRPr="00B8426C">
        <w:rPr>
          <w:rFonts w:ascii="Arial" w:hAnsi="Arial" w:cs="Arial"/>
          <w:szCs w:val="24"/>
        </w:rPr>
        <w:t xml:space="preserve"> compo</w:t>
      </w:r>
      <w:r w:rsidR="00CB18EA" w:rsidRPr="00B8426C">
        <w:rPr>
          <w:rFonts w:ascii="Arial" w:hAnsi="Arial" w:cs="Arial"/>
          <w:szCs w:val="24"/>
        </w:rPr>
        <w:t>nentes</w:t>
      </w:r>
      <w:r w:rsidR="00024C7A" w:rsidRPr="00B8426C">
        <w:rPr>
          <w:rFonts w:ascii="Arial" w:hAnsi="Arial" w:cs="Arial"/>
          <w:szCs w:val="24"/>
        </w:rPr>
        <w:t>:</w:t>
      </w:r>
    </w:p>
    <w:p w:rsidR="00024C7A" w:rsidRPr="00B8426C" w:rsidRDefault="00024C7A"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b/>
          <w:szCs w:val="24"/>
        </w:rPr>
        <w:t>Componente 1:</w:t>
      </w:r>
      <w:r w:rsidR="002956A0" w:rsidRPr="00B8426C">
        <w:rPr>
          <w:rFonts w:ascii="Arial" w:hAnsi="Arial" w:cs="Arial"/>
          <w:b/>
          <w:szCs w:val="24"/>
        </w:rPr>
        <w:t xml:space="preserve"> </w:t>
      </w:r>
      <w:r w:rsidR="007F50E2" w:rsidRPr="00B8426C">
        <w:rPr>
          <w:rFonts w:ascii="Arial" w:hAnsi="Arial" w:cs="Arial"/>
          <w:b/>
          <w:szCs w:val="24"/>
        </w:rPr>
        <w:t>Inovação em S</w:t>
      </w:r>
      <w:r w:rsidR="00411A5D" w:rsidRPr="00B8426C">
        <w:rPr>
          <w:rFonts w:ascii="Arial" w:hAnsi="Arial" w:cs="Arial"/>
          <w:b/>
          <w:szCs w:val="24"/>
        </w:rPr>
        <w:t>etores</w:t>
      </w:r>
      <w:r w:rsidR="007F50E2" w:rsidRPr="00B8426C">
        <w:rPr>
          <w:rFonts w:ascii="Arial" w:hAnsi="Arial" w:cs="Arial"/>
          <w:b/>
          <w:szCs w:val="24"/>
        </w:rPr>
        <w:t xml:space="preserve"> Prioritários (USD 565,91 mi) </w:t>
      </w:r>
      <w:r w:rsidR="007F50E2" w:rsidRPr="00B8426C">
        <w:rPr>
          <w:rFonts w:ascii="Arial" w:hAnsi="Arial" w:cs="Arial"/>
          <w:szCs w:val="24"/>
        </w:rPr>
        <w:t>– objetiva aumentar o investimento em inovação nas cadeias produtivas priorizadas na ENCTI 2016-2019. Foram selecionadas para esta primeira fase os setores químico, mineração, biocombustíveis avançados, agronegócios, alimentos e bebidas, tecnologia de informação e comunicações, saúde e metal mecânica. Este componente absor</w:t>
      </w:r>
      <w:r w:rsidR="00035E06" w:rsidRPr="00B8426C">
        <w:rPr>
          <w:rFonts w:ascii="Arial" w:hAnsi="Arial" w:cs="Arial"/>
          <w:szCs w:val="24"/>
        </w:rPr>
        <w:t xml:space="preserve">ve </w:t>
      </w:r>
      <w:r w:rsidR="003F0EB3" w:rsidRPr="00B8426C">
        <w:rPr>
          <w:rFonts w:ascii="Arial" w:hAnsi="Arial" w:cs="Arial"/>
          <w:szCs w:val="24"/>
        </w:rPr>
        <w:t>79</w:t>
      </w:r>
      <w:r w:rsidR="00035E06" w:rsidRPr="00B8426C">
        <w:rPr>
          <w:rFonts w:ascii="Arial" w:hAnsi="Arial" w:cs="Arial"/>
          <w:szCs w:val="24"/>
        </w:rPr>
        <w:t>% dos recursos do programa e prevê o financiamento de 82 projetos ao longo de 4 anos.</w:t>
      </w:r>
    </w:p>
    <w:p w:rsidR="00035E06" w:rsidRPr="00B8426C" w:rsidRDefault="00F773E0"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b/>
          <w:szCs w:val="24"/>
        </w:rPr>
        <w:t>Componente 2</w:t>
      </w:r>
      <w:r w:rsidRPr="00B8426C">
        <w:rPr>
          <w:rFonts w:ascii="Arial" w:hAnsi="Arial" w:cs="Arial"/>
          <w:szCs w:val="24"/>
        </w:rPr>
        <w:t>:</w:t>
      </w:r>
      <w:r w:rsidR="00035E06" w:rsidRPr="00B8426C">
        <w:rPr>
          <w:rFonts w:ascii="Arial" w:hAnsi="Arial" w:cs="Arial"/>
          <w:szCs w:val="24"/>
        </w:rPr>
        <w:t xml:space="preserve"> </w:t>
      </w:r>
      <w:r w:rsidR="00FA02AF" w:rsidRPr="00B8426C">
        <w:rPr>
          <w:rFonts w:ascii="Arial" w:hAnsi="Arial" w:cs="Arial"/>
          <w:b/>
          <w:szCs w:val="24"/>
        </w:rPr>
        <w:t xml:space="preserve">Modernização Tecnológica </w:t>
      </w:r>
      <w:r w:rsidR="00035E06" w:rsidRPr="00B8426C">
        <w:rPr>
          <w:rFonts w:ascii="Arial" w:hAnsi="Arial" w:cs="Arial"/>
          <w:b/>
          <w:szCs w:val="24"/>
        </w:rPr>
        <w:t>(USD 64</w:t>
      </w:r>
      <w:r w:rsidR="00A46451" w:rsidRPr="00B8426C">
        <w:rPr>
          <w:rFonts w:ascii="Arial" w:hAnsi="Arial" w:cs="Arial"/>
          <w:b/>
          <w:szCs w:val="24"/>
        </w:rPr>
        <w:t>,65 mi)</w:t>
      </w:r>
      <w:r w:rsidR="00A46451" w:rsidRPr="00B8426C">
        <w:rPr>
          <w:rFonts w:ascii="Arial" w:hAnsi="Arial" w:cs="Arial"/>
          <w:szCs w:val="24"/>
        </w:rPr>
        <w:t xml:space="preserve"> – foco em aumentar a modernização tecnológica e as capacidades de inovação em Micro, Pequenas e Médias Empresas. </w:t>
      </w:r>
      <w:r w:rsidR="00DA472B" w:rsidRPr="00B8426C">
        <w:rPr>
          <w:rFonts w:ascii="Arial" w:hAnsi="Arial" w:cs="Arial"/>
          <w:szCs w:val="24"/>
        </w:rPr>
        <w:t>Serão financiados projetos empresariais voltados a resolver desafios científicos, tecnológicos e de inovação, com fundos reembolsáveis e não reembolsáveis. Do total do programa, este componente representa 9</w:t>
      </w:r>
      <w:r w:rsidR="0001117A" w:rsidRPr="00B8426C">
        <w:rPr>
          <w:rFonts w:ascii="Arial" w:hAnsi="Arial" w:cs="Arial"/>
          <w:szCs w:val="24"/>
        </w:rPr>
        <w:t>,1</w:t>
      </w:r>
      <w:r w:rsidR="00DA472B" w:rsidRPr="00B8426C">
        <w:rPr>
          <w:rFonts w:ascii="Arial" w:hAnsi="Arial" w:cs="Arial"/>
          <w:szCs w:val="24"/>
        </w:rPr>
        <w:t xml:space="preserve">% e pretende viabilizar </w:t>
      </w:r>
      <w:r w:rsidR="000F2337" w:rsidRPr="00B8426C">
        <w:rPr>
          <w:rFonts w:ascii="Arial" w:hAnsi="Arial" w:cs="Arial"/>
          <w:szCs w:val="24"/>
        </w:rPr>
        <w:t>100 projetos.</w:t>
      </w:r>
      <w:r w:rsidR="00DA472B" w:rsidRPr="00B8426C">
        <w:rPr>
          <w:rFonts w:ascii="Arial" w:hAnsi="Arial" w:cs="Arial"/>
          <w:szCs w:val="24"/>
        </w:rPr>
        <w:t xml:space="preserve"> </w:t>
      </w:r>
    </w:p>
    <w:p w:rsidR="001D2585" w:rsidRPr="00B8426C" w:rsidRDefault="00F773E0"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 xml:space="preserve"> </w:t>
      </w:r>
      <w:r w:rsidR="00BC772E" w:rsidRPr="00B8426C">
        <w:rPr>
          <w:rFonts w:ascii="Arial" w:hAnsi="Arial" w:cs="Arial"/>
          <w:b/>
          <w:szCs w:val="24"/>
        </w:rPr>
        <w:t>Componente 3:</w:t>
      </w:r>
      <w:r w:rsidR="00BC772E" w:rsidRPr="00B8426C">
        <w:rPr>
          <w:rFonts w:ascii="Arial" w:hAnsi="Arial" w:cs="Arial"/>
          <w:szCs w:val="24"/>
        </w:rPr>
        <w:t xml:space="preserve"> </w:t>
      </w:r>
      <w:r w:rsidR="009805DC" w:rsidRPr="00B8426C">
        <w:rPr>
          <w:rFonts w:ascii="Arial" w:hAnsi="Arial" w:cs="Arial"/>
          <w:b/>
          <w:szCs w:val="24"/>
        </w:rPr>
        <w:t>Empreendimento Dinâmico (USD 67.35 mi)</w:t>
      </w:r>
      <w:r w:rsidR="009805DC" w:rsidRPr="00B8426C">
        <w:rPr>
          <w:rFonts w:ascii="Arial" w:hAnsi="Arial" w:cs="Arial"/>
          <w:szCs w:val="24"/>
        </w:rPr>
        <w:t xml:space="preserve"> </w:t>
      </w:r>
      <w:r w:rsidR="006A07E5" w:rsidRPr="00B8426C">
        <w:rPr>
          <w:rFonts w:ascii="Arial" w:hAnsi="Arial" w:cs="Arial"/>
          <w:szCs w:val="24"/>
        </w:rPr>
        <w:t>–</w:t>
      </w:r>
      <w:r w:rsidR="009805DC" w:rsidRPr="00B8426C">
        <w:rPr>
          <w:rFonts w:ascii="Arial" w:hAnsi="Arial" w:cs="Arial"/>
          <w:szCs w:val="24"/>
        </w:rPr>
        <w:t xml:space="preserve"> </w:t>
      </w:r>
      <w:r w:rsidR="006A07E5" w:rsidRPr="00B8426C">
        <w:rPr>
          <w:rFonts w:ascii="Arial" w:hAnsi="Arial" w:cs="Arial"/>
          <w:szCs w:val="24"/>
        </w:rPr>
        <w:t>estimular o empreendimento dinâmico favorecendo o investimento privado em novas empresas de base tecnológica, em suas etapas iniciais (vale da morte)</w:t>
      </w:r>
      <w:r w:rsidR="0001117A" w:rsidRPr="00B8426C">
        <w:rPr>
          <w:rFonts w:ascii="Arial" w:hAnsi="Arial" w:cs="Arial"/>
          <w:szCs w:val="24"/>
        </w:rPr>
        <w:t xml:space="preserve">, buscando atrair investidores privados e aportem conhecimento e capacidade de gestão às empresas apoiadas. Dos recursos totais, este componente receberá  9,4%, sendo que do total de recursos destinados para esse componente, 4.8% são originários do empréstimo BID. </w:t>
      </w:r>
    </w:p>
    <w:p w:rsidR="001D2585" w:rsidRPr="00B8426C" w:rsidRDefault="00C46F40"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b/>
          <w:szCs w:val="24"/>
        </w:rPr>
        <w:t>Componente 4:</w:t>
      </w:r>
      <w:r w:rsidR="0001117A" w:rsidRPr="00B8426C">
        <w:rPr>
          <w:rFonts w:ascii="Arial" w:hAnsi="Arial" w:cs="Arial"/>
          <w:b/>
          <w:szCs w:val="24"/>
        </w:rPr>
        <w:t xml:space="preserve"> Fortalecimento Institucional e Inovação Aberta (USD 15,25 mi) – </w:t>
      </w:r>
      <w:r w:rsidR="0001117A" w:rsidRPr="00B8426C">
        <w:rPr>
          <w:rFonts w:ascii="Arial" w:hAnsi="Arial" w:cs="Arial"/>
          <w:szCs w:val="24"/>
        </w:rPr>
        <w:t xml:space="preserve">Este componente será totalmente financiado pela contrapartida </w:t>
      </w:r>
      <w:r w:rsidR="00D72E4D">
        <w:rPr>
          <w:rFonts w:ascii="Arial" w:hAnsi="Arial" w:cs="Arial"/>
          <w:szCs w:val="24"/>
        </w:rPr>
        <w:t>Finep</w:t>
      </w:r>
      <w:r w:rsidR="0001117A" w:rsidRPr="00B8426C">
        <w:rPr>
          <w:rFonts w:ascii="Arial" w:hAnsi="Arial" w:cs="Arial"/>
          <w:szCs w:val="24"/>
        </w:rPr>
        <w:t xml:space="preserve">, e tem como objetivo fortalecer as capacidades da </w:t>
      </w:r>
      <w:r w:rsidR="00D72E4D">
        <w:rPr>
          <w:rFonts w:ascii="Arial" w:hAnsi="Arial" w:cs="Arial"/>
          <w:szCs w:val="24"/>
        </w:rPr>
        <w:t>Finep</w:t>
      </w:r>
      <w:r w:rsidR="0001117A" w:rsidRPr="00B8426C">
        <w:rPr>
          <w:rFonts w:ascii="Arial" w:hAnsi="Arial" w:cs="Arial"/>
          <w:szCs w:val="24"/>
        </w:rPr>
        <w:t xml:space="preserve"> para planejamento, monitoração e avaliação de impacto de seus programas e instrumentos. Também financiará</w:t>
      </w:r>
      <w:r w:rsidR="0001117A" w:rsidRPr="00B8426C">
        <w:rPr>
          <w:rFonts w:ascii="Arial" w:hAnsi="Arial" w:cs="Arial"/>
          <w:b/>
          <w:szCs w:val="24"/>
        </w:rPr>
        <w:t xml:space="preserve"> </w:t>
      </w:r>
      <w:r w:rsidR="0001117A" w:rsidRPr="00B8426C">
        <w:rPr>
          <w:rFonts w:ascii="Arial" w:hAnsi="Arial" w:cs="Arial"/>
          <w:szCs w:val="24"/>
        </w:rPr>
        <w:t xml:space="preserve">plataformas de consulta com enfoque de inovação </w:t>
      </w:r>
      <w:r w:rsidR="008B6573" w:rsidRPr="00B8426C">
        <w:rPr>
          <w:rFonts w:ascii="Arial" w:hAnsi="Arial" w:cs="Arial"/>
          <w:szCs w:val="24"/>
        </w:rPr>
        <w:t>aberta</w:t>
      </w:r>
      <w:r w:rsidR="0001117A" w:rsidRPr="00B8426C">
        <w:rPr>
          <w:rFonts w:ascii="Arial" w:hAnsi="Arial" w:cs="Arial"/>
          <w:szCs w:val="24"/>
        </w:rPr>
        <w:t xml:space="preserve"> (priorizando a participação ativa dos beneficiários no processo de inovação), corresponde a 2,5% do total do programa.</w:t>
      </w:r>
    </w:p>
    <w:p w:rsidR="001D2585" w:rsidRPr="00B8426C" w:rsidRDefault="001D2585" w:rsidP="0001117A">
      <w:pPr>
        <w:pStyle w:val="ListParagraph"/>
        <w:spacing w:before="120" w:after="120"/>
        <w:ind w:left="454"/>
        <w:contextualSpacing w:val="0"/>
        <w:jc w:val="both"/>
        <w:rPr>
          <w:rFonts w:ascii="Arial" w:hAnsi="Arial" w:cs="Arial"/>
          <w:szCs w:val="24"/>
        </w:rPr>
      </w:pPr>
    </w:p>
    <w:p w:rsidR="00FE798A" w:rsidRPr="00B8426C" w:rsidRDefault="00FE798A" w:rsidP="0001117A">
      <w:pPr>
        <w:pStyle w:val="ListParagraph"/>
        <w:spacing w:before="120" w:after="120"/>
        <w:ind w:left="454"/>
        <w:contextualSpacing w:val="0"/>
        <w:jc w:val="both"/>
        <w:rPr>
          <w:rFonts w:ascii="Arial" w:hAnsi="Arial" w:cs="Arial"/>
          <w:szCs w:val="24"/>
        </w:rPr>
      </w:pPr>
    </w:p>
    <w:p w:rsidR="00FE798A" w:rsidRPr="00B8426C" w:rsidRDefault="00FE798A" w:rsidP="0001117A">
      <w:pPr>
        <w:pStyle w:val="ListParagraph"/>
        <w:spacing w:before="120" w:after="120"/>
        <w:ind w:left="454"/>
        <w:contextualSpacing w:val="0"/>
        <w:jc w:val="both"/>
        <w:rPr>
          <w:rFonts w:ascii="Arial" w:hAnsi="Arial" w:cs="Arial"/>
          <w:szCs w:val="24"/>
        </w:rPr>
      </w:pPr>
    </w:p>
    <w:p w:rsidR="00FE798A" w:rsidRPr="00B8426C" w:rsidRDefault="00FE798A" w:rsidP="0001117A">
      <w:pPr>
        <w:pStyle w:val="ListParagraph"/>
        <w:spacing w:before="120" w:after="120"/>
        <w:ind w:left="454"/>
        <w:contextualSpacing w:val="0"/>
        <w:jc w:val="both"/>
        <w:rPr>
          <w:rFonts w:ascii="Arial" w:hAnsi="Arial" w:cs="Arial"/>
          <w:szCs w:val="24"/>
        </w:rPr>
      </w:pPr>
    </w:p>
    <w:p w:rsidR="00FE798A" w:rsidRPr="00B8426C" w:rsidRDefault="00FE798A" w:rsidP="0001117A">
      <w:pPr>
        <w:pStyle w:val="ListParagraph"/>
        <w:spacing w:before="120" w:after="120"/>
        <w:ind w:left="454"/>
        <w:contextualSpacing w:val="0"/>
        <w:jc w:val="both"/>
        <w:rPr>
          <w:rFonts w:ascii="Arial" w:hAnsi="Arial" w:cs="Arial"/>
          <w:szCs w:val="24"/>
        </w:rPr>
      </w:pPr>
    </w:p>
    <w:p w:rsidR="002A18A7" w:rsidRPr="00B8426C" w:rsidRDefault="002A18A7" w:rsidP="0001117A">
      <w:pPr>
        <w:pStyle w:val="ListParagraph"/>
        <w:spacing w:before="120" w:after="120"/>
        <w:ind w:left="454"/>
        <w:contextualSpacing w:val="0"/>
        <w:jc w:val="both"/>
        <w:rPr>
          <w:rFonts w:ascii="Arial" w:hAnsi="Arial" w:cs="Arial"/>
          <w:szCs w:val="24"/>
        </w:rPr>
      </w:pPr>
    </w:p>
    <w:p w:rsidR="00FE798A" w:rsidRPr="00B8426C" w:rsidRDefault="00FE798A" w:rsidP="0001117A">
      <w:pPr>
        <w:pStyle w:val="ListParagraph"/>
        <w:spacing w:before="120" w:after="120"/>
        <w:ind w:left="454"/>
        <w:contextualSpacing w:val="0"/>
        <w:jc w:val="both"/>
        <w:rPr>
          <w:rFonts w:ascii="Arial" w:hAnsi="Arial" w:cs="Arial"/>
          <w:szCs w:val="24"/>
        </w:rPr>
      </w:pPr>
    </w:p>
    <w:p w:rsidR="009769F0" w:rsidRPr="00B8426C" w:rsidRDefault="009769F0" w:rsidP="001147E1">
      <w:pPr>
        <w:pStyle w:val="Heading1"/>
        <w:numPr>
          <w:ilvl w:val="0"/>
          <w:numId w:val="2"/>
        </w:numPr>
        <w:spacing w:before="0" w:after="0"/>
        <w:rPr>
          <w:rFonts w:cs="Arial"/>
          <w:sz w:val="24"/>
          <w:szCs w:val="24"/>
        </w:rPr>
      </w:pPr>
      <w:bookmarkStart w:id="5" w:name="_Toc483345021"/>
      <w:r w:rsidRPr="00B8426C">
        <w:rPr>
          <w:rFonts w:cs="Arial"/>
          <w:sz w:val="24"/>
          <w:szCs w:val="24"/>
        </w:rPr>
        <w:t>Identificação de Custos e Benefícios</w:t>
      </w:r>
      <w:bookmarkEnd w:id="5"/>
    </w:p>
    <w:p w:rsidR="009769F0" w:rsidRPr="00B8426C" w:rsidRDefault="009769F0" w:rsidP="009769F0">
      <w:pPr>
        <w:rPr>
          <w:rFonts w:ascii="Arial" w:hAnsi="Arial" w:cs="Arial"/>
        </w:rPr>
      </w:pPr>
    </w:p>
    <w:p w:rsidR="009769F0" w:rsidRPr="00B8426C" w:rsidRDefault="00CE4874"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O estudo de viabilidade econômica foi realizado por meio da aplicação da Análise Custo-Benefício, em que tanto custos quanto os benefícios</w:t>
      </w:r>
      <w:r w:rsidR="00F86130" w:rsidRPr="00B8426C">
        <w:rPr>
          <w:rFonts w:ascii="Arial" w:hAnsi="Arial" w:cs="Arial"/>
          <w:szCs w:val="24"/>
        </w:rPr>
        <w:t xml:space="preserve"> são incrementais e</w:t>
      </w:r>
      <w:r w:rsidRPr="00B8426C">
        <w:rPr>
          <w:rFonts w:ascii="Arial" w:hAnsi="Arial" w:cs="Arial"/>
          <w:szCs w:val="24"/>
        </w:rPr>
        <w:t xml:space="preserve"> mensurados a preços sociais ou econômicos ou de eficiência. Tais preços retratam o custo efetivo de alocação dos fatores produtivos, medido pelo custo de oportunidade desses fatores, ou seja, pelo custo do melhor uso alternativo desses recursos em situação de equilíbrio competitivo. Idealmente, os preços econômicos deveriam abstrair os efeitos de impostos indiretos e subsídios, bem como as externalidades positivas ou negativas e o efeito de estruturas de mercados não concorrenciais sobre a formação dos preços de mercado</w:t>
      </w:r>
      <w:r w:rsidR="00F86130" w:rsidRPr="00B8426C">
        <w:rPr>
          <w:rFonts w:ascii="Arial" w:hAnsi="Arial" w:cs="Arial"/>
          <w:szCs w:val="24"/>
        </w:rPr>
        <w:t>, bem como o efeito deslocamento (</w:t>
      </w:r>
      <w:r w:rsidR="00F86130" w:rsidRPr="00B8426C">
        <w:rPr>
          <w:rFonts w:ascii="Arial" w:hAnsi="Arial" w:cs="Arial"/>
          <w:i/>
          <w:szCs w:val="24"/>
        </w:rPr>
        <w:t>crowding-out</w:t>
      </w:r>
      <w:r w:rsidR="00F86130" w:rsidRPr="00B8426C">
        <w:rPr>
          <w:rFonts w:ascii="Arial" w:hAnsi="Arial" w:cs="Arial"/>
          <w:szCs w:val="24"/>
        </w:rPr>
        <w:t xml:space="preserve">) entre os gastos públicos e privados. Tais efeitos, quando relevantes de acordo com a literatura de avaliação de impacto disponível, serão considerados em supostos mais conservadores possíveis no cenário-base e sensibilizados ao final da análise. </w:t>
      </w:r>
    </w:p>
    <w:p w:rsidR="009769F0" w:rsidRPr="00B8426C" w:rsidRDefault="00CE4874" w:rsidP="001147E1">
      <w:pPr>
        <w:pStyle w:val="ListParagraph"/>
        <w:numPr>
          <w:ilvl w:val="1"/>
          <w:numId w:val="2"/>
        </w:numPr>
        <w:spacing w:before="120" w:after="120"/>
        <w:ind w:left="454" w:hanging="454"/>
        <w:contextualSpacing w:val="0"/>
        <w:jc w:val="both"/>
        <w:rPr>
          <w:rFonts w:ascii="Arial" w:hAnsi="Arial" w:cs="Arial"/>
          <w:szCs w:val="24"/>
        </w:rPr>
      </w:pPr>
      <w:r w:rsidRPr="00B8426C">
        <w:rPr>
          <w:rFonts w:ascii="Arial" w:hAnsi="Arial" w:cs="Arial"/>
          <w:szCs w:val="24"/>
        </w:rPr>
        <w:t>Uma vez convertidos custos e benefícios a preços sociais, a metodologia consiste em calcular e avaliar o Valor Presente Líquido Social (VPLS) e a Taxa Interna de Retorno Social (TIRS) do projeto, considerando-o economicamente viável para resultados de VPLS positivos eu TIRS acima da taxa de desconto</w:t>
      </w:r>
      <w:r w:rsidR="001435F9" w:rsidRPr="00B8426C">
        <w:rPr>
          <w:rFonts w:ascii="Arial" w:hAnsi="Arial" w:cs="Arial"/>
          <w:szCs w:val="24"/>
        </w:rPr>
        <w:t xml:space="preserve"> de 12%</w:t>
      </w:r>
      <w:r w:rsidRPr="00B8426C">
        <w:rPr>
          <w:rFonts w:ascii="Arial" w:hAnsi="Arial" w:cs="Arial"/>
          <w:szCs w:val="24"/>
        </w:rPr>
        <w:t xml:space="preserve"> utilizada como custo de oportunidade</w:t>
      </w:r>
      <w:r w:rsidR="001435F9" w:rsidRPr="00B8426C">
        <w:rPr>
          <w:rFonts w:ascii="Arial" w:hAnsi="Arial" w:cs="Arial"/>
          <w:szCs w:val="24"/>
        </w:rPr>
        <w:t xml:space="preserve"> padrão de fundos BID.</w:t>
      </w:r>
    </w:p>
    <w:p w:rsidR="00C97869" w:rsidRPr="00B8426C" w:rsidRDefault="00C97869" w:rsidP="00C97869">
      <w:pPr>
        <w:spacing w:before="120" w:after="120"/>
        <w:jc w:val="both"/>
        <w:rPr>
          <w:rFonts w:ascii="Arial" w:hAnsi="Arial" w:cs="Arial"/>
          <w:szCs w:val="24"/>
        </w:rPr>
      </w:pPr>
    </w:p>
    <w:p w:rsidR="001435F9" w:rsidRPr="00B8426C" w:rsidRDefault="004D36F3" w:rsidP="001147E1">
      <w:pPr>
        <w:pStyle w:val="Heading2"/>
        <w:numPr>
          <w:ilvl w:val="1"/>
          <w:numId w:val="5"/>
        </w:numPr>
        <w:rPr>
          <w:rFonts w:cs="Arial"/>
        </w:rPr>
      </w:pPr>
      <w:bookmarkStart w:id="6" w:name="_Toc483345022"/>
      <w:r w:rsidRPr="00B8426C">
        <w:rPr>
          <w:rFonts w:cs="Arial"/>
        </w:rPr>
        <w:t xml:space="preserve">Identificação de </w:t>
      </w:r>
      <w:r w:rsidR="003014C0" w:rsidRPr="00B8426C">
        <w:rPr>
          <w:rFonts w:cs="Arial"/>
        </w:rPr>
        <w:t xml:space="preserve">Custos </w:t>
      </w:r>
      <w:r w:rsidR="009237C4" w:rsidRPr="00B8426C">
        <w:rPr>
          <w:rFonts w:cs="Arial"/>
        </w:rPr>
        <w:t xml:space="preserve">e Benefícios </w:t>
      </w:r>
      <w:r w:rsidR="003014C0" w:rsidRPr="00B8426C">
        <w:rPr>
          <w:rFonts w:cs="Arial"/>
        </w:rPr>
        <w:t>Econômicos</w:t>
      </w:r>
      <w:bookmarkEnd w:id="6"/>
    </w:p>
    <w:p w:rsidR="004044A5" w:rsidRPr="00B8426C" w:rsidRDefault="003F0EB3" w:rsidP="001147E1">
      <w:pPr>
        <w:pStyle w:val="ListParagraph"/>
        <w:numPr>
          <w:ilvl w:val="1"/>
          <w:numId w:val="6"/>
        </w:numPr>
        <w:tabs>
          <w:tab w:val="clear" w:pos="576"/>
          <w:tab w:val="num" w:pos="426"/>
        </w:tabs>
        <w:spacing w:before="120" w:after="120"/>
        <w:ind w:left="426" w:hanging="426"/>
        <w:contextualSpacing w:val="0"/>
        <w:jc w:val="both"/>
        <w:rPr>
          <w:rFonts w:ascii="Arial" w:hAnsi="Arial" w:cs="Arial"/>
          <w:szCs w:val="24"/>
        </w:rPr>
      </w:pPr>
      <w:r w:rsidRPr="00B8426C">
        <w:rPr>
          <w:rFonts w:ascii="Arial" w:hAnsi="Arial" w:cs="Arial"/>
          <w:szCs w:val="24"/>
        </w:rPr>
        <w:t>Os custos e os benefícios econômicos identificáveis</w:t>
      </w:r>
      <w:r w:rsidR="002D554A" w:rsidRPr="00B8426C">
        <w:rPr>
          <w:rFonts w:ascii="Arial" w:hAnsi="Arial" w:cs="Arial"/>
          <w:szCs w:val="24"/>
        </w:rPr>
        <w:t xml:space="preserve"> para alcançar os</w:t>
      </w:r>
      <w:r w:rsidRPr="00B8426C">
        <w:rPr>
          <w:rFonts w:ascii="Arial" w:hAnsi="Arial" w:cs="Arial"/>
          <w:szCs w:val="24"/>
        </w:rPr>
        <w:t xml:space="preserve"> resultados e</w:t>
      </w:r>
      <w:r w:rsidR="002D554A" w:rsidRPr="00B8426C">
        <w:rPr>
          <w:rFonts w:ascii="Arial" w:hAnsi="Arial" w:cs="Arial"/>
          <w:szCs w:val="24"/>
        </w:rPr>
        <w:t xml:space="preserve"> impactos esperados serão tratados por componente</w:t>
      </w:r>
      <w:r w:rsidRPr="00B8426C">
        <w:rPr>
          <w:rFonts w:ascii="Arial" w:hAnsi="Arial" w:cs="Arial"/>
          <w:szCs w:val="24"/>
        </w:rPr>
        <w:t xml:space="preserve"> do programa, dada a importância relativa do Componente 1 (</w:t>
      </w:r>
      <w:r w:rsidR="00D802F2" w:rsidRPr="00B8426C">
        <w:rPr>
          <w:rFonts w:ascii="Arial" w:hAnsi="Arial" w:cs="Arial"/>
          <w:szCs w:val="24"/>
        </w:rPr>
        <w:t>79% do total de recursos do Programa) e sua complexidade, por abranger sete cadeias produtivas distintas. O principa</w:t>
      </w:r>
      <w:r w:rsidR="005E3754" w:rsidRPr="00B8426C">
        <w:rPr>
          <w:rFonts w:ascii="Arial" w:hAnsi="Arial" w:cs="Arial"/>
          <w:szCs w:val="24"/>
        </w:rPr>
        <w:t>l</w:t>
      </w:r>
      <w:r w:rsidR="00D802F2" w:rsidRPr="00B8426C">
        <w:rPr>
          <w:rFonts w:ascii="Arial" w:hAnsi="Arial" w:cs="Arial"/>
          <w:szCs w:val="24"/>
        </w:rPr>
        <w:t xml:space="preserve"> resultado, indicado pela elevação do percentual de investimento em P</w:t>
      </w:r>
      <w:r w:rsidR="00E53A5B" w:rsidRPr="00B8426C">
        <w:rPr>
          <w:rFonts w:ascii="Arial" w:hAnsi="Arial" w:cs="Arial"/>
          <w:szCs w:val="24"/>
        </w:rPr>
        <w:t>DI</w:t>
      </w:r>
      <w:r w:rsidR="005E3754" w:rsidRPr="00B8426C">
        <w:rPr>
          <w:rFonts w:ascii="Arial" w:hAnsi="Arial" w:cs="Arial"/>
          <w:szCs w:val="24"/>
        </w:rPr>
        <w:t xml:space="preserve"> em relação ao total de vendas das empresas, e impacto, elevação da produtividade média das empresas beneficiárias, decorrem deste primeiro componente.</w:t>
      </w:r>
      <w:r w:rsidR="00C54DF3" w:rsidRPr="00B8426C">
        <w:rPr>
          <w:rFonts w:ascii="Arial" w:hAnsi="Arial" w:cs="Arial"/>
          <w:szCs w:val="24"/>
        </w:rPr>
        <w:t xml:space="preserve"> A Tabela 1 sintetiza todos os indicadores de resultado e de impacto, de acordo com o perfil do projeto e a matriz de resultados</w:t>
      </w:r>
      <w:r w:rsidR="0039261F" w:rsidRPr="00B8426C">
        <w:rPr>
          <w:rFonts w:ascii="Arial" w:hAnsi="Arial" w:cs="Arial"/>
          <w:szCs w:val="24"/>
        </w:rPr>
        <w:t>, que toma a linha de base como a média de 2014-2016</w:t>
      </w:r>
      <w:r w:rsidR="00C54DF3" w:rsidRPr="00B8426C">
        <w:rPr>
          <w:rFonts w:ascii="Arial" w:hAnsi="Arial" w:cs="Arial"/>
          <w:szCs w:val="24"/>
        </w:rPr>
        <w:t>.</w:t>
      </w:r>
    </w:p>
    <w:p w:rsidR="00920E84" w:rsidRPr="00B8426C" w:rsidRDefault="00920E84" w:rsidP="00920E84">
      <w:pPr>
        <w:rPr>
          <w:rFonts w:ascii="Arial" w:hAnsi="Arial" w:cs="Arial"/>
        </w:rPr>
      </w:pPr>
    </w:p>
    <w:p w:rsidR="0017531F" w:rsidRPr="00B8426C" w:rsidRDefault="00F61531" w:rsidP="00920E84">
      <w:pPr>
        <w:rPr>
          <w:rFonts w:ascii="Arial" w:hAnsi="Arial" w:cs="Arial"/>
        </w:rPr>
      </w:pPr>
      <w:r w:rsidRPr="00B8426C">
        <w:rPr>
          <w:rFonts w:ascii="Arial" w:hAnsi="Arial" w:cs="Arial"/>
          <w:b/>
        </w:rPr>
        <w:t>Tabela 2</w:t>
      </w:r>
      <w:r w:rsidR="00863271" w:rsidRPr="00B8426C">
        <w:rPr>
          <w:rFonts w:ascii="Arial" w:hAnsi="Arial" w:cs="Arial"/>
          <w:b/>
        </w:rPr>
        <w:t>:</w:t>
      </w:r>
      <w:r w:rsidR="00863271" w:rsidRPr="00B8426C">
        <w:rPr>
          <w:rFonts w:ascii="Arial" w:hAnsi="Arial" w:cs="Arial"/>
        </w:rPr>
        <w:t xml:space="preserve"> Indicadores de impacto e de resultado</w:t>
      </w:r>
      <w:r w:rsidR="00F00630" w:rsidRPr="00B8426C">
        <w:rPr>
          <w:rFonts w:ascii="Arial" w:hAnsi="Arial" w:cs="Arial"/>
        </w:rPr>
        <w:t xml:space="preserve"> para todos os componentes</w:t>
      </w:r>
    </w:p>
    <w:p w:rsidR="00CC7E7B" w:rsidRPr="00B8426C" w:rsidRDefault="00CC7E7B" w:rsidP="00920E84">
      <w:pPr>
        <w:rPr>
          <w:rFonts w:ascii="Arial" w:hAnsi="Arial" w:cs="Arial"/>
        </w:rPr>
      </w:pPr>
      <w:r w:rsidRPr="00B8426C">
        <w:rPr>
          <w:rFonts w:ascii="Arial" w:hAnsi="Arial" w:cs="Arial"/>
          <w:noProof/>
          <w:lang w:val="en-US"/>
        </w:rPr>
        <w:drawing>
          <wp:inline distT="0" distB="0" distL="0" distR="0" wp14:anchorId="25D6667F" wp14:editId="2D26DA66">
            <wp:extent cx="6189345" cy="2902267"/>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89345" cy="2902267"/>
                    </a:xfrm>
                    <a:prstGeom prst="rect">
                      <a:avLst/>
                    </a:prstGeom>
                    <a:noFill/>
                    <a:ln>
                      <a:noFill/>
                    </a:ln>
                  </pic:spPr>
                </pic:pic>
              </a:graphicData>
            </a:graphic>
          </wp:inline>
        </w:drawing>
      </w:r>
    </w:p>
    <w:p w:rsidR="00CC7E7B" w:rsidRPr="00B8426C" w:rsidRDefault="00CC7E7B" w:rsidP="00506927">
      <w:pPr>
        <w:rPr>
          <w:rFonts w:ascii="Arial" w:hAnsi="Arial" w:cs="Arial"/>
          <w:b/>
        </w:rPr>
      </w:pPr>
    </w:p>
    <w:p w:rsidR="0017531F" w:rsidRPr="00B8426C" w:rsidRDefault="00C54DF3" w:rsidP="00506927">
      <w:pPr>
        <w:rPr>
          <w:rFonts w:ascii="Arial" w:hAnsi="Arial" w:cs="Arial"/>
          <w:b/>
        </w:rPr>
      </w:pPr>
      <w:r w:rsidRPr="00B8426C">
        <w:rPr>
          <w:rFonts w:ascii="Arial" w:hAnsi="Arial" w:cs="Arial"/>
          <w:b/>
        </w:rPr>
        <w:t>Componente 1: Inovação em Setores Prioritários</w:t>
      </w:r>
    </w:p>
    <w:p w:rsidR="00920E84" w:rsidRPr="00B8426C" w:rsidRDefault="00920E84" w:rsidP="00920E84">
      <w:pPr>
        <w:rPr>
          <w:rFonts w:ascii="Arial" w:hAnsi="Arial" w:cs="Arial"/>
        </w:rPr>
      </w:pPr>
    </w:p>
    <w:p w:rsidR="00D512B7" w:rsidRPr="00B8426C" w:rsidRDefault="00DD3B21" w:rsidP="00CD39ED">
      <w:pPr>
        <w:pStyle w:val="ListParagraph"/>
        <w:numPr>
          <w:ilvl w:val="1"/>
          <w:numId w:val="13"/>
        </w:numPr>
        <w:spacing w:before="120" w:after="120"/>
        <w:ind w:left="578" w:hanging="578"/>
        <w:contextualSpacing w:val="0"/>
        <w:jc w:val="both"/>
        <w:rPr>
          <w:rFonts w:ascii="Arial" w:hAnsi="Arial" w:cs="Arial"/>
          <w:szCs w:val="24"/>
        </w:rPr>
      </w:pPr>
      <w:r w:rsidRPr="00B8426C">
        <w:rPr>
          <w:rFonts w:ascii="Arial" w:hAnsi="Arial" w:cs="Arial"/>
          <w:szCs w:val="24"/>
        </w:rPr>
        <w:t xml:space="preserve">O </w:t>
      </w:r>
      <w:r w:rsidRPr="00B8426C">
        <w:rPr>
          <w:rFonts w:ascii="Arial" w:hAnsi="Arial" w:cs="Arial"/>
          <w:b/>
          <w:szCs w:val="24"/>
        </w:rPr>
        <w:t>Plano de Apoio ao Desenvolvimento e Inovação da Indústria Química</w:t>
      </w:r>
      <w:r w:rsidRPr="00B8426C">
        <w:rPr>
          <w:rFonts w:ascii="Arial" w:hAnsi="Arial" w:cs="Arial"/>
          <w:szCs w:val="24"/>
        </w:rPr>
        <w:t xml:space="preserve"> (PADIQ) tem como objetivos apoiar projetos com risco tecnológico, geradores de externalidades positivas; fortalecer as relações entre empresas, institutos tecnológicos e setor público e coordenar ações para fomento e seleção de planos de negócios que contemplem atividades de pesquisa, desenvolvimento e inovação levados ao mercado de forma competitiva. O PADIQ causará um impacto ambiental, social e científico e tecnológico, como</w:t>
      </w:r>
      <w:r w:rsidR="006C4A61" w:rsidRPr="00B8426C">
        <w:rPr>
          <w:rFonts w:ascii="Arial" w:hAnsi="Arial" w:cs="Arial"/>
          <w:szCs w:val="24"/>
        </w:rPr>
        <w:t>,</w:t>
      </w:r>
      <w:r w:rsidRPr="00B8426C">
        <w:rPr>
          <w:rFonts w:ascii="Arial" w:hAnsi="Arial" w:cs="Arial"/>
          <w:szCs w:val="24"/>
        </w:rPr>
        <w:t xml:space="preserve"> por exemplo</w:t>
      </w:r>
      <w:r w:rsidR="006C4A61" w:rsidRPr="00B8426C">
        <w:rPr>
          <w:rFonts w:ascii="Arial" w:hAnsi="Arial" w:cs="Arial"/>
          <w:szCs w:val="24"/>
        </w:rPr>
        <w:t>,</w:t>
      </w:r>
      <w:r w:rsidRPr="00B8426C">
        <w:rPr>
          <w:rFonts w:ascii="Arial" w:hAnsi="Arial" w:cs="Arial"/>
          <w:szCs w:val="24"/>
        </w:rPr>
        <w:t xml:space="preserve"> substituição de produtos de origem fóssil por renováveis, geração de empregos qualificados e melhorias tecnológicas em cadeias a jusante, respectivamente.</w:t>
      </w:r>
    </w:p>
    <w:p w:rsidR="005F2071" w:rsidRPr="00B8426C" w:rsidRDefault="00DD3B21" w:rsidP="00DD3B21">
      <w:pPr>
        <w:pStyle w:val="ListParagraph"/>
        <w:numPr>
          <w:ilvl w:val="1"/>
          <w:numId w:val="13"/>
        </w:numPr>
        <w:spacing w:before="120" w:after="120"/>
        <w:ind w:left="578" w:hanging="578"/>
        <w:jc w:val="both"/>
        <w:rPr>
          <w:rFonts w:ascii="Arial" w:hAnsi="Arial" w:cs="Arial"/>
        </w:rPr>
      </w:pPr>
      <w:r w:rsidRPr="00B8426C">
        <w:rPr>
          <w:rFonts w:ascii="Arial" w:hAnsi="Arial" w:cs="Arial"/>
          <w:szCs w:val="24"/>
        </w:rPr>
        <w:t xml:space="preserve">Os </w:t>
      </w:r>
      <w:r w:rsidRPr="00B8426C">
        <w:rPr>
          <w:rFonts w:ascii="Arial" w:hAnsi="Arial" w:cs="Arial"/>
          <w:b/>
          <w:szCs w:val="24"/>
        </w:rPr>
        <w:t>Biocombustíveis avançados</w:t>
      </w:r>
      <w:r w:rsidRPr="00B8426C">
        <w:rPr>
          <w:rFonts w:ascii="Arial" w:hAnsi="Arial" w:cs="Arial"/>
          <w:szCs w:val="24"/>
        </w:rPr>
        <w:t xml:space="preserve"> são capazes de reduzir as emissões de Gases de Efeito Estufa (GEE) em pelo menos 50% em todo o ciclo de vida em relação ao combustível fóssil equivalente. Considerando valor de mercado, consumo e potencial de expansão, destacam</w:t>
      </w:r>
      <w:r w:rsidR="006C4A61" w:rsidRPr="00B8426C">
        <w:rPr>
          <w:rFonts w:ascii="Arial" w:hAnsi="Arial" w:cs="Arial"/>
          <w:szCs w:val="24"/>
        </w:rPr>
        <w:t>-se</w:t>
      </w:r>
      <w:r w:rsidRPr="00B8426C">
        <w:rPr>
          <w:rFonts w:ascii="Arial" w:hAnsi="Arial" w:cs="Arial"/>
          <w:szCs w:val="24"/>
        </w:rPr>
        <w:t xml:space="preserve"> o Bioetanol, Biodiesel e o Biogás. </w:t>
      </w:r>
      <w:r w:rsidRPr="00B8426C">
        <w:rPr>
          <w:rFonts w:ascii="Arial" w:hAnsi="Arial" w:cs="Arial"/>
        </w:rPr>
        <w:t>O Brasil é o 2º maior produtor mundial de Bioetanol, mas há um descompasso entre o aumento da demanda e da produção nacional, e esse incremento na demanda deverá ser suprido por importaçõe</w:t>
      </w:r>
      <w:r w:rsidR="005F2071" w:rsidRPr="00B8426C">
        <w:rPr>
          <w:rFonts w:ascii="Arial" w:hAnsi="Arial" w:cs="Arial"/>
        </w:rPr>
        <w:t>s, aumento da eficiência agroin</w:t>
      </w:r>
      <w:r w:rsidRPr="00B8426C">
        <w:rPr>
          <w:rFonts w:ascii="Arial" w:hAnsi="Arial" w:cs="Arial"/>
        </w:rPr>
        <w:t>dustrial ou etanol lignocelulósico. Além disso, há uma tendência de a</w:t>
      </w:r>
      <w:r w:rsidR="00CD39ED" w:rsidRPr="00B8426C">
        <w:rPr>
          <w:rFonts w:ascii="Arial" w:hAnsi="Arial" w:cs="Arial"/>
        </w:rPr>
        <w:t xml:space="preserve">umento na demanda internacional, estimada em aumento de mais de 40% para 2024, segundo dados apresentados pela própria </w:t>
      </w:r>
      <w:r w:rsidR="00D72E4D">
        <w:rPr>
          <w:rFonts w:ascii="Arial" w:hAnsi="Arial" w:cs="Arial"/>
        </w:rPr>
        <w:t>Finep</w:t>
      </w:r>
      <w:r w:rsidR="005F2071" w:rsidRPr="00B8426C">
        <w:rPr>
          <w:rFonts w:ascii="Arial" w:hAnsi="Arial" w:cs="Arial"/>
        </w:rPr>
        <w:t>.</w:t>
      </w:r>
    </w:p>
    <w:p w:rsidR="005F2071" w:rsidRPr="00B8426C" w:rsidRDefault="005F2071" w:rsidP="005F2071">
      <w:pPr>
        <w:pStyle w:val="ListParagraph"/>
        <w:spacing w:before="120" w:after="120"/>
        <w:ind w:left="578"/>
        <w:jc w:val="both"/>
        <w:rPr>
          <w:rFonts w:ascii="Arial" w:hAnsi="Arial" w:cs="Arial"/>
        </w:rPr>
      </w:pPr>
    </w:p>
    <w:p w:rsidR="00DD3B21" w:rsidRPr="00B8426C" w:rsidRDefault="00DD3B21" w:rsidP="005F2071">
      <w:pPr>
        <w:pStyle w:val="ListParagraph"/>
        <w:numPr>
          <w:ilvl w:val="1"/>
          <w:numId w:val="13"/>
        </w:numPr>
        <w:spacing w:before="120" w:after="120"/>
        <w:ind w:left="578" w:hanging="578"/>
        <w:contextualSpacing w:val="0"/>
        <w:jc w:val="both"/>
        <w:rPr>
          <w:rFonts w:ascii="Arial" w:hAnsi="Arial" w:cs="Arial"/>
          <w:szCs w:val="24"/>
        </w:rPr>
      </w:pPr>
      <w:r w:rsidRPr="00B8426C">
        <w:rPr>
          <w:rFonts w:ascii="Arial" w:hAnsi="Arial" w:cs="Arial"/>
          <w:szCs w:val="24"/>
        </w:rPr>
        <w:tab/>
        <w:t>A produção mundial de Biodiesel representa 20% da produção mundial de biocombustíveis. O Brasil é o 3º maior produtor e consumidor mundial de biodiesel, tendo a sua produção voltada ao mercado interno. Além do impulso de sua utilização com o fim de reduzir a poluição, o Biodiesel tem um grande potencial de exportação, porém é necessário que o preço se torne competitivo, o que só possível com inovação tecnológica.</w:t>
      </w:r>
    </w:p>
    <w:p w:rsidR="003B3196" w:rsidRPr="00B8426C" w:rsidRDefault="00DD3B21" w:rsidP="003B3196">
      <w:pPr>
        <w:pStyle w:val="ListParagraph"/>
        <w:numPr>
          <w:ilvl w:val="1"/>
          <w:numId w:val="13"/>
        </w:numPr>
        <w:spacing w:before="120" w:after="120"/>
        <w:ind w:left="578" w:hanging="578"/>
        <w:contextualSpacing w:val="0"/>
        <w:jc w:val="both"/>
        <w:rPr>
          <w:rFonts w:ascii="Arial" w:hAnsi="Arial" w:cs="Arial"/>
          <w:szCs w:val="24"/>
        </w:rPr>
      </w:pPr>
      <w:r w:rsidRPr="00B8426C">
        <w:rPr>
          <w:rFonts w:ascii="Arial" w:hAnsi="Arial" w:cs="Arial"/>
          <w:szCs w:val="24"/>
        </w:rPr>
        <w:tab/>
        <w:t>O Biogás tem uma participação incipiente na matriz energética brasileira, porém com um enorme potencial de crescimento. No estado de São Paulo, o setor de biogás está em forte expansão, com incentivos governamentais, podendo em 2020 suprir 30% da necessidade de gás.</w:t>
      </w:r>
      <w:r w:rsidR="003B3196" w:rsidRPr="00B8426C">
        <w:rPr>
          <w:rFonts w:ascii="Arial" w:hAnsi="Arial" w:cs="Arial"/>
          <w:szCs w:val="24"/>
        </w:rPr>
        <w:t xml:space="preserve"> Por outro lado, </w:t>
      </w:r>
      <w:r w:rsidRPr="00B8426C">
        <w:rPr>
          <w:rFonts w:ascii="Arial" w:hAnsi="Arial" w:cs="Arial"/>
          <w:szCs w:val="24"/>
        </w:rPr>
        <w:t>EUA e Europa já possuem uma grande rede de produção e distribuição do biogás.</w:t>
      </w:r>
    </w:p>
    <w:p w:rsidR="00130E9F" w:rsidRPr="00B8426C" w:rsidRDefault="00DD3B21" w:rsidP="00130E9F">
      <w:pPr>
        <w:pStyle w:val="ListParagraph"/>
        <w:numPr>
          <w:ilvl w:val="1"/>
          <w:numId w:val="13"/>
        </w:numPr>
        <w:spacing w:before="240" w:after="160" w:line="259" w:lineRule="auto"/>
        <w:ind w:left="578" w:hanging="578"/>
        <w:jc w:val="both"/>
        <w:rPr>
          <w:rFonts w:ascii="Arial" w:hAnsi="Arial" w:cs="Arial"/>
        </w:rPr>
      </w:pPr>
      <w:r w:rsidRPr="00B8426C">
        <w:rPr>
          <w:rFonts w:ascii="Arial" w:hAnsi="Arial" w:cs="Arial"/>
          <w:b/>
        </w:rPr>
        <w:t>Inova Mineral</w:t>
      </w:r>
      <w:r w:rsidRPr="00B8426C">
        <w:rPr>
          <w:rFonts w:ascii="Arial" w:hAnsi="Arial" w:cs="Arial"/>
        </w:rPr>
        <w:t xml:space="preserve"> é uma ação dentro dos moldes do Plano Inova Empresa e tem como objetivos:</w:t>
      </w:r>
      <w:r w:rsidR="0084626A" w:rsidRPr="00B8426C">
        <w:rPr>
          <w:rFonts w:ascii="Arial" w:hAnsi="Arial" w:cs="Arial"/>
        </w:rPr>
        <w:t xml:space="preserve"> e</w:t>
      </w:r>
      <w:r w:rsidRPr="00B8426C">
        <w:rPr>
          <w:rFonts w:ascii="Arial" w:hAnsi="Arial" w:cs="Arial"/>
        </w:rPr>
        <w:t>stimular a consolidação e avanço na cadeia produtiva dos minerais “Portadores de Futuro”, incluindo a fabricação das ligas, materiais de alto desempenho e suas aplicações;</w:t>
      </w:r>
      <w:r w:rsidR="0084626A" w:rsidRPr="00B8426C">
        <w:rPr>
          <w:rFonts w:ascii="Arial" w:hAnsi="Arial" w:cs="Arial"/>
        </w:rPr>
        <w:t xml:space="preserve"> a</w:t>
      </w:r>
      <w:r w:rsidRPr="00B8426C">
        <w:rPr>
          <w:rFonts w:ascii="Arial" w:hAnsi="Arial" w:cs="Arial"/>
        </w:rPr>
        <w:t>umentar a disponibilidade, desenvolver fontes alternativas e novas rotas para os agrominerais, com foco em Fosfato e Potássio;</w:t>
      </w:r>
      <w:r w:rsidR="0084626A" w:rsidRPr="00B8426C">
        <w:rPr>
          <w:rFonts w:ascii="Arial" w:hAnsi="Arial" w:cs="Arial"/>
        </w:rPr>
        <w:t xml:space="preserve"> f</w:t>
      </w:r>
      <w:r w:rsidRPr="00B8426C">
        <w:rPr>
          <w:rFonts w:ascii="Arial" w:hAnsi="Arial" w:cs="Arial"/>
        </w:rPr>
        <w:t>omentar o desenvolvimento de soluções inovadoras que resultem tragam grandes impactos positivos na indústria mineral;</w:t>
      </w:r>
      <w:r w:rsidR="0084626A" w:rsidRPr="00B8426C">
        <w:rPr>
          <w:rFonts w:ascii="Arial" w:hAnsi="Arial" w:cs="Arial"/>
        </w:rPr>
        <w:t xml:space="preserve"> f</w:t>
      </w:r>
      <w:r w:rsidRPr="00B8426C">
        <w:rPr>
          <w:rFonts w:ascii="Arial" w:hAnsi="Arial" w:cs="Arial"/>
        </w:rPr>
        <w:t>omentar soluções para reduzir e mitigar riscos e impactos ambientais das atividades de mineração e transformação mineral;</w:t>
      </w:r>
      <w:r w:rsidR="0084626A" w:rsidRPr="00B8426C">
        <w:rPr>
          <w:rFonts w:ascii="Arial" w:hAnsi="Arial" w:cs="Arial"/>
        </w:rPr>
        <w:t xml:space="preserve"> a</w:t>
      </w:r>
      <w:r w:rsidRPr="00B8426C">
        <w:rPr>
          <w:rFonts w:ascii="Arial" w:hAnsi="Arial" w:cs="Arial"/>
        </w:rPr>
        <w:t>umentar o patamar tecnológico da cadeia nacional de fornecedores, priorizando o desenvolvimento de engenharia nacional e absorção de novas tecnologias.</w:t>
      </w:r>
    </w:p>
    <w:p w:rsidR="00130E9F" w:rsidRPr="00B8426C" w:rsidRDefault="00130E9F" w:rsidP="00130E9F">
      <w:pPr>
        <w:pStyle w:val="ListParagraph"/>
        <w:spacing w:before="240" w:after="160" w:line="259" w:lineRule="auto"/>
        <w:ind w:left="578"/>
        <w:jc w:val="both"/>
        <w:rPr>
          <w:rFonts w:ascii="Arial" w:hAnsi="Arial" w:cs="Arial"/>
        </w:rPr>
      </w:pPr>
    </w:p>
    <w:p w:rsidR="0084626A" w:rsidRPr="00B8426C" w:rsidRDefault="0084626A" w:rsidP="00D512B7">
      <w:pPr>
        <w:pStyle w:val="ListParagraph"/>
        <w:numPr>
          <w:ilvl w:val="1"/>
          <w:numId w:val="13"/>
        </w:numPr>
        <w:spacing w:before="120" w:after="120" w:line="259" w:lineRule="auto"/>
        <w:ind w:left="454" w:hanging="454"/>
        <w:contextualSpacing w:val="0"/>
        <w:jc w:val="both"/>
        <w:rPr>
          <w:rFonts w:ascii="Arial" w:hAnsi="Arial" w:cs="Arial"/>
          <w:szCs w:val="24"/>
        </w:rPr>
      </w:pPr>
      <w:r w:rsidRPr="00B8426C">
        <w:rPr>
          <w:rFonts w:ascii="Arial" w:hAnsi="Arial" w:cs="Arial"/>
          <w:szCs w:val="24"/>
        </w:rPr>
        <w:t>Ainda como parte do componente 1 estão programados investimentos em Agronegócios, alimentos e bebidas</w:t>
      </w:r>
      <w:r w:rsidR="00130E9F" w:rsidRPr="00B8426C">
        <w:rPr>
          <w:rFonts w:ascii="Arial" w:hAnsi="Arial" w:cs="Arial"/>
          <w:szCs w:val="24"/>
        </w:rPr>
        <w:t xml:space="preserve">; </w:t>
      </w:r>
      <w:r w:rsidRPr="00B8426C">
        <w:rPr>
          <w:rFonts w:ascii="Arial" w:hAnsi="Arial" w:cs="Arial"/>
          <w:szCs w:val="24"/>
        </w:rPr>
        <w:t>Tecnologias da Informação e Comunicações</w:t>
      </w:r>
      <w:r w:rsidR="00130E9F" w:rsidRPr="00B8426C">
        <w:rPr>
          <w:rFonts w:ascii="Arial" w:hAnsi="Arial" w:cs="Arial"/>
          <w:szCs w:val="24"/>
        </w:rPr>
        <w:t xml:space="preserve">; </w:t>
      </w:r>
      <w:r w:rsidRPr="00B8426C">
        <w:rPr>
          <w:rFonts w:ascii="Arial" w:hAnsi="Arial" w:cs="Arial"/>
          <w:szCs w:val="24"/>
        </w:rPr>
        <w:t>Saúde</w:t>
      </w:r>
      <w:r w:rsidR="00130E9F" w:rsidRPr="00B8426C">
        <w:rPr>
          <w:rFonts w:ascii="Arial" w:hAnsi="Arial" w:cs="Arial"/>
          <w:szCs w:val="24"/>
        </w:rPr>
        <w:t xml:space="preserve">; e </w:t>
      </w:r>
      <w:r w:rsidRPr="00B8426C">
        <w:rPr>
          <w:rFonts w:ascii="Arial" w:hAnsi="Arial" w:cs="Arial"/>
          <w:szCs w:val="24"/>
        </w:rPr>
        <w:t>Metal mecânica</w:t>
      </w:r>
      <w:r w:rsidR="00130E9F" w:rsidRPr="00B8426C">
        <w:rPr>
          <w:rFonts w:ascii="Arial" w:hAnsi="Arial" w:cs="Arial"/>
          <w:szCs w:val="24"/>
        </w:rPr>
        <w:t xml:space="preserve">. Em conjunto esses setores somam quase 33% do componente 1, sendo o setor de Agronegócios, alimentos e bebidas responsável por 21%, ramos de atividade em que a </w:t>
      </w:r>
      <w:r w:rsidR="00D72E4D">
        <w:rPr>
          <w:rFonts w:ascii="Arial" w:hAnsi="Arial" w:cs="Arial"/>
          <w:szCs w:val="24"/>
        </w:rPr>
        <w:t>Finep</w:t>
      </w:r>
      <w:r w:rsidR="00130E9F" w:rsidRPr="00B8426C">
        <w:rPr>
          <w:rFonts w:ascii="Arial" w:hAnsi="Arial" w:cs="Arial"/>
          <w:szCs w:val="24"/>
        </w:rPr>
        <w:t xml:space="preserve"> já tem uma tradição de apoio, e os demais 12% são distribuídos para os três últimos setores.</w:t>
      </w:r>
    </w:p>
    <w:p w:rsidR="00DD3B21" w:rsidRPr="00B8426C" w:rsidRDefault="00DD3B21" w:rsidP="00920E84">
      <w:pPr>
        <w:rPr>
          <w:rFonts w:ascii="Arial" w:hAnsi="Arial" w:cs="Arial"/>
        </w:rPr>
      </w:pPr>
    </w:p>
    <w:p w:rsidR="00C54DF3" w:rsidRPr="00B8426C" w:rsidRDefault="00C54DF3" w:rsidP="00920E84">
      <w:pPr>
        <w:rPr>
          <w:rFonts w:ascii="Arial" w:hAnsi="Arial" w:cs="Arial"/>
        </w:rPr>
      </w:pPr>
    </w:p>
    <w:p w:rsidR="00C54DF3" w:rsidRPr="00B8426C" w:rsidRDefault="00C54DF3" w:rsidP="00920E84">
      <w:pPr>
        <w:rPr>
          <w:rFonts w:ascii="Arial" w:hAnsi="Arial" w:cs="Arial"/>
        </w:rPr>
      </w:pPr>
    </w:p>
    <w:p w:rsidR="00C54DF3" w:rsidRPr="00B8426C" w:rsidRDefault="00C54DF3" w:rsidP="0084626A">
      <w:pPr>
        <w:rPr>
          <w:rFonts w:ascii="Arial" w:hAnsi="Arial" w:cs="Arial"/>
          <w:b/>
        </w:rPr>
      </w:pPr>
      <w:r w:rsidRPr="00B8426C">
        <w:rPr>
          <w:rFonts w:ascii="Arial" w:hAnsi="Arial" w:cs="Arial"/>
          <w:b/>
        </w:rPr>
        <w:t>Compone</w:t>
      </w:r>
      <w:r w:rsidR="00071C17" w:rsidRPr="00B8426C">
        <w:rPr>
          <w:rFonts w:ascii="Arial" w:hAnsi="Arial" w:cs="Arial"/>
          <w:b/>
        </w:rPr>
        <w:t>nte 2: Modernização Tecnológica</w:t>
      </w:r>
    </w:p>
    <w:p w:rsidR="00C54DF3" w:rsidRPr="00B8426C" w:rsidRDefault="00C54DF3" w:rsidP="00920E84">
      <w:pPr>
        <w:rPr>
          <w:rFonts w:ascii="Arial" w:hAnsi="Arial" w:cs="Arial"/>
        </w:rPr>
      </w:pPr>
    </w:p>
    <w:p w:rsidR="00C54DF3" w:rsidRPr="00B8426C" w:rsidRDefault="00734233" w:rsidP="00734233">
      <w:pPr>
        <w:pStyle w:val="ListParagraph"/>
        <w:numPr>
          <w:ilvl w:val="1"/>
          <w:numId w:val="13"/>
        </w:numPr>
        <w:jc w:val="both"/>
        <w:rPr>
          <w:rFonts w:ascii="Arial" w:hAnsi="Arial" w:cs="Arial"/>
        </w:rPr>
      </w:pPr>
      <w:r w:rsidRPr="00B8426C">
        <w:rPr>
          <w:rFonts w:ascii="Arial" w:hAnsi="Arial" w:cs="Arial"/>
        </w:rPr>
        <w:t>O Inovacred aperfeiçoa e expande o financiamento para inovação, a</w:t>
      </w:r>
      <w:r w:rsidR="007852DD" w:rsidRPr="00B8426C">
        <w:rPr>
          <w:rFonts w:ascii="Arial" w:hAnsi="Arial" w:cs="Arial"/>
        </w:rPr>
        <w:t xml:space="preserve"> </w:t>
      </w:r>
      <w:r w:rsidRPr="00B8426C">
        <w:rPr>
          <w:rFonts w:ascii="Arial" w:hAnsi="Arial" w:cs="Arial"/>
        </w:rPr>
        <w:t>fim de fortalecer a capacidade de inovação das empresas brasileiras e o aumento das atividades de P&amp;D empresarial. O programa financia empresas para aplicação no desenvolvimento de novos produtos, processos ou serviços bem como o aprimoramento dos já existentes, inovação em marketing ou inovação organizacional, no ambiente produtivo ou social, visando ampliar a competitividade das empresas no âmbito regional e até nacional.</w:t>
      </w:r>
    </w:p>
    <w:p w:rsidR="004B246E" w:rsidRPr="00B8426C" w:rsidRDefault="004B246E" w:rsidP="004B246E">
      <w:pPr>
        <w:pStyle w:val="ListParagraph"/>
        <w:ind w:left="576"/>
        <w:jc w:val="both"/>
        <w:rPr>
          <w:rFonts w:ascii="Arial" w:hAnsi="Arial" w:cs="Arial"/>
        </w:rPr>
      </w:pPr>
    </w:p>
    <w:p w:rsidR="00980EF6" w:rsidRPr="00B8426C" w:rsidRDefault="007852DD" w:rsidP="00980EF6">
      <w:pPr>
        <w:pStyle w:val="ListParagraph"/>
        <w:numPr>
          <w:ilvl w:val="1"/>
          <w:numId w:val="13"/>
        </w:numPr>
        <w:jc w:val="both"/>
        <w:rPr>
          <w:rFonts w:ascii="Arial" w:hAnsi="Arial" w:cs="Arial"/>
        </w:rPr>
      </w:pPr>
      <w:r w:rsidRPr="00B8426C">
        <w:rPr>
          <w:rFonts w:ascii="Arial" w:hAnsi="Arial" w:cs="Arial"/>
        </w:rPr>
        <w:t xml:space="preserve">Este componente </w:t>
      </w:r>
      <w:r w:rsidR="004B246E" w:rsidRPr="00B8426C">
        <w:rPr>
          <w:rFonts w:ascii="Arial" w:hAnsi="Arial" w:cs="Arial"/>
        </w:rPr>
        <w:t>é voltado para</w:t>
      </w:r>
      <w:r w:rsidRPr="00B8426C">
        <w:rPr>
          <w:rFonts w:ascii="Arial" w:hAnsi="Arial" w:cs="Arial"/>
        </w:rPr>
        <w:t xml:space="preserve"> fomentar investimento em inovação </w:t>
      </w:r>
      <w:r w:rsidRPr="00B8426C">
        <w:rPr>
          <w:rFonts w:ascii="Arial" w:hAnsi="Arial" w:cs="Arial"/>
          <w:b/>
        </w:rPr>
        <w:t>em pequenas e m</w:t>
      </w:r>
      <w:r w:rsidR="004B246E" w:rsidRPr="00B8426C">
        <w:rPr>
          <w:rFonts w:ascii="Arial" w:hAnsi="Arial" w:cs="Arial"/>
          <w:b/>
        </w:rPr>
        <w:t>édias empresas</w:t>
      </w:r>
      <w:r w:rsidR="004B246E" w:rsidRPr="00B8426C">
        <w:rPr>
          <w:rFonts w:ascii="Arial" w:hAnsi="Arial" w:cs="Arial"/>
        </w:rPr>
        <w:t>,</w:t>
      </w:r>
      <w:r w:rsidR="008B0C12" w:rsidRPr="00B8426C">
        <w:rPr>
          <w:rFonts w:ascii="Arial" w:hAnsi="Arial" w:cs="Arial"/>
        </w:rPr>
        <w:t xml:space="preserve"> </w:t>
      </w:r>
      <w:r w:rsidR="00F71194" w:rsidRPr="00B8426C">
        <w:rPr>
          <w:rFonts w:ascii="Arial" w:hAnsi="Arial" w:cs="Arial"/>
        </w:rPr>
        <w:t>podendo</w:t>
      </w:r>
      <w:r w:rsidR="008B0C12" w:rsidRPr="00B8426C">
        <w:rPr>
          <w:rFonts w:ascii="Arial" w:hAnsi="Arial" w:cs="Arial"/>
        </w:rPr>
        <w:t xml:space="preserve"> financia</w:t>
      </w:r>
      <w:r w:rsidR="00F71194" w:rsidRPr="00B8426C">
        <w:rPr>
          <w:rFonts w:ascii="Arial" w:hAnsi="Arial" w:cs="Arial"/>
        </w:rPr>
        <w:t>r</w:t>
      </w:r>
      <w:r w:rsidR="008B0C12" w:rsidRPr="00B8426C">
        <w:rPr>
          <w:rFonts w:ascii="Arial" w:hAnsi="Arial" w:cs="Arial"/>
        </w:rPr>
        <w:t xml:space="preserve"> </w:t>
      </w:r>
      <w:r w:rsidR="00F71194" w:rsidRPr="00B8426C">
        <w:rPr>
          <w:rFonts w:ascii="Arial" w:hAnsi="Arial" w:cs="Arial"/>
        </w:rPr>
        <w:t>e</w:t>
      </w:r>
      <w:r w:rsidR="00980EF6" w:rsidRPr="00B8426C">
        <w:rPr>
          <w:rFonts w:ascii="Arial" w:hAnsi="Arial" w:cs="Arial"/>
        </w:rPr>
        <w:t>quipamentos (nacionais e importados)</w:t>
      </w:r>
      <w:r w:rsidR="00F71194" w:rsidRPr="00B8426C">
        <w:rPr>
          <w:rFonts w:ascii="Arial" w:hAnsi="Arial" w:cs="Arial"/>
        </w:rPr>
        <w:t>; m</w:t>
      </w:r>
      <w:r w:rsidR="00980EF6" w:rsidRPr="00B8426C">
        <w:rPr>
          <w:rFonts w:ascii="Arial" w:hAnsi="Arial" w:cs="Arial"/>
        </w:rPr>
        <w:t>atérias-primas</w:t>
      </w:r>
      <w:r w:rsidR="00F71194" w:rsidRPr="00B8426C">
        <w:rPr>
          <w:rFonts w:ascii="Arial" w:hAnsi="Arial" w:cs="Arial"/>
        </w:rPr>
        <w:t>; compra de t</w:t>
      </w:r>
      <w:r w:rsidR="00980EF6" w:rsidRPr="00B8426C">
        <w:rPr>
          <w:rFonts w:ascii="Arial" w:hAnsi="Arial" w:cs="Arial"/>
        </w:rPr>
        <w:t>ecnologia</w:t>
      </w:r>
      <w:r w:rsidR="00F71194" w:rsidRPr="00B8426C">
        <w:rPr>
          <w:rFonts w:ascii="Arial" w:hAnsi="Arial" w:cs="Arial"/>
        </w:rPr>
        <w:t>;</w:t>
      </w:r>
      <w:r w:rsidR="00980EF6" w:rsidRPr="00B8426C">
        <w:rPr>
          <w:rFonts w:ascii="Arial" w:hAnsi="Arial" w:cs="Arial"/>
        </w:rPr>
        <w:t xml:space="preserve"> </w:t>
      </w:r>
      <w:r w:rsidR="00F71194" w:rsidRPr="00B8426C">
        <w:rPr>
          <w:rFonts w:ascii="Arial" w:hAnsi="Arial" w:cs="Arial"/>
        </w:rPr>
        <w:t>serviços de c</w:t>
      </w:r>
      <w:r w:rsidR="00980EF6" w:rsidRPr="00B8426C">
        <w:rPr>
          <w:rFonts w:ascii="Arial" w:hAnsi="Arial" w:cs="Arial"/>
        </w:rPr>
        <w:t>onsultoria</w:t>
      </w:r>
      <w:r w:rsidR="00F71194" w:rsidRPr="00B8426C">
        <w:rPr>
          <w:rFonts w:ascii="Arial" w:hAnsi="Arial" w:cs="Arial"/>
        </w:rPr>
        <w:t xml:space="preserve"> t</w:t>
      </w:r>
      <w:r w:rsidR="00980EF6" w:rsidRPr="00B8426C">
        <w:rPr>
          <w:rFonts w:ascii="Arial" w:hAnsi="Arial" w:cs="Arial"/>
        </w:rPr>
        <w:t>ecnológica</w:t>
      </w:r>
      <w:r w:rsidR="00F71194" w:rsidRPr="00B8426C">
        <w:rPr>
          <w:rFonts w:ascii="Arial" w:hAnsi="Arial" w:cs="Arial"/>
        </w:rPr>
        <w:t>;</w:t>
      </w:r>
      <w:r w:rsidR="00980EF6" w:rsidRPr="00B8426C">
        <w:rPr>
          <w:rFonts w:ascii="Arial" w:hAnsi="Arial" w:cs="Arial"/>
        </w:rPr>
        <w:t xml:space="preserve"> </w:t>
      </w:r>
      <w:r w:rsidR="00F71194" w:rsidRPr="00B8426C">
        <w:rPr>
          <w:rFonts w:ascii="Arial" w:hAnsi="Arial" w:cs="Arial"/>
        </w:rPr>
        <w:t>p</w:t>
      </w:r>
      <w:r w:rsidR="00980EF6" w:rsidRPr="00B8426C">
        <w:rPr>
          <w:rFonts w:ascii="Arial" w:hAnsi="Arial" w:cs="Arial"/>
        </w:rPr>
        <w:t xml:space="preserve">atenteamento e </w:t>
      </w:r>
      <w:r w:rsidR="00F71194" w:rsidRPr="00B8426C">
        <w:rPr>
          <w:rFonts w:ascii="Arial" w:hAnsi="Arial" w:cs="Arial"/>
        </w:rPr>
        <w:t>l</w:t>
      </w:r>
      <w:r w:rsidR="00980EF6" w:rsidRPr="00B8426C">
        <w:rPr>
          <w:rFonts w:ascii="Arial" w:hAnsi="Arial" w:cs="Arial"/>
        </w:rPr>
        <w:t>icenciamento</w:t>
      </w:r>
      <w:r w:rsidR="00F71194" w:rsidRPr="00B8426C">
        <w:rPr>
          <w:rFonts w:ascii="Arial" w:hAnsi="Arial" w:cs="Arial"/>
        </w:rPr>
        <w:t>; testes e c</w:t>
      </w:r>
      <w:r w:rsidR="00980EF6" w:rsidRPr="00B8426C">
        <w:rPr>
          <w:rFonts w:ascii="Arial" w:hAnsi="Arial" w:cs="Arial"/>
        </w:rPr>
        <w:t>ertificação</w:t>
      </w:r>
      <w:r w:rsidR="00F71194" w:rsidRPr="00B8426C">
        <w:rPr>
          <w:rFonts w:ascii="Arial" w:hAnsi="Arial" w:cs="Arial"/>
        </w:rPr>
        <w:t>; t</w:t>
      </w:r>
      <w:r w:rsidR="00980EF6" w:rsidRPr="00B8426C">
        <w:rPr>
          <w:rFonts w:ascii="Arial" w:hAnsi="Arial" w:cs="Arial"/>
        </w:rPr>
        <w:t>reinamentos</w:t>
      </w:r>
      <w:r w:rsidR="00F71194" w:rsidRPr="00B8426C">
        <w:rPr>
          <w:rFonts w:ascii="Arial" w:hAnsi="Arial" w:cs="Arial"/>
        </w:rPr>
        <w:t>; a</w:t>
      </w:r>
      <w:r w:rsidR="00980EF6" w:rsidRPr="00B8426C">
        <w:rPr>
          <w:rFonts w:ascii="Arial" w:hAnsi="Arial" w:cs="Arial"/>
        </w:rPr>
        <w:t>quisição, concepção e desenvolvimento de softwares</w:t>
      </w:r>
      <w:r w:rsidR="00F71194" w:rsidRPr="00B8426C">
        <w:rPr>
          <w:rFonts w:ascii="Arial" w:hAnsi="Arial" w:cs="Arial"/>
        </w:rPr>
        <w:t>; e c</w:t>
      </w:r>
      <w:r w:rsidR="00980EF6" w:rsidRPr="00B8426C">
        <w:rPr>
          <w:rFonts w:ascii="Arial" w:hAnsi="Arial" w:cs="Arial"/>
        </w:rPr>
        <w:t>omercialização Pioneira</w:t>
      </w:r>
      <w:r w:rsidR="00F71194" w:rsidRPr="00B8426C">
        <w:rPr>
          <w:rFonts w:ascii="Arial" w:hAnsi="Arial" w:cs="Arial"/>
        </w:rPr>
        <w:t>.</w:t>
      </w:r>
    </w:p>
    <w:p w:rsidR="00980EF6" w:rsidRPr="00B8426C" w:rsidRDefault="00980EF6" w:rsidP="00980EF6">
      <w:pPr>
        <w:pStyle w:val="ListParagraph"/>
        <w:rPr>
          <w:rFonts w:ascii="Arial" w:hAnsi="Arial" w:cs="Arial"/>
        </w:rPr>
      </w:pPr>
    </w:p>
    <w:p w:rsidR="00F70069" w:rsidRPr="00B8426C" w:rsidRDefault="004B246E" w:rsidP="00980EF6">
      <w:pPr>
        <w:pStyle w:val="ListParagraph"/>
        <w:numPr>
          <w:ilvl w:val="1"/>
          <w:numId w:val="13"/>
        </w:numPr>
        <w:jc w:val="both"/>
        <w:rPr>
          <w:rFonts w:ascii="Arial" w:hAnsi="Arial" w:cs="Arial"/>
        </w:rPr>
      </w:pPr>
      <w:r w:rsidRPr="00B8426C">
        <w:rPr>
          <w:rFonts w:ascii="Arial" w:hAnsi="Arial" w:cs="Arial"/>
        </w:rPr>
        <w:t xml:space="preserve"> </w:t>
      </w:r>
      <w:r w:rsidR="00F71194" w:rsidRPr="00B8426C">
        <w:rPr>
          <w:rFonts w:ascii="Arial" w:hAnsi="Arial" w:cs="Arial"/>
        </w:rPr>
        <w:t xml:space="preserve">O programa já é realizado </w:t>
      </w:r>
      <w:r w:rsidRPr="00B8426C">
        <w:rPr>
          <w:rFonts w:ascii="Arial" w:hAnsi="Arial" w:cs="Arial"/>
        </w:rPr>
        <w:t xml:space="preserve">em parceria com </w:t>
      </w:r>
      <w:r w:rsidR="00F70069" w:rsidRPr="00B8426C">
        <w:rPr>
          <w:rFonts w:ascii="Arial" w:hAnsi="Arial" w:cs="Arial"/>
        </w:rPr>
        <w:t xml:space="preserve">17 </w:t>
      </w:r>
      <w:r w:rsidR="00F71194" w:rsidRPr="00B8426C">
        <w:rPr>
          <w:rFonts w:ascii="Arial" w:hAnsi="Arial" w:cs="Arial"/>
        </w:rPr>
        <w:t xml:space="preserve">instituições de fomento regionais, estando presente em </w:t>
      </w:r>
      <w:r w:rsidR="00F70069" w:rsidRPr="00B8426C">
        <w:rPr>
          <w:rFonts w:ascii="Arial" w:hAnsi="Arial" w:cs="Arial"/>
        </w:rPr>
        <w:t xml:space="preserve">22 estados brasileiros, mostrando o caráter de </w:t>
      </w:r>
      <w:r w:rsidR="00F70069" w:rsidRPr="00B8426C">
        <w:rPr>
          <w:rFonts w:ascii="Arial" w:hAnsi="Arial" w:cs="Arial"/>
          <w:b/>
        </w:rPr>
        <w:t>desenvolvimento regional</w:t>
      </w:r>
      <w:r w:rsidR="00F70069" w:rsidRPr="00B8426C">
        <w:rPr>
          <w:rFonts w:ascii="Arial" w:hAnsi="Arial" w:cs="Arial"/>
        </w:rPr>
        <w:t xml:space="preserve"> deste componente, tais como: Badesul Desenvolvimento S. A. - Agência de Fomento RS; Banco Regional de Desenvolvimento do Extremo Sul; Agência de Fomento do Estado do Rio de Janeiro S. A.;  Banco de Desenvolvimento de Minas Gerais S. A.;  Agência de Fomento do Estado de São Paulo S. A.; entre outros.</w:t>
      </w:r>
    </w:p>
    <w:p w:rsidR="00F70069" w:rsidRPr="00B8426C" w:rsidRDefault="00F70069" w:rsidP="00F70069">
      <w:pPr>
        <w:pStyle w:val="ListParagraph"/>
        <w:rPr>
          <w:rFonts w:ascii="Arial" w:hAnsi="Arial" w:cs="Arial"/>
        </w:rPr>
      </w:pPr>
    </w:p>
    <w:p w:rsidR="00C54DF3" w:rsidRPr="00B8426C" w:rsidRDefault="00F70069" w:rsidP="00F70069">
      <w:pPr>
        <w:jc w:val="both"/>
        <w:rPr>
          <w:rFonts w:ascii="Arial" w:hAnsi="Arial" w:cs="Arial"/>
          <w:b/>
        </w:rPr>
      </w:pPr>
      <w:r w:rsidRPr="00B8426C">
        <w:rPr>
          <w:rFonts w:ascii="Arial" w:hAnsi="Arial" w:cs="Arial"/>
        </w:rPr>
        <w:t xml:space="preserve"> </w:t>
      </w:r>
      <w:r w:rsidR="00130E9F" w:rsidRPr="00B8426C">
        <w:rPr>
          <w:rFonts w:ascii="Arial" w:hAnsi="Arial" w:cs="Arial"/>
          <w:b/>
        </w:rPr>
        <w:t>Componente 3: Empreendimento dinâmico</w:t>
      </w:r>
    </w:p>
    <w:p w:rsidR="005E3F81" w:rsidRPr="00B8426C" w:rsidRDefault="005E3F81" w:rsidP="00920E84">
      <w:pPr>
        <w:rPr>
          <w:rFonts w:ascii="Arial" w:hAnsi="Arial" w:cs="Arial"/>
          <w:b/>
        </w:rPr>
      </w:pPr>
    </w:p>
    <w:p w:rsidR="00D634B9" w:rsidRPr="00B8426C" w:rsidRDefault="00734233" w:rsidP="00210286">
      <w:pPr>
        <w:pStyle w:val="ListParagraph"/>
        <w:numPr>
          <w:ilvl w:val="1"/>
          <w:numId w:val="13"/>
        </w:numPr>
        <w:jc w:val="both"/>
        <w:rPr>
          <w:rFonts w:ascii="Arial" w:hAnsi="Arial" w:cs="Arial"/>
        </w:rPr>
      </w:pPr>
      <w:r w:rsidRPr="00B8426C">
        <w:rPr>
          <w:rFonts w:ascii="Arial" w:hAnsi="Arial" w:cs="Arial"/>
        </w:rPr>
        <w:t xml:space="preserve">O </w:t>
      </w:r>
      <w:r w:rsidR="00D72E4D">
        <w:rPr>
          <w:rFonts w:ascii="Arial" w:hAnsi="Arial" w:cs="Arial"/>
        </w:rPr>
        <w:t>FINEP</w:t>
      </w:r>
      <w:r w:rsidRPr="00B8426C">
        <w:rPr>
          <w:rFonts w:ascii="Arial" w:hAnsi="Arial" w:cs="Arial"/>
        </w:rPr>
        <w:t xml:space="preserve"> Startup visa aportar conhecimento e recurso financeiro via participação no capital de empresas inovadoras em estágio inicial, pois estas possuem grande dificuldade para </w:t>
      </w:r>
      <w:r w:rsidR="00210286" w:rsidRPr="00B8426C">
        <w:rPr>
          <w:rFonts w:ascii="Arial" w:hAnsi="Arial" w:cs="Arial"/>
        </w:rPr>
        <w:t>financiar seu desenvolvimento, p</w:t>
      </w:r>
      <w:r w:rsidRPr="00B8426C">
        <w:rPr>
          <w:rFonts w:ascii="Arial" w:hAnsi="Arial" w:cs="Arial"/>
        </w:rPr>
        <w:t>rincipalmente em função da ausência de garantias e geração de caixa.</w:t>
      </w:r>
      <w:r w:rsidR="00210286" w:rsidRPr="00B8426C">
        <w:rPr>
          <w:rFonts w:ascii="Arial" w:hAnsi="Arial" w:cs="Arial"/>
        </w:rPr>
        <w:t xml:space="preserve"> São identificados, pela equipe </w:t>
      </w:r>
      <w:r w:rsidR="00D72E4D">
        <w:rPr>
          <w:rFonts w:ascii="Arial" w:hAnsi="Arial" w:cs="Arial"/>
        </w:rPr>
        <w:t>Finep</w:t>
      </w:r>
      <w:r w:rsidR="00210286" w:rsidRPr="00B8426C">
        <w:rPr>
          <w:rFonts w:ascii="Arial" w:hAnsi="Arial" w:cs="Arial"/>
        </w:rPr>
        <w:t>, a incipiência do m</w:t>
      </w:r>
      <w:r w:rsidR="00D634B9" w:rsidRPr="00B8426C">
        <w:rPr>
          <w:rFonts w:ascii="Arial" w:hAnsi="Arial" w:cs="Arial"/>
        </w:rPr>
        <w:t>ercado de investidores anjo no Brasil</w:t>
      </w:r>
      <w:r w:rsidR="00210286" w:rsidRPr="00B8426C">
        <w:rPr>
          <w:rFonts w:ascii="Arial" w:hAnsi="Arial" w:cs="Arial"/>
        </w:rPr>
        <w:t xml:space="preserve"> (a</w:t>
      </w:r>
      <w:r w:rsidR="00D634B9" w:rsidRPr="00B8426C">
        <w:rPr>
          <w:rFonts w:ascii="Arial" w:hAnsi="Arial" w:cs="Arial"/>
        </w:rPr>
        <w:t>penas 5% das empresas incubadas em SP possuem investimento anjo/venture capital</w:t>
      </w:r>
      <w:r w:rsidR="00210286" w:rsidRPr="00B8426C">
        <w:rPr>
          <w:rFonts w:ascii="Arial" w:hAnsi="Arial" w:cs="Arial"/>
        </w:rPr>
        <w:t>, segundo literatura) e assim este componente p</w:t>
      </w:r>
      <w:r w:rsidR="00D634B9" w:rsidRPr="00B8426C">
        <w:rPr>
          <w:rFonts w:ascii="Arial" w:hAnsi="Arial" w:cs="Arial"/>
        </w:rPr>
        <w:t xml:space="preserve">ropõem a criação de </w:t>
      </w:r>
      <w:r w:rsidR="00D634B9" w:rsidRPr="00B8426C">
        <w:rPr>
          <w:rFonts w:ascii="Arial" w:hAnsi="Arial" w:cs="Arial"/>
          <w:b/>
          <w:bCs/>
        </w:rPr>
        <w:t>instrumento que preencha essa lacuna</w:t>
      </w:r>
      <w:r w:rsidR="00D634B9" w:rsidRPr="00B8426C">
        <w:rPr>
          <w:rFonts w:ascii="Arial" w:hAnsi="Arial" w:cs="Arial"/>
        </w:rPr>
        <w:t xml:space="preserve"> e seja </w:t>
      </w:r>
      <w:r w:rsidR="00D634B9" w:rsidRPr="00B8426C">
        <w:rPr>
          <w:rFonts w:ascii="Arial" w:hAnsi="Arial" w:cs="Arial"/>
          <w:b/>
          <w:bCs/>
        </w:rPr>
        <w:t xml:space="preserve">capaz de atrair recursos privados </w:t>
      </w:r>
      <w:r w:rsidR="00D634B9" w:rsidRPr="00B8426C">
        <w:rPr>
          <w:rFonts w:ascii="Arial" w:hAnsi="Arial" w:cs="Arial"/>
        </w:rPr>
        <w:t>para empresas nascentes de base tecnológica</w:t>
      </w:r>
      <w:r w:rsidR="00210286" w:rsidRPr="00B8426C">
        <w:rPr>
          <w:rFonts w:ascii="Arial" w:hAnsi="Arial" w:cs="Arial"/>
        </w:rPr>
        <w:t>, em seu estágio conhecido como “vale da morte”.</w:t>
      </w:r>
    </w:p>
    <w:p w:rsidR="00F00F5D" w:rsidRPr="00B8426C" w:rsidRDefault="00F00F5D" w:rsidP="00F00F5D">
      <w:pPr>
        <w:jc w:val="both"/>
        <w:rPr>
          <w:rFonts w:ascii="Arial" w:hAnsi="Arial" w:cs="Arial"/>
        </w:rPr>
      </w:pPr>
    </w:p>
    <w:p w:rsidR="007C5DFD" w:rsidRPr="00B8426C" w:rsidRDefault="00210286" w:rsidP="007C5DFD">
      <w:pPr>
        <w:pStyle w:val="ListParagraph"/>
        <w:numPr>
          <w:ilvl w:val="1"/>
          <w:numId w:val="13"/>
        </w:numPr>
        <w:jc w:val="both"/>
        <w:rPr>
          <w:rFonts w:ascii="Arial" w:hAnsi="Arial" w:cs="Arial"/>
        </w:rPr>
      </w:pPr>
      <w:r w:rsidRPr="00B8426C">
        <w:rPr>
          <w:rFonts w:ascii="Arial" w:hAnsi="Arial" w:cs="Arial"/>
        </w:rPr>
        <w:t xml:space="preserve">O instrumento de apoio é bastante sofisticado e </w:t>
      </w:r>
      <w:r w:rsidR="00F00F5D" w:rsidRPr="00B8426C">
        <w:rPr>
          <w:rFonts w:ascii="Arial" w:hAnsi="Arial" w:cs="Arial"/>
        </w:rPr>
        <w:t xml:space="preserve">baseia-se numa “Opção de compra” que a </w:t>
      </w:r>
      <w:r w:rsidR="00D72E4D">
        <w:rPr>
          <w:rFonts w:ascii="Arial" w:hAnsi="Arial" w:cs="Arial"/>
        </w:rPr>
        <w:t>Finep</w:t>
      </w:r>
      <w:r w:rsidR="00F00F5D" w:rsidRPr="00B8426C">
        <w:rPr>
          <w:rFonts w:ascii="Arial" w:hAnsi="Arial" w:cs="Arial"/>
        </w:rPr>
        <w:t xml:space="preserve"> poderá ou não exercer, num prazo de 3 anos, </w:t>
      </w:r>
      <w:r w:rsidR="007C5DFD" w:rsidRPr="00B8426C">
        <w:rPr>
          <w:rFonts w:ascii="Arial" w:hAnsi="Arial" w:cs="Arial"/>
        </w:rPr>
        <w:t xml:space="preserve">prorrogável por mais dois anos, </w:t>
      </w:r>
      <w:r w:rsidR="00F00F5D" w:rsidRPr="00B8426C">
        <w:rPr>
          <w:rFonts w:ascii="Arial" w:hAnsi="Arial" w:cs="Arial"/>
        </w:rPr>
        <w:t xml:space="preserve">ao investir recursos iniciais de até </w:t>
      </w:r>
      <w:r w:rsidR="007C5DFD" w:rsidRPr="00B8426C">
        <w:rPr>
          <w:rFonts w:ascii="Arial" w:hAnsi="Arial" w:cs="Arial"/>
        </w:rPr>
        <w:t xml:space="preserve">R$ 1 mi. As empresas a serem apoiadas devem ter perfil de </w:t>
      </w:r>
      <w:r w:rsidR="007C5DFD" w:rsidRPr="00B8426C">
        <w:rPr>
          <w:rFonts w:ascii="Arial" w:hAnsi="Arial" w:cs="Arial"/>
          <w:b/>
          <w:bCs/>
        </w:rPr>
        <w:t xml:space="preserve">Inovação e Tecnologia, </w:t>
      </w:r>
      <w:r w:rsidR="007C5DFD" w:rsidRPr="00B8426C">
        <w:rPr>
          <w:rFonts w:ascii="Arial" w:hAnsi="Arial" w:cs="Arial"/>
          <w:bCs/>
        </w:rPr>
        <w:t>que tenha</w:t>
      </w:r>
      <w:r w:rsidR="007C5DFD" w:rsidRPr="00B8426C">
        <w:rPr>
          <w:rFonts w:ascii="Arial" w:hAnsi="Arial" w:cs="Arial"/>
        </w:rPr>
        <w:t xml:space="preserve"> ultrapassado a fase crítica do risco tecnológico, e esteja buscando recursos principalmente para iniciar ou alavancar as vendas. Seus produtos e serviços geralmente irão requerer aperfeiçoamentos ou modificações, mas já teriam condições de serem comercializados. Além disso, devem </w:t>
      </w:r>
      <w:r w:rsidR="007C5DFD" w:rsidRPr="00B8426C">
        <w:rPr>
          <w:rFonts w:ascii="Arial" w:hAnsi="Arial" w:cs="Arial"/>
          <w:bCs/>
        </w:rPr>
        <w:t>ter</w:t>
      </w:r>
      <w:r w:rsidR="007C5DFD" w:rsidRPr="00B8426C">
        <w:rPr>
          <w:rFonts w:ascii="Arial" w:hAnsi="Arial" w:cs="Arial"/>
        </w:rPr>
        <w:t xml:space="preserve"> estruturada uma proposta de valor consistente, buscando se posicionar para atender a uma demanda presente ou futura e possuir uma equipe</w:t>
      </w:r>
      <w:r w:rsidR="007C5DFD" w:rsidRPr="00B8426C">
        <w:rPr>
          <w:rFonts w:ascii="Arial" w:hAnsi="Arial" w:cs="Arial"/>
          <w:b/>
          <w:bCs/>
        </w:rPr>
        <w:t xml:space="preserve"> </w:t>
      </w:r>
      <w:r w:rsidR="007C5DFD" w:rsidRPr="00B8426C">
        <w:rPr>
          <w:rFonts w:ascii="Arial" w:hAnsi="Arial" w:cs="Arial"/>
          <w:bCs/>
        </w:rPr>
        <w:t>principal com</w:t>
      </w:r>
      <w:r w:rsidR="007C5DFD" w:rsidRPr="00B8426C">
        <w:rPr>
          <w:rFonts w:ascii="Arial" w:hAnsi="Arial" w:cs="Arial"/>
          <w:b/>
          <w:bCs/>
        </w:rPr>
        <w:t xml:space="preserve"> </w:t>
      </w:r>
      <w:r w:rsidR="007C5DFD" w:rsidRPr="00B8426C">
        <w:rPr>
          <w:rFonts w:ascii="Arial" w:hAnsi="Arial" w:cs="Arial"/>
        </w:rPr>
        <w:t xml:space="preserve">experiência como profissionais de mercado, empreendedores em outros negócios, ou formação na área de atuação do negócio. </w:t>
      </w:r>
    </w:p>
    <w:p w:rsidR="00C54DF3" w:rsidRPr="00B8426C" w:rsidRDefault="00C54DF3" w:rsidP="00920E84">
      <w:pPr>
        <w:rPr>
          <w:rFonts w:ascii="Arial" w:hAnsi="Arial" w:cs="Arial"/>
        </w:rPr>
      </w:pPr>
    </w:p>
    <w:p w:rsidR="00C54DF3" w:rsidRPr="00B8426C" w:rsidRDefault="00C54DF3" w:rsidP="005E3F81">
      <w:pPr>
        <w:rPr>
          <w:rFonts w:ascii="Arial" w:hAnsi="Arial" w:cs="Arial"/>
          <w:b/>
        </w:rPr>
      </w:pPr>
      <w:r w:rsidRPr="00B8426C">
        <w:rPr>
          <w:rFonts w:ascii="Arial" w:hAnsi="Arial" w:cs="Arial"/>
          <w:b/>
        </w:rPr>
        <w:t>Componente 4: Fortalecimento Institucional e Inovação Aberta</w:t>
      </w:r>
    </w:p>
    <w:p w:rsidR="00C54DF3" w:rsidRPr="00B8426C" w:rsidRDefault="00C54DF3" w:rsidP="00920E84">
      <w:pPr>
        <w:rPr>
          <w:rFonts w:ascii="Arial" w:hAnsi="Arial" w:cs="Arial"/>
        </w:rPr>
      </w:pPr>
    </w:p>
    <w:p w:rsidR="004934C6" w:rsidRPr="00B8426C" w:rsidRDefault="004934C6" w:rsidP="004934C6">
      <w:pPr>
        <w:pStyle w:val="ListParagraph"/>
        <w:numPr>
          <w:ilvl w:val="1"/>
          <w:numId w:val="13"/>
        </w:numPr>
        <w:jc w:val="both"/>
        <w:rPr>
          <w:rFonts w:ascii="Arial" w:hAnsi="Arial" w:cs="Arial"/>
        </w:rPr>
      </w:pPr>
      <w:r w:rsidRPr="00B8426C">
        <w:rPr>
          <w:rFonts w:ascii="Arial" w:hAnsi="Arial" w:cs="Arial"/>
        </w:rPr>
        <w:t>Neste componente, os objetivos principais são f</w:t>
      </w:r>
      <w:r w:rsidR="00734233" w:rsidRPr="00B8426C">
        <w:rPr>
          <w:rFonts w:ascii="Arial" w:hAnsi="Arial" w:cs="Arial"/>
        </w:rPr>
        <w:t xml:space="preserve">ortalecer a </w:t>
      </w:r>
      <w:r w:rsidR="00D72E4D">
        <w:rPr>
          <w:rFonts w:ascii="Arial" w:hAnsi="Arial" w:cs="Arial"/>
        </w:rPr>
        <w:t>Finep</w:t>
      </w:r>
      <w:r w:rsidR="00734233" w:rsidRPr="00B8426C">
        <w:rPr>
          <w:rFonts w:ascii="Arial" w:hAnsi="Arial" w:cs="Arial"/>
        </w:rPr>
        <w:t xml:space="preserve"> de forma a assegurar o envolvimento de </w:t>
      </w:r>
      <w:r w:rsidR="00734233" w:rsidRPr="00B8426C">
        <w:rPr>
          <w:rFonts w:ascii="Arial" w:hAnsi="Arial" w:cs="Arial"/>
          <w:bCs/>
        </w:rPr>
        <w:t>pessoal qualificado</w:t>
      </w:r>
      <w:r w:rsidR="00734233" w:rsidRPr="00B8426C">
        <w:rPr>
          <w:rFonts w:ascii="Arial" w:hAnsi="Arial" w:cs="Arial"/>
        </w:rPr>
        <w:t xml:space="preserve"> para a implementação das ações, geração das informações requeridas para o </w:t>
      </w:r>
      <w:r w:rsidR="00734233" w:rsidRPr="00B8426C">
        <w:rPr>
          <w:rFonts w:ascii="Arial" w:hAnsi="Arial" w:cs="Arial"/>
          <w:bCs/>
        </w:rPr>
        <w:t>monitoramento, avaliação e prestação de contas à sociedade</w:t>
      </w:r>
      <w:r w:rsidR="00734233" w:rsidRPr="00B8426C">
        <w:rPr>
          <w:rFonts w:ascii="Arial" w:hAnsi="Arial" w:cs="Arial"/>
        </w:rPr>
        <w:t xml:space="preserve"> das ações e dos resultados do Projeto Inovar para Crescer.</w:t>
      </w:r>
      <w:r w:rsidRPr="00B8426C">
        <w:rPr>
          <w:rFonts w:ascii="Arial" w:hAnsi="Arial" w:cs="Arial"/>
        </w:rPr>
        <w:t xml:space="preserve"> Segundo documentos apresentados pela </w:t>
      </w:r>
      <w:r w:rsidR="00D72E4D">
        <w:rPr>
          <w:rFonts w:ascii="Arial" w:hAnsi="Arial" w:cs="Arial"/>
        </w:rPr>
        <w:t>Finep</w:t>
      </w:r>
      <w:r w:rsidRPr="00B8426C">
        <w:rPr>
          <w:rFonts w:ascii="Arial" w:hAnsi="Arial" w:cs="Arial"/>
        </w:rPr>
        <w:t>, avaliações internas destacam a importância de investir em etapa prévia de planejamento da iniciativa</w:t>
      </w:r>
      <w:r w:rsidRPr="00B8426C">
        <w:rPr>
          <w:rFonts w:ascii="Arial" w:hAnsi="Arial" w:cs="Arial"/>
          <w:b/>
          <w:bCs/>
        </w:rPr>
        <w:t xml:space="preserve"> </w:t>
      </w:r>
      <w:r w:rsidRPr="00B8426C">
        <w:rPr>
          <w:rFonts w:ascii="Arial" w:hAnsi="Arial" w:cs="Arial"/>
        </w:rPr>
        <w:t>para endereçar corretamente a oportunidade identificada e aumentar a probabilidade da iniciativa gerar os resultados almejados.</w:t>
      </w:r>
    </w:p>
    <w:p w:rsidR="00791761" w:rsidRPr="00B8426C" w:rsidRDefault="00791761" w:rsidP="00791761">
      <w:pPr>
        <w:pStyle w:val="ListParagraph"/>
        <w:ind w:left="576"/>
        <w:jc w:val="both"/>
        <w:rPr>
          <w:rFonts w:ascii="Arial" w:hAnsi="Arial" w:cs="Arial"/>
        </w:rPr>
      </w:pPr>
    </w:p>
    <w:p w:rsidR="00791761" w:rsidRPr="00B8426C" w:rsidRDefault="00791761" w:rsidP="004934C6">
      <w:pPr>
        <w:pStyle w:val="ListParagraph"/>
        <w:numPr>
          <w:ilvl w:val="1"/>
          <w:numId w:val="13"/>
        </w:numPr>
        <w:jc w:val="both"/>
        <w:rPr>
          <w:rFonts w:ascii="Arial" w:hAnsi="Arial" w:cs="Arial"/>
        </w:rPr>
      </w:pPr>
      <w:r w:rsidRPr="00B8426C">
        <w:rPr>
          <w:rFonts w:ascii="Arial" w:hAnsi="Arial" w:cs="Arial"/>
        </w:rPr>
        <w:t xml:space="preserve">Dadas as características de complementariedade deste componente em relação aos demais, adota-se a hipótese de </w:t>
      </w:r>
      <w:r w:rsidR="00D44309" w:rsidRPr="00B8426C">
        <w:rPr>
          <w:rFonts w:ascii="Arial" w:hAnsi="Arial" w:cs="Arial"/>
        </w:rPr>
        <w:t>que seus benefícios estão indiretamente capturados nos demais componentes.</w:t>
      </w:r>
    </w:p>
    <w:p w:rsidR="00C54DF3" w:rsidRPr="00B8426C" w:rsidRDefault="00C54DF3" w:rsidP="00920E84">
      <w:pPr>
        <w:rPr>
          <w:rFonts w:ascii="Arial" w:hAnsi="Arial" w:cs="Arial"/>
        </w:rPr>
      </w:pPr>
    </w:p>
    <w:p w:rsidR="00E3460B" w:rsidRPr="00B8426C" w:rsidRDefault="00E3460B" w:rsidP="001147E1">
      <w:pPr>
        <w:pStyle w:val="Heading1"/>
        <w:numPr>
          <w:ilvl w:val="0"/>
          <w:numId w:val="6"/>
        </w:numPr>
        <w:rPr>
          <w:rFonts w:cs="Arial"/>
          <w:sz w:val="24"/>
          <w:szCs w:val="24"/>
        </w:rPr>
      </w:pPr>
      <w:bookmarkStart w:id="7" w:name="_Toc483345023"/>
      <w:r w:rsidRPr="00B8426C">
        <w:rPr>
          <w:rFonts w:cs="Arial"/>
          <w:sz w:val="24"/>
          <w:szCs w:val="24"/>
        </w:rPr>
        <w:t>Pressupostos e metodologia</w:t>
      </w:r>
      <w:bookmarkEnd w:id="7"/>
    </w:p>
    <w:p w:rsidR="00F31861" w:rsidRPr="00B8426C" w:rsidRDefault="00F31861" w:rsidP="00F31861">
      <w:pPr>
        <w:rPr>
          <w:rFonts w:ascii="Arial" w:hAnsi="Arial" w:cs="Arial"/>
        </w:rPr>
      </w:pPr>
    </w:p>
    <w:p w:rsidR="00260FF3" w:rsidRPr="00B8426C" w:rsidRDefault="003371C2" w:rsidP="00260FF3">
      <w:pPr>
        <w:pStyle w:val="ListParagraph"/>
        <w:numPr>
          <w:ilvl w:val="1"/>
          <w:numId w:val="21"/>
        </w:numPr>
        <w:jc w:val="both"/>
        <w:rPr>
          <w:rFonts w:ascii="Arial" w:hAnsi="Arial" w:cs="Arial"/>
        </w:rPr>
      </w:pPr>
      <w:r w:rsidRPr="00B8426C">
        <w:rPr>
          <w:rFonts w:ascii="Arial" w:hAnsi="Arial" w:cs="Arial"/>
        </w:rPr>
        <w:t xml:space="preserve">A metodologia de avaliação geral deste programa está baseada em seu objetivo principal, qual </w:t>
      </w:r>
      <w:r w:rsidR="00FD79ED" w:rsidRPr="00B8426C">
        <w:rPr>
          <w:rFonts w:ascii="Arial" w:hAnsi="Arial" w:cs="Arial"/>
        </w:rPr>
        <w:t>seja,</w:t>
      </w:r>
      <w:r w:rsidRPr="00B8426C">
        <w:rPr>
          <w:rFonts w:ascii="Arial" w:hAnsi="Arial" w:cs="Arial"/>
        </w:rPr>
        <w:t xml:space="preserve"> o de propiciar elevação da produtividade do trabalho no longo prazo, por meio de investimentos em atividades de PDI. Como discutido na seção anterior e enfatizado na revisão te</w:t>
      </w:r>
      <w:r w:rsidR="00844A73" w:rsidRPr="00B8426C">
        <w:rPr>
          <w:rFonts w:ascii="Arial" w:hAnsi="Arial" w:cs="Arial"/>
        </w:rPr>
        <w:t>órica apresentada na</w:t>
      </w:r>
      <w:r w:rsidRPr="00B8426C">
        <w:rPr>
          <w:rFonts w:ascii="Arial" w:hAnsi="Arial" w:cs="Arial"/>
        </w:rPr>
        <w:t xml:space="preserve"> Introdução</w:t>
      </w:r>
      <w:r w:rsidR="00844A73" w:rsidRPr="00B8426C">
        <w:rPr>
          <w:rFonts w:ascii="Arial" w:hAnsi="Arial" w:cs="Arial"/>
        </w:rPr>
        <w:t xml:space="preserve"> deste relatório, inovação é um elemento-chave para alcançar aquele objetivo e, no curto prazo, os indicadores </w:t>
      </w:r>
      <w:r w:rsidR="00462101" w:rsidRPr="00B8426C">
        <w:rPr>
          <w:rFonts w:ascii="Arial" w:hAnsi="Arial" w:cs="Arial"/>
        </w:rPr>
        <w:t>de resultado, tomado pela elevação do percentual de investimento em PDI em relação ao total de vendas das empresas, e impacto, dado pela elevação da produtividade média das empresas beneficiárias, medidas pela proxy receita operacional de vendas por trabalhador.</w:t>
      </w:r>
    </w:p>
    <w:p w:rsidR="00EF1C58" w:rsidRPr="00B8426C" w:rsidRDefault="00260FF3" w:rsidP="00260FF3">
      <w:pPr>
        <w:pStyle w:val="ListParagraph"/>
        <w:numPr>
          <w:ilvl w:val="1"/>
          <w:numId w:val="21"/>
        </w:numPr>
        <w:jc w:val="both"/>
        <w:rPr>
          <w:rFonts w:ascii="Arial" w:hAnsi="Arial" w:cs="Arial"/>
        </w:rPr>
      </w:pPr>
      <w:r w:rsidRPr="00B8426C">
        <w:rPr>
          <w:rFonts w:ascii="Arial" w:hAnsi="Arial" w:cs="Arial"/>
        </w:rPr>
        <w:t>D</w:t>
      </w:r>
      <w:r w:rsidR="00BD01A5" w:rsidRPr="00B8426C">
        <w:rPr>
          <w:rFonts w:ascii="Arial" w:hAnsi="Arial" w:cs="Arial"/>
        </w:rPr>
        <w:t>e</w:t>
      </w:r>
      <w:r w:rsidR="00462101" w:rsidRPr="00B8426C">
        <w:rPr>
          <w:rFonts w:ascii="Arial" w:hAnsi="Arial" w:cs="Arial"/>
        </w:rPr>
        <w:t>ssa forma, a metodologia de análise econômica parte do efeito de uma variação de 1 p.p. no investimento por trabalhador sobre a variação percentual da receita operacional de vendas por trabalhador, a medida de elasticidade (ε).</w:t>
      </w:r>
      <w:r w:rsidR="008B0C12" w:rsidRPr="00B8426C">
        <w:rPr>
          <w:rFonts w:ascii="Arial" w:hAnsi="Arial" w:cs="Arial"/>
        </w:rPr>
        <w:t xml:space="preserve"> </w:t>
      </w:r>
      <w:r w:rsidR="00E40730" w:rsidRPr="00B8426C">
        <w:rPr>
          <w:rFonts w:ascii="Arial" w:hAnsi="Arial" w:cs="Arial"/>
        </w:rPr>
        <w:t>Começamos definindo o investimento anual em inovação devido ao projeto, por firma:</w:t>
      </w:r>
    </w:p>
    <w:p w:rsidR="00EF1C58" w:rsidRPr="00B8426C" w:rsidRDefault="005A6555" w:rsidP="00E40730">
      <w:pPr>
        <w:spacing w:before="120" w:after="120"/>
        <w:jc w:val="center"/>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I</m:t>
            </m:r>
          </m:e>
          <m:sub>
            <m:r>
              <w:rPr>
                <w:rFonts w:ascii="Cambria Math" w:hAnsi="Cambria Math" w:cs="Arial"/>
                <w:szCs w:val="24"/>
              </w:rPr>
              <m:t>p</m:t>
            </m:r>
          </m:sub>
        </m:sSub>
        <m:r>
          <w:rPr>
            <w:rFonts w:ascii="Cambria Math" w:hAnsi="Cambria Math" w:cs="Arial"/>
            <w:szCs w:val="24"/>
          </w:rPr>
          <m:t>=ρ*</m:t>
        </m:r>
        <m:d>
          <m:dPr>
            <m:ctrlPr>
              <w:rPr>
                <w:rFonts w:ascii="Cambria Math" w:hAnsi="Cambria Math" w:cs="Arial"/>
                <w:i/>
                <w:szCs w:val="24"/>
              </w:rPr>
            </m:ctrlPr>
          </m:dPr>
          <m:e>
            <m:r>
              <w:rPr>
                <w:rFonts w:ascii="Cambria Math" w:hAnsi="Cambria Math" w:cs="Arial"/>
                <w:szCs w:val="24"/>
              </w:rPr>
              <m:t>1+g</m:t>
            </m:r>
          </m:e>
        </m:d>
        <m:r>
          <w:rPr>
            <w:rFonts w:ascii="Cambria Math" w:hAnsi="Cambria Math" w:cs="Arial"/>
            <w:szCs w:val="24"/>
          </w:rPr>
          <m:t>*</m:t>
        </m:r>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B</m:t>
            </m:r>
          </m:sub>
        </m:sSub>
      </m:oMath>
      <w:r w:rsidR="00E40730" w:rsidRPr="00B8426C">
        <w:rPr>
          <w:rFonts w:ascii="Arial" w:hAnsi="Arial" w:cs="Arial"/>
          <w:szCs w:val="24"/>
        </w:rPr>
        <w:t xml:space="preserve">                                 Eq.</w:t>
      </w:r>
      <w:r w:rsidR="005A5B90" w:rsidRPr="00B8426C">
        <w:rPr>
          <w:rFonts w:ascii="Arial" w:hAnsi="Arial" w:cs="Arial"/>
          <w:szCs w:val="24"/>
        </w:rPr>
        <w:t xml:space="preserve"> </w:t>
      </w:r>
      <w:r w:rsidR="00E40730" w:rsidRPr="00B8426C">
        <w:rPr>
          <w:rFonts w:ascii="Arial" w:hAnsi="Arial" w:cs="Arial"/>
          <w:szCs w:val="24"/>
        </w:rPr>
        <w:t>1</w:t>
      </w:r>
    </w:p>
    <w:p w:rsidR="00E40730" w:rsidRPr="00B8426C" w:rsidRDefault="005A6555" w:rsidP="00E40730">
      <w:pPr>
        <w:spacing w:before="120" w:after="120"/>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I</m:t>
            </m:r>
          </m:e>
          <m:sub>
            <m:r>
              <w:rPr>
                <w:rFonts w:ascii="Cambria Math" w:hAnsi="Cambria Math" w:cs="Arial"/>
                <w:szCs w:val="24"/>
              </w:rPr>
              <m:t>p</m:t>
            </m:r>
          </m:sub>
        </m:sSub>
      </m:oMath>
      <w:r w:rsidR="00E40730" w:rsidRPr="00B8426C">
        <w:rPr>
          <w:rFonts w:ascii="Arial" w:hAnsi="Arial" w:cs="Arial"/>
          <w:szCs w:val="24"/>
        </w:rPr>
        <w:t xml:space="preserve"> = montante de investimento anual em inovação devido ao projeto, por firma</w:t>
      </w:r>
    </w:p>
    <w:p w:rsidR="00E40730" w:rsidRPr="00B8426C" w:rsidRDefault="00E40730" w:rsidP="00E40730">
      <w:pPr>
        <w:spacing w:before="120" w:after="120"/>
        <w:rPr>
          <w:rFonts w:ascii="Arial" w:hAnsi="Arial" w:cs="Arial"/>
          <w:szCs w:val="24"/>
        </w:rPr>
      </w:pPr>
      <w:r w:rsidRPr="00B8426C">
        <w:rPr>
          <w:rFonts w:ascii="Arial" w:hAnsi="Arial" w:cs="Arial"/>
          <w:szCs w:val="24"/>
        </w:rPr>
        <w:t xml:space="preserve">ρ </w:t>
      </w:r>
      <w:r w:rsidR="00855168" w:rsidRPr="00B8426C">
        <w:rPr>
          <w:rFonts w:ascii="Arial" w:hAnsi="Arial" w:cs="Arial"/>
          <w:szCs w:val="24"/>
        </w:rPr>
        <w:t xml:space="preserve"> </w:t>
      </w:r>
      <w:r w:rsidRPr="00B8426C">
        <w:rPr>
          <w:rFonts w:ascii="Arial" w:hAnsi="Arial" w:cs="Arial"/>
          <w:szCs w:val="24"/>
        </w:rPr>
        <w:t xml:space="preserve">= </w:t>
      </w:r>
      <w:r w:rsidR="00FD79ED" w:rsidRPr="00B8426C">
        <w:rPr>
          <w:rFonts w:ascii="Arial" w:hAnsi="Arial" w:cs="Arial"/>
          <w:szCs w:val="24"/>
        </w:rPr>
        <w:t>t</w:t>
      </w:r>
      <w:r w:rsidRPr="00B8426C">
        <w:rPr>
          <w:rFonts w:ascii="Arial" w:hAnsi="Arial" w:cs="Arial"/>
          <w:szCs w:val="24"/>
        </w:rPr>
        <w:t>axa de investimento/vendas projetada no projeto</w:t>
      </w:r>
      <w:r w:rsidR="00FD79ED" w:rsidRPr="00B8426C">
        <w:rPr>
          <w:rFonts w:ascii="Arial" w:hAnsi="Arial" w:cs="Arial"/>
          <w:szCs w:val="24"/>
        </w:rPr>
        <w:t xml:space="preserve"> (indicador de resultado)</w:t>
      </w:r>
    </w:p>
    <w:p w:rsidR="00FD79ED" w:rsidRPr="00B8426C" w:rsidRDefault="00FD79ED" w:rsidP="00E40730">
      <w:pPr>
        <w:spacing w:before="120" w:after="120"/>
        <w:rPr>
          <w:rFonts w:ascii="Arial" w:hAnsi="Arial" w:cs="Arial"/>
          <w:szCs w:val="24"/>
        </w:rPr>
      </w:pPr>
      <w:r w:rsidRPr="00B8426C">
        <w:rPr>
          <w:rFonts w:ascii="Arial" w:hAnsi="Arial" w:cs="Arial"/>
          <w:szCs w:val="24"/>
        </w:rPr>
        <w:t xml:space="preserve">g </w:t>
      </w:r>
      <w:r w:rsidR="00855168" w:rsidRPr="00B8426C">
        <w:rPr>
          <w:rFonts w:ascii="Arial" w:hAnsi="Arial" w:cs="Arial"/>
          <w:szCs w:val="24"/>
        </w:rPr>
        <w:t xml:space="preserve"> </w:t>
      </w:r>
      <w:r w:rsidRPr="00B8426C">
        <w:rPr>
          <w:rFonts w:ascii="Arial" w:hAnsi="Arial" w:cs="Arial"/>
          <w:szCs w:val="24"/>
        </w:rPr>
        <w:t>= taxa de crescimento do PIB</w:t>
      </w:r>
      <w:r w:rsidR="00E7082E" w:rsidRPr="00B8426C">
        <w:rPr>
          <w:rFonts w:ascii="Arial" w:hAnsi="Arial" w:cs="Arial"/>
          <w:szCs w:val="24"/>
        </w:rPr>
        <w:t xml:space="preserve"> projetada para a</w:t>
      </w:r>
      <w:r w:rsidRPr="00B8426C">
        <w:rPr>
          <w:rFonts w:ascii="Arial" w:hAnsi="Arial" w:cs="Arial"/>
          <w:szCs w:val="24"/>
        </w:rPr>
        <w:t xml:space="preserve"> economia</w:t>
      </w:r>
    </w:p>
    <w:p w:rsidR="00462101" w:rsidRPr="00B8426C" w:rsidRDefault="005A6555" w:rsidP="00EF1C58">
      <w:pPr>
        <w:spacing w:before="120" w:after="120"/>
        <w:jc w:val="both"/>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B</m:t>
            </m:r>
          </m:sub>
        </m:sSub>
      </m:oMath>
      <w:r w:rsidR="00855168" w:rsidRPr="00B8426C">
        <w:rPr>
          <w:rFonts w:ascii="Arial" w:hAnsi="Arial" w:cs="Arial"/>
          <w:szCs w:val="24"/>
        </w:rPr>
        <w:t>= receita de vendas médias por firma, de acordo com o período base</w:t>
      </w:r>
    </w:p>
    <w:p w:rsidR="00855168" w:rsidRPr="00B8426C" w:rsidRDefault="00855168" w:rsidP="00EF1C58">
      <w:pPr>
        <w:spacing w:before="120" w:after="120"/>
        <w:jc w:val="both"/>
        <w:rPr>
          <w:rFonts w:ascii="Arial" w:hAnsi="Arial" w:cs="Arial"/>
          <w:szCs w:val="24"/>
        </w:rPr>
      </w:pPr>
    </w:p>
    <w:p w:rsidR="00844A73" w:rsidRPr="00B8426C" w:rsidRDefault="007E0E17" w:rsidP="00963AE8">
      <w:pPr>
        <w:pStyle w:val="ListParagraph"/>
        <w:numPr>
          <w:ilvl w:val="1"/>
          <w:numId w:val="21"/>
        </w:numPr>
        <w:spacing w:before="120" w:after="120"/>
        <w:jc w:val="both"/>
        <w:rPr>
          <w:rFonts w:ascii="Arial" w:hAnsi="Arial" w:cs="Arial"/>
          <w:szCs w:val="24"/>
        </w:rPr>
      </w:pPr>
      <w:r w:rsidRPr="00B8426C">
        <w:rPr>
          <w:rFonts w:ascii="Arial" w:hAnsi="Arial" w:cs="Arial"/>
          <w:szCs w:val="24"/>
        </w:rPr>
        <w:t xml:space="preserve">Aquela elasticidade (ε) é, então, aplicada ao montante de investimento anual em inovação devido ao projeto, por firma, em comparação à mesma variável avaliada de acordo com a linha de base, ou seja, já </w:t>
      </w:r>
      <w:r w:rsidRPr="00B8426C">
        <w:rPr>
          <w:rFonts w:ascii="Arial" w:hAnsi="Arial" w:cs="Arial"/>
          <w:b/>
          <w:szCs w:val="24"/>
        </w:rPr>
        <w:t>apresenta benefícios incrementais</w:t>
      </w:r>
      <w:r w:rsidRPr="00B8426C">
        <w:rPr>
          <w:rFonts w:ascii="Arial" w:hAnsi="Arial" w:cs="Arial"/>
          <w:szCs w:val="24"/>
        </w:rPr>
        <w:t xml:space="preserve"> d</w:t>
      </w:r>
      <w:r w:rsidR="00E64671" w:rsidRPr="00B8426C">
        <w:rPr>
          <w:rFonts w:ascii="Arial" w:hAnsi="Arial" w:cs="Arial"/>
          <w:szCs w:val="24"/>
        </w:rPr>
        <w:t>evido a</w:t>
      </w:r>
      <w:r w:rsidRPr="00B8426C">
        <w:rPr>
          <w:rFonts w:ascii="Arial" w:hAnsi="Arial" w:cs="Arial"/>
          <w:szCs w:val="24"/>
        </w:rPr>
        <w:t>o programa</w:t>
      </w:r>
      <w:r w:rsidR="00E64671" w:rsidRPr="00B8426C">
        <w:rPr>
          <w:rFonts w:ascii="Arial" w:hAnsi="Arial" w:cs="Arial"/>
          <w:szCs w:val="24"/>
        </w:rPr>
        <w:t>, medidos em termos de</w:t>
      </w:r>
      <w:r w:rsidR="001E71C7" w:rsidRPr="00B8426C">
        <w:rPr>
          <w:rFonts w:ascii="Arial" w:hAnsi="Arial" w:cs="Arial"/>
          <w:szCs w:val="24"/>
        </w:rPr>
        <w:t xml:space="preserve"> receita de vendas médias por firma</w:t>
      </w:r>
      <w:r w:rsidRPr="00B8426C">
        <w:rPr>
          <w:rFonts w:ascii="Arial" w:hAnsi="Arial" w:cs="Arial"/>
          <w:szCs w:val="24"/>
        </w:rPr>
        <w:t>.</w:t>
      </w:r>
      <w:r w:rsidR="00E64671" w:rsidRPr="00B8426C">
        <w:rPr>
          <w:rFonts w:ascii="Arial" w:hAnsi="Arial" w:cs="Arial"/>
          <w:szCs w:val="24"/>
        </w:rPr>
        <w:t xml:space="preserve"> Esses benef</w:t>
      </w:r>
      <w:r w:rsidR="001E71C7" w:rsidRPr="00B8426C">
        <w:rPr>
          <w:rFonts w:ascii="Arial" w:hAnsi="Arial" w:cs="Arial"/>
          <w:szCs w:val="24"/>
        </w:rPr>
        <w:t>ícios incrementais, por sua vez, são considerados de acordo com a taxa média de êxito na atividade inovativa da empresa, que expressa uma ponderação entre a taxa de êxito anterior ao programa e ampliada em função do próprio programa, sendo que o peso desta última é maior, já que se espera que o programa melhore a taxa de êxito em inovar das empresas beneficiadas.</w:t>
      </w:r>
      <w:r w:rsidR="00E6015D" w:rsidRPr="00B8426C">
        <w:rPr>
          <w:rFonts w:ascii="Arial" w:hAnsi="Arial" w:cs="Arial"/>
          <w:szCs w:val="24"/>
        </w:rPr>
        <w:t xml:space="preserve"> Assim:</w:t>
      </w:r>
    </w:p>
    <w:p w:rsidR="00E6015D" w:rsidRPr="00B8426C" w:rsidRDefault="005A6555" w:rsidP="005A5B90">
      <w:pPr>
        <w:pStyle w:val="ListParagraph"/>
        <w:spacing w:before="120" w:after="120"/>
        <w:ind w:left="576"/>
        <w:contextualSpacing w:val="0"/>
        <w:jc w:val="center"/>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B</m:t>
            </m:r>
          </m:e>
          <m:sub>
            <m:r>
              <w:rPr>
                <w:rFonts w:ascii="Cambria Math" w:hAnsi="Cambria Math" w:cs="Cambria Math"/>
                <w:szCs w:val="24"/>
              </w:rPr>
              <m:t>I</m:t>
            </m:r>
          </m:sub>
        </m:sSub>
        <m:r>
          <w:rPr>
            <w:rFonts w:ascii="Cambria Math" w:hAnsi="Cambria Math" w:cs="Arial"/>
            <w:szCs w:val="24"/>
          </w:rPr>
          <m:t>=</m:t>
        </m:r>
        <m:d>
          <m:dPr>
            <m:begChr m:val="{"/>
            <m:endChr m:val=""/>
            <m:ctrlPr>
              <w:rPr>
                <w:rFonts w:ascii="Cambria Math" w:hAnsi="Cambria Math" w:cs="Arial"/>
                <w:i/>
                <w:szCs w:val="24"/>
              </w:rPr>
            </m:ctrlPr>
          </m:dPr>
          <m:e>
            <m:d>
              <m:dPr>
                <m:begChr m:val=""/>
                <m:endChr m:val="}"/>
                <m:ctrlPr>
                  <w:rPr>
                    <w:rFonts w:ascii="Cambria Math" w:hAnsi="Cambria Math" w:cs="Arial"/>
                    <w:i/>
                    <w:szCs w:val="24"/>
                  </w:rPr>
                </m:ctrlPr>
              </m:dPr>
              <m:e>
                <m:sSup>
                  <m:sSupPr>
                    <m:ctrlPr>
                      <w:rPr>
                        <w:rFonts w:ascii="Cambria Math" w:hAnsi="Cambria Math" w:cs="Arial"/>
                        <w:i/>
                        <w:szCs w:val="24"/>
                      </w:rPr>
                    </m:ctrlPr>
                  </m:sSupPr>
                  <m:e>
                    <m:d>
                      <m:dPr>
                        <m:ctrlPr>
                          <w:rPr>
                            <w:rFonts w:ascii="Cambria Math" w:hAnsi="Cambria Math" w:cs="Arial"/>
                            <w:i/>
                            <w:szCs w:val="24"/>
                          </w:rPr>
                        </m:ctrlPr>
                      </m:dPr>
                      <m:e>
                        <m:f>
                          <m:fPr>
                            <m:ctrlPr>
                              <w:rPr>
                                <w:rFonts w:ascii="Cambria Math" w:hAnsi="Cambria Math" w:cs="Arial"/>
                                <w:i/>
                                <w:szCs w:val="24"/>
                              </w:rPr>
                            </m:ctrlPr>
                          </m:fPr>
                          <m:num>
                            <m:sSub>
                              <m:sSubPr>
                                <m:ctrlPr>
                                  <w:rPr>
                                    <w:rFonts w:ascii="Cambria Math" w:hAnsi="Cambria Math" w:cs="Arial"/>
                                    <w:i/>
                                    <w:szCs w:val="24"/>
                                  </w:rPr>
                                </m:ctrlPr>
                              </m:sSubPr>
                              <m:e>
                                <m:r>
                                  <w:rPr>
                                    <w:rFonts w:ascii="Cambria Math" w:hAnsi="Cambria Math" w:cs="Arial"/>
                                    <w:szCs w:val="24"/>
                                  </w:rPr>
                                  <m:t>I</m:t>
                                </m:r>
                              </m:e>
                              <m:sub>
                                <m:r>
                                  <w:rPr>
                                    <w:rFonts w:ascii="Cambria Math" w:hAnsi="Cambria Math" w:cs="Arial"/>
                                    <w:szCs w:val="24"/>
                                  </w:rPr>
                                  <m:t>p</m:t>
                                </m:r>
                              </m:sub>
                            </m:sSub>
                          </m:num>
                          <m:den>
                            <m:sSub>
                              <m:sSubPr>
                                <m:ctrlPr>
                                  <w:rPr>
                                    <w:rFonts w:ascii="Cambria Math" w:hAnsi="Cambria Math" w:cs="Arial"/>
                                    <w:i/>
                                    <w:szCs w:val="24"/>
                                  </w:rPr>
                                </m:ctrlPr>
                              </m:sSubPr>
                              <m:e>
                                <m:r>
                                  <w:rPr>
                                    <w:rFonts w:ascii="Cambria Math" w:hAnsi="Cambria Math" w:cs="Arial"/>
                                    <w:szCs w:val="24"/>
                                  </w:rPr>
                                  <m:t>I</m:t>
                                </m:r>
                              </m:e>
                              <m:sub>
                                <m:r>
                                  <w:rPr>
                                    <w:rFonts w:ascii="Cambria Math" w:hAnsi="Cambria Math" w:cs="Arial"/>
                                    <w:szCs w:val="24"/>
                                  </w:rPr>
                                  <m:t>B</m:t>
                                </m:r>
                              </m:sub>
                            </m:sSub>
                          </m:den>
                        </m:f>
                      </m:e>
                    </m:d>
                  </m:e>
                  <m:sup>
                    <m:r>
                      <w:rPr>
                        <w:rFonts w:ascii="Cambria Math" w:hAnsi="Cambria Math" w:cs="Arial"/>
                        <w:szCs w:val="24"/>
                      </w:rPr>
                      <m:t>ε</m:t>
                    </m:r>
                  </m:sup>
                </m:sSup>
                <m:r>
                  <w:rPr>
                    <w:rFonts w:ascii="Cambria Math" w:hAnsi="Cambria Math" w:cs="Arial"/>
                    <w:szCs w:val="24"/>
                  </w:rPr>
                  <m:t>-1</m:t>
                </m:r>
              </m:e>
            </m:d>
          </m:e>
        </m:d>
        <m:r>
          <w:rPr>
            <w:rFonts w:ascii="Cambria Math" w:hAnsi="Cambria Math" w:cs="Arial"/>
            <w:szCs w:val="24"/>
          </w:rPr>
          <m:t>*</m:t>
        </m:r>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B</m:t>
            </m:r>
          </m:sub>
        </m:sSub>
        <m:r>
          <w:rPr>
            <w:rFonts w:ascii="Cambria Math" w:hAnsi="Cambria Math" w:cs="Arial"/>
            <w:szCs w:val="24"/>
          </w:rPr>
          <m:t>*</m:t>
        </m:r>
        <m:d>
          <m:dPr>
            <m:begChr m:val="{"/>
            <m:endChr m:val=""/>
            <m:ctrlPr>
              <w:rPr>
                <w:rFonts w:ascii="Cambria Math" w:hAnsi="Cambria Math" w:cs="Arial"/>
                <w:i/>
                <w:szCs w:val="24"/>
              </w:rPr>
            </m:ctrlPr>
          </m:dPr>
          <m:e>
            <m:d>
              <m:dPr>
                <m:begChr m:val=""/>
                <m:endChr m:val="}"/>
                <m:ctrlPr>
                  <w:rPr>
                    <w:rFonts w:ascii="Cambria Math" w:hAnsi="Cambria Math" w:cs="Arial"/>
                    <w:i/>
                    <w:szCs w:val="24"/>
                  </w:rPr>
                </m:ctrlPr>
              </m:dPr>
              <m:e>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p</m:t>
                    </m:r>
                  </m:sub>
                </m:sSub>
                <m:r>
                  <w:rPr>
                    <w:rFonts w:ascii="Cambria Math" w:hAnsi="Cambria Math" w:cs="Arial"/>
                    <w:szCs w:val="24"/>
                  </w:rPr>
                  <m:t>*</m:t>
                </m:r>
                <m:sSub>
                  <m:sSubPr>
                    <m:ctrlPr>
                      <w:rPr>
                        <w:rFonts w:ascii="Cambria Math" w:hAnsi="Cambria Math" w:cs="Arial"/>
                        <w:i/>
                        <w:szCs w:val="24"/>
                      </w:rPr>
                    </m:ctrlPr>
                  </m:sSubPr>
                  <m:e>
                    <m:r>
                      <w:rPr>
                        <w:rFonts w:ascii="Cambria Math" w:hAnsi="Cambria Math" w:cs="Arial"/>
                        <w:szCs w:val="24"/>
                      </w:rPr>
                      <m:t>w</m:t>
                    </m:r>
                  </m:e>
                  <m:sub>
                    <m:r>
                      <w:rPr>
                        <w:rFonts w:ascii="Cambria Math" w:hAnsi="Cambria Math" w:cs="Arial"/>
                        <w:szCs w:val="24"/>
                      </w:rPr>
                      <m:t>p</m:t>
                    </m:r>
                  </m:sub>
                </m:sSub>
                <m:r>
                  <w:rPr>
                    <w:rFonts w:ascii="Cambria Math" w:hAnsi="Cambria Math" w:cs="Arial"/>
                    <w:szCs w:val="24"/>
                  </w:rPr>
                  <m:t>+</m:t>
                </m:r>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B</m:t>
                    </m:r>
                  </m:sub>
                </m:sSub>
                <m:r>
                  <w:rPr>
                    <w:rFonts w:ascii="Cambria Math" w:hAnsi="Cambria Math" w:cs="Arial"/>
                    <w:szCs w:val="24"/>
                  </w:rPr>
                  <m:t>*</m:t>
                </m:r>
                <m:sSub>
                  <m:sSubPr>
                    <m:ctrlPr>
                      <w:rPr>
                        <w:rFonts w:ascii="Cambria Math" w:hAnsi="Cambria Math" w:cs="Arial"/>
                        <w:i/>
                        <w:szCs w:val="24"/>
                      </w:rPr>
                    </m:ctrlPr>
                  </m:sSubPr>
                  <m:e>
                    <m:r>
                      <w:rPr>
                        <w:rFonts w:ascii="Cambria Math" w:hAnsi="Cambria Math" w:cs="Arial"/>
                        <w:szCs w:val="24"/>
                      </w:rPr>
                      <m:t>w</m:t>
                    </m:r>
                  </m:e>
                  <m:sub>
                    <m:r>
                      <w:rPr>
                        <w:rFonts w:ascii="Cambria Math" w:hAnsi="Cambria Math" w:cs="Arial"/>
                        <w:szCs w:val="24"/>
                      </w:rPr>
                      <m:t>B</m:t>
                    </m:r>
                  </m:sub>
                </m:sSub>
              </m:e>
            </m:d>
          </m:e>
        </m:d>
      </m:oMath>
      <w:r w:rsidR="005A5B90" w:rsidRPr="00B8426C">
        <w:rPr>
          <w:rFonts w:ascii="Arial" w:hAnsi="Arial" w:cs="Arial"/>
          <w:szCs w:val="24"/>
        </w:rPr>
        <w:t xml:space="preserve">                       Eq. 2</w:t>
      </w:r>
    </w:p>
    <w:p w:rsidR="001E71C7" w:rsidRPr="00B8426C" w:rsidRDefault="005A6555" w:rsidP="001E71C7">
      <w:pPr>
        <w:spacing w:before="120" w:after="120"/>
        <w:jc w:val="both"/>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B</m:t>
            </m:r>
          </m:e>
          <m:sub>
            <m:r>
              <w:rPr>
                <w:rFonts w:ascii="Cambria Math" w:hAnsi="Cambria Math" w:cs="Arial"/>
                <w:szCs w:val="24"/>
              </w:rPr>
              <m:t>I</m:t>
            </m:r>
          </m:sub>
        </m:sSub>
      </m:oMath>
      <w:r w:rsidR="00E73894" w:rsidRPr="00B8426C">
        <w:rPr>
          <w:rFonts w:ascii="Arial" w:hAnsi="Arial" w:cs="Arial"/>
          <w:szCs w:val="24"/>
        </w:rPr>
        <w:t xml:space="preserve"> = benefícios incrementais devido ao programa</w:t>
      </w:r>
    </w:p>
    <w:p w:rsidR="00E73894" w:rsidRPr="00B8426C" w:rsidRDefault="005A6555" w:rsidP="00E73894">
      <w:pPr>
        <w:spacing w:before="120" w:after="120"/>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I</m:t>
            </m:r>
          </m:e>
          <m:sub>
            <m:r>
              <w:rPr>
                <w:rFonts w:ascii="Cambria Math" w:hAnsi="Cambria Math" w:cs="Arial"/>
                <w:szCs w:val="24"/>
              </w:rPr>
              <m:t>B</m:t>
            </m:r>
          </m:sub>
        </m:sSub>
      </m:oMath>
      <w:r w:rsidR="00E73894" w:rsidRPr="00B8426C">
        <w:rPr>
          <w:rFonts w:ascii="Arial" w:hAnsi="Arial" w:cs="Arial"/>
          <w:szCs w:val="24"/>
        </w:rPr>
        <w:t xml:space="preserve"> = montante de investimento anual em inovação para linha de base, por firma</w:t>
      </w:r>
    </w:p>
    <w:p w:rsidR="00E73894" w:rsidRPr="00B8426C" w:rsidRDefault="00E73894" w:rsidP="00E73894">
      <w:pPr>
        <w:spacing w:before="120" w:after="120"/>
        <w:rPr>
          <w:rFonts w:ascii="Arial" w:hAnsi="Arial" w:cs="Arial"/>
          <w:szCs w:val="24"/>
        </w:rPr>
      </w:pPr>
      <w:r w:rsidRPr="00B8426C">
        <w:rPr>
          <w:rFonts w:ascii="Arial" w:hAnsi="Arial" w:cs="Arial"/>
          <w:szCs w:val="24"/>
        </w:rPr>
        <w:t>ε = elasticidade da receita de vendas por trabalhador em relação ao investimento por trabalhador</w:t>
      </w:r>
    </w:p>
    <w:p w:rsidR="00E73894" w:rsidRPr="00B8426C" w:rsidRDefault="005A6555" w:rsidP="00E73894">
      <w:pPr>
        <w:spacing w:before="120" w:after="120"/>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p</m:t>
            </m:r>
          </m:sub>
        </m:sSub>
      </m:oMath>
      <w:r w:rsidR="00E73894" w:rsidRPr="00B8426C">
        <w:rPr>
          <w:rFonts w:ascii="Arial" w:hAnsi="Arial" w:cs="Arial"/>
          <w:szCs w:val="24"/>
        </w:rPr>
        <w:t xml:space="preserve"> = percentual de firmas que alcançam êxito em inovação em relação ao total que inova projetado para o programa</w:t>
      </w:r>
    </w:p>
    <w:p w:rsidR="00E73894" w:rsidRPr="00B8426C" w:rsidRDefault="005A6555" w:rsidP="00E73894">
      <w:pPr>
        <w:spacing w:before="120" w:after="120"/>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B</m:t>
            </m:r>
          </m:sub>
        </m:sSub>
      </m:oMath>
      <w:r w:rsidR="00E73894" w:rsidRPr="00B8426C">
        <w:rPr>
          <w:rFonts w:ascii="Arial" w:hAnsi="Arial" w:cs="Arial"/>
          <w:szCs w:val="24"/>
        </w:rPr>
        <w:t xml:space="preserve"> = percentual de firmas que alcançam êxito em inovação em relação ao total que inova de acordo com a linha de base</w:t>
      </w:r>
    </w:p>
    <w:p w:rsidR="00C054A2" w:rsidRPr="00B8426C" w:rsidRDefault="00C054A2" w:rsidP="00C054A2">
      <w:pPr>
        <w:spacing w:before="120" w:after="120"/>
        <w:rPr>
          <w:rFonts w:ascii="Arial" w:hAnsi="Arial" w:cs="Arial"/>
          <w:szCs w:val="24"/>
        </w:rPr>
      </w:pPr>
      <w:r w:rsidRPr="00B8426C">
        <w:rPr>
          <w:rFonts w:ascii="Arial" w:hAnsi="Arial" w:cs="Arial"/>
          <w:szCs w:val="24"/>
        </w:rPr>
        <w:t xml:space="preserve">Sendo </w:t>
      </w:r>
      <m:oMath>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p</m:t>
            </m:r>
          </m:sub>
        </m:sSub>
        <m:r>
          <w:rPr>
            <w:rFonts w:ascii="Cambria Math" w:hAnsi="Cambria Math" w:cs="Arial"/>
            <w:szCs w:val="24"/>
          </w:rPr>
          <m:t>=α*</m:t>
        </m:r>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B</m:t>
            </m:r>
          </m:sub>
        </m:sSub>
      </m:oMath>
      <w:r w:rsidRPr="00B8426C">
        <w:rPr>
          <w:rFonts w:ascii="Arial" w:hAnsi="Arial" w:cs="Arial"/>
          <w:szCs w:val="24"/>
        </w:rPr>
        <w:t>, onde α é o impacto do programa sobre o percentual de êxito, parâmetro a sensibilizar</w:t>
      </w:r>
    </w:p>
    <w:p w:rsidR="0017203F" w:rsidRPr="00B8426C" w:rsidRDefault="005A6555" w:rsidP="0017203F">
      <w:pPr>
        <w:spacing w:before="120" w:after="120"/>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w</m:t>
            </m:r>
          </m:e>
          <m:sub>
            <m:r>
              <w:rPr>
                <w:rFonts w:ascii="Cambria Math" w:hAnsi="Cambria Math" w:cs="Arial"/>
                <w:szCs w:val="24"/>
              </w:rPr>
              <m:t>p</m:t>
            </m:r>
          </m:sub>
        </m:sSub>
      </m:oMath>
      <w:r w:rsidR="0017203F" w:rsidRPr="00B8426C">
        <w:rPr>
          <w:rFonts w:ascii="Arial" w:hAnsi="Arial" w:cs="Arial"/>
          <w:szCs w:val="24"/>
        </w:rPr>
        <w:t xml:space="preserve"> = peso para o percentual de firmas que alcançam êxito em inovação em relação ao total que inova projetado para o programa</w:t>
      </w:r>
    </w:p>
    <w:p w:rsidR="0017203F" w:rsidRPr="00B8426C" w:rsidRDefault="005A6555" w:rsidP="0017203F">
      <w:pPr>
        <w:spacing w:before="120" w:after="120"/>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w</m:t>
            </m:r>
          </m:e>
          <m:sub>
            <m:r>
              <w:rPr>
                <w:rFonts w:ascii="Cambria Math" w:hAnsi="Cambria Math" w:cs="Arial"/>
                <w:szCs w:val="24"/>
              </w:rPr>
              <m:t>B</m:t>
            </m:r>
          </m:sub>
        </m:sSub>
      </m:oMath>
      <w:r w:rsidR="0017203F" w:rsidRPr="00B8426C">
        <w:rPr>
          <w:rFonts w:ascii="Arial" w:hAnsi="Arial" w:cs="Arial"/>
          <w:szCs w:val="24"/>
        </w:rPr>
        <w:t xml:space="preserve"> = percentual de firmas que alcançam êxito em inovação em relação ao total que inova de acordo com a linha de base</w:t>
      </w:r>
    </w:p>
    <w:p w:rsidR="0024703D" w:rsidRPr="00B8426C" w:rsidRDefault="0024703D" w:rsidP="0024703D">
      <w:pPr>
        <w:pStyle w:val="ListParagraph"/>
        <w:keepNext/>
        <w:numPr>
          <w:ilvl w:val="0"/>
          <w:numId w:val="5"/>
        </w:numPr>
        <w:spacing w:before="240" w:after="60"/>
        <w:contextualSpacing w:val="0"/>
        <w:outlineLvl w:val="1"/>
        <w:rPr>
          <w:rFonts w:ascii="Arial" w:hAnsi="Arial" w:cs="Arial"/>
          <w:b/>
          <w:i/>
          <w:vanish/>
          <w:color w:val="FFFFFF" w:themeColor="background1"/>
        </w:rPr>
      </w:pPr>
      <w:bookmarkStart w:id="8" w:name="_Toc481286835"/>
      <w:bookmarkStart w:id="9" w:name="_Toc481292220"/>
      <w:bookmarkStart w:id="10" w:name="_Toc481292232"/>
      <w:bookmarkStart w:id="11" w:name="_Toc481295548"/>
      <w:bookmarkStart w:id="12" w:name="_Toc481296085"/>
      <w:bookmarkStart w:id="13" w:name="_Toc481299590"/>
      <w:bookmarkStart w:id="14" w:name="_Toc481581181"/>
      <w:bookmarkStart w:id="15" w:name="_Toc481583775"/>
      <w:bookmarkStart w:id="16" w:name="_Toc481585885"/>
      <w:bookmarkStart w:id="17" w:name="_Toc483330913"/>
      <w:bookmarkStart w:id="18" w:name="_Toc483340664"/>
      <w:bookmarkStart w:id="19" w:name="_Toc483345024"/>
      <w:bookmarkEnd w:id="8"/>
      <w:bookmarkEnd w:id="9"/>
      <w:bookmarkEnd w:id="10"/>
      <w:bookmarkEnd w:id="11"/>
      <w:bookmarkEnd w:id="12"/>
      <w:bookmarkEnd w:id="13"/>
      <w:bookmarkEnd w:id="14"/>
      <w:bookmarkEnd w:id="15"/>
      <w:bookmarkEnd w:id="16"/>
      <w:bookmarkEnd w:id="17"/>
      <w:bookmarkEnd w:id="18"/>
      <w:bookmarkEnd w:id="19"/>
    </w:p>
    <w:p w:rsidR="00C45596" w:rsidRPr="00B8426C" w:rsidRDefault="009554A1" w:rsidP="0024703D">
      <w:pPr>
        <w:pStyle w:val="Heading2"/>
        <w:numPr>
          <w:ilvl w:val="1"/>
          <w:numId w:val="5"/>
        </w:numPr>
        <w:rPr>
          <w:rFonts w:cs="Arial"/>
        </w:rPr>
      </w:pPr>
      <w:bookmarkStart w:id="20" w:name="_Toc483345025"/>
      <w:r w:rsidRPr="00B8426C">
        <w:rPr>
          <w:rFonts w:cs="Arial"/>
        </w:rPr>
        <w:t xml:space="preserve">Pressupostos </w:t>
      </w:r>
      <w:r w:rsidR="00765681" w:rsidRPr="00B8426C">
        <w:rPr>
          <w:rFonts w:cs="Arial"/>
        </w:rPr>
        <w:t>cenário-base</w:t>
      </w:r>
      <w:bookmarkEnd w:id="20"/>
    </w:p>
    <w:p w:rsidR="003153F0" w:rsidRPr="00B8426C" w:rsidRDefault="003153F0" w:rsidP="00357D68">
      <w:pPr>
        <w:pStyle w:val="ListParagraph"/>
        <w:spacing w:before="120" w:after="120"/>
        <w:ind w:left="454"/>
        <w:contextualSpacing w:val="0"/>
        <w:jc w:val="both"/>
        <w:rPr>
          <w:rFonts w:ascii="Arial" w:hAnsi="Arial" w:cs="Arial"/>
          <w:szCs w:val="24"/>
        </w:rPr>
      </w:pPr>
    </w:p>
    <w:p w:rsidR="00C45596" w:rsidRPr="00B8426C" w:rsidRDefault="00C45596" w:rsidP="00920B33">
      <w:pPr>
        <w:pStyle w:val="ListParagraph"/>
        <w:numPr>
          <w:ilvl w:val="1"/>
          <w:numId w:val="17"/>
        </w:numPr>
        <w:spacing w:before="120" w:after="120"/>
        <w:contextualSpacing w:val="0"/>
        <w:jc w:val="both"/>
        <w:rPr>
          <w:rFonts w:ascii="Arial" w:hAnsi="Arial" w:cs="Arial"/>
          <w:szCs w:val="24"/>
        </w:rPr>
      </w:pPr>
      <w:r w:rsidRPr="00B8426C">
        <w:rPr>
          <w:rFonts w:ascii="Arial" w:hAnsi="Arial" w:cs="Arial"/>
          <w:szCs w:val="24"/>
        </w:rPr>
        <w:t>Taxa de desconto social</w:t>
      </w:r>
      <w:r w:rsidR="00920B33" w:rsidRPr="00B8426C">
        <w:rPr>
          <w:rFonts w:ascii="Arial" w:hAnsi="Arial" w:cs="Arial"/>
          <w:szCs w:val="24"/>
        </w:rPr>
        <w:t>,</w:t>
      </w:r>
      <w:r w:rsidRPr="00B8426C">
        <w:rPr>
          <w:rFonts w:ascii="Arial" w:hAnsi="Arial" w:cs="Arial"/>
          <w:szCs w:val="24"/>
        </w:rPr>
        <w:t xml:space="preserve"> </w:t>
      </w:r>
      <w:r w:rsidR="00920B33" w:rsidRPr="00B8426C">
        <w:rPr>
          <w:rFonts w:ascii="Arial" w:hAnsi="Arial" w:cs="Arial"/>
          <w:szCs w:val="24"/>
        </w:rPr>
        <w:t xml:space="preserve">referência utilizada </w:t>
      </w:r>
      <w:r w:rsidRPr="00B8426C">
        <w:rPr>
          <w:rFonts w:ascii="Arial" w:hAnsi="Arial" w:cs="Arial"/>
          <w:szCs w:val="24"/>
        </w:rPr>
        <w:t xml:space="preserve">pelo </w:t>
      </w:r>
      <w:r w:rsidR="00920B33" w:rsidRPr="00B8426C">
        <w:rPr>
          <w:rFonts w:ascii="Arial" w:hAnsi="Arial" w:cs="Arial"/>
          <w:szCs w:val="24"/>
        </w:rPr>
        <w:t>BID</w:t>
      </w:r>
      <w:r w:rsidRPr="00B8426C">
        <w:rPr>
          <w:rFonts w:ascii="Arial" w:hAnsi="Arial" w:cs="Arial"/>
          <w:szCs w:val="24"/>
        </w:rPr>
        <w:t>, que representa o custo de oportunidade de usos alternativos</w:t>
      </w:r>
      <w:r w:rsidR="00920B33" w:rsidRPr="00B8426C">
        <w:rPr>
          <w:rFonts w:ascii="Arial" w:hAnsi="Arial" w:cs="Arial"/>
          <w:szCs w:val="24"/>
        </w:rPr>
        <w:t>: 12%</w:t>
      </w:r>
    </w:p>
    <w:p w:rsidR="00CD5DA7" w:rsidRPr="00B8426C" w:rsidRDefault="00920B33" w:rsidP="00CD5DA7">
      <w:pPr>
        <w:pStyle w:val="ListParagraph"/>
        <w:numPr>
          <w:ilvl w:val="1"/>
          <w:numId w:val="17"/>
        </w:numPr>
        <w:spacing w:before="120" w:after="120"/>
        <w:contextualSpacing w:val="0"/>
        <w:jc w:val="both"/>
        <w:rPr>
          <w:rFonts w:ascii="Arial" w:hAnsi="Arial" w:cs="Arial"/>
          <w:szCs w:val="24"/>
        </w:rPr>
      </w:pPr>
      <w:r w:rsidRPr="00B8426C">
        <w:rPr>
          <w:rFonts w:ascii="Arial" w:hAnsi="Arial" w:cs="Arial"/>
          <w:szCs w:val="24"/>
        </w:rPr>
        <w:t>Vida útil do projeto de inovaç</w:t>
      </w:r>
      <w:r w:rsidR="00CD5DA7" w:rsidRPr="00B8426C">
        <w:rPr>
          <w:rFonts w:ascii="Arial" w:hAnsi="Arial" w:cs="Arial"/>
          <w:szCs w:val="24"/>
        </w:rPr>
        <w:t>ão: 5 anos</w:t>
      </w:r>
    </w:p>
    <w:p w:rsidR="00777492" w:rsidRPr="00B8426C" w:rsidRDefault="00777492" w:rsidP="00777492">
      <w:pPr>
        <w:pStyle w:val="ListParagraph"/>
        <w:numPr>
          <w:ilvl w:val="1"/>
          <w:numId w:val="17"/>
        </w:numPr>
        <w:spacing w:before="120" w:after="120"/>
        <w:contextualSpacing w:val="0"/>
        <w:jc w:val="both"/>
        <w:rPr>
          <w:rFonts w:ascii="Arial" w:hAnsi="Arial" w:cs="Arial"/>
          <w:szCs w:val="24"/>
        </w:rPr>
      </w:pPr>
      <w:r w:rsidRPr="00B8426C">
        <w:rPr>
          <w:rFonts w:ascii="Arial" w:hAnsi="Arial" w:cs="Arial"/>
          <w:szCs w:val="24"/>
        </w:rPr>
        <w:t xml:space="preserve">Escalonamento de máxima efetividade do investimento durante maturação, conforme literatura de impacto ex-post </w:t>
      </w:r>
      <w:r w:rsidRPr="00B8426C">
        <w:rPr>
          <w:rFonts w:ascii="Arial" w:hAnsi="Arial" w:cs="Arial"/>
          <w:szCs w:val="24"/>
        </w:rPr>
        <w:fldChar w:fldCharType="begin" w:fldLock="1"/>
      </w:r>
      <w:r w:rsidRPr="00B8426C">
        <w:rPr>
          <w:rFonts w:ascii="Arial" w:hAnsi="Arial" w:cs="Arial"/>
          <w:szCs w:val="24"/>
        </w:rPr>
        <w:instrText>ADDIN CSL_CITATION { "citationItems" : [ { "id" : "ITEM-1", "itemData" : { "author" : [ { "dropping-particle" : "", "family" : "OCDE", "given" : "", "non-dropping-particle" : "", "parse-names" : false, "suffix" : "" } ], "container-title" : "OCDE Publishing", "id" : "ITEM-1", "issued" : { "date-parts" : [ [ "2006" ] ] }, "title" : "Funding and Company Behaviour: Measuring Behavioural Additionality", "type" : "article-journal" }, "uris" : [ "http://www.mendeley.com/documents/?uuid=5a11ff23-40f9-45e0-9fb8-5bf40b3e84f3" ] } ], "mendeley" : { "formattedCitation" : "(OCDE, 2006)", "plainTextFormattedCitation" : "(OCDE, 2006)", "previouslyFormattedCitation" : "(OCDE, 2006)" }, "properties" : { "noteIndex" : 0 }, "schema" : "https://github.com/citation-style-language/schema/raw/master/csl-citation.json" }</w:instrText>
      </w:r>
      <w:r w:rsidRPr="00B8426C">
        <w:rPr>
          <w:rFonts w:ascii="Arial" w:hAnsi="Arial" w:cs="Arial"/>
          <w:szCs w:val="24"/>
        </w:rPr>
        <w:fldChar w:fldCharType="separate"/>
      </w:r>
      <w:r w:rsidRPr="00B8426C">
        <w:rPr>
          <w:rFonts w:ascii="Arial" w:hAnsi="Arial" w:cs="Arial"/>
          <w:szCs w:val="24"/>
        </w:rPr>
        <w:t>(OCDE, 2006)</w:t>
      </w:r>
      <w:r w:rsidRPr="00B8426C">
        <w:rPr>
          <w:rFonts w:ascii="Arial" w:hAnsi="Arial" w:cs="Arial"/>
          <w:szCs w:val="24"/>
        </w:rPr>
        <w:fldChar w:fldCharType="end"/>
      </w:r>
      <w:r w:rsidRPr="00B8426C">
        <w:rPr>
          <w:rFonts w:ascii="Arial" w:hAnsi="Arial" w:cs="Arial"/>
          <w:szCs w:val="24"/>
        </w:rPr>
        <w:t xml:space="preserve">, considera que o investimento em inovação não produz benefícios rapidamente e tomamos os seguintes </w:t>
      </w:r>
      <w:r w:rsidRPr="00B8426C">
        <w:rPr>
          <w:rFonts w:ascii="Arial" w:hAnsi="Arial" w:cs="Arial"/>
          <w:b/>
          <w:szCs w:val="24"/>
        </w:rPr>
        <w:t>pressupostos bastante conservadores</w:t>
      </w:r>
      <w:r w:rsidRPr="00B8426C">
        <w:rPr>
          <w:rFonts w:ascii="Arial" w:hAnsi="Arial" w:cs="Arial"/>
          <w:szCs w:val="24"/>
        </w:rPr>
        <w:t>, de modo que se um cenário melhor ocorrer só produzirá impactos positivos sobre os resultados da análise econômica:</w:t>
      </w:r>
    </w:p>
    <w:p w:rsidR="00777492" w:rsidRPr="00B8426C" w:rsidRDefault="00777492" w:rsidP="00777492">
      <w:pPr>
        <w:ind w:left="708"/>
        <w:jc w:val="both"/>
        <w:rPr>
          <w:rFonts w:ascii="Arial" w:hAnsi="Arial" w:cs="Arial"/>
          <w:szCs w:val="24"/>
        </w:rPr>
      </w:pPr>
      <w:r w:rsidRPr="00B8426C">
        <w:rPr>
          <w:rFonts w:ascii="Arial" w:hAnsi="Arial" w:cs="Arial"/>
          <w:szCs w:val="24"/>
        </w:rPr>
        <w:t xml:space="preserve">c.1) para </w:t>
      </w:r>
      <w:r w:rsidRPr="00B8426C">
        <w:rPr>
          <w:rFonts w:ascii="Arial" w:hAnsi="Arial" w:cs="Arial"/>
          <w:b/>
          <w:szCs w:val="24"/>
        </w:rPr>
        <w:t>componente 1</w:t>
      </w:r>
      <w:r w:rsidRPr="00B8426C">
        <w:rPr>
          <w:rFonts w:ascii="Arial" w:hAnsi="Arial" w:cs="Arial"/>
          <w:szCs w:val="24"/>
        </w:rPr>
        <w:t>, em três anos, com benefício nulo no primeiro ano após realização do investimento, 33% de sua capacidade de gerar benefícios no segundo ano, 66% desse impacto no terceiro e impacto pleno (100%) a partir do quarto ano, em que começa a vigorar a vida útil do investimento, até o final dela;</w:t>
      </w:r>
    </w:p>
    <w:p w:rsidR="00777492" w:rsidRPr="00B8426C" w:rsidRDefault="00777492" w:rsidP="00777492">
      <w:pPr>
        <w:ind w:left="708"/>
        <w:rPr>
          <w:rFonts w:ascii="Arial" w:hAnsi="Arial" w:cs="Arial"/>
          <w:szCs w:val="24"/>
        </w:rPr>
      </w:pPr>
    </w:p>
    <w:p w:rsidR="00777492" w:rsidRPr="00B8426C" w:rsidRDefault="00777492" w:rsidP="00777492">
      <w:pPr>
        <w:ind w:left="708"/>
        <w:jc w:val="both"/>
        <w:rPr>
          <w:rFonts w:ascii="Arial" w:hAnsi="Arial" w:cs="Arial"/>
          <w:szCs w:val="24"/>
        </w:rPr>
      </w:pPr>
      <w:r w:rsidRPr="00B8426C">
        <w:rPr>
          <w:rFonts w:ascii="Arial" w:hAnsi="Arial" w:cs="Arial"/>
          <w:szCs w:val="24"/>
        </w:rPr>
        <w:t xml:space="preserve">c.2) para o </w:t>
      </w:r>
      <w:r w:rsidRPr="00B8426C">
        <w:rPr>
          <w:rFonts w:ascii="Arial" w:hAnsi="Arial" w:cs="Arial"/>
          <w:b/>
          <w:szCs w:val="24"/>
        </w:rPr>
        <w:t>componente 2</w:t>
      </w:r>
      <w:r w:rsidRPr="00B8426C">
        <w:rPr>
          <w:rFonts w:ascii="Arial" w:hAnsi="Arial" w:cs="Arial"/>
          <w:szCs w:val="24"/>
        </w:rPr>
        <w:t>, benefícios são gerados apenas a partir quarto ano após a ocorrência do investimento,  considerando a maturidade total de investimentos como 3 anos, devido às características de perfil de empresas e da atuação por meio parcerias com instituições de fomento regionais, já discutidas para este componente nos parágrafos 4.10, 4.11 e 4.12;</w:t>
      </w:r>
    </w:p>
    <w:p w:rsidR="00777492" w:rsidRPr="00B8426C" w:rsidRDefault="00777492" w:rsidP="00777492">
      <w:pPr>
        <w:ind w:left="708"/>
        <w:jc w:val="both"/>
        <w:rPr>
          <w:rFonts w:ascii="Arial" w:hAnsi="Arial" w:cs="Arial"/>
          <w:szCs w:val="24"/>
        </w:rPr>
      </w:pPr>
    </w:p>
    <w:p w:rsidR="00777492" w:rsidRPr="00B8426C" w:rsidRDefault="00777492" w:rsidP="00777492">
      <w:pPr>
        <w:ind w:left="708"/>
        <w:jc w:val="both"/>
        <w:rPr>
          <w:rFonts w:ascii="Arial" w:hAnsi="Arial" w:cs="Arial"/>
          <w:szCs w:val="24"/>
        </w:rPr>
      </w:pPr>
      <w:r w:rsidRPr="00B8426C">
        <w:rPr>
          <w:rFonts w:ascii="Arial" w:hAnsi="Arial" w:cs="Arial"/>
          <w:szCs w:val="24"/>
        </w:rPr>
        <w:t xml:space="preserve">c.3) para o </w:t>
      </w:r>
      <w:r w:rsidRPr="00B8426C">
        <w:rPr>
          <w:rFonts w:ascii="Arial" w:hAnsi="Arial" w:cs="Arial"/>
          <w:b/>
          <w:szCs w:val="24"/>
        </w:rPr>
        <w:t>componente 3</w:t>
      </w:r>
      <w:r w:rsidRPr="00B8426C">
        <w:rPr>
          <w:rFonts w:ascii="Arial" w:hAnsi="Arial" w:cs="Arial"/>
          <w:szCs w:val="24"/>
        </w:rPr>
        <w:t>, de acordo com a taxa de sobrevivência utilizada na matriz de resultados (tabela 1), devido às características de perfil de empresas já discutidos nos parágrafos  4.13 e 4.14, a maturidade para geração plena de benefícios foi considerada em 5 anos.</w:t>
      </w:r>
    </w:p>
    <w:p w:rsidR="00D21739" w:rsidRPr="00B8426C" w:rsidRDefault="00CD5DA7" w:rsidP="00D21739">
      <w:pPr>
        <w:pStyle w:val="ListParagraph"/>
        <w:numPr>
          <w:ilvl w:val="1"/>
          <w:numId w:val="17"/>
        </w:numPr>
        <w:spacing w:before="120" w:after="120"/>
        <w:contextualSpacing w:val="0"/>
        <w:jc w:val="both"/>
        <w:rPr>
          <w:rFonts w:ascii="Arial" w:hAnsi="Arial" w:cs="Arial"/>
          <w:szCs w:val="24"/>
        </w:rPr>
      </w:pPr>
      <w:r w:rsidRPr="00B8426C">
        <w:rPr>
          <w:rFonts w:ascii="Arial" w:hAnsi="Arial" w:cs="Arial"/>
          <w:szCs w:val="24"/>
        </w:rPr>
        <w:t xml:space="preserve">Alcance de efetividade de elevação da produtividade, conforme literatura de impacto ex-post </w:t>
      </w:r>
      <w:r w:rsidRPr="00B8426C">
        <w:rPr>
          <w:rFonts w:ascii="Arial" w:hAnsi="Arial" w:cs="Arial"/>
          <w:szCs w:val="24"/>
        </w:rPr>
        <w:fldChar w:fldCharType="begin" w:fldLock="1"/>
      </w:r>
      <w:r w:rsidRPr="00B8426C">
        <w:rPr>
          <w:rFonts w:ascii="Arial" w:hAnsi="Arial" w:cs="Arial"/>
          <w:szCs w:val="24"/>
        </w:rPr>
        <w:instrText>ADDIN CSL_CITATION { "citationItems" : [ { "id" : "ITEM-1", "itemData" : { "author" : [ { "dropping-particle" : "", "family" : "OCDE", "given" : "", "non-dropping-particle" : "", "parse-names" : false, "suffix" : "" } ], "container-title" : "OCDE Publishing", "id" : "ITEM-1", "issued" : { "date-parts" : [ [ "2006" ] ] }, "title" : "Funding and Company Behaviour: Measuring Behavioural Additionality", "type" : "article-journal" }, "uris" : [ "http://www.mendeley.com/documents/?uuid=5a11ff23-40f9-45e0-9fb8-5bf40b3e84f3" ] } ], "mendeley" : { "formattedCitation" : "(OCDE, 2006)", "plainTextFormattedCitation" : "(OCDE, 2006)", "previouslyFormattedCitation" : "(OCDE, 2006)" }, "properties" : { "noteIndex" : 0 }, "schema" : "https://github.com/citation-style-language/schema/raw/master/csl-citation.json" }</w:instrText>
      </w:r>
      <w:r w:rsidRPr="00B8426C">
        <w:rPr>
          <w:rFonts w:ascii="Arial" w:hAnsi="Arial" w:cs="Arial"/>
          <w:szCs w:val="24"/>
        </w:rPr>
        <w:fldChar w:fldCharType="separate"/>
      </w:r>
      <w:r w:rsidRPr="00B8426C">
        <w:rPr>
          <w:rFonts w:ascii="Arial" w:hAnsi="Arial" w:cs="Arial"/>
          <w:noProof/>
          <w:szCs w:val="24"/>
        </w:rPr>
        <w:t>(OCDE, 2006)</w:t>
      </w:r>
      <w:r w:rsidRPr="00B8426C">
        <w:rPr>
          <w:rFonts w:ascii="Arial" w:hAnsi="Arial" w:cs="Arial"/>
          <w:szCs w:val="24"/>
        </w:rPr>
        <w:fldChar w:fldCharType="end"/>
      </w:r>
      <w:r w:rsidRPr="00B8426C">
        <w:rPr>
          <w:rFonts w:ascii="Arial" w:hAnsi="Arial" w:cs="Arial"/>
          <w:szCs w:val="24"/>
        </w:rPr>
        <w:t>: em três anos, para componente 1</w:t>
      </w:r>
      <w:r w:rsidR="00E87401" w:rsidRPr="00B8426C">
        <w:rPr>
          <w:rFonts w:ascii="Arial" w:hAnsi="Arial" w:cs="Arial"/>
          <w:szCs w:val="24"/>
        </w:rPr>
        <w:t>, com menos peso nos primeiro e segundo anos para manter o cenário base bastante conservador</w:t>
      </w:r>
      <w:r w:rsidRPr="00B8426C">
        <w:rPr>
          <w:rFonts w:ascii="Arial" w:hAnsi="Arial" w:cs="Arial"/>
          <w:szCs w:val="24"/>
        </w:rPr>
        <w:t>, e efetiva apenas a partir do qu</w:t>
      </w:r>
      <w:r w:rsidR="00B515E9" w:rsidRPr="00B8426C">
        <w:rPr>
          <w:rFonts w:ascii="Arial" w:hAnsi="Arial" w:cs="Arial"/>
          <w:szCs w:val="24"/>
        </w:rPr>
        <w:t xml:space="preserve">arto ano e para o componente 2 e do quinto período </w:t>
      </w:r>
      <w:r w:rsidR="00E87401" w:rsidRPr="00B8426C">
        <w:rPr>
          <w:rFonts w:ascii="Arial" w:hAnsi="Arial" w:cs="Arial"/>
          <w:szCs w:val="24"/>
        </w:rPr>
        <w:t>para o componente 3, de acordo com a taxa de sobrevivência utilizada na matriz de resultados (tabela 1)</w:t>
      </w:r>
      <w:r w:rsidRPr="00B8426C">
        <w:rPr>
          <w:rFonts w:ascii="Arial" w:hAnsi="Arial" w:cs="Arial"/>
          <w:szCs w:val="24"/>
        </w:rPr>
        <w:t>, devido às características de perfil de empresa</w:t>
      </w:r>
      <w:r w:rsidR="00E87401" w:rsidRPr="00B8426C">
        <w:rPr>
          <w:rFonts w:ascii="Arial" w:hAnsi="Arial" w:cs="Arial"/>
          <w:szCs w:val="24"/>
        </w:rPr>
        <w:t>s</w:t>
      </w:r>
      <w:r w:rsidRPr="00B8426C">
        <w:rPr>
          <w:rFonts w:ascii="Arial" w:hAnsi="Arial" w:cs="Arial"/>
          <w:szCs w:val="24"/>
        </w:rPr>
        <w:t xml:space="preserve"> já discutid</w:t>
      </w:r>
      <w:r w:rsidR="00E87401" w:rsidRPr="00B8426C">
        <w:rPr>
          <w:rFonts w:ascii="Arial" w:hAnsi="Arial" w:cs="Arial"/>
          <w:szCs w:val="24"/>
        </w:rPr>
        <w:t>o para cada componente</w:t>
      </w:r>
      <w:r w:rsidRPr="00B8426C">
        <w:rPr>
          <w:rFonts w:ascii="Arial" w:hAnsi="Arial" w:cs="Arial"/>
          <w:szCs w:val="24"/>
        </w:rPr>
        <w:t>.</w:t>
      </w:r>
    </w:p>
    <w:p w:rsidR="00C45596" w:rsidRPr="00B8426C" w:rsidRDefault="00C45596" w:rsidP="00D21739">
      <w:pPr>
        <w:pStyle w:val="ListParagraph"/>
        <w:numPr>
          <w:ilvl w:val="1"/>
          <w:numId w:val="17"/>
        </w:numPr>
        <w:spacing w:before="120" w:after="120"/>
        <w:contextualSpacing w:val="0"/>
        <w:jc w:val="both"/>
        <w:rPr>
          <w:rFonts w:ascii="Arial" w:hAnsi="Arial" w:cs="Arial"/>
          <w:szCs w:val="24"/>
        </w:rPr>
      </w:pPr>
      <w:r w:rsidRPr="00B8426C">
        <w:rPr>
          <w:rFonts w:ascii="Arial" w:hAnsi="Arial" w:cs="Arial"/>
          <w:szCs w:val="24"/>
        </w:rPr>
        <w:t>Não existência de efeitos-deslocamento entre o gasto público e o privado</w:t>
      </w:r>
      <w:r w:rsidR="00410063" w:rsidRPr="00B8426C">
        <w:rPr>
          <w:rFonts w:ascii="Arial" w:hAnsi="Arial" w:cs="Arial"/>
          <w:szCs w:val="24"/>
        </w:rPr>
        <w:t>;</w:t>
      </w:r>
    </w:p>
    <w:p w:rsidR="00C054A2" w:rsidRPr="00B8426C" w:rsidRDefault="00E67171" w:rsidP="00C054A2">
      <w:pPr>
        <w:pStyle w:val="ListParagraph"/>
        <w:numPr>
          <w:ilvl w:val="1"/>
          <w:numId w:val="17"/>
        </w:numPr>
        <w:spacing w:before="120" w:after="120"/>
        <w:contextualSpacing w:val="0"/>
        <w:jc w:val="both"/>
        <w:rPr>
          <w:rFonts w:ascii="Arial" w:hAnsi="Arial" w:cs="Arial"/>
          <w:szCs w:val="24"/>
        </w:rPr>
      </w:pPr>
      <w:r w:rsidRPr="00B8426C">
        <w:rPr>
          <w:rFonts w:ascii="Arial" w:hAnsi="Arial" w:cs="Arial"/>
          <w:szCs w:val="24"/>
        </w:rPr>
        <w:t xml:space="preserve">Taxa de crescimento do PIB brasileiro, medida pela média </w:t>
      </w:r>
      <w:r w:rsidR="00094B23" w:rsidRPr="00B8426C">
        <w:rPr>
          <w:rFonts w:ascii="Arial" w:hAnsi="Arial" w:cs="Arial"/>
          <w:szCs w:val="24"/>
        </w:rPr>
        <w:t>do</w:t>
      </w:r>
      <w:r w:rsidRPr="00B8426C">
        <w:rPr>
          <w:rFonts w:ascii="Arial" w:hAnsi="Arial" w:cs="Arial"/>
          <w:szCs w:val="24"/>
        </w:rPr>
        <w:t xml:space="preserve"> comportamento dos últimos 25 anos, proxy para o crescimento do produto potencial, g = 2.6%  </w:t>
      </w:r>
      <w:r w:rsidR="00A62B17" w:rsidRPr="00B8426C">
        <w:rPr>
          <w:rFonts w:ascii="Arial" w:hAnsi="Arial" w:cs="Arial"/>
          <w:color w:val="FF0000"/>
          <w:szCs w:val="24"/>
        </w:rPr>
        <w:t>(parâmetro a sensibilizar)</w:t>
      </w:r>
    </w:p>
    <w:p w:rsidR="003C304F" w:rsidRPr="00B8426C" w:rsidRDefault="005A6555" w:rsidP="00C939C0">
      <w:pPr>
        <w:pStyle w:val="ListParagraph"/>
        <w:numPr>
          <w:ilvl w:val="1"/>
          <w:numId w:val="17"/>
        </w:numPr>
        <w:spacing w:before="120" w:after="120"/>
        <w:contextualSpacing w:val="0"/>
        <w:jc w:val="both"/>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w</m:t>
            </m:r>
          </m:e>
          <m:sub>
            <m:r>
              <w:rPr>
                <w:rFonts w:ascii="Cambria Math" w:hAnsi="Cambria Math" w:cs="Arial"/>
                <w:szCs w:val="24"/>
              </w:rPr>
              <m:t>p</m:t>
            </m:r>
          </m:sub>
        </m:sSub>
      </m:oMath>
      <w:r w:rsidR="00C054A2" w:rsidRPr="00B8426C">
        <w:rPr>
          <w:rFonts w:ascii="Arial" w:hAnsi="Arial" w:cs="Arial"/>
          <w:szCs w:val="24"/>
        </w:rPr>
        <w:t xml:space="preserve"> = peso para o percentual de firmas que alcançam êxito em inovação em relação ao total que inova projetado para o programa</w:t>
      </w:r>
      <w:r w:rsidR="00C939C0" w:rsidRPr="00B8426C">
        <w:rPr>
          <w:rFonts w:ascii="Arial" w:hAnsi="Arial" w:cs="Arial"/>
          <w:szCs w:val="24"/>
        </w:rPr>
        <w:t xml:space="preserve">: 0,75 </w:t>
      </w:r>
    </w:p>
    <w:p w:rsidR="00C939C0" w:rsidRPr="00B8426C" w:rsidRDefault="005A6555" w:rsidP="00C939C0">
      <w:pPr>
        <w:pStyle w:val="ListParagraph"/>
        <w:numPr>
          <w:ilvl w:val="1"/>
          <w:numId w:val="17"/>
        </w:numPr>
        <w:spacing w:before="120" w:after="120"/>
        <w:contextualSpacing w:val="0"/>
        <w:jc w:val="both"/>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w</m:t>
            </m:r>
          </m:e>
          <m:sub>
            <m:r>
              <w:rPr>
                <w:rFonts w:ascii="Cambria Math" w:hAnsi="Cambria Math" w:cs="Arial"/>
                <w:szCs w:val="24"/>
              </w:rPr>
              <m:t>B</m:t>
            </m:r>
          </m:sub>
        </m:sSub>
      </m:oMath>
      <w:r w:rsidR="00C939C0" w:rsidRPr="00B8426C">
        <w:rPr>
          <w:rFonts w:ascii="Arial" w:hAnsi="Arial" w:cs="Arial"/>
          <w:szCs w:val="24"/>
        </w:rPr>
        <w:t xml:space="preserve"> = percentual de firmas que alcançam êxito em inovação em relação ao total que inova de acordo com a linha de base: 0,25 </w:t>
      </w:r>
    </w:p>
    <w:p w:rsidR="000F6B37" w:rsidRPr="00B8426C" w:rsidRDefault="000F6B37" w:rsidP="00C939C0">
      <w:pPr>
        <w:pStyle w:val="ListParagraph"/>
        <w:numPr>
          <w:ilvl w:val="1"/>
          <w:numId w:val="17"/>
        </w:numPr>
        <w:spacing w:before="120" w:after="120"/>
        <w:contextualSpacing w:val="0"/>
        <w:jc w:val="both"/>
        <w:rPr>
          <w:rFonts w:ascii="Arial" w:hAnsi="Arial" w:cs="Arial"/>
          <w:szCs w:val="24"/>
        </w:rPr>
      </w:pPr>
      <w:r w:rsidRPr="00B8426C">
        <w:rPr>
          <w:rFonts w:ascii="Arial" w:hAnsi="Arial" w:cs="Arial"/>
          <w:szCs w:val="24"/>
        </w:rPr>
        <w:t>Taxa anual de depreciação do investimento: 10%</w:t>
      </w:r>
      <w:r w:rsidR="001E7FA5" w:rsidRPr="00B8426C">
        <w:rPr>
          <w:rFonts w:ascii="Arial" w:hAnsi="Arial" w:cs="Arial"/>
          <w:szCs w:val="24"/>
        </w:rPr>
        <w:t xml:space="preserve"> </w:t>
      </w:r>
      <w:r w:rsidR="001E7FA5" w:rsidRPr="00B8426C">
        <w:rPr>
          <w:rFonts w:ascii="Arial" w:hAnsi="Arial" w:cs="Arial"/>
          <w:color w:val="FF0000"/>
          <w:szCs w:val="24"/>
        </w:rPr>
        <w:t>(parâmetro a sensibilizar)</w:t>
      </w:r>
    </w:p>
    <w:p w:rsidR="001E7FA5" w:rsidRPr="00B8426C" w:rsidRDefault="000F6B37" w:rsidP="001E7FA5">
      <w:pPr>
        <w:pStyle w:val="ListParagraph"/>
        <w:numPr>
          <w:ilvl w:val="1"/>
          <w:numId w:val="17"/>
        </w:numPr>
        <w:spacing w:before="120" w:after="120"/>
        <w:contextualSpacing w:val="0"/>
        <w:jc w:val="both"/>
        <w:rPr>
          <w:rFonts w:ascii="Arial" w:hAnsi="Arial" w:cs="Arial"/>
          <w:szCs w:val="24"/>
        </w:rPr>
      </w:pPr>
      <w:r w:rsidRPr="00B8426C">
        <w:rPr>
          <w:rFonts w:ascii="Arial" w:hAnsi="Arial" w:cs="Arial"/>
          <w:szCs w:val="24"/>
        </w:rPr>
        <w:t>Taxa de operação das atividades após o investimento: 7%</w:t>
      </w:r>
      <w:r w:rsidR="001E7FA5" w:rsidRPr="00B8426C">
        <w:rPr>
          <w:rFonts w:ascii="Arial" w:hAnsi="Arial" w:cs="Arial"/>
          <w:szCs w:val="24"/>
        </w:rPr>
        <w:t xml:space="preserve"> </w:t>
      </w:r>
      <w:r w:rsidR="001E7FA5" w:rsidRPr="00B8426C">
        <w:rPr>
          <w:rFonts w:ascii="Arial" w:hAnsi="Arial" w:cs="Arial"/>
          <w:color w:val="FF0000"/>
          <w:szCs w:val="24"/>
        </w:rPr>
        <w:t>(parâmetro a sensibilizar)</w:t>
      </w:r>
    </w:p>
    <w:p w:rsidR="0024703D" w:rsidRPr="00B8426C" w:rsidRDefault="0024703D" w:rsidP="00465621">
      <w:pPr>
        <w:pStyle w:val="ListParagraph"/>
        <w:spacing w:before="120" w:after="120"/>
        <w:ind w:left="454"/>
        <w:contextualSpacing w:val="0"/>
        <w:jc w:val="both"/>
        <w:rPr>
          <w:rFonts w:ascii="Arial" w:hAnsi="Arial" w:cs="Arial"/>
          <w:szCs w:val="24"/>
        </w:rPr>
      </w:pPr>
    </w:p>
    <w:p w:rsidR="0040248A" w:rsidRPr="00B8426C" w:rsidRDefault="00765681" w:rsidP="00465621">
      <w:pPr>
        <w:pStyle w:val="ListParagraph"/>
        <w:spacing w:before="120" w:after="120"/>
        <w:ind w:left="454"/>
        <w:contextualSpacing w:val="0"/>
        <w:jc w:val="both"/>
        <w:rPr>
          <w:rFonts w:ascii="Arial" w:hAnsi="Arial" w:cs="Arial"/>
          <w:b/>
          <w:szCs w:val="24"/>
        </w:rPr>
      </w:pPr>
      <w:r w:rsidRPr="00B8426C">
        <w:rPr>
          <w:rFonts w:ascii="Arial" w:hAnsi="Arial" w:cs="Arial"/>
          <w:b/>
          <w:szCs w:val="24"/>
        </w:rPr>
        <w:t>Pressupostos para o componente 1</w:t>
      </w:r>
    </w:p>
    <w:p w:rsidR="006A18C1" w:rsidRPr="00B8426C" w:rsidRDefault="006A18C1" w:rsidP="00465621">
      <w:pPr>
        <w:pStyle w:val="ListParagraph"/>
        <w:spacing w:before="120" w:after="120"/>
        <w:ind w:left="454"/>
        <w:contextualSpacing w:val="0"/>
        <w:jc w:val="both"/>
        <w:rPr>
          <w:rFonts w:ascii="Arial" w:hAnsi="Arial" w:cs="Arial"/>
          <w:b/>
          <w:szCs w:val="24"/>
        </w:rPr>
      </w:pPr>
    </w:p>
    <w:p w:rsidR="00D634B9" w:rsidRPr="00B8426C" w:rsidRDefault="000F0CD9" w:rsidP="00963AE8">
      <w:pPr>
        <w:pStyle w:val="ListParagraph"/>
        <w:numPr>
          <w:ilvl w:val="1"/>
          <w:numId w:val="21"/>
        </w:numPr>
        <w:spacing w:before="120" w:after="120"/>
        <w:contextualSpacing w:val="0"/>
        <w:jc w:val="both"/>
        <w:rPr>
          <w:rFonts w:ascii="Arial" w:hAnsi="Arial" w:cs="Arial"/>
          <w:szCs w:val="24"/>
        </w:rPr>
      </w:pPr>
      <w:r w:rsidRPr="00B8426C">
        <w:rPr>
          <w:rFonts w:ascii="Arial" w:hAnsi="Arial" w:cs="Arial"/>
          <w:szCs w:val="24"/>
        </w:rPr>
        <w:t xml:space="preserve">Para definir parâmetros e estimativas do componente 1, utilizamos uma base de informações cedida pela </w:t>
      </w:r>
      <w:r w:rsidR="00D72E4D">
        <w:rPr>
          <w:rFonts w:ascii="Arial" w:hAnsi="Arial" w:cs="Arial"/>
          <w:szCs w:val="24"/>
        </w:rPr>
        <w:t>Finep</w:t>
      </w:r>
      <w:r w:rsidRPr="00B8426C">
        <w:rPr>
          <w:rFonts w:ascii="Arial" w:hAnsi="Arial" w:cs="Arial"/>
          <w:szCs w:val="24"/>
        </w:rPr>
        <w:t>, sobre projetos de inovação em diversos setores apoiados por ela, que reflete mais adequadamente o universo de empresas/projetos que têm utilizados recursos oferecidos pela financiadora. Esta amostra foi constituída por 19</w:t>
      </w:r>
      <w:r w:rsidR="00D634B9" w:rsidRPr="00B8426C">
        <w:rPr>
          <w:rFonts w:ascii="Arial" w:hAnsi="Arial" w:cs="Arial"/>
          <w:szCs w:val="24"/>
        </w:rPr>
        <w:t>1</w:t>
      </w:r>
      <w:r w:rsidRPr="00B8426C">
        <w:rPr>
          <w:rFonts w:ascii="Arial" w:hAnsi="Arial" w:cs="Arial"/>
          <w:szCs w:val="24"/>
        </w:rPr>
        <w:t xml:space="preserve"> projetos, financiados entre 2012 e 2015</w:t>
      </w:r>
      <w:r w:rsidR="00D634B9" w:rsidRPr="00B8426C">
        <w:rPr>
          <w:rFonts w:ascii="Arial" w:hAnsi="Arial" w:cs="Arial"/>
          <w:szCs w:val="24"/>
        </w:rPr>
        <w:t>, distribuídos entre vários ramos de atividade segundo código CNAE.</w:t>
      </w:r>
    </w:p>
    <w:p w:rsidR="00D634B9" w:rsidRPr="00B8426C" w:rsidRDefault="006A18C1" w:rsidP="00963AE8">
      <w:pPr>
        <w:pStyle w:val="ListParagraph"/>
        <w:numPr>
          <w:ilvl w:val="1"/>
          <w:numId w:val="21"/>
        </w:numPr>
        <w:spacing w:before="120" w:after="120"/>
        <w:contextualSpacing w:val="0"/>
        <w:jc w:val="both"/>
        <w:rPr>
          <w:rFonts w:ascii="Arial" w:hAnsi="Arial" w:cs="Arial"/>
          <w:szCs w:val="24"/>
        </w:rPr>
      </w:pPr>
      <w:r w:rsidRPr="00B8426C">
        <w:rPr>
          <w:rFonts w:ascii="Arial" w:hAnsi="Arial" w:cs="Arial"/>
          <w:szCs w:val="24"/>
        </w:rPr>
        <w:t xml:space="preserve"> </w:t>
      </w:r>
      <w:r w:rsidR="00D634B9" w:rsidRPr="00B8426C">
        <w:rPr>
          <w:rFonts w:ascii="Arial" w:hAnsi="Arial" w:cs="Arial"/>
          <w:szCs w:val="24"/>
        </w:rPr>
        <w:t xml:space="preserve">Das 191 observações amostrais iniciais, sete foram descartadas por informação incompleta e seis, por representarem </w:t>
      </w:r>
      <w:r w:rsidR="00D634B9" w:rsidRPr="00B8426C">
        <w:rPr>
          <w:rFonts w:ascii="Arial" w:hAnsi="Arial" w:cs="Arial"/>
          <w:i/>
          <w:szCs w:val="24"/>
        </w:rPr>
        <w:t>outliers</w:t>
      </w:r>
      <w:r w:rsidR="00D634B9" w:rsidRPr="00B8426C">
        <w:rPr>
          <w:rFonts w:ascii="Arial" w:hAnsi="Arial" w:cs="Arial"/>
          <w:szCs w:val="24"/>
        </w:rPr>
        <w:t xml:space="preserve"> em relação a algum das variáveis de interesse. Ao final 12</w:t>
      </w:r>
      <w:r w:rsidR="00301CC0" w:rsidRPr="00B8426C">
        <w:rPr>
          <w:rFonts w:ascii="Arial" w:hAnsi="Arial" w:cs="Arial"/>
          <w:szCs w:val="24"/>
        </w:rPr>
        <w:t>5</w:t>
      </w:r>
      <w:r w:rsidR="00D634B9" w:rsidRPr="00B8426C">
        <w:rPr>
          <w:rFonts w:ascii="Arial" w:hAnsi="Arial" w:cs="Arial"/>
          <w:szCs w:val="24"/>
        </w:rPr>
        <w:t xml:space="preserve"> observações foram identificadas como representando os setores prioritários do componente 1 e foram utilizadas para o calculo das elasticidades e dos valores de base.</w:t>
      </w:r>
      <w:r w:rsidR="00506EC6" w:rsidRPr="00B8426C">
        <w:rPr>
          <w:rFonts w:ascii="Arial" w:hAnsi="Arial" w:cs="Arial"/>
          <w:szCs w:val="24"/>
        </w:rPr>
        <w:t xml:space="preserve"> As estimativas levaram em consideração a receita operacional líquida por trabalhador e o investimento em PDI por trabalhador, ambos em logaritmo, e foram obtidas por aplicação de GLS, com robustez a heterocedasticidade. Não foi possível, dada a limitação de disponibilidade de dados, aplicar métodos econométricos mais eficientes, tampouco controlar as estimativas por outras variáveis, de forma que as elasticidades devem ser submetidas a análise de sensibilidade,</w:t>
      </w:r>
    </w:p>
    <w:p w:rsidR="00EF620A" w:rsidRPr="00B8426C" w:rsidRDefault="00EF620A" w:rsidP="00023207">
      <w:pPr>
        <w:rPr>
          <w:rFonts w:ascii="Arial" w:hAnsi="Arial" w:cs="Arial"/>
          <w:b/>
        </w:rPr>
      </w:pPr>
    </w:p>
    <w:p w:rsidR="00023207" w:rsidRPr="00B8426C" w:rsidRDefault="00023207" w:rsidP="00023207">
      <w:pPr>
        <w:rPr>
          <w:rFonts w:ascii="Arial" w:hAnsi="Arial" w:cs="Arial"/>
        </w:rPr>
      </w:pPr>
      <w:r w:rsidRPr="00B8426C">
        <w:rPr>
          <w:rFonts w:ascii="Arial" w:hAnsi="Arial" w:cs="Arial"/>
          <w:b/>
        </w:rPr>
        <w:t>Tabela 3:</w:t>
      </w:r>
      <w:r w:rsidRPr="00B8426C">
        <w:rPr>
          <w:rFonts w:ascii="Arial" w:hAnsi="Arial" w:cs="Arial"/>
        </w:rPr>
        <w:t xml:space="preserve"> Elasticidades estimadas </w:t>
      </w:r>
      <w:r w:rsidR="000212A2" w:rsidRPr="00B8426C">
        <w:rPr>
          <w:rFonts w:ascii="Arial" w:hAnsi="Arial" w:cs="Arial"/>
        </w:rPr>
        <w:t xml:space="preserve">por </w:t>
      </w:r>
      <w:r w:rsidRPr="00B8426C">
        <w:rPr>
          <w:rFonts w:ascii="Arial" w:hAnsi="Arial" w:cs="Arial"/>
        </w:rPr>
        <w:t>GLS (sem controles) para setores do componente 1</w:t>
      </w:r>
    </w:p>
    <w:p w:rsidR="00D634B9" w:rsidRPr="00B8426C" w:rsidRDefault="00D634B9" w:rsidP="00D634B9">
      <w:pPr>
        <w:spacing w:before="120" w:after="120"/>
        <w:jc w:val="both"/>
        <w:rPr>
          <w:rFonts w:ascii="Arial" w:hAnsi="Arial" w:cs="Arial"/>
          <w:szCs w:val="24"/>
        </w:rPr>
      </w:pPr>
      <w:r w:rsidRPr="00B8426C">
        <w:rPr>
          <w:rFonts w:ascii="Arial" w:hAnsi="Arial" w:cs="Arial"/>
          <w:noProof/>
          <w:lang w:val="en-US"/>
        </w:rPr>
        <w:drawing>
          <wp:inline distT="0" distB="0" distL="0" distR="0" wp14:anchorId="4B3405E4" wp14:editId="25D2D61E">
            <wp:extent cx="6189345" cy="2229395"/>
            <wp:effectExtent l="0" t="0" r="190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89345" cy="2229395"/>
                    </a:xfrm>
                    <a:prstGeom prst="rect">
                      <a:avLst/>
                    </a:prstGeom>
                    <a:noFill/>
                    <a:ln>
                      <a:noFill/>
                    </a:ln>
                  </pic:spPr>
                </pic:pic>
              </a:graphicData>
            </a:graphic>
          </wp:inline>
        </w:drawing>
      </w:r>
    </w:p>
    <w:p w:rsidR="00023207" w:rsidRPr="00B8426C" w:rsidRDefault="00023207" w:rsidP="00023207">
      <w:pPr>
        <w:spacing w:before="120" w:after="120"/>
        <w:jc w:val="both"/>
        <w:rPr>
          <w:rFonts w:ascii="Arial" w:hAnsi="Arial" w:cs="Arial"/>
          <w:szCs w:val="24"/>
        </w:rPr>
      </w:pPr>
    </w:p>
    <w:p w:rsidR="00C034FF" w:rsidRPr="00B8426C" w:rsidRDefault="00A62B17" w:rsidP="00963AE8">
      <w:pPr>
        <w:pStyle w:val="ListParagraph"/>
        <w:numPr>
          <w:ilvl w:val="1"/>
          <w:numId w:val="21"/>
        </w:numPr>
        <w:spacing w:before="120" w:after="120"/>
        <w:contextualSpacing w:val="0"/>
        <w:jc w:val="both"/>
        <w:rPr>
          <w:rFonts w:ascii="Arial" w:hAnsi="Arial" w:cs="Arial"/>
          <w:szCs w:val="24"/>
        </w:rPr>
      </w:pPr>
      <w:r w:rsidRPr="00B8426C">
        <w:rPr>
          <w:rFonts w:ascii="Arial" w:hAnsi="Arial" w:cs="Arial"/>
          <w:szCs w:val="24"/>
        </w:rPr>
        <w:t xml:space="preserve">Como linha de base, utilizamos as informações da mesma amostra </w:t>
      </w:r>
      <w:r w:rsidR="00D72E4D">
        <w:rPr>
          <w:rFonts w:ascii="Arial" w:hAnsi="Arial" w:cs="Arial"/>
          <w:szCs w:val="24"/>
        </w:rPr>
        <w:t>FINEP</w:t>
      </w:r>
      <w:r w:rsidRPr="00B8426C">
        <w:rPr>
          <w:rFonts w:ascii="Arial" w:hAnsi="Arial" w:cs="Arial"/>
          <w:szCs w:val="24"/>
        </w:rPr>
        <w:t xml:space="preserve">, uma vez que os setores prioritários do componente que devem receber apoio nas novas etapas dos programas supostamente são semelhantes ao histórico de apoios. Também para evitar distorções de valores extremos, utilizamos a </w:t>
      </w:r>
      <w:r w:rsidR="00C034FF" w:rsidRPr="00B8426C">
        <w:rPr>
          <w:rFonts w:ascii="Arial" w:hAnsi="Arial" w:cs="Arial"/>
          <w:szCs w:val="24"/>
        </w:rPr>
        <w:t>mediana das seguintes variáveis:</w:t>
      </w:r>
    </w:p>
    <w:p w:rsidR="00353C95" w:rsidRPr="00B8426C" w:rsidRDefault="005A6555" w:rsidP="00353C95">
      <w:pPr>
        <w:spacing w:before="120" w:after="120"/>
        <w:jc w:val="both"/>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B</m:t>
            </m:r>
          </m:sub>
        </m:sSub>
      </m:oMath>
      <w:r w:rsidR="00353C95" w:rsidRPr="00B8426C">
        <w:rPr>
          <w:rFonts w:ascii="Arial" w:hAnsi="Arial" w:cs="Arial"/>
          <w:szCs w:val="24"/>
        </w:rPr>
        <w:t xml:space="preserve">= receita de vendas médias por firma, de acordo com o período base (USD): </w:t>
      </w:r>
      <w:r w:rsidR="00E87401" w:rsidRPr="00B8426C">
        <w:rPr>
          <w:rFonts w:ascii="Arial" w:hAnsi="Arial" w:cs="Arial"/>
          <w:szCs w:val="24"/>
        </w:rPr>
        <w:t>113.</w:t>
      </w:r>
      <w:r w:rsidR="00353C95" w:rsidRPr="00B8426C">
        <w:rPr>
          <w:rFonts w:ascii="Arial" w:hAnsi="Arial" w:cs="Arial"/>
          <w:szCs w:val="24"/>
        </w:rPr>
        <w:t>352</w:t>
      </w:r>
      <w:r w:rsidR="00E87401" w:rsidRPr="00B8426C">
        <w:rPr>
          <w:rFonts w:ascii="Arial" w:hAnsi="Arial" w:cs="Arial"/>
          <w:szCs w:val="24"/>
        </w:rPr>
        <w:t>.</w:t>
      </w:r>
      <w:r w:rsidR="00353C95" w:rsidRPr="00B8426C">
        <w:rPr>
          <w:rFonts w:ascii="Arial" w:hAnsi="Arial" w:cs="Arial"/>
          <w:szCs w:val="24"/>
        </w:rPr>
        <w:t xml:space="preserve">670 </w:t>
      </w:r>
    </w:p>
    <w:p w:rsidR="00C034FF" w:rsidRPr="00B8426C" w:rsidRDefault="005A6555" w:rsidP="00353C95">
      <w:pPr>
        <w:spacing w:before="120" w:after="120"/>
        <w:jc w:val="both"/>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I</m:t>
            </m:r>
          </m:e>
          <m:sub>
            <m:r>
              <w:rPr>
                <w:rFonts w:ascii="Cambria Math" w:hAnsi="Cambria Math" w:cs="Arial"/>
                <w:szCs w:val="24"/>
              </w:rPr>
              <m:t>B</m:t>
            </m:r>
          </m:sub>
        </m:sSub>
      </m:oMath>
      <w:r w:rsidR="00353C95" w:rsidRPr="00B8426C">
        <w:rPr>
          <w:rFonts w:ascii="Arial" w:hAnsi="Arial" w:cs="Arial"/>
          <w:szCs w:val="24"/>
        </w:rPr>
        <w:t xml:space="preserve"> = montante de investimento anual em inovação para linha de base, por firma (USD): 2</w:t>
      </w:r>
      <w:r w:rsidR="00E87401" w:rsidRPr="00B8426C">
        <w:rPr>
          <w:rFonts w:ascii="Arial" w:hAnsi="Arial" w:cs="Arial"/>
          <w:szCs w:val="24"/>
        </w:rPr>
        <w:t>.</w:t>
      </w:r>
      <w:r w:rsidR="00353C95" w:rsidRPr="00B8426C">
        <w:rPr>
          <w:rFonts w:ascii="Arial" w:hAnsi="Arial" w:cs="Arial"/>
          <w:szCs w:val="24"/>
        </w:rPr>
        <w:t>761</w:t>
      </w:r>
      <w:r w:rsidR="00E87401" w:rsidRPr="00B8426C">
        <w:rPr>
          <w:rFonts w:ascii="Arial" w:hAnsi="Arial" w:cs="Arial"/>
          <w:szCs w:val="24"/>
        </w:rPr>
        <w:t>.</w:t>
      </w:r>
      <w:r w:rsidR="00353C95" w:rsidRPr="00B8426C">
        <w:rPr>
          <w:rFonts w:ascii="Arial" w:hAnsi="Arial" w:cs="Arial"/>
          <w:szCs w:val="24"/>
        </w:rPr>
        <w:t>627</w:t>
      </w:r>
    </w:p>
    <w:p w:rsidR="00353C95" w:rsidRPr="00B8426C" w:rsidRDefault="00353C95" w:rsidP="00353C95">
      <w:pPr>
        <w:spacing w:before="120" w:after="120"/>
        <w:jc w:val="both"/>
        <w:rPr>
          <w:rFonts w:ascii="Arial" w:hAnsi="Arial" w:cs="Arial"/>
          <w:szCs w:val="24"/>
        </w:rPr>
      </w:pPr>
    </w:p>
    <w:p w:rsidR="00C034FF" w:rsidRPr="00B8426C" w:rsidRDefault="00C034FF" w:rsidP="00963AE8">
      <w:pPr>
        <w:pStyle w:val="ListParagraph"/>
        <w:numPr>
          <w:ilvl w:val="1"/>
          <w:numId w:val="21"/>
        </w:numPr>
        <w:spacing w:before="120" w:after="120"/>
        <w:contextualSpacing w:val="0"/>
        <w:jc w:val="both"/>
        <w:rPr>
          <w:rFonts w:ascii="Arial" w:hAnsi="Arial" w:cs="Arial"/>
          <w:szCs w:val="24"/>
        </w:rPr>
      </w:pPr>
      <w:r w:rsidRPr="00B8426C">
        <w:rPr>
          <w:rFonts w:ascii="Arial" w:hAnsi="Arial" w:cs="Arial"/>
          <w:szCs w:val="24"/>
        </w:rPr>
        <w:t xml:space="preserve">Por fim, o </w:t>
      </w:r>
      <m:oMath>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B</m:t>
            </m:r>
          </m:sub>
        </m:sSub>
      </m:oMath>
      <w:r w:rsidRPr="00B8426C">
        <w:rPr>
          <w:rFonts w:ascii="Arial" w:hAnsi="Arial" w:cs="Arial"/>
          <w:szCs w:val="24"/>
        </w:rPr>
        <w:t xml:space="preserve"> é aproximado pela relação entre o número de firmas que inovam continuamente sobre o total da Pintec 2014, multiplicado pelo percentual das que se financiam com recursos próprios (suposição de que as empresas que investem em PDI só o fazem porque alcançam sucesso)</w:t>
      </w:r>
      <w:r w:rsidR="00C75075" w:rsidRPr="00B8426C">
        <w:rPr>
          <w:rFonts w:ascii="Arial" w:hAnsi="Arial" w:cs="Arial"/>
          <w:szCs w:val="24"/>
        </w:rPr>
        <w:t>, resultando e</w:t>
      </w:r>
      <w:r w:rsidR="00566282" w:rsidRPr="00B8426C">
        <w:rPr>
          <w:rFonts w:ascii="Arial" w:hAnsi="Arial" w:cs="Arial"/>
          <w:szCs w:val="24"/>
        </w:rPr>
        <w:t>m:</w:t>
      </w:r>
    </w:p>
    <w:p w:rsidR="00C034FF" w:rsidRPr="00B8426C" w:rsidRDefault="005A6555" w:rsidP="00C034FF">
      <w:pPr>
        <w:jc w:val="both"/>
        <w:rPr>
          <w:rFonts w:ascii="Arial" w:hAnsi="Arial" w:cs="Arial"/>
          <w:color w:val="FF0000"/>
          <w:szCs w:val="24"/>
        </w:rPr>
      </w:pPr>
      <m:oMath>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B</m:t>
            </m:r>
          </m:sub>
        </m:sSub>
      </m:oMath>
      <w:r w:rsidR="00C034FF" w:rsidRPr="00B8426C">
        <w:rPr>
          <w:rFonts w:ascii="Arial" w:hAnsi="Arial" w:cs="Arial"/>
          <w:szCs w:val="24"/>
        </w:rPr>
        <w:t xml:space="preserve"> = percentual de firmas que alcançam êxito em inovação em relação ao total que ino</w:t>
      </w:r>
      <w:r w:rsidR="00C75075" w:rsidRPr="00B8426C">
        <w:rPr>
          <w:rFonts w:ascii="Arial" w:hAnsi="Arial" w:cs="Arial"/>
          <w:szCs w:val="24"/>
        </w:rPr>
        <w:t>va de acordo com a linha de base</w:t>
      </w:r>
      <w:r w:rsidR="00C034FF" w:rsidRPr="00B8426C">
        <w:rPr>
          <w:rFonts w:ascii="Arial" w:hAnsi="Arial" w:cs="Arial"/>
          <w:szCs w:val="24"/>
        </w:rPr>
        <w:t>: 0,6245</w:t>
      </w:r>
    </w:p>
    <w:p w:rsidR="00566282" w:rsidRPr="00B8426C" w:rsidRDefault="00566282" w:rsidP="00C034FF">
      <w:pPr>
        <w:jc w:val="both"/>
        <w:rPr>
          <w:rFonts w:ascii="Arial" w:hAnsi="Arial" w:cs="Arial"/>
          <w:szCs w:val="24"/>
        </w:rPr>
      </w:pPr>
    </w:p>
    <w:p w:rsidR="00566282" w:rsidRPr="00B8426C" w:rsidRDefault="00566282" w:rsidP="00C034FF">
      <w:pPr>
        <w:jc w:val="both"/>
        <w:rPr>
          <w:rFonts w:ascii="Arial" w:hAnsi="Arial" w:cs="Arial"/>
          <w:color w:val="FF0000"/>
          <w:szCs w:val="24"/>
        </w:rPr>
      </w:pPr>
      <w:r w:rsidRPr="00B8426C">
        <w:rPr>
          <w:rFonts w:ascii="Arial" w:hAnsi="Arial" w:cs="Arial"/>
          <w:szCs w:val="24"/>
        </w:rPr>
        <w:t xml:space="preserve">α = taxa de melhora no </w:t>
      </w:r>
      <w:r w:rsidR="00B515E9" w:rsidRPr="00B8426C">
        <w:rPr>
          <w:rFonts w:ascii="Arial" w:hAnsi="Arial" w:cs="Arial"/>
          <w:szCs w:val="24"/>
        </w:rPr>
        <w:t>percentual de êxito em inovação</w:t>
      </w:r>
      <w:r w:rsidRPr="00B8426C">
        <w:rPr>
          <w:rFonts w:ascii="Arial" w:hAnsi="Arial" w:cs="Arial"/>
          <w:szCs w:val="24"/>
        </w:rPr>
        <w:t>: 20%</w:t>
      </w:r>
      <w:r w:rsidR="00FB1A1A" w:rsidRPr="00B8426C">
        <w:rPr>
          <w:rFonts w:ascii="Arial" w:hAnsi="Arial" w:cs="Arial"/>
          <w:szCs w:val="24"/>
        </w:rPr>
        <w:t xml:space="preserve"> </w:t>
      </w:r>
      <w:r w:rsidR="00FB1A1A" w:rsidRPr="00B8426C">
        <w:rPr>
          <w:rFonts w:ascii="Arial" w:hAnsi="Arial" w:cs="Arial"/>
          <w:color w:val="FF0000"/>
          <w:szCs w:val="24"/>
        </w:rPr>
        <w:t>(parâmetro a sensibilizar)</w:t>
      </w:r>
    </w:p>
    <w:p w:rsidR="000D64EB" w:rsidRPr="00B8426C" w:rsidRDefault="000D64EB" w:rsidP="00C034FF">
      <w:pPr>
        <w:jc w:val="both"/>
        <w:rPr>
          <w:rFonts w:ascii="Arial" w:hAnsi="Arial" w:cs="Arial"/>
          <w:color w:val="FF0000"/>
          <w:szCs w:val="24"/>
        </w:rPr>
      </w:pPr>
    </w:p>
    <w:p w:rsidR="000D64EB" w:rsidRPr="00B8426C" w:rsidRDefault="000D64EB" w:rsidP="000D64EB">
      <w:pPr>
        <w:spacing w:before="120" w:after="120"/>
        <w:rPr>
          <w:rFonts w:ascii="Arial" w:hAnsi="Arial" w:cs="Arial"/>
          <w:szCs w:val="24"/>
        </w:rPr>
      </w:pPr>
      <w:r w:rsidRPr="00B8426C">
        <w:rPr>
          <w:rFonts w:ascii="Arial" w:hAnsi="Arial" w:cs="Arial"/>
          <w:szCs w:val="24"/>
        </w:rPr>
        <w:t>ρ  = taxa de investimento/vendas projetada no projeto (indicador de resultado): 2.9%</w:t>
      </w:r>
      <w:r w:rsidR="00B515E9" w:rsidRPr="00B8426C">
        <w:rPr>
          <w:rFonts w:ascii="Arial" w:hAnsi="Arial" w:cs="Arial"/>
          <w:szCs w:val="24"/>
        </w:rPr>
        <w:t xml:space="preserve"> </w:t>
      </w:r>
      <w:r w:rsidR="00B515E9" w:rsidRPr="00B8426C">
        <w:rPr>
          <w:rFonts w:ascii="Arial" w:hAnsi="Arial" w:cs="Arial"/>
          <w:color w:val="FF0000"/>
          <w:szCs w:val="24"/>
        </w:rPr>
        <w:t>(parâmetro a sensibilizar)</w:t>
      </w:r>
    </w:p>
    <w:p w:rsidR="000D64EB" w:rsidRPr="00B8426C" w:rsidRDefault="000D64EB" w:rsidP="00C034FF">
      <w:pPr>
        <w:jc w:val="both"/>
        <w:rPr>
          <w:rFonts w:ascii="Arial" w:hAnsi="Arial" w:cs="Arial"/>
          <w:szCs w:val="24"/>
        </w:rPr>
      </w:pPr>
    </w:p>
    <w:p w:rsidR="005B6BA6" w:rsidRPr="00B8426C" w:rsidRDefault="005B6BA6" w:rsidP="005B6BA6">
      <w:pPr>
        <w:pStyle w:val="ListParagraph"/>
        <w:spacing w:before="120" w:after="120"/>
        <w:ind w:left="454"/>
        <w:contextualSpacing w:val="0"/>
        <w:jc w:val="both"/>
        <w:rPr>
          <w:rFonts w:ascii="Arial" w:hAnsi="Arial" w:cs="Arial"/>
          <w:b/>
          <w:szCs w:val="24"/>
        </w:rPr>
      </w:pPr>
      <w:r w:rsidRPr="00B8426C">
        <w:rPr>
          <w:rFonts w:ascii="Arial" w:hAnsi="Arial" w:cs="Arial"/>
          <w:b/>
          <w:szCs w:val="24"/>
        </w:rPr>
        <w:t>Pressupostos para o componente 2</w:t>
      </w:r>
    </w:p>
    <w:p w:rsidR="00C034FF" w:rsidRPr="00B8426C" w:rsidRDefault="00C034FF" w:rsidP="00C034FF">
      <w:pPr>
        <w:spacing w:before="120" w:after="120"/>
        <w:jc w:val="both"/>
        <w:rPr>
          <w:rFonts w:ascii="Arial" w:hAnsi="Arial" w:cs="Arial"/>
          <w:szCs w:val="24"/>
        </w:rPr>
      </w:pPr>
    </w:p>
    <w:p w:rsidR="00C034FF" w:rsidRPr="00B8426C" w:rsidRDefault="0044304E" w:rsidP="00963AE8">
      <w:pPr>
        <w:pStyle w:val="ListParagraph"/>
        <w:numPr>
          <w:ilvl w:val="1"/>
          <w:numId w:val="21"/>
        </w:numPr>
        <w:spacing w:before="120" w:after="120"/>
        <w:contextualSpacing w:val="0"/>
        <w:jc w:val="both"/>
        <w:rPr>
          <w:rFonts w:ascii="Arial" w:hAnsi="Arial" w:cs="Arial"/>
          <w:szCs w:val="24"/>
        </w:rPr>
      </w:pPr>
      <w:r w:rsidRPr="00B8426C">
        <w:rPr>
          <w:rFonts w:ascii="Arial" w:hAnsi="Arial" w:cs="Arial"/>
          <w:szCs w:val="24"/>
        </w:rPr>
        <w:t xml:space="preserve">Para o componente 2, como trata-se de empresas de pequeno e médio portes, mantivemos a estimativa de elasticidade geral para os sete setores do componente 1, mas agora associando as medidas aos dados mais </w:t>
      </w:r>
      <w:r w:rsidR="006C6FFF" w:rsidRPr="00B8426C">
        <w:rPr>
          <w:rFonts w:ascii="Arial" w:hAnsi="Arial" w:cs="Arial"/>
          <w:szCs w:val="24"/>
        </w:rPr>
        <w:t>gerais obtidos pela Pintec 2014 para receita de vendas e investimento em PDI, por firmas ambos.</w:t>
      </w:r>
    </w:p>
    <w:p w:rsidR="006C6FFF" w:rsidRPr="00B8426C" w:rsidRDefault="006C6FFF" w:rsidP="006C6FFF">
      <w:pPr>
        <w:spacing w:before="120" w:after="120"/>
        <w:rPr>
          <w:rFonts w:ascii="Arial" w:hAnsi="Arial" w:cs="Arial"/>
          <w:szCs w:val="24"/>
        </w:rPr>
      </w:pPr>
      <w:r w:rsidRPr="00B8426C">
        <w:rPr>
          <w:rFonts w:ascii="Arial" w:hAnsi="Arial" w:cs="Arial"/>
          <w:szCs w:val="24"/>
        </w:rPr>
        <w:t xml:space="preserve">ε = elasticidade da receita de vendas por trabalhador em relação ao investimento por trabalhador, obtida por amostra </w:t>
      </w:r>
      <w:r w:rsidR="00D72E4D">
        <w:rPr>
          <w:rFonts w:ascii="Arial" w:hAnsi="Arial" w:cs="Arial"/>
          <w:szCs w:val="24"/>
        </w:rPr>
        <w:t>Finep</w:t>
      </w:r>
      <w:r w:rsidRPr="00B8426C">
        <w:rPr>
          <w:rFonts w:ascii="Arial" w:hAnsi="Arial" w:cs="Arial"/>
          <w:szCs w:val="24"/>
        </w:rPr>
        <w:t xml:space="preserve"> de acordo com tabela 3: 0.138</w:t>
      </w:r>
    </w:p>
    <w:p w:rsidR="006C6FFF" w:rsidRPr="00B8426C" w:rsidRDefault="005A6555" w:rsidP="006C6FFF">
      <w:pPr>
        <w:spacing w:before="120" w:after="120"/>
        <w:jc w:val="both"/>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B</m:t>
            </m:r>
          </m:sub>
        </m:sSub>
      </m:oMath>
      <w:r w:rsidR="006C6FFF" w:rsidRPr="00B8426C">
        <w:rPr>
          <w:rFonts w:ascii="Arial" w:hAnsi="Arial" w:cs="Arial"/>
          <w:szCs w:val="24"/>
        </w:rPr>
        <w:t xml:space="preserve">= receita de vendas médias por firma, de acordo com o período base (USD): 24,854,350 </w:t>
      </w:r>
    </w:p>
    <w:p w:rsidR="006C6FFF" w:rsidRPr="00B8426C" w:rsidRDefault="005A6555" w:rsidP="006C6FFF">
      <w:pPr>
        <w:spacing w:before="120" w:after="120"/>
        <w:jc w:val="both"/>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I</m:t>
            </m:r>
          </m:e>
          <m:sub>
            <m:r>
              <w:rPr>
                <w:rFonts w:ascii="Cambria Math" w:hAnsi="Cambria Math" w:cs="Arial"/>
                <w:szCs w:val="24"/>
              </w:rPr>
              <m:t>B</m:t>
            </m:r>
          </m:sub>
        </m:sSub>
      </m:oMath>
      <w:r w:rsidR="006C6FFF" w:rsidRPr="00B8426C">
        <w:rPr>
          <w:rFonts w:ascii="Arial" w:hAnsi="Arial" w:cs="Arial"/>
          <w:szCs w:val="24"/>
        </w:rPr>
        <w:t xml:space="preserve"> = montante de investimento anual em inovação para linha de base, por firma (USD): </w:t>
      </w:r>
      <w:r w:rsidR="00FC733F" w:rsidRPr="00B8426C">
        <w:rPr>
          <w:rFonts w:ascii="Arial" w:hAnsi="Arial" w:cs="Arial"/>
          <w:szCs w:val="24"/>
        </w:rPr>
        <w:t>537,024</w:t>
      </w:r>
    </w:p>
    <w:p w:rsidR="00DF423B" w:rsidRPr="00B8426C" w:rsidRDefault="00DF423B" w:rsidP="00DF423B">
      <w:pPr>
        <w:spacing w:before="120" w:after="120"/>
        <w:rPr>
          <w:rFonts w:ascii="Arial" w:hAnsi="Arial" w:cs="Arial"/>
          <w:szCs w:val="24"/>
        </w:rPr>
      </w:pPr>
      <w:r w:rsidRPr="00B8426C">
        <w:rPr>
          <w:rFonts w:ascii="Arial" w:hAnsi="Arial" w:cs="Arial"/>
          <w:szCs w:val="24"/>
        </w:rPr>
        <w:t>ρ  = taxa de investimento/vendas projetada no projeto (indicador de resultado): 3.1%</w:t>
      </w:r>
      <w:r w:rsidR="00DE363A" w:rsidRPr="00B8426C">
        <w:rPr>
          <w:rFonts w:ascii="Arial" w:hAnsi="Arial" w:cs="Arial"/>
          <w:szCs w:val="24"/>
        </w:rPr>
        <w:t xml:space="preserve"> </w:t>
      </w:r>
      <w:r w:rsidR="00DE363A" w:rsidRPr="00B8426C">
        <w:rPr>
          <w:rFonts w:ascii="Arial" w:hAnsi="Arial" w:cs="Arial"/>
          <w:color w:val="FF0000"/>
          <w:szCs w:val="24"/>
        </w:rPr>
        <w:t>(parâmetro a sensibilizar)</w:t>
      </w:r>
    </w:p>
    <w:p w:rsidR="00DE363A" w:rsidRPr="00B8426C" w:rsidRDefault="005A6555" w:rsidP="00DE363A">
      <w:pPr>
        <w:jc w:val="both"/>
        <w:rPr>
          <w:rFonts w:ascii="Arial" w:hAnsi="Arial" w:cs="Arial"/>
          <w:szCs w:val="24"/>
        </w:rPr>
      </w:pPr>
      <m:oMath>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B</m:t>
            </m:r>
          </m:sub>
        </m:sSub>
      </m:oMath>
      <w:r w:rsidR="00DE363A" w:rsidRPr="00B8426C">
        <w:rPr>
          <w:rFonts w:ascii="Arial" w:hAnsi="Arial" w:cs="Arial"/>
          <w:szCs w:val="24"/>
        </w:rPr>
        <w:t xml:space="preserve"> = percentual de firmas que alcançam êxito em inovação em relação ao total que inova de acordo com a linha de base: 0,6245 </w:t>
      </w:r>
      <w:r w:rsidR="009D267B" w:rsidRPr="00B8426C">
        <w:rPr>
          <w:rFonts w:ascii="Arial" w:hAnsi="Arial" w:cs="Arial"/>
          <w:szCs w:val="24"/>
        </w:rPr>
        <w:t>(não há diferenças significativas por tamanho de empresa para esse percentual, de acordo com dados Pintec 2014)</w:t>
      </w:r>
    </w:p>
    <w:p w:rsidR="009D267B" w:rsidRPr="00B8426C" w:rsidRDefault="009D267B" w:rsidP="00DE363A">
      <w:pPr>
        <w:jc w:val="both"/>
        <w:rPr>
          <w:rFonts w:ascii="Arial" w:hAnsi="Arial" w:cs="Arial"/>
          <w:szCs w:val="24"/>
        </w:rPr>
      </w:pPr>
    </w:p>
    <w:p w:rsidR="00DE363A" w:rsidRPr="00B8426C" w:rsidRDefault="00DE363A" w:rsidP="00DE363A">
      <w:pPr>
        <w:jc w:val="both"/>
        <w:rPr>
          <w:rFonts w:ascii="Arial" w:hAnsi="Arial" w:cs="Arial"/>
          <w:color w:val="FF0000"/>
          <w:szCs w:val="24"/>
        </w:rPr>
      </w:pPr>
      <w:r w:rsidRPr="00B8426C">
        <w:rPr>
          <w:rFonts w:ascii="Arial" w:hAnsi="Arial" w:cs="Arial"/>
          <w:szCs w:val="24"/>
        </w:rPr>
        <w:t xml:space="preserve">α = taxa de melhora no percentual de êxito em inovação, segundo matriz de resultados: 20% </w:t>
      </w:r>
      <w:r w:rsidRPr="00B8426C">
        <w:rPr>
          <w:rFonts w:ascii="Arial" w:hAnsi="Arial" w:cs="Arial"/>
          <w:color w:val="FF0000"/>
          <w:szCs w:val="24"/>
        </w:rPr>
        <w:t>(parâmetro a sensibilizar</w:t>
      </w:r>
      <w:r w:rsidR="0056503D" w:rsidRPr="00B8426C">
        <w:rPr>
          <w:rFonts w:ascii="Arial" w:hAnsi="Arial" w:cs="Arial"/>
          <w:color w:val="FF0000"/>
          <w:szCs w:val="24"/>
        </w:rPr>
        <w:t>, mesmo do componente 1</w:t>
      </w:r>
      <w:r w:rsidRPr="00B8426C">
        <w:rPr>
          <w:rFonts w:ascii="Arial" w:hAnsi="Arial" w:cs="Arial"/>
          <w:color w:val="FF0000"/>
          <w:szCs w:val="24"/>
        </w:rPr>
        <w:t>)</w:t>
      </w:r>
    </w:p>
    <w:p w:rsidR="00FC733F" w:rsidRPr="00B8426C" w:rsidRDefault="00FC733F" w:rsidP="00FC733F">
      <w:pPr>
        <w:spacing w:before="120" w:after="120"/>
        <w:rPr>
          <w:rFonts w:ascii="Arial" w:hAnsi="Arial" w:cs="Arial"/>
          <w:szCs w:val="24"/>
        </w:rPr>
      </w:pPr>
    </w:p>
    <w:p w:rsidR="00E9068D" w:rsidRPr="00B8426C" w:rsidRDefault="00E9068D" w:rsidP="00E9068D">
      <w:pPr>
        <w:pStyle w:val="ListParagraph"/>
        <w:spacing w:before="120" w:after="120"/>
        <w:ind w:left="454"/>
        <w:contextualSpacing w:val="0"/>
        <w:jc w:val="both"/>
        <w:rPr>
          <w:rFonts w:ascii="Arial" w:hAnsi="Arial" w:cs="Arial"/>
          <w:b/>
          <w:szCs w:val="24"/>
        </w:rPr>
      </w:pPr>
      <w:r w:rsidRPr="00B8426C">
        <w:rPr>
          <w:rFonts w:ascii="Arial" w:hAnsi="Arial" w:cs="Arial"/>
          <w:b/>
          <w:szCs w:val="24"/>
        </w:rPr>
        <w:t>Pressupostos para o componente 3</w:t>
      </w:r>
    </w:p>
    <w:p w:rsidR="006C6FFF" w:rsidRPr="00B8426C" w:rsidRDefault="006C6FFF" w:rsidP="006C6FFF">
      <w:pPr>
        <w:pStyle w:val="ListParagraph"/>
        <w:spacing w:before="120" w:after="120"/>
        <w:ind w:left="576"/>
        <w:contextualSpacing w:val="0"/>
        <w:jc w:val="both"/>
        <w:rPr>
          <w:rFonts w:ascii="Arial" w:hAnsi="Arial" w:cs="Arial"/>
          <w:szCs w:val="24"/>
        </w:rPr>
      </w:pPr>
    </w:p>
    <w:p w:rsidR="006C6FFF" w:rsidRPr="00B8426C" w:rsidRDefault="00351E5C" w:rsidP="00963AE8">
      <w:pPr>
        <w:pStyle w:val="ListParagraph"/>
        <w:numPr>
          <w:ilvl w:val="1"/>
          <w:numId w:val="21"/>
        </w:numPr>
        <w:spacing w:before="120" w:after="120"/>
        <w:contextualSpacing w:val="0"/>
        <w:jc w:val="both"/>
        <w:rPr>
          <w:rFonts w:ascii="Arial" w:hAnsi="Arial" w:cs="Arial"/>
          <w:szCs w:val="24"/>
        </w:rPr>
      </w:pPr>
      <w:r w:rsidRPr="00B8426C">
        <w:rPr>
          <w:rFonts w:ascii="Arial" w:hAnsi="Arial" w:cs="Arial"/>
          <w:szCs w:val="24"/>
        </w:rPr>
        <w:t>O c</w:t>
      </w:r>
      <w:r w:rsidR="00DE363A" w:rsidRPr="00B8426C">
        <w:rPr>
          <w:rFonts w:ascii="Arial" w:hAnsi="Arial" w:cs="Arial"/>
          <w:szCs w:val="24"/>
        </w:rPr>
        <w:t>omponente 3, por se tratar, de investimentos de alto risco, de acordo com o apresentado nas seções anteriores, foi valorado com um percentual de êxito com e sem programa bem mais baixo, partindo também da referência Pintec 2014 para as medidas de vendas e investimento.</w:t>
      </w:r>
    </w:p>
    <w:p w:rsidR="00DE363A" w:rsidRPr="00B8426C" w:rsidRDefault="005A6555" w:rsidP="00DE363A">
      <w:pPr>
        <w:jc w:val="both"/>
        <w:rPr>
          <w:rFonts w:ascii="Arial" w:hAnsi="Arial" w:cs="Arial"/>
          <w:color w:val="FF0000"/>
          <w:szCs w:val="24"/>
        </w:rPr>
      </w:pPr>
      <m:oMath>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B</m:t>
            </m:r>
          </m:sub>
        </m:sSub>
      </m:oMath>
      <w:r w:rsidR="00DE363A" w:rsidRPr="00B8426C">
        <w:rPr>
          <w:rFonts w:ascii="Arial" w:hAnsi="Arial" w:cs="Arial"/>
          <w:szCs w:val="24"/>
        </w:rPr>
        <w:t xml:space="preserve"> = percentual de firmas que alcançam êxito em inovação em relação ao total que inova de acordo com </w:t>
      </w:r>
      <w:r w:rsidR="00CB0C0D" w:rsidRPr="00B8426C">
        <w:rPr>
          <w:rFonts w:ascii="Arial" w:hAnsi="Arial" w:cs="Arial"/>
          <w:szCs w:val="24"/>
        </w:rPr>
        <w:t>matriz de resultados (tabela</w:t>
      </w:r>
      <w:r w:rsidR="002B7D61" w:rsidRPr="00B8426C">
        <w:rPr>
          <w:rFonts w:ascii="Arial" w:hAnsi="Arial" w:cs="Arial"/>
          <w:szCs w:val="24"/>
        </w:rPr>
        <w:t xml:space="preserve"> 3</w:t>
      </w:r>
      <w:r w:rsidR="00CB0C0D" w:rsidRPr="00B8426C">
        <w:rPr>
          <w:rFonts w:ascii="Arial" w:hAnsi="Arial" w:cs="Arial"/>
          <w:szCs w:val="24"/>
        </w:rPr>
        <w:t>)</w:t>
      </w:r>
      <w:r w:rsidR="00DE363A" w:rsidRPr="00B8426C">
        <w:rPr>
          <w:rFonts w:ascii="Arial" w:hAnsi="Arial" w:cs="Arial"/>
          <w:szCs w:val="24"/>
        </w:rPr>
        <w:t xml:space="preserve">: </w:t>
      </w:r>
      <w:r w:rsidR="00CB0C0D" w:rsidRPr="00B8426C">
        <w:rPr>
          <w:rFonts w:ascii="Arial" w:hAnsi="Arial" w:cs="Arial"/>
          <w:szCs w:val="24"/>
        </w:rPr>
        <w:t>5</w:t>
      </w:r>
      <w:r w:rsidR="00DE363A" w:rsidRPr="00B8426C">
        <w:rPr>
          <w:rFonts w:ascii="Arial" w:hAnsi="Arial" w:cs="Arial"/>
          <w:szCs w:val="24"/>
        </w:rPr>
        <w:t xml:space="preserve">0% </w:t>
      </w:r>
    </w:p>
    <w:p w:rsidR="00D63C79" w:rsidRPr="00B8426C" w:rsidRDefault="005A6555" w:rsidP="00DE363A">
      <w:pPr>
        <w:jc w:val="both"/>
        <w:rPr>
          <w:rFonts w:ascii="Arial" w:hAnsi="Arial" w:cs="Arial"/>
          <w:color w:val="FF0000"/>
          <w:szCs w:val="24"/>
        </w:rPr>
      </w:pPr>
      <m:oMath>
        <m:sSub>
          <m:sSubPr>
            <m:ctrlPr>
              <w:rPr>
                <w:rFonts w:ascii="Cambria Math" w:hAnsi="Cambria Math" w:cs="Arial"/>
                <w:i/>
                <w:szCs w:val="24"/>
              </w:rPr>
            </m:ctrlPr>
          </m:sSubPr>
          <m:e>
            <m:r>
              <w:rPr>
                <w:rFonts w:ascii="Cambria Math" w:hAnsi="Cambria Math" w:cs="Arial"/>
                <w:szCs w:val="24"/>
              </w:rPr>
              <m:t>E</m:t>
            </m:r>
          </m:e>
          <m:sub>
            <m:r>
              <w:rPr>
                <w:rFonts w:ascii="Cambria Math" w:hAnsi="Cambria Math" w:cs="Arial"/>
                <w:szCs w:val="24"/>
              </w:rPr>
              <m:t>p</m:t>
            </m:r>
          </m:sub>
        </m:sSub>
      </m:oMath>
      <w:r w:rsidR="00DE363A" w:rsidRPr="00B8426C">
        <w:rPr>
          <w:rFonts w:ascii="Arial" w:hAnsi="Arial" w:cs="Arial"/>
          <w:szCs w:val="24"/>
        </w:rPr>
        <w:t xml:space="preserve"> = percentual de firmas que alcançam êxito em inovação em relação ao total que inova projetado para o programa</w:t>
      </w:r>
      <w:r w:rsidR="00CB0C0D" w:rsidRPr="00B8426C">
        <w:rPr>
          <w:rFonts w:ascii="Arial" w:hAnsi="Arial" w:cs="Arial"/>
          <w:szCs w:val="24"/>
        </w:rPr>
        <w:t xml:space="preserve"> de acordo com matriz de resultados (tabela</w:t>
      </w:r>
      <w:r w:rsidR="002B7D61" w:rsidRPr="00B8426C">
        <w:rPr>
          <w:rFonts w:ascii="Arial" w:hAnsi="Arial" w:cs="Arial"/>
          <w:szCs w:val="24"/>
        </w:rPr>
        <w:t xml:space="preserve"> 3</w:t>
      </w:r>
      <w:r w:rsidR="00CB0C0D" w:rsidRPr="00B8426C">
        <w:rPr>
          <w:rFonts w:ascii="Arial" w:hAnsi="Arial" w:cs="Arial"/>
          <w:szCs w:val="24"/>
        </w:rPr>
        <w:t>):</w:t>
      </w:r>
      <w:r w:rsidR="00DE363A" w:rsidRPr="00B8426C">
        <w:rPr>
          <w:rFonts w:ascii="Arial" w:hAnsi="Arial" w:cs="Arial"/>
          <w:szCs w:val="24"/>
        </w:rPr>
        <w:t xml:space="preserve"> 5</w:t>
      </w:r>
      <w:r w:rsidR="00CB0C0D" w:rsidRPr="00B8426C">
        <w:rPr>
          <w:rFonts w:ascii="Arial" w:hAnsi="Arial" w:cs="Arial"/>
          <w:szCs w:val="24"/>
        </w:rPr>
        <w:t>2</w:t>
      </w:r>
      <w:r w:rsidR="00DE363A" w:rsidRPr="00B8426C">
        <w:rPr>
          <w:rFonts w:ascii="Arial" w:hAnsi="Arial" w:cs="Arial"/>
          <w:szCs w:val="24"/>
        </w:rPr>
        <w:t xml:space="preserve">% </w:t>
      </w:r>
      <w:r w:rsidR="00DE363A" w:rsidRPr="00B8426C">
        <w:rPr>
          <w:rFonts w:ascii="Arial" w:hAnsi="Arial" w:cs="Arial"/>
          <w:color w:val="FF0000"/>
          <w:szCs w:val="24"/>
        </w:rPr>
        <w:t>(parâmetro a sensibilizar)</w:t>
      </w:r>
    </w:p>
    <w:p w:rsidR="006E26E9" w:rsidRPr="00B8426C" w:rsidRDefault="006E26E9" w:rsidP="00DE363A">
      <w:pPr>
        <w:jc w:val="both"/>
        <w:rPr>
          <w:rFonts w:ascii="Arial" w:hAnsi="Arial" w:cs="Arial"/>
          <w:color w:val="FF0000"/>
          <w:szCs w:val="24"/>
        </w:rPr>
      </w:pPr>
    </w:p>
    <w:p w:rsidR="00963AE8" w:rsidRPr="00B8426C" w:rsidRDefault="00963AE8" w:rsidP="00963AE8">
      <w:pPr>
        <w:pStyle w:val="Heading1"/>
        <w:numPr>
          <w:ilvl w:val="0"/>
          <w:numId w:val="21"/>
        </w:numPr>
        <w:rPr>
          <w:rFonts w:cs="Arial"/>
          <w:sz w:val="24"/>
          <w:szCs w:val="24"/>
        </w:rPr>
      </w:pPr>
      <w:bookmarkStart w:id="21" w:name="_Toc483345026"/>
      <w:r w:rsidRPr="00B8426C">
        <w:rPr>
          <w:rFonts w:cs="Arial"/>
          <w:sz w:val="24"/>
          <w:szCs w:val="24"/>
        </w:rPr>
        <w:t>Análise Econômica</w:t>
      </w:r>
      <w:bookmarkEnd w:id="21"/>
      <w:r w:rsidRPr="00B8426C">
        <w:rPr>
          <w:rFonts w:cs="Arial"/>
          <w:sz w:val="24"/>
          <w:szCs w:val="24"/>
        </w:rPr>
        <w:t xml:space="preserve"> </w:t>
      </w:r>
    </w:p>
    <w:p w:rsidR="00E3460B" w:rsidRPr="00B8426C" w:rsidRDefault="00E3460B" w:rsidP="007F3E4C">
      <w:pPr>
        <w:pStyle w:val="ListParagraph"/>
        <w:spacing w:before="120" w:after="120"/>
        <w:ind w:left="454"/>
        <w:contextualSpacing w:val="0"/>
        <w:jc w:val="both"/>
        <w:rPr>
          <w:rFonts w:ascii="Arial" w:hAnsi="Arial" w:cs="Arial"/>
          <w:szCs w:val="24"/>
        </w:rPr>
      </w:pPr>
    </w:p>
    <w:p w:rsidR="00B95B70" w:rsidRPr="00B8426C" w:rsidRDefault="00E3460B" w:rsidP="00963AE8">
      <w:pPr>
        <w:pStyle w:val="ListParagraph"/>
        <w:numPr>
          <w:ilvl w:val="1"/>
          <w:numId w:val="21"/>
        </w:numPr>
        <w:spacing w:before="120" w:after="120"/>
        <w:contextualSpacing w:val="0"/>
        <w:jc w:val="both"/>
        <w:rPr>
          <w:rFonts w:ascii="Arial" w:hAnsi="Arial" w:cs="Arial"/>
          <w:szCs w:val="24"/>
        </w:rPr>
      </w:pPr>
      <w:r w:rsidRPr="00B8426C">
        <w:rPr>
          <w:rFonts w:ascii="Arial" w:hAnsi="Arial" w:cs="Arial"/>
          <w:szCs w:val="24"/>
        </w:rPr>
        <w:t xml:space="preserve">A análise de viabilidade econômica consiste, então, em contrapor custos e benefícios </w:t>
      </w:r>
      <w:r w:rsidR="008E64D1" w:rsidRPr="00B8426C">
        <w:rPr>
          <w:rFonts w:ascii="Arial" w:hAnsi="Arial" w:cs="Arial"/>
          <w:szCs w:val="24"/>
        </w:rPr>
        <w:t>econômicos</w:t>
      </w:r>
      <w:r w:rsidRPr="00B8426C">
        <w:rPr>
          <w:rFonts w:ascii="Arial" w:hAnsi="Arial" w:cs="Arial"/>
          <w:szCs w:val="24"/>
        </w:rPr>
        <w:t xml:space="preserve">, </w:t>
      </w:r>
      <w:r w:rsidR="008E64D1" w:rsidRPr="00B8426C">
        <w:rPr>
          <w:rFonts w:ascii="Arial" w:hAnsi="Arial" w:cs="Arial"/>
          <w:szCs w:val="24"/>
        </w:rPr>
        <w:t>e obter o valor presente líquido e a taxa interna de retorna para o programa como um todo e para cada componente in</w:t>
      </w:r>
      <w:r w:rsidR="00CF4686" w:rsidRPr="00B8426C">
        <w:rPr>
          <w:rFonts w:ascii="Arial" w:hAnsi="Arial" w:cs="Arial"/>
          <w:szCs w:val="24"/>
        </w:rPr>
        <w:t xml:space="preserve">dividualmente. </w:t>
      </w:r>
      <w:r w:rsidR="00FB76A5" w:rsidRPr="00B8426C">
        <w:rPr>
          <w:rFonts w:ascii="Arial" w:hAnsi="Arial" w:cs="Arial"/>
          <w:szCs w:val="24"/>
        </w:rPr>
        <w:t>A tabela</w:t>
      </w:r>
      <w:r w:rsidR="001F25D2" w:rsidRPr="00B8426C">
        <w:rPr>
          <w:rFonts w:ascii="Arial" w:hAnsi="Arial" w:cs="Arial"/>
          <w:szCs w:val="24"/>
        </w:rPr>
        <w:t xml:space="preserve"> </w:t>
      </w:r>
      <w:r w:rsidR="00B95B70" w:rsidRPr="00B8426C">
        <w:rPr>
          <w:rFonts w:ascii="Arial" w:hAnsi="Arial" w:cs="Arial"/>
          <w:szCs w:val="24"/>
        </w:rPr>
        <w:t>4</w:t>
      </w:r>
      <w:r w:rsidR="00FB76A5" w:rsidRPr="00B8426C">
        <w:rPr>
          <w:rFonts w:ascii="Arial" w:hAnsi="Arial" w:cs="Arial"/>
          <w:szCs w:val="24"/>
        </w:rPr>
        <w:t xml:space="preserve"> sintetiza os resultados da análise para o programa</w:t>
      </w:r>
      <w:r w:rsidR="001F25D2" w:rsidRPr="00B8426C">
        <w:rPr>
          <w:rFonts w:ascii="Arial" w:hAnsi="Arial" w:cs="Arial"/>
          <w:szCs w:val="24"/>
        </w:rPr>
        <w:t>,</w:t>
      </w:r>
      <w:r w:rsidR="00FB76A5" w:rsidRPr="00B8426C">
        <w:rPr>
          <w:rFonts w:ascii="Arial" w:hAnsi="Arial" w:cs="Arial"/>
          <w:szCs w:val="24"/>
        </w:rPr>
        <w:t xml:space="preserve"> as tabelas</w:t>
      </w:r>
      <w:r w:rsidR="001F25D2" w:rsidRPr="00B8426C">
        <w:rPr>
          <w:rFonts w:ascii="Arial" w:hAnsi="Arial" w:cs="Arial"/>
          <w:szCs w:val="24"/>
        </w:rPr>
        <w:t xml:space="preserve"> </w:t>
      </w:r>
      <w:r w:rsidR="00B95B70" w:rsidRPr="00B8426C">
        <w:rPr>
          <w:rFonts w:ascii="Arial" w:hAnsi="Arial" w:cs="Arial"/>
          <w:szCs w:val="24"/>
        </w:rPr>
        <w:t>5</w:t>
      </w:r>
      <w:r w:rsidR="00FB76A5" w:rsidRPr="00B8426C">
        <w:rPr>
          <w:rFonts w:ascii="Arial" w:hAnsi="Arial" w:cs="Arial"/>
          <w:szCs w:val="24"/>
        </w:rPr>
        <w:t>, 6</w:t>
      </w:r>
      <w:r w:rsidR="001F25D2" w:rsidRPr="00B8426C">
        <w:rPr>
          <w:rFonts w:ascii="Arial" w:hAnsi="Arial" w:cs="Arial"/>
          <w:szCs w:val="24"/>
        </w:rPr>
        <w:t xml:space="preserve"> e </w:t>
      </w:r>
      <w:r w:rsidR="00FB76A5" w:rsidRPr="00B8426C">
        <w:rPr>
          <w:rFonts w:ascii="Arial" w:hAnsi="Arial" w:cs="Arial"/>
          <w:szCs w:val="24"/>
        </w:rPr>
        <w:t>7</w:t>
      </w:r>
      <w:r w:rsidR="001F25D2" w:rsidRPr="00B8426C">
        <w:rPr>
          <w:rFonts w:ascii="Arial" w:hAnsi="Arial" w:cs="Arial"/>
          <w:szCs w:val="24"/>
        </w:rPr>
        <w:t xml:space="preserve"> apresentam os resultados por Componentes</w:t>
      </w:r>
      <w:r w:rsidR="0049665F" w:rsidRPr="00B8426C">
        <w:rPr>
          <w:rFonts w:ascii="Arial" w:hAnsi="Arial" w:cs="Arial"/>
          <w:szCs w:val="24"/>
        </w:rPr>
        <w:t xml:space="preserve"> com cálculos detalhados de benefícios</w:t>
      </w:r>
      <w:r w:rsidR="00AE394E" w:rsidRPr="00B8426C">
        <w:rPr>
          <w:rFonts w:ascii="Arial" w:hAnsi="Arial" w:cs="Arial"/>
          <w:szCs w:val="24"/>
        </w:rPr>
        <w:t xml:space="preserve"> e custos</w:t>
      </w:r>
      <w:r w:rsidR="001F25D2" w:rsidRPr="00B8426C">
        <w:rPr>
          <w:rFonts w:ascii="Arial" w:hAnsi="Arial" w:cs="Arial"/>
          <w:szCs w:val="24"/>
        </w:rPr>
        <w:t xml:space="preserve">, enquanto que a tabela </w:t>
      </w:r>
      <w:r w:rsidR="00FB76A5" w:rsidRPr="00B8426C">
        <w:rPr>
          <w:rFonts w:ascii="Arial" w:hAnsi="Arial" w:cs="Arial"/>
          <w:szCs w:val="24"/>
        </w:rPr>
        <w:t>8</w:t>
      </w:r>
      <w:r w:rsidR="001F25D2" w:rsidRPr="00B8426C">
        <w:rPr>
          <w:rFonts w:ascii="Arial" w:hAnsi="Arial" w:cs="Arial"/>
          <w:szCs w:val="24"/>
        </w:rPr>
        <w:t xml:space="preserve"> resume a análise total, </w:t>
      </w:r>
      <w:r w:rsidR="0049665F" w:rsidRPr="00B8426C">
        <w:rPr>
          <w:rFonts w:ascii="Arial" w:hAnsi="Arial" w:cs="Arial"/>
          <w:szCs w:val="24"/>
        </w:rPr>
        <w:t>em todos os casos trata-se d</w:t>
      </w:r>
      <w:r w:rsidR="001F25D2" w:rsidRPr="00B8426C">
        <w:rPr>
          <w:rFonts w:ascii="Arial" w:hAnsi="Arial" w:cs="Arial"/>
          <w:szCs w:val="24"/>
        </w:rPr>
        <w:t xml:space="preserve">o cenário-base </w:t>
      </w:r>
      <w:r w:rsidR="00AE394E" w:rsidRPr="00B8426C">
        <w:rPr>
          <w:rFonts w:ascii="Arial" w:hAnsi="Arial" w:cs="Arial"/>
          <w:szCs w:val="24"/>
        </w:rPr>
        <w:t>conforme</w:t>
      </w:r>
      <w:r w:rsidR="001F25D2" w:rsidRPr="00B8426C">
        <w:rPr>
          <w:rFonts w:ascii="Arial" w:hAnsi="Arial" w:cs="Arial"/>
          <w:szCs w:val="24"/>
        </w:rPr>
        <w:t xml:space="preserve"> hipóteses e metodologi</w:t>
      </w:r>
      <w:r w:rsidR="00AE394E" w:rsidRPr="00B8426C">
        <w:rPr>
          <w:rFonts w:ascii="Arial" w:hAnsi="Arial" w:cs="Arial"/>
          <w:szCs w:val="24"/>
        </w:rPr>
        <w:t>a</w:t>
      </w:r>
      <w:r w:rsidR="001F25D2" w:rsidRPr="00B8426C">
        <w:rPr>
          <w:rFonts w:ascii="Arial" w:hAnsi="Arial" w:cs="Arial"/>
          <w:szCs w:val="24"/>
        </w:rPr>
        <w:t>.</w:t>
      </w:r>
    </w:p>
    <w:p w:rsidR="009731DC" w:rsidRPr="00B8426C" w:rsidRDefault="004A7D80" w:rsidP="009731DC">
      <w:pPr>
        <w:pStyle w:val="ListParagraph"/>
        <w:numPr>
          <w:ilvl w:val="1"/>
          <w:numId w:val="21"/>
        </w:numPr>
        <w:spacing w:before="120" w:after="120"/>
        <w:contextualSpacing w:val="0"/>
        <w:jc w:val="both"/>
        <w:rPr>
          <w:rFonts w:ascii="Arial" w:hAnsi="Arial" w:cs="Arial"/>
          <w:szCs w:val="24"/>
        </w:rPr>
      </w:pPr>
      <w:r w:rsidRPr="00B8426C">
        <w:rPr>
          <w:rFonts w:ascii="Arial" w:hAnsi="Arial" w:cs="Arial"/>
          <w:szCs w:val="24"/>
        </w:rPr>
        <w:t>Pode-se con</w:t>
      </w:r>
      <w:r w:rsidR="00B95B70" w:rsidRPr="00B8426C">
        <w:rPr>
          <w:rFonts w:ascii="Arial" w:hAnsi="Arial" w:cs="Arial"/>
          <w:szCs w:val="24"/>
        </w:rPr>
        <w:t>s</w:t>
      </w:r>
      <w:r w:rsidRPr="00B8426C">
        <w:rPr>
          <w:rFonts w:ascii="Arial" w:hAnsi="Arial" w:cs="Arial"/>
          <w:szCs w:val="24"/>
        </w:rPr>
        <w:t xml:space="preserve">tatar que, sob as hipóteses do cenário-base, </w:t>
      </w:r>
      <w:r w:rsidR="00AE394E" w:rsidRPr="00B8426C">
        <w:rPr>
          <w:rFonts w:ascii="Arial" w:hAnsi="Arial" w:cs="Arial"/>
          <w:szCs w:val="24"/>
        </w:rPr>
        <w:t>o Programa Inovar para Crescer apresenta</w:t>
      </w:r>
      <w:r w:rsidRPr="00B8426C">
        <w:rPr>
          <w:rFonts w:ascii="Arial" w:hAnsi="Arial" w:cs="Arial"/>
          <w:szCs w:val="24"/>
        </w:rPr>
        <w:t xml:space="preserve"> Valor Presente Líquido (VPL) </w:t>
      </w:r>
      <w:r w:rsidR="0032097D" w:rsidRPr="00B8426C">
        <w:rPr>
          <w:rFonts w:ascii="Arial" w:hAnsi="Arial" w:cs="Arial"/>
          <w:szCs w:val="24"/>
        </w:rPr>
        <w:t>de</w:t>
      </w:r>
      <w:r w:rsidR="00A3771A" w:rsidRPr="00B8426C">
        <w:rPr>
          <w:rFonts w:ascii="Arial" w:hAnsi="Arial" w:cs="Arial"/>
          <w:szCs w:val="24"/>
        </w:rPr>
        <w:t xml:space="preserve"> USD 3</w:t>
      </w:r>
      <w:r w:rsidR="00AE394E" w:rsidRPr="00B8426C">
        <w:rPr>
          <w:rFonts w:ascii="Arial" w:hAnsi="Arial" w:cs="Arial"/>
          <w:szCs w:val="24"/>
        </w:rPr>
        <w:t>40</w:t>
      </w:r>
      <w:r w:rsidR="00A3771A" w:rsidRPr="00B8426C">
        <w:rPr>
          <w:rFonts w:ascii="Arial" w:hAnsi="Arial" w:cs="Arial"/>
          <w:szCs w:val="24"/>
        </w:rPr>
        <w:t>,</w:t>
      </w:r>
      <w:r w:rsidR="00AE394E" w:rsidRPr="00B8426C">
        <w:rPr>
          <w:rFonts w:ascii="Arial" w:hAnsi="Arial" w:cs="Arial"/>
          <w:szCs w:val="24"/>
        </w:rPr>
        <w:t>23</w:t>
      </w:r>
      <w:r w:rsidR="00A3771A" w:rsidRPr="00B8426C">
        <w:rPr>
          <w:rFonts w:ascii="Arial" w:hAnsi="Arial" w:cs="Arial"/>
          <w:szCs w:val="24"/>
        </w:rPr>
        <w:t xml:space="preserve"> mi</w:t>
      </w:r>
      <w:r w:rsidR="00F05CB5" w:rsidRPr="00B8426C">
        <w:rPr>
          <w:rFonts w:ascii="Arial" w:hAnsi="Arial" w:cs="Arial"/>
          <w:szCs w:val="24"/>
        </w:rPr>
        <w:t xml:space="preserve"> e Taxa Interna</w:t>
      </w:r>
      <w:r w:rsidRPr="00B8426C">
        <w:rPr>
          <w:rFonts w:ascii="Arial" w:hAnsi="Arial" w:cs="Arial"/>
          <w:szCs w:val="24"/>
        </w:rPr>
        <w:t xml:space="preserve"> de Retorno (TIR) </w:t>
      </w:r>
      <w:r w:rsidR="00A3771A" w:rsidRPr="00B8426C">
        <w:rPr>
          <w:rFonts w:ascii="Arial" w:hAnsi="Arial" w:cs="Arial"/>
          <w:szCs w:val="24"/>
        </w:rPr>
        <w:t xml:space="preserve">de </w:t>
      </w:r>
      <w:r w:rsidR="00AE394E" w:rsidRPr="00B8426C">
        <w:rPr>
          <w:rFonts w:ascii="Arial" w:hAnsi="Arial" w:cs="Arial"/>
          <w:szCs w:val="24"/>
        </w:rPr>
        <w:t>24,3</w:t>
      </w:r>
      <w:r w:rsidR="00F05CB5" w:rsidRPr="00B8426C">
        <w:rPr>
          <w:rFonts w:ascii="Arial" w:hAnsi="Arial" w:cs="Arial"/>
          <w:szCs w:val="24"/>
        </w:rPr>
        <w:t xml:space="preserve">%, </w:t>
      </w:r>
      <w:r w:rsidR="00AE394E" w:rsidRPr="00B8426C">
        <w:rPr>
          <w:rFonts w:ascii="Arial" w:hAnsi="Arial" w:cs="Arial"/>
          <w:szCs w:val="24"/>
        </w:rPr>
        <w:t xml:space="preserve">portanto </w:t>
      </w:r>
      <w:r w:rsidR="00F05CB5" w:rsidRPr="00B8426C">
        <w:rPr>
          <w:rFonts w:ascii="Arial" w:hAnsi="Arial" w:cs="Arial"/>
          <w:szCs w:val="24"/>
        </w:rPr>
        <w:t xml:space="preserve">acima de seu custo de oportunidade, a </w:t>
      </w:r>
      <w:r w:rsidR="004E1A5D" w:rsidRPr="00B8426C">
        <w:rPr>
          <w:rFonts w:ascii="Arial" w:hAnsi="Arial" w:cs="Arial"/>
          <w:szCs w:val="24"/>
        </w:rPr>
        <w:t xml:space="preserve">taxa de desconto </w:t>
      </w:r>
      <w:r w:rsidR="00F05CB5" w:rsidRPr="00B8426C">
        <w:rPr>
          <w:rFonts w:ascii="Arial" w:hAnsi="Arial" w:cs="Arial"/>
          <w:szCs w:val="24"/>
        </w:rPr>
        <w:t xml:space="preserve">social </w:t>
      </w:r>
      <w:r w:rsidR="004E1A5D" w:rsidRPr="00B8426C">
        <w:rPr>
          <w:rFonts w:ascii="Arial" w:hAnsi="Arial" w:cs="Arial"/>
          <w:szCs w:val="24"/>
        </w:rPr>
        <w:t>de 12%, indicando a v</w:t>
      </w:r>
      <w:r w:rsidR="00F05CB5" w:rsidRPr="00B8426C">
        <w:rPr>
          <w:rFonts w:ascii="Arial" w:hAnsi="Arial" w:cs="Arial"/>
          <w:szCs w:val="24"/>
        </w:rPr>
        <w:t xml:space="preserve">iabilidade econômica do </w:t>
      </w:r>
      <w:r w:rsidR="00AE394E" w:rsidRPr="00B8426C">
        <w:rPr>
          <w:rFonts w:ascii="Arial" w:hAnsi="Arial" w:cs="Arial"/>
          <w:szCs w:val="24"/>
        </w:rPr>
        <w:t>programa</w:t>
      </w:r>
      <w:r w:rsidR="00F05CB5" w:rsidRPr="00B8426C">
        <w:rPr>
          <w:rFonts w:ascii="Arial" w:hAnsi="Arial" w:cs="Arial"/>
          <w:szCs w:val="24"/>
        </w:rPr>
        <w:t xml:space="preserve"> como um todo.</w:t>
      </w:r>
    </w:p>
    <w:p w:rsidR="009A5519" w:rsidRPr="00B8426C" w:rsidRDefault="009A5519" w:rsidP="009A5519">
      <w:pPr>
        <w:spacing w:before="120" w:after="120"/>
        <w:jc w:val="both"/>
        <w:rPr>
          <w:rFonts w:ascii="Arial" w:hAnsi="Arial" w:cs="Arial"/>
          <w:szCs w:val="24"/>
        </w:rPr>
      </w:pPr>
    </w:p>
    <w:p w:rsidR="002C4CA5" w:rsidRPr="00B8426C" w:rsidRDefault="002C4CA5" w:rsidP="002C4CA5">
      <w:pPr>
        <w:spacing w:before="120" w:after="120"/>
        <w:jc w:val="both"/>
        <w:rPr>
          <w:rFonts w:ascii="Arial" w:hAnsi="Arial" w:cs="Arial"/>
          <w:szCs w:val="24"/>
        </w:rPr>
      </w:pPr>
      <w:r w:rsidRPr="00B8426C">
        <w:rPr>
          <w:rFonts w:ascii="Arial" w:hAnsi="Arial" w:cs="Arial"/>
          <w:b/>
          <w:szCs w:val="24"/>
        </w:rPr>
        <w:t>Tabela 4</w:t>
      </w:r>
      <w:r w:rsidRPr="00B8426C">
        <w:rPr>
          <w:rFonts w:ascii="Arial" w:hAnsi="Arial" w:cs="Arial"/>
          <w:szCs w:val="24"/>
        </w:rPr>
        <w:t>: Síntese dos resultados do programa e por componente</w:t>
      </w:r>
      <w:r w:rsidR="00BF6D88" w:rsidRPr="00B8426C">
        <w:rPr>
          <w:rFonts w:ascii="Arial" w:hAnsi="Arial" w:cs="Arial"/>
          <w:szCs w:val="24"/>
        </w:rPr>
        <w:t xml:space="preserve"> – cenário base</w:t>
      </w:r>
    </w:p>
    <w:p w:rsidR="00AE394E" w:rsidRPr="00B8426C" w:rsidRDefault="00AE394E" w:rsidP="002C4CA5">
      <w:pPr>
        <w:spacing w:before="120" w:after="120"/>
        <w:jc w:val="both"/>
        <w:rPr>
          <w:rFonts w:ascii="Arial" w:hAnsi="Arial" w:cs="Arial"/>
          <w:szCs w:val="24"/>
        </w:rPr>
      </w:pPr>
      <w:r w:rsidRPr="00B8426C">
        <w:rPr>
          <w:rFonts w:ascii="Arial" w:hAnsi="Arial" w:cs="Arial"/>
          <w:noProof/>
          <w:lang w:val="en-US"/>
        </w:rPr>
        <w:drawing>
          <wp:inline distT="0" distB="0" distL="0" distR="0">
            <wp:extent cx="4842345" cy="10343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43272" cy="1034508"/>
                    </a:xfrm>
                    <a:prstGeom prst="rect">
                      <a:avLst/>
                    </a:prstGeom>
                    <a:noFill/>
                    <a:ln>
                      <a:noFill/>
                    </a:ln>
                  </pic:spPr>
                </pic:pic>
              </a:graphicData>
            </a:graphic>
          </wp:inline>
        </w:drawing>
      </w:r>
    </w:p>
    <w:p w:rsidR="00AE394E" w:rsidRPr="00B8426C" w:rsidRDefault="00AE394E" w:rsidP="002C4CA5">
      <w:pPr>
        <w:spacing w:before="120" w:after="120"/>
        <w:jc w:val="both"/>
        <w:rPr>
          <w:rFonts w:ascii="Arial" w:hAnsi="Arial" w:cs="Arial"/>
          <w:szCs w:val="24"/>
        </w:rPr>
      </w:pPr>
    </w:p>
    <w:p w:rsidR="002C4CA5" w:rsidRPr="00B8426C" w:rsidRDefault="002C4CA5" w:rsidP="002C4CA5">
      <w:pPr>
        <w:spacing w:before="120" w:after="120"/>
        <w:jc w:val="both"/>
        <w:rPr>
          <w:rFonts w:ascii="Arial" w:hAnsi="Arial" w:cs="Arial"/>
          <w:szCs w:val="24"/>
        </w:rPr>
      </w:pPr>
    </w:p>
    <w:p w:rsidR="002C4CA5" w:rsidRPr="00B8426C" w:rsidRDefault="002C4CA5"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8B0DDE" w:rsidRPr="00B8426C" w:rsidRDefault="008B0DDE" w:rsidP="002C4CA5">
      <w:pPr>
        <w:spacing w:before="120" w:after="120"/>
        <w:jc w:val="both"/>
        <w:rPr>
          <w:rFonts w:ascii="Arial" w:hAnsi="Arial" w:cs="Arial"/>
          <w:szCs w:val="24"/>
        </w:rPr>
      </w:pPr>
    </w:p>
    <w:p w:rsidR="006E26E9" w:rsidRPr="00B8426C" w:rsidRDefault="006E26E9" w:rsidP="002C4CA5">
      <w:pPr>
        <w:spacing w:before="120" w:after="120"/>
        <w:jc w:val="both"/>
        <w:rPr>
          <w:rFonts w:ascii="Arial" w:hAnsi="Arial" w:cs="Arial"/>
          <w:szCs w:val="24"/>
        </w:rPr>
      </w:pPr>
    </w:p>
    <w:p w:rsidR="006E26E9" w:rsidRPr="00B8426C" w:rsidRDefault="006E26E9" w:rsidP="002C4CA5">
      <w:pPr>
        <w:spacing w:before="120" w:after="120"/>
        <w:jc w:val="both"/>
        <w:rPr>
          <w:rFonts w:ascii="Arial" w:hAnsi="Arial" w:cs="Arial"/>
          <w:szCs w:val="24"/>
        </w:rPr>
      </w:pPr>
    </w:p>
    <w:p w:rsidR="008B0DDE" w:rsidRPr="00B8426C" w:rsidRDefault="00DC4E61" w:rsidP="002C4CA5">
      <w:pPr>
        <w:spacing w:before="120" w:after="120"/>
        <w:jc w:val="both"/>
        <w:rPr>
          <w:rFonts w:ascii="Arial" w:hAnsi="Arial" w:cs="Arial"/>
          <w:szCs w:val="24"/>
        </w:rPr>
      </w:pPr>
      <w:r w:rsidRPr="00B8426C">
        <w:rPr>
          <w:rFonts w:ascii="Arial" w:hAnsi="Arial" w:cs="Arial"/>
          <w:szCs w:val="24"/>
        </w:rPr>
        <w:t>Tabela 5: Componente 1 em cálculos detalhados</w:t>
      </w:r>
    </w:p>
    <w:p w:rsidR="008B0DDE" w:rsidRPr="00B8426C" w:rsidRDefault="00DC4E61" w:rsidP="002C4CA5">
      <w:pPr>
        <w:spacing w:before="120" w:after="120"/>
        <w:jc w:val="both"/>
        <w:rPr>
          <w:rFonts w:ascii="Arial" w:hAnsi="Arial" w:cs="Arial"/>
          <w:szCs w:val="24"/>
        </w:rPr>
      </w:pPr>
      <w:r w:rsidRPr="00B8426C">
        <w:rPr>
          <w:rFonts w:ascii="Arial" w:hAnsi="Arial" w:cs="Arial"/>
          <w:noProof/>
          <w:lang w:val="en-US"/>
        </w:rPr>
        <w:drawing>
          <wp:inline distT="0" distB="0" distL="0" distR="0" wp14:anchorId="710F5816" wp14:editId="74B3380E">
            <wp:extent cx="6189345" cy="8328908"/>
            <wp:effectExtent l="0" t="0" r="190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89345" cy="8328908"/>
                    </a:xfrm>
                    <a:prstGeom prst="rect">
                      <a:avLst/>
                    </a:prstGeom>
                    <a:noFill/>
                    <a:ln>
                      <a:noFill/>
                    </a:ln>
                  </pic:spPr>
                </pic:pic>
              </a:graphicData>
            </a:graphic>
          </wp:inline>
        </w:drawing>
      </w:r>
    </w:p>
    <w:p w:rsidR="009731DC" w:rsidRPr="00B8426C" w:rsidRDefault="009731DC" w:rsidP="009731DC">
      <w:pPr>
        <w:spacing w:before="120" w:after="120"/>
        <w:jc w:val="both"/>
        <w:rPr>
          <w:rFonts w:ascii="Arial" w:hAnsi="Arial" w:cs="Arial"/>
          <w:szCs w:val="24"/>
        </w:rPr>
      </w:pPr>
    </w:p>
    <w:p w:rsidR="00D619E3" w:rsidRPr="00B8426C" w:rsidRDefault="00D619E3">
      <w:pPr>
        <w:spacing w:after="200" w:line="276" w:lineRule="auto"/>
        <w:rPr>
          <w:rFonts w:ascii="Arial" w:hAnsi="Arial" w:cs="Arial"/>
          <w:szCs w:val="24"/>
        </w:rPr>
        <w:sectPr w:rsidR="00D619E3" w:rsidRPr="00B8426C" w:rsidSect="00F82E04">
          <w:footerReference w:type="default" r:id="rId25"/>
          <w:pgSz w:w="11907" w:h="16839" w:code="9"/>
          <w:pgMar w:top="1440" w:right="1080" w:bottom="1440" w:left="1080" w:header="720" w:footer="720" w:gutter="0"/>
          <w:pgNumType w:start="1"/>
          <w:cols w:space="720"/>
          <w:titlePg/>
          <w:docGrid w:linePitch="360"/>
        </w:sectPr>
      </w:pPr>
    </w:p>
    <w:p w:rsidR="008B0DDE" w:rsidRPr="00B8426C" w:rsidRDefault="00DC4E61">
      <w:pPr>
        <w:spacing w:after="200" w:line="276" w:lineRule="auto"/>
        <w:rPr>
          <w:rFonts w:ascii="Arial" w:hAnsi="Arial" w:cs="Arial"/>
        </w:rPr>
      </w:pPr>
      <w:r w:rsidRPr="00B8426C">
        <w:rPr>
          <w:rFonts w:ascii="Arial" w:hAnsi="Arial" w:cs="Arial"/>
          <w:noProof/>
          <w:lang w:val="en-US"/>
        </w:rPr>
        <w:drawing>
          <wp:inline distT="0" distB="0" distL="0" distR="0" wp14:anchorId="6B79BE9C" wp14:editId="38926108">
            <wp:extent cx="8245503" cy="2834482"/>
            <wp:effectExtent l="0" t="0" r="3175" b="444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62379" cy="2840283"/>
                    </a:xfrm>
                    <a:prstGeom prst="rect">
                      <a:avLst/>
                    </a:prstGeom>
                    <a:noFill/>
                    <a:ln>
                      <a:noFill/>
                    </a:ln>
                  </pic:spPr>
                </pic:pic>
              </a:graphicData>
            </a:graphic>
          </wp:inline>
        </w:drawing>
      </w:r>
    </w:p>
    <w:p w:rsidR="00DC4E61" w:rsidRPr="00B8426C" w:rsidRDefault="00DC4E61">
      <w:pPr>
        <w:spacing w:after="200" w:line="276" w:lineRule="auto"/>
        <w:rPr>
          <w:rFonts w:ascii="Arial" w:hAnsi="Arial" w:cs="Arial"/>
        </w:rPr>
      </w:pPr>
    </w:p>
    <w:p w:rsidR="008B0DDE" w:rsidRPr="00B8426C" w:rsidRDefault="00DC4E61">
      <w:pPr>
        <w:spacing w:after="200" w:line="276" w:lineRule="auto"/>
        <w:rPr>
          <w:rFonts w:ascii="Arial" w:hAnsi="Arial" w:cs="Arial"/>
        </w:rPr>
      </w:pPr>
      <w:r w:rsidRPr="00B8426C">
        <w:rPr>
          <w:rFonts w:ascii="Arial" w:hAnsi="Arial" w:cs="Arial"/>
          <w:noProof/>
          <w:lang w:val="en-US"/>
        </w:rPr>
        <w:drawing>
          <wp:inline distT="0" distB="0" distL="0" distR="0" wp14:anchorId="589BC5BD" wp14:editId="6AFDBC99">
            <wp:extent cx="8863965" cy="2615647"/>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63965" cy="2615647"/>
                    </a:xfrm>
                    <a:prstGeom prst="rect">
                      <a:avLst/>
                    </a:prstGeom>
                    <a:noFill/>
                    <a:ln>
                      <a:noFill/>
                    </a:ln>
                  </pic:spPr>
                </pic:pic>
              </a:graphicData>
            </a:graphic>
          </wp:inline>
        </w:drawing>
      </w:r>
    </w:p>
    <w:p w:rsidR="008B0DDE" w:rsidRPr="00B8426C" w:rsidRDefault="008B0DDE">
      <w:pPr>
        <w:spacing w:after="200" w:line="276" w:lineRule="auto"/>
        <w:rPr>
          <w:rFonts w:ascii="Arial" w:hAnsi="Arial" w:cs="Arial"/>
          <w:noProof/>
          <w:lang w:eastAsia="pt-BR"/>
        </w:rPr>
      </w:pPr>
    </w:p>
    <w:p w:rsidR="00383C1E" w:rsidRPr="00B8426C" w:rsidRDefault="00383C1E">
      <w:pPr>
        <w:spacing w:after="200" w:line="276" w:lineRule="auto"/>
        <w:rPr>
          <w:rFonts w:ascii="Arial" w:hAnsi="Arial" w:cs="Arial"/>
          <w:noProof/>
          <w:lang w:eastAsia="pt-BR"/>
        </w:rPr>
      </w:pPr>
    </w:p>
    <w:p w:rsidR="00383C1E" w:rsidRPr="00B8426C" w:rsidRDefault="00383C1E">
      <w:pPr>
        <w:spacing w:after="200" w:line="276" w:lineRule="auto"/>
        <w:rPr>
          <w:rFonts w:ascii="Arial" w:hAnsi="Arial" w:cs="Arial"/>
          <w:noProof/>
          <w:lang w:eastAsia="pt-BR"/>
        </w:rPr>
      </w:pPr>
      <w:r w:rsidRPr="00B8426C">
        <w:rPr>
          <w:rFonts w:ascii="Arial" w:hAnsi="Arial" w:cs="Arial"/>
          <w:noProof/>
          <w:lang w:val="en-US"/>
        </w:rPr>
        <w:drawing>
          <wp:inline distT="0" distB="0" distL="0" distR="0" wp14:anchorId="19520898" wp14:editId="7B20616B">
            <wp:extent cx="8863965" cy="3428678"/>
            <wp:effectExtent l="0" t="0" r="0"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63965" cy="3428678"/>
                    </a:xfrm>
                    <a:prstGeom prst="rect">
                      <a:avLst/>
                    </a:prstGeom>
                    <a:noFill/>
                    <a:ln>
                      <a:noFill/>
                    </a:ln>
                  </pic:spPr>
                </pic:pic>
              </a:graphicData>
            </a:graphic>
          </wp:inline>
        </w:drawing>
      </w:r>
    </w:p>
    <w:p w:rsidR="000B1028" w:rsidRPr="00B8426C" w:rsidRDefault="000B1028" w:rsidP="009731DC">
      <w:pPr>
        <w:spacing w:before="120" w:after="120"/>
        <w:jc w:val="both"/>
        <w:rPr>
          <w:rFonts w:ascii="Arial" w:hAnsi="Arial" w:cs="Arial"/>
          <w:szCs w:val="24"/>
        </w:rPr>
      </w:pPr>
    </w:p>
    <w:p w:rsidR="00002E6C" w:rsidRPr="00B8426C" w:rsidRDefault="00002E6C" w:rsidP="009731DC">
      <w:pPr>
        <w:spacing w:before="120" w:after="120"/>
        <w:jc w:val="both"/>
        <w:rPr>
          <w:rFonts w:ascii="Arial" w:hAnsi="Arial" w:cs="Arial"/>
          <w:szCs w:val="24"/>
        </w:rPr>
      </w:pPr>
    </w:p>
    <w:p w:rsidR="009731DC" w:rsidRPr="00B8426C" w:rsidRDefault="009731DC" w:rsidP="009731DC">
      <w:pPr>
        <w:spacing w:before="120" w:after="120"/>
        <w:jc w:val="both"/>
        <w:rPr>
          <w:rFonts w:ascii="Arial" w:hAnsi="Arial" w:cs="Arial"/>
          <w:szCs w:val="24"/>
        </w:rPr>
      </w:pPr>
    </w:p>
    <w:p w:rsidR="00D619E3" w:rsidRPr="00B8426C" w:rsidRDefault="00D619E3" w:rsidP="009731DC">
      <w:pPr>
        <w:spacing w:before="120" w:after="120"/>
        <w:jc w:val="both"/>
        <w:rPr>
          <w:rFonts w:ascii="Arial" w:hAnsi="Arial" w:cs="Arial"/>
          <w:szCs w:val="24"/>
        </w:rPr>
        <w:sectPr w:rsidR="00D619E3" w:rsidRPr="00B8426C" w:rsidSect="00A24943">
          <w:footerReference w:type="default" r:id="rId29"/>
          <w:pgSz w:w="16839" w:h="11907" w:orient="landscape" w:code="9"/>
          <w:pgMar w:top="1080" w:right="1440" w:bottom="1080" w:left="1440" w:header="720" w:footer="720" w:gutter="0"/>
          <w:cols w:space="720"/>
          <w:titlePg/>
          <w:docGrid w:linePitch="360"/>
        </w:sectPr>
      </w:pPr>
    </w:p>
    <w:p w:rsidR="00002E6C" w:rsidRPr="00B8426C" w:rsidRDefault="00002E6C" w:rsidP="00002E6C">
      <w:pPr>
        <w:pStyle w:val="ListParagraph"/>
        <w:keepNext/>
        <w:numPr>
          <w:ilvl w:val="0"/>
          <w:numId w:val="4"/>
        </w:numPr>
        <w:contextualSpacing w:val="0"/>
        <w:outlineLvl w:val="0"/>
        <w:rPr>
          <w:rFonts w:ascii="Arial" w:hAnsi="Arial" w:cs="Arial"/>
          <w:b/>
          <w:vanish/>
          <w:color w:val="FFFFFF" w:themeColor="background1"/>
          <w:kern w:val="28"/>
          <w:sz w:val="16"/>
          <w:szCs w:val="16"/>
        </w:rPr>
      </w:pPr>
      <w:bookmarkStart w:id="22" w:name="_Toc481296088"/>
      <w:bookmarkStart w:id="23" w:name="_Toc481299593"/>
      <w:bookmarkStart w:id="24" w:name="_Toc481581184"/>
      <w:bookmarkStart w:id="25" w:name="_Toc481583778"/>
      <w:bookmarkStart w:id="26" w:name="_Toc481585888"/>
      <w:bookmarkStart w:id="27" w:name="_Toc483330916"/>
      <w:bookmarkStart w:id="28" w:name="_Toc483340667"/>
      <w:bookmarkStart w:id="29" w:name="_Toc483345027"/>
      <w:bookmarkEnd w:id="22"/>
      <w:bookmarkEnd w:id="23"/>
      <w:bookmarkEnd w:id="24"/>
      <w:bookmarkEnd w:id="25"/>
      <w:bookmarkEnd w:id="26"/>
      <w:bookmarkEnd w:id="27"/>
      <w:bookmarkEnd w:id="28"/>
      <w:bookmarkEnd w:id="29"/>
    </w:p>
    <w:p w:rsidR="00002E6C" w:rsidRPr="00B8426C" w:rsidRDefault="00002E6C" w:rsidP="00002E6C">
      <w:pPr>
        <w:pStyle w:val="ListParagraph"/>
        <w:keepNext/>
        <w:numPr>
          <w:ilvl w:val="0"/>
          <w:numId w:val="4"/>
        </w:numPr>
        <w:contextualSpacing w:val="0"/>
        <w:outlineLvl w:val="0"/>
        <w:rPr>
          <w:rFonts w:ascii="Arial" w:hAnsi="Arial" w:cs="Arial"/>
          <w:b/>
          <w:vanish/>
          <w:color w:val="FFFFFF" w:themeColor="background1"/>
          <w:kern w:val="28"/>
          <w:sz w:val="16"/>
          <w:szCs w:val="16"/>
        </w:rPr>
      </w:pPr>
      <w:bookmarkStart w:id="30" w:name="_Toc483340668"/>
      <w:bookmarkStart w:id="31" w:name="_Toc483345028"/>
      <w:bookmarkEnd w:id="30"/>
      <w:bookmarkEnd w:id="31"/>
    </w:p>
    <w:p w:rsidR="00002E6C" w:rsidRPr="00B8426C" w:rsidRDefault="00002E6C" w:rsidP="00002E6C">
      <w:pPr>
        <w:pStyle w:val="ListParagraph"/>
        <w:keepNext/>
        <w:numPr>
          <w:ilvl w:val="0"/>
          <w:numId w:val="4"/>
        </w:numPr>
        <w:contextualSpacing w:val="0"/>
        <w:outlineLvl w:val="0"/>
        <w:rPr>
          <w:rFonts w:ascii="Arial" w:hAnsi="Arial" w:cs="Arial"/>
          <w:b/>
          <w:vanish/>
          <w:color w:val="FFFFFF" w:themeColor="background1"/>
          <w:kern w:val="28"/>
          <w:sz w:val="16"/>
          <w:szCs w:val="16"/>
        </w:rPr>
      </w:pPr>
      <w:bookmarkStart w:id="32" w:name="_Toc483340669"/>
      <w:bookmarkStart w:id="33" w:name="_Toc483345029"/>
      <w:bookmarkEnd w:id="32"/>
      <w:bookmarkEnd w:id="33"/>
    </w:p>
    <w:p w:rsidR="00002E6C" w:rsidRPr="00B8426C" w:rsidRDefault="00002E6C" w:rsidP="00002E6C">
      <w:pPr>
        <w:pStyle w:val="ListParagraph"/>
        <w:keepNext/>
        <w:numPr>
          <w:ilvl w:val="0"/>
          <w:numId w:val="4"/>
        </w:numPr>
        <w:contextualSpacing w:val="0"/>
        <w:outlineLvl w:val="0"/>
        <w:rPr>
          <w:rFonts w:ascii="Arial" w:hAnsi="Arial" w:cs="Arial"/>
          <w:b/>
          <w:vanish/>
          <w:color w:val="FFFFFF" w:themeColor="background1"/>
          <w:kern w:val="28"/>
          <w:sz w:val="16"/>
          <w:szCs w:val="16"/>
        </w:rPr>
      </w:pPr>
      <w:bookmarkStart w:id="34" w:name="_Toc483340670"/>
      <w:bookmarkStart w:id="35" w:name="_Toc483345030"/>
      <w:bookmarkEnd w:id="34"/>
      <w:bookmarkEnd w:id="35"/>
    </w:p>
    <w:p w:rsidR="00002E6C" w:rsidRPr="00B8426C" w:rsidRDefault="00002E6C" w:rsidP="00002E6C">
      <w:pPr>
        <w:pStyle w:val="ListParagraph"/>
        <w:keepNext/>
        <w:numPr>
          <w:ilvl w:val="0"/>
          <w:numId w:val="4"/>
        </w:numPr>
        <w:contextualSpacing w:val="0"/>
        <w:outlineLvl w:val="0"/>
        <w:rPr>
          <w:rFonts w:ascii="Arial" w:hAnsi="Arial" w:cs="Arial"/>
          <w:b/>
          <w:vanish/>
          <w:color w:val="FFFFFF" w:themeColor="background1"/>
          <w:kern w:val="28"/>
          <w:sz w:val="16"/>
          <w:szCs w:val="16"/>
        </w:rPr>
      </w:pPr>
      <w:bookmarkStart w:id="36" w:name="_Toc483340671"/>
      <w:bookmarkStart w:id="37" w:name="_Toc483345031"/>
      <w:bookmarkEnd w:id="36"/>
      <w:bookmarkEnd w:id="37"/>
    </w:p>
    <w:p w:rsidR="00002E6C" w:rsidRPr="00B8426C" w:rsidRDefault="00002E6C" w:rsidP="00002E6C">
      <w:pPr>
        <w:pStyle w:val="ListParagraph"/>
        <w:keepNext/>
        <w:numPr>
          <w:ilvl w:val="0"/>
          <w:numId w:val="4"/>
        </w:numPr>
        <w:contextualSpacing w:val="0"/>
        <w:outlineLvl w:val="0"/>
        <w:rPr>
          <w:rFonts w:ascii="Arial" w:hAnsi="Arial" w:cs="Arial"/>
          <w:b/>
          <w:vanish/>
          <w:color w:val="FFFFFF" w:themeColor="background1"/>
          <w:kern w:val="28"/>
          <w:sz w:val="16"/>
          <w:szCs w:val="16"/>
        </w:rPr>
      </w:pPr>
      <w:bookmarkStart w:id="38" w:name="_Toc483340672"/>
      <w:bookmarkStart w:id="39" w:name="_Toc483345032"/>
      <w:bookmarkEnd w:id="38"/>
      <w:bookmarkEnd w:id="39"/>
    </w:p>
    <w:p w:rsidR="00E3460B" w:rsidRPr="00B8426C" w:rsidRDefault="00E3460B" w:rsidP="00D72E4D">
      <w:pPr>
        <w:pStyle w:val="Heading2"/>
        <w:numPr>
          <w:ilvl w:val="0"/>
          <w:numId w:val="0"/>
        </w:numPr>
        <w:ind w:left="576"/>
        <w:rPr>
          <w:rFonts w:cs="Arial"/>
        </w:rPr>
      </w:pPr>
      <w:bookmarkStart w:id="40" w:name="_Toc483345033"/>
      <w:r w:rsidRPr="00B8426C">
        <w:rPr>
          <w:rFonts w:cs="Arial"/>
        </w:rPr>
        <w:t>Análise</w:t>
      </w:r>
      <w:r w:rsidR="00A32E3A" w:rsidRPr="00B8426C">
        <w:rPr>
          <w:rFonts w:cs="Arial"/>
        </w:rPr>
        <w:t>s</w:t>
      </w:r>
      <w:r w:rsidRPr="00B8426C">
        <w:rPr>
          <w:rFonts w:cs="Arial"/>
        </w:rPr>
        <w:t xml:space="preserve"> de sensibilidade</w:t>
      </w:r>
      <w:r w:rsidR="00A32E3A" w:rsidRPr="00B8426C">
        <w:rPr>
          <w:rFonts w:cs="Arial"/>
        </w:rPr>
        <w:t xml:space="preserve"> e de cenário</w:t>
      </w:r>
      <w:bookmarkEnd w:id="40"/>
    </w:p>
    <w:p w:rsidR="00C56192" w:rsidRPr="00B8426C" w:rsidRDefault="00C56192" w:rsidP="00C56192">
      <w:pPr>
        <w:spacing w:before="120" w:after="120"/>
        <w:jc w:val="both"/>
        <w:rPr>
          <w:rFonts w:ascii="Arial" w:hAnsi="Arial" w:cs="Arial"/>
          <w:szCs w:val="24"/>
        </w:rPr>
      </w:pPr>
    </w:p>
    <w:p w:rsidR="00E3460B" w:rsidRPr="00B8426C" w:rsidRDefault="00E3460B" w:rsidP="009A4556">
      <w:pPr>
        <w:pStyle w:val="ListParagraph"/>
        <w:numPr>
          <w:ilvl w:val="1"/>
          <w:numId w:val="21"/>
        </w:numPr>
        <w:spacing w:before="120" w:after="120"/>
        <w:jc w:val="both"/>
        <w:rPr>
          <w:rFonts w:ascii="Arial" w:hAnsi="Arial" w:cs="Arial"/>
          <w:szCs w:val="24"/>
        </w:rPr>
      </w:pPr>
      <w:r w:rsidRPr="00B8426C">
        <w:rPr>
          <w:rFonts w:ascii="Arial" w:hAnsi="Arial" w:cs="Arial"/>
          <w:szCs w:val="24"/>
        </w:rPr>
        <w:t>O próximo passo em nossa análise é considerar os efeitos sobre os resultados obtidos a partir de mudanças nas variáveis tomadas como dadas, num típico exercício de análise de estática comparativa.</w:t>
      </w:r>
      <w:r w:rsidR="00C56192" w:rsidRPr="00B8426C">
        <w:rPr>
          <w:rFonts w:ascii="Arial" w:hAnsi="Arial" w:cs="Arial"/>
          <w:szCs w:val="24"/>
        </w:rPr>
        <w:t xml:space="preserve"> </w:t>
      </w:r>
      <w:r w:rsidR="004552CF" w:rsidRPr="00B8426C">
        <w:rPr>
          <w:rFonts w:ascii="Arial" w:hAnsi="Arial" w:cs="Arial"/>
          <w:szCs w:val="24"/>
        </w:rPr>
        <w:t xml:space="preserve">A tabela 9 sintetiza os parâmetros sensibilizados </w:t>
      </w:r>
      <w:r w:rsidR="0044001D" w:rsidRPr="00B8426C">
        <w:rPr>
          <w:rFonts w:ascii="Arial" w:hAnsi="Arial" w:cs="Arial"/>
          <w:szCs w:val="24"/>
        </w:rPr>
        <w:t>individualmente para o cenário pessimista e a tabela 10 faz o mesmo para o cenário otimista:</w:t>
      </w:r>
    </w:p>
    <w:p w:rsidR="0044001D" w:rsidRPr="00B8426C" w:rsidRDefault="0044001D" w:rsidP="0044001D">
      <w:pPr>
        <w:spacing w:before="120" w:after="120"/>
        <w:jc w:val="both"/>
        <w:rPr>
          <w:rFonts w:ascii="Arial" w:hAnsi="Arial" w:cs="Arial"/>
          <w:szCs w:val="24"/>
        </w:rPr>
      </w:pPr>
    </w:p>
    <w:p w:rsidR="0044001D" w:rsidRPr="00B8426C" w:rsidRDefault="0044001D" w:rsidP="0044001D">
      <w:pPr>
        <w:spacing w:before="120" w:after="120"/>
        <w:jc w:val="both"/>
        <w:rPr>
          <w:rFonts w:ascii="Arial" w:hAnsi="Arial" w:cs="Arial"/>
          <w:szCs w:val="24"/>
        </w:rPr>
      </w:pPr>
      <w:r w:rsidRPr="00B8426C">
        <w:rPr>
          <w:rFonts w:ascii="Arial" w:hAnsi="Arial" w:cs="Arial"/>
          <w:b/>
          <w:szCs w:val="24"/>
        </w:rPr>
        <w:t>Tabela 9:</w:t>
      </w:r>
      <w:r w:rsidRPr="00B8426C">
        <w:rPr>
          <w:rFonts w:ascii="Arial" w:hAnsi="Arial" w:cs="Arial"/>
          <w:szCs w:val="24"/>
        </w:rPr>
        <w:t xml:space="preserve"> Resultados para o programa sensibilizados a cada parâmetro do Cenário Pessimista</w:t>
      </w:r>
    </w:p>
    <w:p w:rsidR="00B201CA" w:rsidRPr="00B8426C" w:rsidRDefault="009474AC" w:rsidP="0044001D">
      <w:pPr>
        <w:spacing w:before="120" w:after="120"/>
        <w:jc w:val="both"/>
        <w:rPr>
          <w:rFonts w:ascii="Arial" w:hAnsi="Arial" w:cs="Arial"/>
          <w:szCs w:val="24"/>
        </w:rPr>
      </w:pPr>
      <w:r w:rsidRPr="00B8426C">
        <w:rPr>
          <w:rFonts w:ascii="Arial" w:hAnsi="Arial" w:cs="Arial"/>
          <w:noProof/>
          <w:lang w:val="en-US"/>
        </w:rPr>
        <w:drawing>
          <wp:inline distT="0" distB="0" distL="0" distR="0" wp14:anchorId="5F8CB84B" wp14:editId="3486F408">
            <wp:extent cx="5868063" cy="1107381"/>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63891" cy="1106594"/>
                    </a:xfrm>
                    <a:prstGeom prst="rect">
                      <a:avLst/>
                    </a:prstGeom>
                    <a:noFill/>
                    <a:ln>
                      <a:noFill/>
                    </a:ln>
                  </pic:spPr>
                </pic:pic>
              </a:graphicData>
            </a:graphic>
          </wp:inline>
        </w:drawing>
      </w:r>
    </w:p>
    <w:p w:rsidR="00566BE8" w:rsidRPr="00B8426C" w:rsidRDefault="00566BE8" w:rsidP="00F5672F">
      <w:pPr>
        <w:spacing w:before="120" w:after="120"/>
        <w:jc w:val="both"/>
        <w:rPr>
          <w:rFonts w:ascii="Arial" w:hAnsi="Arial" w:cs="Arial"/>
          <w:szCs w:val="24"/>
        </w:rPr>
      </w:pPr>
    </w:p>
    <w:p w:rsidR="00566BE8" w:rsidRPr="00B8426C" w:rsidRDefault="00566BE8" w:rsidP="00566BE8">
      <w:pPr>
        <w:spacing w:before="120" w:after="120"/>
        <w:jc w:val="both"/>
        <w:rPr>
          <w:rFonts w:ascii="Arial" w:hAnsi="Arial" w:cs="Arial"/>
          <w:szCs w:val="24"/>
        </w:rPr>
      </w:pPr>
      <w:r w:rsidRPr="00B8426C">
        <w:rPr>
          <w:rFonts w:ascii="Arial" w:hAnsi="Arial" w:cs="Arial"/>
          <w:b/>
          <w:szCs w:val="24"/>
        </w:rPr>
        <w:t>Tabela 10:</w:t>
      </w:r>
      <w:r w:rsidRPr="00B8426C">
        <w:rPr>
          <w:rFonts w:ascii="Arial" w:hAnsi="Arial" w:cs="Arial"/>
          <w:szCs w:val="24"/>
        </w:rPr>
        <w:t xml:space="preserve"> Resultados para o programa sensibilizados a cada parâmetro do Cenário Otimista</w:t>
      </w:r>
    </w:p>
    <w:p w:rsidR="006A5277" w:rsidRPr="00B8426C" w:rsidRDefault="006A5277" w:rsidP="00566BE8">
      <w:pPr>
        <w:spacing w:before="120" w:after="120"/>
        <w:jc w:val="both"/>
        <w:rPr>
          <w:rFonts w:ascii="Arial" w:hAnsi="Arial" w:cs="Arial"/>
          <w:szCs w:val="24"/>
        </w:rPr>
      </w:pPr>
      <w:r w:rsidRPr="00B8426C">
        <w:rPr>
          <w:rFonts w:ascii="Arial" w:hAnsi="Arial" w:cs="Arial"/>
          <w:noProof/>
          <w:lang w:val="en-US"/>
        </w:rPr>
        <w:drawing>
          <wp:inline distT="0" distB="0" distL="0" distR="0" wp14:anchorId="2A8DF2B5" wp14:editId="22A4CE64">
            <wp:extent cx="5931673" cy="1119385"/>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27461" cy="1118590"/>
                    </a:xfrm>
                    <a:prstGeom prst="rect">
                      <a:avLst/>
                    </a:prstGeom>
                    <a:noFill/>
                    <a:ln>
                      <a:noFill/>
                    </a:ln>
                  </pic:spPr>
                </pic:pic>
              </a:graphicData>
            </a:graphic>
          </wp:inline>
        </w:drawing>
      </w:r>
    </w:p>
    <w:p w:rsidR="006A5277" w:rsidRPr="00B8426C" w:rsidRDefault="006A5277" w:rsidP="00566BE8">
      <w:pPr>
        <w:spacing w:before="120" w:after="120"/>
        <w:jc w:val="both"/>
        <w:rPr>
          <w:rFonts w:ascii="Arial" w:hAnsi="Arial" w:cs="Arial"/>
          <w:szCs w:val="24"/>
        </w:rPr>
      </w:pPr>
    </w:p>
    <w:p w:rsidR="00D25453" w:rsidRPr="00B8426C" w:rsidRDefault="00D25453" w:rsidP="005A3D2B">
      <w:pPr>
        <w:pStyle w:val="ListParagraph"/>
        <w:numPr>
          <w:ilvl w:val="1"/>
          <w:numId w:val="21"/>
        </w:numPr>
        <w:spacing w:before="120" w:after="120"/>
        <w:jc w:val="both"/>
        <w:rPr>
          <w:rFonts w:ascii="Arial" w:hAnsi="Arial" w:cs="Arial"/>
          <w:szCs w:val="24"/>
        </w:rPr>
      </w:pPr>
      <w:r w:rsidRPr="00B8426C">
        <w:rPr>
          <w:rFonts w:ascii="Arial" w:hAnsi="Arial" w:cs="Arial"/>
          <w:szCs w:val="24"/>
        </w:rPr>
        <w:t>A análise de sensibilidade permite observar os impactos mais relevantes para a variação da taxa de investimento/vendas projetada</w:t>
      </w:r>
      <w:r w:rsidR="006B5F20" w:rsidRPr="00B8426C">
        <w:rPr>
          <w:rFonts w:ascii="Arial" w:hAnsi="Arial" w:cs="Arial"/>
          <w:szCs w:val="24"/>
        </w:rPr>
        <w:t xml:space="preserve"> para o componente 1</w:t>
      </w:r>
      <w:r w:rsidRPr="00B8426C">
        <w:rPr>
          <w:rFonts w:ascii="Arial" w:hAnsi="Arial" w:cs="Arial"/>
          <w:szCs w:val="24"/>
        </w:rPr>
        <w:t>, produzindo variação da TIR de 1</w:t>
      </w:r>
      <w:r w:rsidR="006B5F20" w:rsidRPr="00B8426C">
        <w:rPr>
          <w:rFonts w:ascii="Arial" w:hAnsi="Arial" w:cs="Arial"/>
          <w:szCs w:val="24"/>
        </w:rPr>
        <w:t>5</w:t>
      </w:r>
      <w:r w:rsidRPr="00B8426C">
        <w:rPr>
          <w:rFonts w:ascii="Arial" w:hAnsi="Arial" w:cs="Arial"/>
          <w:szCs w:val="24"/>
        </w:rPr>
        <w:t>,</w:t>
      </w:r>
      <w:r w:rsidR="006B5F20" w:rsidRPr="00B8426C">
        <w:rPr>
          <w:rFonts w:ascii="Arial" w:hAnsi="Arial" w:cs="Arial"/>
          <w:szCs w:val="24"/>
        </w:rPr>
        <w:t>4</w:t>
      </w:r>
      <w:r w:rsidRPr="00B8426C">
        <w:rPr>
          <w:rFonts w:ascii="Arial" w:hAnsi="Arial" w:cs="Arial"/>
          <w:szCs w:val="24"/>
        </w:rPr>
        <w:t>% no cenário pessimista para 3</w:t>
      </w:r>
      <w:r w:rsidR="006B5F20" w:rsidRPr="00B8426C">
        <w:rPr>
          <w:rFonts w:ascii="Arial" w:hAnsi="Arial" w:cs="Arial"/>
          <w:szCs w:val="24"/>
        </w:rPr>
        <w:t>1</w:t>
      </w:r>
      <w:r w:rsidRPr="00B8426C">
        <w:rPr>
          <w:rFonts w:ascii="Arial" w:hAnsi="Arial" w:cs="Arial"/>
          <w:szCs w:val="24"/>
        </w:rPr>
        <w:t>,</w:t>
      </w:r>
      <w:r w:rsidR="006B5F20" w:rsidRPr="00B8426C">
        <w:rPr>
          <w:rFonts w:ascii="Arial" w:hAnsi="Arial" w:cs="Arial"/>
          <w:szCs w:val="24"/>
        </w:rPr>
        <w:t>8</w:t>
      </w:r>
      <w:r w:rsidRPr="00B8426C">
        <w:rPr>
          <w:rFonts w:ascii="Arial" w:hAnsi="Arial" w:cs="Arial"/>
          <w:szCs w:val="24"/>
        </w:rPr>
        <w:t xml:space="preserve">% no otimista – este parâmetro é relevante </w:t>
      </w:r>
      <w:r w:rsidR="006B5F20" w:rsidRPr="00B8426C">
        <w:rPr>
          <w:rFonts w:ascii="Arial" w:hAnsi="Arial" w:cs="Arial"/>
          <w:szCs w:val="24"/>
        </w:rPr>
        <w:t>pois este componente é</w:t>
      </w:r>
      <w:r w:rsidRPr="00B8426C">
        <w:rPr>
          <w:rFonts w:ascii="Arial" w:hAnsi="Arial" w:cs="Arial"/>
          <w:szCs w:val="24"/>
        </w:rPr>
        <w:t xml:space="preserve"> mais significativo na alocação dos recursos desta primeira fase da CCLIP; o segundo fator que a análise indica ser o mais relevante em alterar os resultados </w:t>
      </w:r>
      <w:r w:rsidR="006B5F20" w:rsidRPr="00B8426C">
        <w:rPr>
          <w:rFonts w:ascii="Arial" w:hAnsi="Arial" w:cs="Arial"/>
          <w:szCs w:val="24"/>
        </w:rPr>
        <w:t xml:space="preserve">da avaliação econômica </w:t>
      </w:r>
      <w:r w:rsidRPr="00B8426C">
        <w:rPr>
          <w:rFonts w:ascii="Arial" w:hAnsi="Arial" w:cs="Arial"/>
          <w:szCs w:val="24"/>
        </w:rPr>
        <w:t>é a taxa de crescimento do produto, que afeta os benefícios do programa como um todo.</w:t>
      </w:r>
    </w:p>
    <w:p w:rsidR="00D25453" w:rsidRPr="00B8426C" w:rsidRDefault="00D25453" w:rsidP="00D25453">
      <w:pPr>
        <w:spacing w:before="120" w:after="120"/>
        <w:jc w:val="both"/>
        <w:rPr>
          <w:rFonts w:ascii="Arial" w:hAnsi="Arial" w:cs="Arial"/>
          <w:szCs w:val="24"/>
        </w:rPr>
      </w:pPr>
    </w:p>
    <w:p w:rsidR="00D25453" w:rsidRPr="00B8426C" w:rsidRDefault="00D25453" w:rsidP="005A3D2B">
      <w:pPr>
        <w:pStyle w:val="ListParagraph"/>
        <w:numPr>
          <w:ilvl w:val="1"/>
          <w:numId w:val="21"/>
        </w:numPr>
        <w:spacing w:before="120" w:after="120"/>
        <w:jc w:val="both"/>
        <w:rPr>
          <w:rFonts w:ascii="Arial" w:hAnsi="Arial" w:cs="Arial"/>
          <w:szCs w:val="24"/>
        </w:rPr>
      </w:pPr>
      <w:r w:rsidRPr="00B8426C">
        <w:rPr>
          <w:rFonts w:ascii="Arial" w:hAnsi="Arial" w:cs="Arial"/>
          <w:szCs w:val="24"/>
        </w:rPr>
        <w:t>Os resultados completos para os cenários pessimista e otimista</w:t>
      </w:r>
      <w:r w:rsidR="005E4D35" w:rsidRPr="00B8426C">
        <w:rPr>
          <w:rFonts w:ascii="Arial" w:hAnsi="Arial" w:cs="Arial"/>
          <w:szCs w:val="24"/>
        </w:rPr>
        <w:t xml:space="preserve"> seguem a seguir nas tabelas 11 e 12, porém como ambos são altamente improváveis, já que as chances são mínimas de que todos os seis parâmetros alcancem sua versão adotada no cenário simultaneamente, a pergunta mais relevante é: quais são as chances de que o VPL do programa completo seja negativo? Utilizando uma simulação de Monte Carlo, com distribuição de probabilidade triangular entre o cenário pessimista e otimista, tendo o cenário base como mais provável, simulando 10.000 observações, as chances são de </w:t>
      </w:r>
      <w:r w:rsidR="00A55FD8" w:rsidRPr="00B8426C">
        <w:rPr>
          <w:rFonts w:ascii="Arial" w:hAnsi="Arial" w:cs="Arial"/>
          <w:szCs w:val="24"/>
        </w:rPr>
        <w:t>5,67</w:t>
      </w:r>
      <w:r w:rsidR="005E4D35" w:rsidRPr="00B8426C">
        <w:rPr>
          <w:rFonts w:ascii="Arial" w:hAnsi="Arial" w:cs="Arial"/>
          <w:szCs w:val="24"/>
        </w:rPr>
        <w:t>%, o que é um resultado bastante satisfatório e confirma a robustez da análise. O histograma do VPL, destacando em vermelho esta distribuição acumulada, está na figura 13:</w:t>
      </w:r>
    </w:p>
    <w:p w:rsidR="005E4D35" w:rsidRPr="00B8426C" w:rsidRDefault="005E4D35" w:rsidP="005E4D35">
      <w:pPr>
        <w:pStyle w:val="ListParagraph"/>
        <w:rPr>
          <w:rFonts w:ascii="Arial" w:hAnsi="Arial" w:cs="Arial"/>
          <w:szCs w:val="24"/>
        </w:rPr>
      </w:pPr>
    </w:p>
    <w:p w:rsidR="005E4D35" w:rsidRPr="00B8426C" w:rsidRDefault="005E4D35" w:rsidP="00EE49EA">
      <w:pPr>
        <w:rPr>
          <w:rFonts w:ascii="Arial" w:hAnsi="Arial" w:cs="Arial"/>
        </w:rPr>
      </w:pPr>
    </w:p>
    <w:p w:rsidR="008E6554" w:rsidRPr="00B8426C" w:rsidRDefault="008E6554" w:rsidP="00EE49EA">
      <w:pPr>
        <w:rPr>
          <w:rFonts w:ascii="Arial" w:hAnsi="Arial" w:cs="Arial"/>
        </w:rPr>
      </w:pPr>
    </w:p>
    <w:p w:rsidR="004E6B99" w:rsidRPr="00B8426C" w:rsidRDefault="004E6B99" w:rsidP="00EE49EA">
      <w:pPr>
        <w:rPr>
          <w:rFonts w:ascii="Arial" w:hAnsi="Arial" w:cs="Arial"/>
        </w:rPr>
      </w:pPr>
    </w:p>
    <w:p w:rsidR="005E4D35" w:rsidRPr="00B8426C" w:rsidRDefault="005E4D35" w:rsidP="005E4D35">
      <w:pPr>
        <w:spacing w:before="120" w:after="120"/>
        <w:jc w:val="both"/>
        <w:rPr>
          <w:rFonts w:ascii="Arial" w:hAnsi="Arial" w:cs="Arial"/>
          <w:szCs w:val="24"/>
        </w:rPr>
      </w:pPr>
      <w:r w:rsidRPr="00B8426C">
        <w:rPr>
          <w:rFonts w:ascii="Arial" w:hAnsi="Arial" w:cs="Arial"/>
          <w:b/>
          <w:szCs w:val="24"/>
        </w:rPr>
        <w:t>Figura 13:</w:t>
      </w:r>
      <w:r w:rsidRPr="00B8426C">
        <w:rPr>
          <w:rFonts w:ascii="Arial" w:hAnsi="Arial" w:cs="Arial"/>
          <w:szCs w:val="24"/>
        </w:rPr>
        <w:t xml:space="preserve"> Histograma do VPL do programa e distribuição acumulada</w:t>
      </w:r>
    </w:p>
    <w:p w:rsidR="00A55FD8" w:rsidRPr="00B8426C" w:rsidRDefault="00A55FD8" w:rsidP="005E4D35">
      <w:pPr>
        <w:spacing w:before="120" w:after="120"/>
        <w:jc w:val="both"/>
        <w:rPr>
          <w:rFonts w:ascii="Arial" w:hAnsi="Arial" w:cs="Arial"/>
          <w:szCs w:val="24"/>
        </w:rPr>
      </w:pPr>
      <w:r w:rsidRPr="00B8426C">
        <w:rPr>
          <w:rFonts w:ascii="Arial" w:hAnsi="Arial" w:cs="Arial"/>
          <w:noProof/>
          <w:szCs w:val="24"/>
          <w:lang w:val="en-US"/>
        </w:rPr>
        <w:drawing>
          <wp:inline distT="0" distB="0" distL="0" distR="0" wp14:anchorId="0EE53762">
            <wp:extent cx="5625787" cy="3965178"/>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631706" cy="3969350"/>
                    </a:xfrm>
                    <a:prstGeom prst="rect">
                      <a:avLst/>
                    </a:prstGeom>
                    <a:noFill/>
                  </pic:spPr>
                </pic:pic>
              </a:graphicData>
            </a:graphic>
          </wp:inline>
        </w:drawing>
      </w:r>
    </w:p>
    <w:p w:rsidR="00A55FD8" w:rsidRPr="00B8426C" w:rsidRDefault="00A55FD8" w:rsidP="005E4D35">
      <w:pPr>
        <w:spacing w:before="120" w:after="120"/>
        <w:jc w:val="both"/>
        <w:rPr>
          <w:rFonts w:ascii="Arial" w:hAnsi="Arial" w:cs="Arial"/>
          <w:szCs w:val="24"/>
        </w:rPr>
      </w:pPr>
    </w:p>
    <w:p w:rsidR="00512A0F" w:rsidRPr="00B8426C" w:rsidRDefault="0032438D" w:rsidP="00124EA0">
      <w:pPr>
        <w:pStyle w:val="ListParagraph"/>
        <w:numPr>
          <w:ilvl w:val="1"/>
          <w:numId w:val="21"/>
        </w:numPr>
        <w:spacing w:before="120" w:after="120"/>
        <w:jc w:val="both"/>
        <w:rPr>
          <w:rFonts w:ascii="Arial" w:hAnsi="Arial" w:cs="Arial"/>
          <w:szCs w:val="24"/>
        </w:rPr>
      </w:pPr>
      <w:r w:rsidRPr="00B8426C">
        <w:rPr>
          <w:rFonts w:ascii="Arial" w:hAnsi="Arial" w:cs="Arial"/>
          <w:szCs w:val="24"/>
        </w:rPr>
        <w:t>Nossa análise partiu de uma revisão dos pressupostos teóricos sobre os determinantes do crescimento econômico, mostrando a relevância dos investimentos em PD</w:t>
      </w:r>
      <w:r w:rsidR="00512A0F" w:rsidRPr="00B8426C">
        <w:rPr>
          <w:rFonts w:ascii="Arial" w:hAnsi="Arial" w:cs="Arial"/>
          <w:szCs w:val="24"/>
        </w:rPr>
        <w:t>I</w:t>
      </w:r>
      <w:r w:rsidRPr="00B8426C">
        <w:rPr>
          <w:rFonts w:ascii="Arial" w:hAnsi="Arial" w:cs="Arial"/>
          <w:szCs w:val="24"/>
        </w:rPr>
        <w:t xml:space="preserve"> em busca de inovações que possam resultar em crescimento da produtividade do trabalho e, a partir daí, em crescimento econômico de longo prazo com diminuição das desigualdades de renda.</w:t>
      </w:r>
      <w:r w:rsidR="00512A0F" w:rsidRPr="00B8426C">
        <w:rPr>
          <w:rFonts w:ascii="Arial" w:hAnsi="Arial" w:cs="Arial"/>
          <w:szCs w:val="24"/>
        </w:rPr>
        <w:t xml:space="preserve"> </w:t>
      </w:r>
      <w:r w:rsidR="00F6178C" w:rsidRPr="00B8426C">
        <w:rPr>
          <w:rFonts w:ascii="Arial" w:hAnsi="Arial" w:cs="Arial"/>
          <w:szCs w:val="24"/>
        </w:rPr>
        <w:t xml:space="preserve">A revisão das evidências empíricas para países desenvolvidos corroborou as conexões apontadas nos modelos teóricos e, para o caso brasileiro, ajudou a entender a armadilha do baixo crescimento recente. </w:t>
      </w:r>
      <w:r w:rsidR="00BF6B64" w:rsidRPr="00B8426C">
        <w:rPr>
          <w:rFonts w:ascii="Arial" w:hAnsi="Arial" w:cs="Arial"/>
          <w:szCs w:val="24"/>
        </w:rPr>
        <w:t>Com a definição das características e variáveis-chave, propusemos um procedimento metodológico para viabilizar a complexa tarefa de avaliar o impacto de investimentos em inovação.</w:t>
      </w:r>
    </w:p>
    <w:p w:rsidR="00512A0F" w:rsidRPr="00B8426C" w:rsidRDefault="00512A0F" w:rsidP="00512A0F">
      <w:pPr>
        <w:pStyle w:val="ListParagraph"/>
        <w:rPr>
          <w:rFonts w:ascii="Arial" w:hAnsi="Arial" w:cs="Arial"/>
          <w:szCs w:val="24"/>
        </w:rPr>
      </w:pPr>
    </w:p>
    <w:p w:rsidR="00557390" w:rsidRPr="00B8426C" w:rsidRDefault="00C403CF" w:rsidP="00EE49EA">
      <w:pPr>
        <w:pStyle w:val="ListParagraph"/>
        <w:numPr>
          <w:ilvl w:val="1"/>
          <w:numId w:val="21"/>
        </w:numPr>
        <w:spacing w:before="120" w:after="200" w:line="276" w:lineRule="auto"/>
        <w:jc w:val="both"/>
        <w:rPr>
          <w:rFonts w:ascii="Arial" w:hAnsi="Arial" w:cs="Arial"/>
          <w:szCs w:val="24"/>
        </w:rPr>
      </w:pPr>
      <w:r w:rsidRPr="00B8426C">
        <w:rPr>
          <w:rFonts w:ascii="Arial" w:hAnsi="Arial" w:cs="Arial"/>
          <w:szCs w:val="24"/>
        </w:rPr>
        <w:t xml:space="preserve">Ainda que num cenário-base conservador, </w:t>
      </w:r>
      <w:r w:rsidR="00512A0F" w:rsidRPr="00B8426C">
        <w:rPr>
          <w:rFonts w:ascii="Arial" w:hAnsi="Arial" w:cs="Arial"/>
          <w:szCs w:val="24"/>
        </w:rPr>
        <w:t xml:space="preserve">que não levou em conta externalidades positivas do projeto, tais como, os efeitos de contágio de tecnologia (spillover), em que, na sua hipótese mais conservadora teria impacto em pelo menos mais duas empresas a cada inovação bem-sucedida; e, no caso do setor de biocombustíveis avançados, poderíamos contabilizar o sequestro de carbono equivalente USD 5,5 mi ao ano, segundo estimativas </w:t>
      </w:r>
      <w:r w:rsidR="00D72E4D">
        <w:rPr>
          <w:rFonts w:ascii="Arial" w:hAnsi="Arial" w:cs="Arial"/>
          <w:szCs w:val="24"/>
        </w:rPr>
        <w:t>Finep</w:t>
      </w:r>
      <w:r w:rsidR="00512A0F" w:rsidRPr="00B8426C">
        <w:rPr>
          <w:rFonts w:ascii="Arial" w:hAnsi="Arial" w:cs="Arial"/>
          <w:szCs w:val="24"/>
        </w:rPr>
        <w:t xml:space="preserve"> e considerando o preço médio de USD5,5. Ainda assim, </w:t>
      </w:r>
      <w:r w:rsidRPr="00B8426C">
        <w:rPr>
          <w:rFonts w:ascii="Arial" w:hAnsi="Arial" w:cs="Arial"/>
          <w:szCs w:val="24"/>
        </w:rPr>
        <w:t xml:space="preserve">o projeto revelou fluxos líquidos em valor presente positivos e uma taxa interna de retorno social acima do custo de oportunidade considerado, já sendo suficiente para a indicação da viabilidade econômica e apoio à decisão de realização do projeto, como uma decisão racional, que </w:t>
      </w:r>
      <w:r w:rsidR="00512A0F" w:rsidRPr="00B8426C">
        <w:rPr>
          <w:rFonts w:ascii="Arial" w:hAnsi="Arial" w:cs="Arial"/>
          <w:szCs w:val="24"/>
        </w:rPr>
        <w:t xml:space="preserve">terá efeitos de agregação de </w:t>
      </w:r>
      <w:r w:rsidRPr="00B8426C">
        <w:rPr>
          <w:rFonts w:ascii="Arial" w:hAnsi="Arial" w:cs="Arial"/>
          <w:szCs w:val="24"/>
        </w:rPr>
        <w:t xml:space="preserve">valor para a sociedade como um todo. </w:t>
      </w:r>
      <w:r w:rsidR="00BF6B64" w:rsidRPr="00B8426C">
        <w:rPr>
          <w:rFonts w:ascii="Arial" w:hAnsi="Arial" w:cs="Arial"/>
          <w:szCs w:val="24"/>
        </w:rPr>
        <w:t xml:space="preserve">As estratégias adotadas revelaram-se adequadas, à medida que </w:t>
      </w:r>
      <w:r w:rsidRPr="00B8426C">
        <w:rPr>
          <w:rFonts w:ascii="Arial" w:hAnsi="Arial" w:cs="Arial"/>
          <w:szCs w:val="24"/>
        </w:rPr>
        <w:t>consistentemente indicaram a viabilidade econômica do programa, mesmo com hipóteses pessimistas pouco prováveis, mostrando resultados robustos à análise de sensibilidade.</w:t>
      </w:r>
    </w:p>
    <w:p w:rsidR="00EE49EA" w:rsidRPr="00B8426C" w:rsidRDefault="00EE49EA" w:rsidP="00557390">
      <w:pPr>
        <w:pStyle w:val="ListParagraph"/>
        <w:spacing w:before="120" w:after="120"/>
        <w:ind w:left="454"/>
        <w:contextualSpacing w:val="0"/>
        <w:jc w:val="both"/>
        <w:rPr>
          <w:rFonts w:ascii="Arial" w:hAnsi="Arial" w:cs="Arial"/>
          <w:szCs w:val="24"/>
        </w:rPr>
        <w:sectPr w:rsidR="00EE49EA" w:rsidRPr="00B8426C" w:rsidSect="00B75D25">
          <w:footerReference w:type="default" r:id="rId33"/>
          <w:pgSz w:w="11907" w:h="16839" w:code="9"/>
          <w:pgMar w:top="1440" w:right="1080" w:bottom="1440" w:left="1080" w:header="720" w:footer="720" w:gutter="0"/>
          <w:cols w:space="720"/>
          <w:titlePg/>
          <w:docGrid w:linePitch="360"/>
        </w:sectPr>
      </w:pPr>
    </w:p>
    <w:p w:rsidR="00193E5A" w:rsidRPr="00B8426C" w:rsidRDefault="00193E5A" w:rsidP="00193E5A">
      <w:pPr>
        <w:spacing w:before="120" w:after="120"/>
        <w:jc w:val="both"/>
        <w:rPr>
          <w:rFonts w:ascii="Arial" w:hAnsi="Arial" w:cs="Arial"/>
          <w:szCs w:val="24"/>
        </w:rPr>
      </w:pPr>
      <w:r w:rsidRPr="00B8426C">
        <w:rPr>
          <w:rFonts w:ascii="Arial" w:hAnsi="Arial" w:cs="Arial"/>
          <w:b/>
          <w:szCs w:val="24"/>
        </w:rPr>
        <w:t>Tabela 11:</w:t>
      </w:r>
      <w:r w:rsidRPr="00B8426C">
        <w:rPr>
          <w:rFonts w:ascii="Arial" w:hAnsi="Arial" w:cs="Arial"/>
          <w:szCs w:val="24"/>
        </w:rPr>
        <w:t xml:space="preserve"> Resultados completos – Cenário Pessimista</w:t>
      </w:r>
    </w:p>
    <w:p w:rsidR="002A11C5" w:rsidRPr="00B8426C" w:rsidRDefault="002A11C5" w:rsidP="00193E5A">
      <w:pPr>
        <w:spacing w:before="120" w:after="120"/>
        <w:jc w:val="both"/>
        <w:rPr>
          <w:rFonts w:ascii="Arial" w:hAnsi="Arial" w:cs="Arial"/>
          <w:szCs w:val="24"/>
        </w:rPr>
      </w:pPr>
    </w:p>
    <w:p w:rsidR="002A11C5" w:rsidRPr="00B8426C" w:rsidRDefault="002A11C5" w:rsidP="00193E5A">
      <w:pPr>
        <w:spacing w:before="120" w:after="120"/>
        <w:jc w:val="both"/>
        <w:rPr>
          <w:rFonts w:ascii="Arial" w:hAnsi="Arial" w:cs="Arial"/>
          <w:szCs w:val="24"/>
        </w:rPr>
      </w:pPr>
      <w:r w:rsidRPr="00B8426C">
        <w:rPr>
          <w:rFonts w:ascii="Arial" w:hAnsi="Arial" w:cs="Arial"/>
          <w:noProof/>
          <w:lang w:val="en-US"/>
        </w:rPr>
        <w:drawing>
          <wp:inline distT="0" distB="0" distL="0" distR="0" wp14:anchorId="19522B47" wp14:editId="0052FC6B">
            <wp:extent cx="8863965" cy="423045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863965" cy="4230457"/>
                    </a:xfrm>
                    <a:prstGeom prst="rect">
                      <a:avLst/>
                    </a:prstGeom>
                    <a:noFill/>
                    <a:ln>
                      <a:noFill/>
                    </a:ln>
                  </pic:spPr>
                </pic:pic>
              </a:graphicData>
            </a:graphic>
          </wp:inline>
        </w:drawing>
      </w:r>
    </w:p>
    <w:p w:rsidR="00193E5A" w:rsidRPr="00B8426C" w:rsidRDefault="00193E5A" w:rsidP="00193E5A">
      <w:pPr>
        <w:pStyle w:val="ListParagraph"/>
        <w:spacing w:before="120" w:after="120"/>
        <w:ind w:left="0"/>
        <w:contextualSpacing w:val="0"/>
        <w:jc w:val="both"/>
        <w:rPr>
          <w:rFonts w:ascii="Arial" w:hAnsi="Arial" w:cs="Arial"/>
          <w:szCs w:val="24"/>
        </w:rPr>
      </w:pPr>
    </w:p>
    <w:p w:rsidR="00193E5A" w:rsidRPr="00B8426C" w:rsidRDefault="00193E5A" w:rsidP="00193E5A">
      <w:pPr>
        <w:pStyle w:val="ListParagraph"/>
        <w:spacing w:before="120" w:after="120"/>
        <w:ind w:left="0"/>
        <w:contextualSpacing w:val="0"/>
        <w:jc w:val="both"/>
        <w:rPr>
          <w:rFonts w:ascii="Arial" w:hAnsi="Arial" w:cs="Arial"/>
          <w:szCs w:val="24"/>
        </w:rPr>
      </w:pPr>
    </w:p>
    <w:p w:rsidR="00193E5A" w:rsidRPr="00B8426C" w:rsidRDefault="00193E5A" w:rsidP="00193E5A">
      <w:pPr>
        <w:pStyle w:val="ListParagraph"/>
        <w:spacing w:before="120" w:after="120"/>
        <w:ind w:left="0"/>
        <w:contextualSpacing w:val="0"/>
        <w:jc w:val="both"/>
        <w:rPr>
          <w:rFonts w:ascii="Arial" w:hAnsi="Arial" w:cs="Arial"/>
          <w:szCs w:val="24"/>
        </w:rPr>
      </w:pPr>
    </w:p>
    <w:p w:rsidR="00193E5A" w:rsidRPr="00B8426C" w:rsidRDefault="00193E5A" w:rsidP="00193E5A">
      <w:pPr>
        <w:pStyle w:val="ListParagraph"/>
        <w:spacing w:before="120" w:after="120"/>
        <w:ind w:left="0"/>
        <w:contextualSpacing w:val="0"/>
        <w:jc w:val="both"/>
        <w:rPr>
          <w:rFonts w:ascii="Arial" w:hAnsi="Arial" w:cs="Arial"/>
          <w:szCs w:val="24"/>
        </w:rPr>
      </w:pPr>
    </w:p>
    <w:p w:rsidR="00193E5A" w:rsidRPr="00B8426C" w:rsidRDefault="00193E5A" w:rsidP="00193E5A">
      <w:pPr>
        <w:pStyle w:val="ListParagraph"/>
        <w:spacing w:before="120" w:after="120"/>
        <w:ind w:left="0"/>
        <w:contextualSpacing w:val="0"/>
        <w:jc w:val="both"/>
        <w:rPr>
          <w:rFonts w:ascii="Arial" w:hAnsi="Arial" w:cs="Arial"/>
          <w:szCs w:val="24"/>
        </w:rPr>
      </w:pPr>
    </w:p>
    <w:p w:rsidR="00193E5A" w:rsidRPr="00B8426C" w:rsidRDefault="00193E5A" w:rsidP="00193E5A">
      <w:pPr>
        <w:pStyle w:val="ListParagraph"/>
        <w:spacing w:before="120" w:after="120"/>
        <w:ind w:left="0"/>
        <w:contextualSpacing w:val="0"/>
        <w:jc w:val="both"/>
        <w:rPr>
          <w:rFonts w:ascii="Arial" w:hAnsi="Arial" w:cs="Arial"/>
          <w:szCs w:val="24"/>
        </w:rPr>
      </w:pPr>
    </w:p>
    <w:p w:rsidR="00193E5A" w:rsidRPr="00B8426C" w:rsidRDefault="00193E5A" w:rsidP="00193E5A">
      <w:pPr>
        <w:pStyle w:val="ListParagraph"/>
        <w:spacing w:before="120" w:after="120"/>
        <w:ind w:left="0"/>
        <w:contextualSpacing w:val="0"/>
        <w:jc w:val="both"/>
        <w:rPr>
          <w:rFonts w:ascii="Arial" w:hAnsi="Arial" w:cs="Arial"/>
          <w:szCs w:val="24"/>
        </w:rPr>
      </w:pPr>
    </w:p>
    <w:p w:rsidR="00193E5A" w:rsidRPr="00B8426C" w:rsidRDefault="00193E5A" w:rsidP="00193E5A">
      <w:pPr>
        <w:spacing w:before="120" w:after="120"/>
        <w:jc w:val="both"/>
        <w:rPr>
          <w:rFonts w:ascii="Arial" w:hAnsi="Arial" w:cs="Arial"/>
          <w:szCs w:val="24"/>
        </w:rPr>
      </w:pPr>
      <w:r w:rsidRPr="00B8426C">
        <w:rPr>
          <w:rFonts w:ascii="Arial" w:hAnsi="Arial" w:cs="Arial"/>
          <w:b/>
          <w:szCs w:val="24"/>
        </w:rPr>
        <w:t>Tabela 12:</w:t>
      </w:r>
      <w:r w:rsidRPr="00B8426C">
        <w:rPr>
          <w:rFonts w:ascii="Arial" w:hAnsi="Arial" w:cs="Arial"/>
          <w:szCs w:val="24"/>
        </w:rPr>
        <w:t xml:space="preserve"> Resultados completos – Cenário Otimista</w:t>
      </w:r>
    </w:p>
    <w:p w:rsidR="003546A2" w:rsidRPr="00B8426C" w:rsidRDefault="003546A2" w:rsidP="00193E5A">
      <w:pPr>
        <w:spacing w:before="120" w:after="120"/>
        <w:jc w:val="both"/>
        <w:rPr>
          <w:rFonts w:ascii="Arial" w:hAnsi="Arial" w:cs="Arial"/>
          <w:szCs w:val="24"/>
        </w:rPr>
      </w:pPr>
      <w:r w:rsidRPr="00B8426C">
        <w:rPr>
          <w:rFonts w:ascii="Arial" w:hAnsi="Arial" w:cs="Arial"/>
          <w:noProof/>
          <w:lang w:val="en-US"/>
        </w:rPr>
        <w:drawing>
          <wp:inline distT="0" distB="0" distL="0" distR="0" wp14:anchorId="158E0091" wp14:editId="03B87CD7">
            <wp:extent cx="8863965" cy="423045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863965" cy="4230457"/>
                    </a:xfrm>
                    <a:prstGeom prst="rect">
                      <a:avLst/>
                    </a:prstGeom>
                    <a:noFill/>
                    <a:ln>
                      <a:noFill/>
                    </a:ln>
                  </pic:spPr>
                </pic:pic>
              </a:graphicData>
            </a:graphic>
          </wp:inline>
        </w:drawing>
      </w:r>
    </w:p>
    <w:p w:rsidR="00193E5A" w:rsidRPr="00B8426C" w:rsidRDefault="00193E5A" w:rsidP="00557390">
      <w:pPr>
        <w:pStyle w:val="ListParagraph"/>
        <w:spacing w:before="120" w:after="120"/>
        <w:ind w:left="454"/>
        <w:contextualSpacing w:val="0"/>
        <w:jc w:val="both"/>
        <w:rPr>
          <w:rFonts w:ascii="Arial" w:hAnsi="Arial" w:cs="Arial"/>
          <w:szCs w:val="24"/>
        </w:rPr>
      </w:pPr>
    </w:p>
    <w:p w:rsidR="00193E5A" w:rsidRPr="00B8426C" w:rsidRDefault="00193E5A" w:rsidP="00557390">
      <w:pPr>
        <w:pStyle w:val="ListParagraph"/>
        <w:spacing w:before="120" w:after="120"/>
        <w:ind w:left="454"/>
        <w:contextualSpacing w:val="0"/>
        <w:jc w:val="both"/>
        <w:rPr>
          <w:rFonts w:ascii="Arial" w:hAnsi="Arial" w:cs="Arial"/>
          <w:szCs w:val="24"/>
        </w:rPr>
      </w:pPr>
    </w:p>
    <w:p w:rsidR="00193E5A" w:rsidRPr="00B8426C" w:rsidRDefault="00193E5A" w:rsidP="00557390">
      <w:pPr>
        <w:pStyle w:val="ListParagraph"/>
        <w:spacing w:before="120" w:after="120"/>
        <w:ind w:left="454"/>
        <w:contextualSpacing w:val="0"/>
        <w:jc w:val="both"/>
        <w:rPr>
          <w:rFonts w:ascii="Arial" w:hAnsi="Arial" w:cs="Arial"/>
          <w:szCs w:val="24"/>
        </w:rPr>
      </w:pPr>
    </w:p>
    <w:p w:rsidR="00EE49EA" w:rsidRPr="00B8426C" w:rsidRDefault="00EE49EA" w:rsidP="00557390">
      <w:pPr>
        <w:pStyle w:val="ListParagraph"/>
        <w:spacing w:before="120" w:after="120"/>
        <w:ind w:left="454"/>
        <w:contextualSpacing w:val="0"/>
        <w:jc w:val="both"/>
        <w:rPr>
          <w:rFonts w:ascii="Arial" w:hAnsi="Arial" w:cs="Arial"/>
          <w:szCs w:val="24"/>
        </w:rPr>
      </w:pPr>
    </w:p>
    <w:p w:rsidR="00EE49EA" w:rsidRPr="00B8426C" w:rsidRDefault="00EE49EA" w:rsidP="00557390">
      <w:pPr>
        <w:pStyle w:val="ListParagraph"/>
        <w:spacing w:before="120" w:after="120"/>
        <w:ind w:left="454"/>
        <w:contextualSpacing w:val="0"/>
        <w:jc w:val="both"/>
        <w:rPr>
          <w:rFonts w:ascii="Arial" w:hAnsi="Arial" w:cs="Arial"/>
          <w:szCs w:val="24"/>
        </w:rPr>
        <w:sectPr w:rsidR="00EE49EA" w:rsidRPr="00B8426C" w:rsidSect="00193E5A">
          <w:pgSz w:w="16839" w:h="11907" w:orient="landscape" w:code="9"/>
          <w:pgMar w:top="1080" w:right="1440" w:bottom="1080" w:left="1440" w:header="720" w:footer="720" w:gutter="0"/>
          <w:cols w:space="720"/>
          <w:titlePg/>
          <w:docGrid w:linePitch="360"/>
        </w:sectPr>
      </w:pPr>
    </w:p>
    <w:p w:rsidR="00EE49EA" w:rsidRPr="00B8426C" w:rsidRDefault="00EE49EA" w:rsidP="00557390">
      <w:pPr>
        <w:pStyle w:val="ListParagraph"/>
        <w:spacing w:before="120" w:after="120"/>
        <w:ind w:left="454"/>
        <w:contextualSpacing w:val="0"/>
        <w:jc w:val="both"/>
        <w:rPr>
          <w:rFonts w:ascii="Arial" w:hAnsi="Arial" w:cs="Arial"/>
          <w:szCs w:val="24"/>
        </w:rPr>
      </w:pPr>
    </w:p>
    <w:p w:rsidR="005C6378" w:rsidRPr="00B8426C" w:rsidRDefault="00E3460B" w:rsidP="00124EA0">
      <w:pPr>
        <w:pStyle w:val="Heading1"/>
        <w:numPr>
          <w:ilvl w:val="0"/>
          <w:numId w:val="19"/>
        </w:numPr>
        <w:rPr>
          <w:rFonts w:cs="Arial"/>
          <w:sz w:val="24"/>
          <w:szCs w:val="24"/>
        </w:rPr>
      </w:pPr>
      <w:bookmarkStart w:id="41" w:name="_Toc483345034"/>
      <w:r w:rsidRPr="00B8426C">
        <w:rPr>
          <w:rFonts w:cs="Arial"/>
          <w:sz w:val="24"/>
          <w:szCs w:val="24"/>
        </w:rPr>
        <w:t>Referências Bibliográficas</w:t>
      </w:r>
      <w:bookmarkEnd w:id="41"/>
    </w:p>
    <w:p w:rsidR="00EE3664" w:rsidRPr="00B8426C" w:rsidRDefault="00EE3664" w:rsidP="00FF51CE">
      <w:pPr>
        <w:widowControl w:val="0"/>
        <w:autoSpaceDE w:val="0"/>
        <w:autoSpaceDN w:val="0"/>
        <w:adjustRightInd w:val="0"/>
        <w:spacing w:before="120" w:after="120"/>
        <w:rPr>
          <w:rFonts w:ascii="Arial" w:hAnsi="Arial" w:cs="Arial"/>
          <w:szCs w:val="24"/>
        </w:rPr>
      </w:pPr>
    </w:p>
    <w:p w:rsidR="00EE3664" w:rsidRPr="00B8426C" w:rsidRDefault="00BF542B" w:rsidP="00EE3664">
      <w:pPr>
        <w:widowControl w:val="0"/>
        <w:autoSpaceDE w:val="0"/>
        <w:autoSpaceDN w:val="0"/>
        <w:adjustRightInd w:val="0"/>
        <w:spacing w:before="120" w:after="120"/>
        <w:rPr>
          <w:rFonts w:ascii="Arial" w:hAnsi="Arial" w:cs="Arial"/>
          <w:noProof/>
          <w:szCs w:val="24"/>
        </w:rPr>
      </w:pPr>
      <w:r w:rsidRPr="00B8426C">
        <w:rPr>
          <w:rFonts w:ascii="Arial" w:hAnsi="Arial" w:cs="Arial"/>
          <w:szCs w:val="24"/>
        </w:rPr>
        <w:fldChar w:fldCharType="begin" w:fldLock="1"/>
      </w:r>
      <w:r w:rsidRPr="00B8426C">
        <w:rPr>
          <w:rFonts w:ascii="Arial" w:hAnsi="Arial" w:cs="Arial"/>
          <w:szCs w:val="24"/>
          <w:lang w:val="en-US"/>
        </w:rPr>
        <w:instrText xml:space="preserve">ADDIN Mendeley Bibliography CSL_BIBLIOGRAPHY </w:instrText>
      </w:r>
      <w:r w:rsidRPr="00B8426C">
        <w:rPr>
          <w:rFonts w:ascii="Arial" w:hAnsi="Arial" w:cs="Arial"/>
          <w:szCs w:val="24"/>
        </w:rPr>
        <w:fldChar w:fldCharType="separate"/>
      </w:r>
      <w:r w:rsidR="00A55FD8" w:rsidRPr="00B8426C">
        <w:rPr>
          <w:rFonts w:ascii="Arial" w:hAnsi="Arial" w:cs="Arial"/>
          <w:noProof/>
          <w:szCs w:val="24"/>
          <w:lang w:val="en-US"/>
        </w:rPr>
        <w:t>AGHION, P.; HOWIT</w:t>
      </w:r>
      <w:r w:rsidR="00EE3664" w:rsidRPr="00B8426C">
        <w:rPr>
          <w:rFonts w:ascii="Arial" w:hAnsi="Arial" w:cs="Arial"/>
          <w:noProof/>
          <w:szCs w:val="24"/>
          <w:lang w:val="en-US"/>
        </w:rPr>
        <w:t xml:space="preserve">T, P. A Model of Growth Through Creative Destruction. </w:t>
      </w:r>
      <w:r w:rsidR="00EE3664" w:rsidRPr="00B8426C">
        <w:rPr>
          <w:rFonts w:ascii="Arial" w:hAnsi="Arial" w:cs="Arial"/>
          <w:b/>
          <w:bCs/>
          <w:noProof/>
          <w:szCs w:val="24"/>
        </w:rPr>
        <w:t>Econometrica</w:t>
      </w:r>
      <w:r w:rsidR="00EE3664" w:rsidRPr="00B8426C">
        <w:rPr>
          <w:rFonts w:ascii="Arial" w:hAnsi="Arial" w:cs="Arial"/>
          <w:noProof/>
          <w:szCs w:val="24"/>
        </w:rPr>
        <w:t xml:space="preserve">, v. 60, n. 2, p. 323–351, 1992. </w:t>
      </w:r>
    </w:p>
    <w:p w:rsidR="00EE3664" w:rsidRPr="00B8426C" w:rsidRDefault="00EE3664" w:rsidP="00EE3664">
      <w:pPr>
        <w:widowControl w:val="0"/>
        <w:autoSpaceDE w:val="0"/>
        <w:autoSpaceDN w:val="0"/>
        <w:adjustRightInd w:val="0"/>
        <w:spacing w:before="120" w:after="120"/>
        <w:rPr>
          <w:rFonts w:ascii="Arial" w:hAnsi="Arial" w:cs="Arial"/>
          <w:noProof/>
          <w:szCs w:val="24"/>
        </w:rPr>
      </w:pPr>
      <w:r w:rsidRPr="00B8426C">
        <w:rPr>
          <w:rFonts w:ascii="Arial" w:hAnsi="Arial" w:cs="Arial"/>
          <w:noProof/>
          <w:szCs w:val="24"/>
        </w:rPr>
        <w:t xml:space="preserve">BRASIL, M. D. C. T. E. I. Estratégia Nacional de Ciência, Tecnologia e Inovação 2016 - 2019. p. 220, 2012. </w:t>
      </w:r>
    </w:p>
    <w:p w:rsidR="00EE3664" w:rsidRPr="00B8426C" w:rsidRDefault="00EE3664" w:rsidP="00EE3664">
      <w:pPr>
        <w:widowControl w:val="0"/>
        <w:autoSpaceDE w:val="0"/>
        <w:autoSpaceDN w:val="0"/>
        <w:adjustRightInd w:val="0"/>
        <w:spacing w:before="120" w:after="120"/>
        <w:rPr>
          <w:rFonts w:ascii="Arial" w:hAnsi="Arial" w:cs="Arial"/>
          <w:noProof/>
          <w:szCs w:val="24"/>
          <w:lang w:val="en-US"/>
        </w:rPr>
      </w:pPr>
      <w:r w:rsidRPr="00B8426C">
        <w:rPr>
          <w:rFonts w:ascii="Arial" w:hAnsi="Arial" w:cs="Arial"/>
          <w:noProof/>
          <w:szCs w:val="24"/>
        </w:rPr>
        <w:t xml:space="preserve">DE NEGRI, F.; CAVALCANTE, L. R. </w:t>
      </w:r>
      <w:r w:rsidRPr="00B8426C">
        <w:rPr>
          <w:rFonts w:ascii="Arial" w:hAnsi="Arial" w:cs="Arial"/>
          <w:b/>
          <w:bCs/>
          <w:noProof/>
          <w:szCs w:val="24"/>
        </w:rPr>
        <w:t>PRODUTIVIDADE NO BRASIL: desempenho e determinantes</w:t>
      </w:r>
      <w:r w:rsidRPr="00B8426C">
        <w:rPr>
          <w:rFonts w:ascii="Arial" w:hAnsi="Arial" w:cs="Arial"/>
          <w:noProof/>
          <w:szCs w:val="24"/>
        </w:rPr>
        <w:t xml:space="preserve">. </w:t>
      </w:r>
      <w:r w:rsidRPr="00B8426C">
        <w:rPr>
          <w:rFonts w:ascii="Arial" w:hAnsi="Arial" w:cs="Arial"/>
          <w:noProof/>
          <w:szCs w:val="24"/>
          <w:lang w:val="en-US"/>
        </w:rPr>
        <w:t>[s.l.] Instituto de Pesquisa Econômica Aplicada - IPEA, 2014. v. 1</w:t>
      </w:r>
    </w:p>
    <w:p w:rsidR="00EE3664" w:rsidRPr="00B8426C" w:rsidRDefault="00EE3664" w:rsidP="00EE3664">
      <w:pPr>
        <w:widowControl w:val="0"/>
        <w:autoSpaceDE w:val="0"/>
        <w:autoSpaceDN w:val="0"/>
        <w:adjustRightInd w:val="0"/>
        <w:spacing w:before="120" w:after="120"/>
        <w:rPr>
          <w:rFonts w:ascii="Arial" w:hAnsi="Arial" w:cs="Arial"/>
          <w:noProof/>
          <w:szCs w:val="24"/>
          <w:lang w:val="en-US"/>
        </w:rPr>
      </w:pPr>
      <w:r w:rsidRPr="00B8426C">
        <w:rPr>
          <w:rFonts w:ascii="Arial" w:hAnsi="Arial" w:cs="Arial"/>
          <w:noProof/>
          <w:szCs w:val="24"/>
          <w:lang w:val="en-US"/>
        </w:rPr>
        <w:t xml:space="preserve">HOWITT, P.; AGHION, P. Capital accumulation and innovation as complementary factors in long-run growth. </w:t>
      </w:r>
      <w:r w:rsidRPr="00B8426C">
        <w:rPr>
          <w:rFonts w:ascii="Arial" w:hAnsi="Arial" w:cs="Arial"/>
          <w:b/>
          <w:bCs/>
          <w:noProof/>
          <w:szCs w:val="24"/>
          <w:lang w:val="en-US"/>
        </w:rPr>
        <w:t>Journal of Economic Growth</w:t>
      </w:r>
      <w:r w:rsidRPr="00B8426C">
        <w:rPr>
          <w:rFonts w:ascii="Arial" w:hAnsi="Arial" w:cs="Arial"/>
          <w:noProof/>
          <w:szCs w:val="24"/>
          <w:lang w:val="en-US"/>
        </w:rPr>
        <w:t xml:space="preserve">, v. 3, n. 2, p. 111–130, 1998. </w:t>
      </w:r>
    </w:p>
    <w:p w:rsidR="00EE3664" w:rsidRPr="00B8426C" w:rsidRDefault="00EE3664" w:rsidP="00EE3664">
      <w:pPr>
        <w:widowControl w:val="0"/>
        <w:autoSpaceDE w:val="0"/>
        <w:autoSpaceDN w:val="0"/>
        <w:adjustRightInd w:val="0"/>
        <w:spacing w:before="120" w:after="120"/>
        <w:rPr>
          <w:rFonts w:ascii="Arial" w:hAnsi="Arial" w:cs="Arial"/>
          <w:noProof/>
          <w:szCs w:val="24"/>
          <w:lang w:val="en-US"/>
        </w:rPr>
      </w:pPr>
      <w:r w:rsidRPr="00B8426C">
        <w:rPr>
          <w:rFonts w:ascii="Arial" w:hAnsi="Arial" w:cs="Arial"/>
          <w:noProof/>
          <w:szCs w:val="24"/>
          <w:lang w:val="en-US"/>
        </w:rPr>
        <w:t xml:space="preserve">HOWITT, P.; WEIL, D. N. economic growth. In: DURLAUF, S. N.; BLUME, L. E. (Eds.). . </w:t>
      </w:r>
      <w:r w:rsidRPr="00B8426C">
        <w:rPr>
          <w:rFonts w:ascii="Arial" w:hAnsi="Arial" w:cs="Arial"/>
          <w:b/>
          <w:bCs/>
          <w:noProof/>
          <w:szCs w:val="24"/>
          <w:lang w:val="en-US"/>
        </w:rPr>
        <w:t>The New Palgrave Dictionary of Economics</w:t>
      </w:r>
      <w:r w:rsidRPr="00B8426C">
        <w:rPr>
          <w:rFonts w:ascii="Arial" w:hAnsi="Arial" w:cs="Arial"/>
          <w:noProof/>
          <w:szCs w:val="24"/>
          <w:lang w:val="en-US"/>
        </w:rPr>
        <w:t xml:space="preserve">. Basingstoke: Palgrave Macmillan, 2008. </w:t>
      </w:r>
    </w:p>
    <w:p w:rsidR="00EE3664" w:rsidRPr="00B8426C" w:rsidRDefault="00EE3664" w:rsidP="00EE3664">
      <w:pPr>
        <w:widowControl w:val="0"/>
        <w:autoSpaceDE w:val="0"/>
        <w:autoSpaceDN w:val="0"/>
        <w:adjustRightInd w:val="0"/>
        <w:spacing w:before="120" w:after="120"/>
        <w:rPr>
          <w:rFonts w:ascii="Arial" w:hAnsi="Arial" w:cs="Arial"/>
          <w:noProof/>
          <w:szCs w:val="24"/>
          <w:lang w:val="en-US"/>
        </w:rPr>
      </w:pPr>
      <w:r w:rsidRPr="00B8426C">
        <w:rPr>
          <w:rFonts w:ascii="Arial" w:hAnsi="Arial" w:cs="Arial"/>
          <w:noProof/>
          <w:szCs w:val="24"/>
          <w:lang w:val="en-US"/>
        </w:rPr>
        <w:t xml:space="preserve">IM, F. G.; ROSENBLATT, D. Middle-Income Traps A Conceptual and Empirical Survey. </w:t>
      </w:r>
      <w:r w:rsidRPr="00B8426C">
        <w:rPr>
          <w:rFonts w:ascii="Arial" w:hAnsi="Arial" w:cs="Arial"/>
          <w:b/>
          <w:bCs/>
          <w:noProof/>
          <w:szCs w:val="24"/>
          <w:lang w:val="en-US"/>
        </w:rPr>
        <w:t>Policy Research Working Paper 6594</w:t>
      </w:r>
      <w:r w:rsidRPr="00B8426C">
        <w:rPr>
          <w:rFonts w:ascii="Arial" w:hAnsi="Arial" w:cs="Arial"/>
          <w:noProof/>
          <w:szCs w:val="24"/>
          <w:lang w:val="en-US"/>
        </w:rPr>
        <w:t xml:space="preserve">, n. September, 2013. </w:t>
      </w:r>
    </w:p>
    <w:p w:rsidR="00EE3664" w:rsidRPr="00B8426C" w:rsidRDefault="00EE3664" w:rsidP="00EE3664">
      <w:pPr>
        <w:widowControl w:val="0"/>
        <w:autoSpaceDE w:val="0"/>
        <w:autoSpaceDN w:val="0"/>
        <w:adjustRightInd w:val="0"/>
        <w:spacing w:before="120" w:after="120"/>
        <w:rPr>
          <w:rFonts w:ascii="Arial" w:hAnsi="Arial" w:cs="Arial"/>
          <w:noProof/>
          <w:szCs w:val="24"/>
          <w:lang w:val="en-US"/>
        </w:rPr>
      </w:pPr>
      <w:r w:rsidRPr="00B8426C">
        <w:rPr>
          <w:rFonts w:ascii="Arial" w:hAnsi="Arial" w:cs="Arial"/>
          <w:noProof/>
          <w:szCs w:val="24"/>
          <w:lang w:val="en-US"/>
        </w:rPr>
        <w:t xml:space="preserve">OCDE. Funding and Company Behaviour: Measuring Behavioural Additionality. </w:t>
      </w:r>
      <w:r w:rsidRPr="00B8426C">
        <w:rPr>
          <w:rFonts w:ascii="Arial" w:hAnsi="Arial" w:cs="Arial"/>
          <w:b/>
          <w:bCs/>
          <w:noProof/>
          <w:szCs w:val="24"/>
          <w:lang w:val="en-US"/>
        </w:rPr>
        <w:t>OCDE Publishing</w:t>
      </w:r>
      <w:r w:rsidRPr="00B8426C">
        <w:rPr>
          <w:rFonts w:ascii="Arial" w:hAnsi="Arial" w:cs="Arial"/>
          <w:noProof/>
          <w:szCs w:val="24"/>
          <w:lang w:val="en-US"/>
        </w:rPr>
        <w:t xml:space="preserve">, 2006. </w:t>
      </w:r>
    </w:p>
    <w:p w:rsidR="00EE3664" w:rsidRPr="00B8426C" w:rsidRDefault="00EE3664" w:rsidP="00EE3664">
      <w:pPr>
        <w:widowControl w:val="0"/>
        <w:autoSpaceDE w:val="0"/>
        <w:autoSpaceDN w:val="0"/>
        <w:adjustRightInd w:val="0"/>
        <w:spacing w:before="120" w:after="120"/>
        <w:rPr>
          <w:rFonts w:ascii="Arial" w:hAnsi="Arial" w:cs="Arial"/>
          <w:noProof/>
          <w:szCs w:val="24"/>
          <w:lang w:val="en-US"/>
        </w:rPr>
      </w:pPr>
      <w:r w:rsidRPr="00B8426C">
        <w:rPr>
          <w:rFonts w:ascii="Arial" w:hAnsi="Arial" w:cs="Arial"/>
          <w:noProof/>
          <w:szCs w:val="24"/>
          <w:lang w:val="en-US"/>
        </w:rPr>
        <w:t xml:space="preserve">ROMER, P. M. Increasing returns and long-run growth. </w:t>
      </w:r>
      <w:r w:rsidRPr="00B8426C">
        <w:rPr>
          <w:rFonts w:ascii="Arial" w:hAnsi="Arial" w:cs="Arial"/>
          <w:b/>
          <w:bCs/>
          <w:noProof/>
          <w:szCs w:val="24"/>
          <w:lang w:val="en-US"/>
        </w:rPr>
        <w:t>Journal of Political Economy</w:t>
      </w:r>
      <w:r w:rsidRPr="00B8426C">
        <w:rPr>
          <w:rFonts w:ascii="Arial" w:hAnsi="Arial" w:cs="Arial"/>
          <w:noProof/>
          <w:szCs w:val="24"/>
          <w:lang w:val="en-US"/>
        </w:rPr>
        <w:t xml:space="preserve">, v. 95, p. 1002–37, 1986. </w:t>
      </w:r>
    </w:p>
    <w:p w:rsidR="00EE3664" w:rsidRPr="00B8426C" w:rsidRDefault="00EE3664" w:rsidP="00EE3664">
      <w:pPr>
        <w:widowControl w:val="0"/>
        <w:autoSpaceDE w:val="0"/>
        <w:autoSpaceDN w:val="0"/>
        <w:adjustRightInd w:val="0"/>
        <w:spacing w:before="120" w:after="120"/>
        <w:rPr>
          <w:rFonts w:ascii="Arial" w:hAnsi="Arial" w:cs="Arial"/>
          <w:noProof/>
          <w:szCs w:val="24"/>
          <w:lang w:val="en-US"/>
        </w:rPr>
      </w:pPr>
      <w:r w:rsidRPr="00B8426C">
        <w:rPr>
          <w:rFonts w:ascii="Arial" w:hAnsi="Arial" w:cs="Arial"/>
          <w:noProof/>
          <w:szCs w:val="24"/>
          <w:lang w:val="en-US"/>
        </w:rPr>
        <w:t xml:space="preserve">ROMER, P. M. Endogenous Technological Change. </w:t>
      </w:r>
      <w:r w:rsidRPr="00B8426C">
        <w:rPr>
          <w:rFonts w:ascii="Arial" w:hAnsi="Arial" w:cs="Arial"/>
          <w:b/>
          <w:bCs/>
          <w:noProof/>
          <w:szCs w:val="24"/>
          <w:lang w:val="en-US"/>
        </w:rPr>
        <w:t>Journal of Political Economy</w:t>
      </w:r>
      <w:r w:rsidRPr="00B8426C">
        <w:rPr>
          <w:rFonts w:ascii="Arial" w:hAnsi="Arial" w:cs="Arial"/>
          <w:noProof/>
          <w:szCs w:val="24"/>
          <w:lang w:val="en-US"/>
        </w:rPr>
        <w:t xml:space="preserve">, v. 98, n. 5, Part 2, p. S71–S102, out. 1990. </w:t>
      </w:r>
    </w:p>
    <w:p w:rsidR="00EE3664" w:rsidRPr="00B8426C" w:rsidRDefault="00EE3664" w:rsidP="00EE3664">
      <w:pPr>
        <w:widowControl w:val="0"/>
        <w:autoSpaceDE w:val="0"/>
        <w:autoSpaceDN w:val="0"/>
        <w:adjustRightInd w:val="0"/>
        <w:spacing w:before="120" w:after="120"/>
        <w:rPr>
          <w:rFonts w:ascii="Arial" w:hAnsi="Arial" w:cs="Arial"/>
          <w:noProof/>
          <w:szCs w:val="24"/>
          <w:lang w:val="en-US"/>
        </w:rPr>
      </w:pPr>
      <w:r w:rsidRPr="00B8426C">
        <w:rPr>
          <w:rFonts w:ascii="Arial" w:hAnsi="Arial" w:cs="Arial"/>
          <w:noProof/>
          <w:szCs w:val="24"/>
          <w:lang w:val="en-US"/>
        </w:rPr>
        <w:t xml:space="preserve">SOLOW, R. M. A contribution to the theory of economic growth. </w:t>
      </w:r>
      <w:r w:rsidRPr="00B8426C">
        <w:rPr>
          <w:rFonts w:ascii="Arial" w:hAnsi="Arial" w:cs="Arial"/>
          <w:b/>
          <w:bCs/>
          <w:noProof/>
          <w:szCs w:val="24"/>
          <w:lang w:val="en-US"/>
        </w:rPr>
        <w:t>The Quarterly Journal of Econometrics</w:t>
      </w:r>
      <w:r w:rsidRPr="00B8426C">
        <w:rPr>
          <w:rFonts w:ascii="Arial" w:hAnsi="Arial" w:cs="Arial"/>
          <w:noProof/>
          <w:szCs w:val="24"/>
          <w:lang w:val="en-US"/>
        </w:rPr>
        <w:t xml:space="preserve">, v. 70, p. 65–94, 1956. </w:t>
      </w:r>
    </w:p>
    <w:p w:rsidR="00EE3664" w:rsidRPr="00B8426C" w:rsidRDefault="00EE3664" w:rsidP="00EE3664">
      <w:pPr>
        <w:widowControl w:val="0"/>
        <w:autoSpaceDE w:val="0"/>
        <w:autoSpaceDN w:val="0"/>
        <w:adjustRightInd w:val="0"/>
        <w:spacing w:before="120" w:after="120"/>
        <w:rPr>
          <w:rFonts w:ascii="Arial" w:hAnsi="Arial" w:cs="Arial"/>
          <w:noProof/>
        </w:rPr>
      </w:pPr>
      <w:r w:rsidRPr="00B8426C">
        <w:rPr>
          <w:rFonts w:ascii="Arial" w:hAnsi="Arial" w:cs="Arial"/>
          <w:noProof/>
          <w:szCs w:val="24"/>
          <w:lang w:val="en-US"/>
        </w:rPr>
        <w:t xml:space="preserve">WEF. </w:t>
      </w:r>
      <w:r w:rsidRPr="00B8426C">
        <w:rPr>
          <w:rFonts w:ascii="Arial" w:hAnsi="Arial" w:cs="Arial"/>
          <w:b/>
          <w:bCs/>
          <w:noProof/>
          <w:szCs w:val="24"/>
          <w:lang w:val="en-US"/>
        </w:rPr>
        <w:t>The Global Competitiveness Report 2016–2017</w:t>
      </w:r>
      <w:r w:rsidRPr="00B8426C">
        <w:rPr>
          <w:rFonts w:ascii="Arial" w:hAnsi="Arial" w:cs="Arial"/>
          <w:noProof/>
          <w:szCs w:val="24"/>
          <w:lang w:val="en-US"/>
        </w:rPr>
        <w:t xml:space="preserve">. </w:t>
      </w:r>
      <w:r w:rsidRPr="00B8426C">
        <w:rPr>
          <w:rFonts w:ascii="Arial" w:hAnsi="Arial" w:cs="Arial"/>
          <w:noProof/>
          <w:szCs w:val="24"/>
        </w:rPr>
        <w:t xml:space="preserve">[s.l: s.n.]. </w:t>
      </w:r>
    </w:p>
    <w:p w:rsidR="005C6378" w:rsidRPr="00B8426C" w:rsidRDefault="00BF542B" w:rsidP="00EE3664">
      <w:pPr>
        <w:widowControl w:val="0"/>
        <w:autoSpaceDE w:val="0"/>
        <w:autoSpaceDN w:val="0"/>
        <w:adjustRightInd w:val="0"/>
        <w:spacing w:before="120" w:after="120"/>
        <w:rPr>
          <w:rFonts w:ascii="Arial" w:hAnsi="Arial" w:cs="Arial"/>
          <w:szCs w:val="24"/>
        </w:rPr>
      </w:pPr>
      <w:r w:rsidRPr="00B8426C">
        <w:rPr>
          <w:rFonts w:ascii="Arial" w:hAnsi="Arial" w:cs="Arial"/>
          <w:szCs w:val="24"/>
        </w:rPr>
        <w:fldChar w:fldCharType="end"/>
      </w:r>
    </w:p>
    <w:p w:rsidR="00AB7290" w:rsidRPr="00B8426C" w:rsidRDefault="00AB7290" w:rsidP="0018309B">
      <w:pPr>
        <w:pStyle w:val="Heading1"/>
        <w:numPr>
          <w:ilvl w:val="0"/>
          <w:numId w:val="0"/>
        </w:numPr>
        <w:spacing w:before="0" w:after="0"/>
        <w:rPr>
          <w:rFonts w:cs="Arial"/>
          <w:smallCaps/>
          <w:szCs w:val="24"/>
          <w:lang w:val="en-US"/>
        </w:rPr>
      </w:pPr>
    </w:p>
    <w:sectPr w:rsidR="00AB7290" w:rsidRPr="00B8426C" w:rsidSect="00B75D25">
      <w:pgSz w:w="11907" w:h="16839"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555" w:rsidRDefault="005A6555">
      <w:r>
        <w:separator/>
      </w:r>
    </w:p>
  </w:endnote>
  <w:endnote w:type="continuationSeparator" w:id="0">
    <w:p w:rsidR="005A6555" w:rsidRDefault="005A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utiger">
    <w:altName w:val="Frutiger"/>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w:altName w:val="Frutiger LT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687086"/>
      <w:docPartObj>
        <w:docPartGallery w:val="Page Numbers (Bottom of Page)"/>
        <w:docPartUnique/>
      </w:docPartObj>
    </w:sdtPr>
    <w:sdtEndPr>
      <w:rPr>
        <w:noProof/>
      </w:rPr>
    </w:sdtEndPr>
    <w:sdtContent>
      <w:p w:rsidR="00FF51CE" w:rsidRDefault="00FF51CE">
        <w:pPr>
          <w:pStyle w:val="Footer"/>
          <w:jc w:val="right"/>
        </w:pPr>
        <w:r>
          <w:fldChar w:fldCharType="begin"/>
        </w:r>
        <w:r w:rsidRPr="00113597">
          <w:instrText xml:space="preserve"> PAGE   \* MERGEFORMAT </w:instrText>
        </w:r>
        <w:r>
          <w:fldChar w:fldCharType="separate"/>
        </w:r>
        <w:r w:rsidR="00D72E4D">
          <w:rPr>
            <w:noProof/>
          </w:rPr>
          <w:t>7</w:t>
        </w:r>
        <w:r>
          <w:rPr>
            <w:noProof/>
          </w:rPr>
          <w:fldChar w:fldCharType="end"/>
        </w:r>
      </w:p>
    </w:sdtContent>
  </w:sdt>
  <w:p w:rsidR="00FF51CE" w:rsidRDefault="00FF51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4335943"/>
      <w:docPartObj>
        <w:docPartGallery w:val="Page Numbers (Bottom of Page)"/>
        <w:docPartUnique/>
      </w:docPartObj>
    </w:sdtPr>
    <w:sdtEndPr>
      <w:rPr>
        <w:noProof/>
      </w:rPr>
    </w:sdtEndPr>
    <w:sdtContent>
      <w:p w:rsidR="00FF51CE" w:rsidRDefault="00FF51CE">
        <w:pPr>
          <w:pStyle w:val="Footer"/>
          <w:jc w:val="right"/>
        </w:pPr>
        <w:r>
          <w:fldChar w:fldCharType="begin"/>
        </w:r>
        <w:r w:rsidRPr="00B75D25">
          <w:instrText xml:space="preserve"> PAGE   \* MERGEFORMAT </w:instrText>
        </w:r>
        <w:r>
          <w:fldChar w:fldCharType="separate"/>
        </w:r>
        <w:r w:rsidR="00D72E4D">
          <w:rPr>
            <w:noProof/>
          </w:rPr>
          <w:t>26</w:t>
        </w:r>
        <w:r>
          <w:rPr>
            <w:noProof/>
          </w:rPr>
          <w:fldChar w:fldCharType="end"/>
        </w:r>
      </w:p>
    </w:sdtContent>
  </w:sdt>
  <w:p w:rsidR="00FF51CE" w:rsidRDefault="00FF51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688870"/>
      <w:docPartObj>
        <w:docPartGallery w:val="Page Numbers (Bottom of Page)"/>
        <w:docPartUnique/>
      </w:docPartObj>
    </w:sdtPr>
    <w:sdtEndPr>
      <w:rPr>
        <w:noProof/>
      </w:rPr>
    </w:sdtEndPr>
    <w:sdtContent>
      <w:p w:rsidR="00FF51CE" w:rsidRDefault="00FF51CE">
        <w:pPr>
          <w:pStyle w:val="Footer"/>
          <w:jc w:val="right"/>
        </w:pPr>
        <w:r>
          <w:fldChar w:fldCharType="begin"/>
        </w:r>
        <w:r w:rsidRPr="00B75D25">
          <w:instrText xml:space="preserve"> PAGE   \* MERGEFORMAT </w:instrText>
        </w:r>
        <w:r>
          <w:fldChar w:fldCharType="separate"/>
        </w:r>
        <w:r w:rsidR="00D72E4D">
          <w:rPr>
            <w:noProof/>
          </w:rPr>
          <w:t>28</w:t>
        </w:r>
        <w:r>
          <w:rPr>
            <w:noProof/>
          </w:rPr>
          <w:fldChar w:fldCharType="end"/>
        </w:r>
      </w:p>
    </w:sdtContent>
  </w:sdt>
  <w:p w:rsidR="00FF51CE" w:rsidRDefault="00FF51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555" w:rsidRDefault="005A6555">
      <w:r>
        <w:separator/>
      </w:r>
    </w:p>
  </w:footnote>
  <w:footnote w:type="continuationSeparator" w:id="0">
    <w:p w:rsidR="005A6555" w:rsidRDefault="005A6555">
      <w:r>
        <w:continuationSeparator/>
      </w:r>
    </w:p>
  </w:footnote>
  <w:footnote w:id="1">
    <w:p w:rsidR="00FF51CE" w:rsidRPr="00B8426C" w:rsidRDefault="00FF51CE" w:rsidP="00AE118E">
      <w:pPr>
        <w:pStyle w:val="FootnoteText"/>
        <w:jc w:val="left"/>
        <w:rPr>
          <w:lang w:val="pt-BR"/>
        </w:rPr>
      </w:pPr>
      <w:r>
        <w:rPr>
          <w:rStyle w:val="FootnoteReference"/>
        </w:rPr>
        <w:footnoteRef/>
      </w:r>
      <w:r w:rsidRPr="00B8426C">
        <w:rPr>
          <w:lang w:val="pt-BR"/>
        </w:rPr>
        <w:t xml:space="preserve"> As referências neoclássicas fundamentais para a compreensão do efeito das atividades inovativas sobre o crescimento econômico sustentável são os trabalhos de P. Romer, em que o autor mostra que os retornos sociais da pesquisa são superiores aos privados e que uma política de de subsídio para a acumulação de capital humano pode resultas em melhroes resultados de crescimento no futuro   </w:t>
      </w:r>
      <w:r>
        <w:fldChar w:fldCharType="begin" w:fldLock="1"/>
      </w:r>
      <w:r w:rsidRPr="00B8426C">
        <w:rPr>
          <w:lang w:val="pt-BR"/>
        </w:rPr>
        <w:instrText>ADDIN CSL_CITATION { "citationItems" : [ { "id" : "ITEM-1", "itemData" : { "DOI" : "10.1086/261725", "ISBN" : "00223808", "ISSN" : "0022-3808", "PMID" : "12690504", "abstract" : "Growth in this model is driven by technological change that arises from intentional investment decisions made by profit-maximizing agents. The distinguishing feature of the technology as an input is that it is neither a conventional good nor a public good; it is a nonrival, partially excludable good. Because of the nonconvexity introduced by a nonrival good, price-taking competition cannot be supported. Instead, the equilibrium is one with monopolistic competition. The main conclusions are that the stock of human capital determines the rate of growth, that too little human capital is devoted to research in equilibrium, that integration into world markets will increase growth rates, and that having a large population is not sufficient to generate growth.", "author" : [ { "dropping-particle" : "", "family" : "Romer", "given" : "Paul M", "non-dropping-particle" : "", "parse-names" : false, "suffix" : "" } ], "container-title" : "Journal of Political Economy", "id" : "ITEM-1", "issue" : "5, Part 2", "issued" : { "date-parts" : [ [ "1990", "10" ] ] }, "page" : "S71-S102", "title" : "Endogenous Technological Change", "type" : "article-journal", "volume" : "98" }, "uris" : [ "http://www.mendeley.com/documents/?uuid=dee0b532-887a-375c-830c-d67fe774a53a" ] } ], "mendeley" : { "formattedCitation" : "(ROMER, 1990)", "plainTextFormattedCitation" : "(ROMER, 1990)", "previouslyFormattedCitation" : "(ROMER, 1990)" }, "properties" : { "noteIndex" : 0 }, "schema" : "https://github.com/citation-style-language/schema/raw/master/csl-citation.json" }</w:instrText>
      </w:r>
      <w:r>
        <w:fldChar w:fldCharType="separate"/>
      </w:r>
      <w:r w:rsidRPr="00B8426C">
        <w:rPr>
          <w:noProof/>
          <w:lang w:val="pt-BR"/>
        </w:rPr>
        <w:t>(ROMER, 1990)</w:t>
      </w:r>
      <w:r>
        <w:fldChar w:fldCharType="end"/>
      </w:r>
      <w:r w:rsidRPr="00B8426C">
        <w:rPr>
          <w:lang w:val="pt-BR"/>
        </w:rPr>
        <w:t>. Ainda nesta linha,  Grossman e Helpman</w:t>
      </w:r>
      <w:r w:rsidR="004B1B17" w:rsidRPr="00B8426C">
        <w:rPr>
          <w:lang w:val="pt-BR"/>
        </w:rPr>
        <w:t xml:space="preserve"> (1991)</w:t>
      </w:r>
      <w:r w:rsidR="009A178A" w:rsidRPr="00B8426C">
        <w:rPr>
          <w:lang w:val="pt-BR"/>
        </w:rPr>
        <w:t xml:space="preserve"> mostram que a taxa de crescimento responde a incentivos lucrativos em atividades de P&amp;D</w:t>
      </w:r>
      <w:r w:rsidR="004B1B17" w:rsidRPr="00B8426C">
        <w:rPr>
          <w:lang w:val="pt-BR"/>
        </w:rPr>
        <w:t>, enquanto Aghion e Howitt (1992) desenvolvem um modelo de crescimento de destruição critiva em que a taxa esperada de crescimento da economía depende da</w:t>
      </w:r>
      <w:r w:rsidR="00764726" w:rsidRPr="00B8426C">
        <w:rPr>
          <w:lang w:val="pt-BR"/>
        </w:rPr>
        <w:t xml:space="preserve"> força de tabalho qualifidaca, das inovações e da produtividade da atividade de pesquisa</w:t>
      </w:r>
      <w:r w:rsidR="00EE3664" w:rsidRPr="00B8426C">
        <w:rPr>
          <w:lang w:val="pt-BR"/>
        </w:rPr>
        <w:t xml:space="preserve"> </w:t>
      </w:r>
      <w:r w:rsidR="00EE3664">
        <w:fldChar w:fldCharType="begin" w:fldLock="1"/>
      </w:r>
      <w:r w:rsidR="00EE3664" w:rsidRPr="00B8426C">
        <w:rPr>
          <w:lang w:val="pt-BR"/>
        </w:rPr>
        <w:instrText>ADDIN CSL_CITATION { "citationItems" : [ { "id" : "ITEM-1", "itemData" : { "DOI" : "10.3386/w3223", "abstract" : "A model of endogenous growth is developed in which vertical innovations, generated by a competitive research sector, constitute the underlying source of growth. Equilibrium is determined by a forward-looking difference equation, according to which the amount of research in any period depends upon the expected amount of research next period. One source of this intertemporal relationship is creative destruction. That is, the prospect of more future research discourages current research by threatening to destroy the rents created by current research. The paper analyzes the positive and normative properties of stationary equilibria, in which research employment is constant and GNP follows a random walk with drift, although under some circumstances cyclical equilibria also exist. Both the average growth rate and the variance of the growth rate are increasing functions of the size of innovations, the size of the skilled labor force, and the productivity of research as measured by a parameter indicatin</w:instrText>
      </w:r>
      <w:r w:rsidR="00EE3664">
        <w:instrText>g the effect of research on the Poisson arrival rate of innovations; and decreasing functions of the rate of time preference of the representative individual. Under laissez faire the economy's growth rate may be more or less than optimal because, in addition to the appropriability and intertemporal spill</w:instrText>
      </w:r>
      <w:r w:rsidR="00EE3664" w:rsidRPr="00B8426C">
        <w:rPr>
          <w:lang w:val="pt-BR"/>
        </w:rPr>
        <w:instrText>over effects of other endogenous growth models, which tend to make growth slower than optimal, the model also has effects that work in the opposite direction. In particular, the fact that private research firms do not internalize the destruction of rents generated by their innovations introduces a business-stealing effect similar to that found in the partial-equilibrium patent race literature. When we endogenize the size of innovations we find that business stealing also makes innovations too small.", "author" : [ { "dropping-particle" : "", "family" : "Aghion", "given" : "Philippe", "non-dropping-particle" : "", "parse-names" : false, "suffix" : "" }, { "dropping-particle" : "", "family" : "Howirrt", "given" : "Peter", "non-dropping-particle" : "", "parse-names" : false, "suffix" : "" } ], "container-title" : "Econometrica", "id" : "ITEM-1", "issue" : "2", "issued" : { "date-parts" : [ [ "1992" ] ] }, "page" : "323-351", "title" : "A Model of Growth Through Creative Destruction", "type" : "article-journal", "volume" : "60" }, "uris" : [ "http://www.mendeley.com/documents/?uuid=8dbee6a6-ed89-3930-a967-230a3089ca17" ] } ], "mendeley" : { "formattedCitation" : "(AGHION; HOWIRRT, 1992)", "manualFormatting" : "(AGHION; HOWITT, 1992)", "plainTextFormattedCitation" : "(AGHION; HOWIRRT, 1992)", "previouslyFormattedCitation" : "(AGHION; HOWIRRT, 1992)" }, "properties" : { "noteIndex" : 0 }, "schema" : "https://github.com/citation-style-language/schema/raw/master/csl-citation.json" }</w:instrText>
      </w:r>
      <w:r w:rsidR="00EE3664">
        <w:fldChar w:fldCharType="separate"/>
      </w:r>
      <w:r w:rsidR="00EE3664" w:rsidRPr="00B8426C">
        <w:rPr>
          <w:noProof/>
          <w:lang w:val="pt-BR"/>
        </w:rPr>
        <w:t>(AGHION; HOWITT, 1992)</w:t>
      </w:r>
      <w:r w:rsidR="00EE3664">
        <w:fldChar w:fldCharType="end"/>
      </w:r>
      <w:r w:rsidR="00764726" w:rsidRPr="00B8426C">
        <w:rPr>
          <w:lang w:val="pt-BR"/>
        </w:rPr>
        <w:t>.</w:t>
      </w:r>
      <w:r w:rsidRPr="00B8426C">
        <w:rPr>
          <w:lang w:val="pt-BR"/>
        </w:rPr>
        <w:t xml:space="preserve"> </w:t>
      </w:r>
      <w:r w:rsidRPr="00B8426C">
        <w:rPr>
          <w:szCs w:val="24"/>
          <w:lang w:val="pt-BR"/>
        </w:rPr>
        <w:t xml:space="preserve">Mais recentemente, as fontes mais profundas de diferenciais de crescimento de longo prazo, e, em última instância, bem-estar social, têm sido buscadas em fatores institucionais e culturais, inclusive </w:t>
      </w:r>
      <w:r w:rsidRPr="00AE118E">
        <w:rPr>
          <w:szCs w:val="24"/>
        </w:rPr>
        <w:fldChar w:fldCharType="begin" w:fldLock="1"/>
      </w:r>
      <w:r w:rsidRPr="00B8426C">
        <w:rPr>
          <w:szCs w:val="24"/>
          <w:lang w:val="pt-BR"/>
        </w:rPr>
        <w:instrText>ADDIN CSL_CITATION { "citationItems" : [ { "id" : "ITEM-1", "itemData" : { "DOI" : "10.1057/9780230226203.0432", "author" : [ { "dropping-particle" : "", "family" : "Howitt", "given" : "Peter", "non-dropping-particle" : "", "parse-names" : false, "suffix" : "" }, { "dropping-particle" : "", "family" : "Weil", "given" : "David N", "non-dropping-particle" : "", "parse-names" : false, "suffix" : "" } ], "container-title" : "The New Palgrave Dictionary of Economics", "editor" : [ { "dropping-particle" : "", "family" : "Durlauf", "given" : "Steven N", "non-dropping-particle" : "", "parse-names" : false, "suffix" : "" }, { "dropping-particle" : "", "family" : "Blume", "given" : "Lawrence E", "non-dropping-particle" : "", "parse-names" : false, "suffix" : "" } ], "id" : "ITEM-1", "issued" : { "date-parts" : [ [ "2008" ] ] }, "note" : "From Duplicate 2 (economic growth - Howitt, Peter; Weil, David N)\n\nFrom Duplicate 1 ( economic growth - Howitt, Peter; Weil, David N )\n", "publisher" : "Palgrave Macmillan", "publisher-place" : "Basingstoke", "title" : "economic growth", "type" : "chapter" }, "uris" : [ "http://www.mendeley.com/documents/?uuid=456705b9-d78d-49c6-b1ab-7868a2c3fe50" ] } ], "mendeley" : { "formattedCitation" : "(HOWITT; WEIL, 2008)", "plainTextFormattedCitation" : "(HOWITT; WEIL, 2008)", "previouslyFormattedCitation" : "(HOWITT; WEIL, 2008)" }, "properties" : { "noteIndex" : 0 }, "schema" : "https://github.com/citation-style-language/schema/raw/master/csl-citation.json" }</w:instrText>
      </w:r>
      <w:r w:rsidRPr="00AE118E">
        <w:rPr>
          <w:szCs w:val="24"/>
        </w:rPr>
        <w:fldChar w:fldCharType="separate"/>
      </w:r>
      <w:r w:rsidRPr="00B8426C">
        <w:rPr>
          <w:noProof/>
          <w:szCs w:val="24"/>
          <w:lang w:val="pt-BR"/>
        </w:rPr>
        <w:t>(HOWITT; WEIL, 2008)</w:t>
      </w:r>
      <w:r w:rsidRPr="00AE118E">
        <w:rPr>
          <w:szCs w:val="24"/>
        </w:rPr>
        <w:fldChar w:fldCharType="end"/>
      </w:r>
      <w:r w:rsidRPr="00B8426C">
        <w:rPr>
          <w:rFonts w:ascii="Calibri Light" w:hAnsi="Calibri Light"/>
          <w:szCs w:val="24"/>
          <w:lang w:val="pt-B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B71C0"/>
    <w:multiLevelType w:val="multilevel"/>
    <w:tmpl w:val="3F68F7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12477303"/>
    <w:multiLevelType w:val="multilevel"/>
    <w:tmpl w:val="46524824"/>
    <w:lvl w:ilvl="0">
      <w:start w:val="5"/>
      <w:numFmt w:val="decimal"/>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315F35EE"/>
    <w:multiLevelType w:val="multilevel"/>
    <w:tmpl w:val="4776E14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78F1D34"/>
    <w:multiLevelType w:val="multilevel"/>
    <w:tmpl w:val="C76867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106B46"/>
    <w:multiLevelType w:val="hybridMultilevel"/>
    <w:tmpl w:val="2EC45FA4"/>
    <w:lvl w:ilvl="0" w:tplc="20B8BA94">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DE37639"/>
    <w:multiLevelType w:val="multilevel"/>
    <w:tmpl w:val="8BAA99C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8834DC"/>
    <w:multiLevelType w:val="multilevel"/>
    <w:tmpl w:val="46524824"/>
    <w:lvl w:ilvl="0">
      <w:start w:val="5"/>
      <w:numFmt w:val="decimal"/>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AB36A06"/>
    <w:multiLevelType w:val="multilevel"/>
    <w:tmpl w:val="B5307F56"/>
    <w:lvl w:ilvl="0">
      <w:start w:val="4"/>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7A93EB0"/>
    <w:multiLevelType w:val="multilevel"/>
    <w:tmpl w:val="5034470A"/>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1026"/>
        </w:tabs>
        <w:ind w:left="1026" w:hanging="1296"/>
      </w:pPr>
    </w:lvl>
    <w:lvl w:ilvl="2">
      <w:start w:val="1"/>
      <w:numFmt w:val="lowerLetter"/>
      <w:pStyle w:val="subpar"/>
      <w:lvlText w:val="%3."/>
      <w:lvlJc w:val="left"/>
      <w:pPr>
        <w:tabs>
          <w:tab w:val="num" w:pos="882"/>
        </w:tabs>
        <w:ind w:left="882" w:hanging="432"/>
      </w:pPr>
    </w:lvl>
    <w:lvl w:ilvl="3">
      <w:start w:val="1"/>
      <w:numFmt w:val="lowerRoman"/>
      <w:pStyle w:val="SubSubPar"/>
      <w:lvlText w:val="%4."/>
      <w:lvlJc w:val="right"/>
      <w:pPr>
        <w:tabs>
          <w:tab w:val="num" w:pos="1314"/>
        </w:tabs>
        <w:ind w:left="1314" w:hanging="288"/>
      </w:pPr>
    </w:lvl>
    <w:lvl w:ilvl="4">
      <w:start w:val="1"/>
      <w:numFmt w:val="decimal"/>
      <w:lvlText w:val="%1.%2.%3.%4.%5"/>
      <w:lvlJc w:val="left"/>
      <w:pPr>
        <w:ind w:left="738" w:hanging="1008"/>
      </w:pPr>
    </w:lvl>
    <w:lvl w:ilvl="5">
      <w:start w:val="1"/>
      <w:numFmt w:val="decimal"/>
      <w:lvlText w:val="%1.%2.%3.%4.%5.%6"/>
      <w:lvlJc w:val="left"/>
      <w:pPr>
        <w:ind w:left="882" w:hanging="1152"/>
      </w:pPr>
    </w:lvl>
    <w:lvl w:ilvl="6">
      <w:start w:val="1"/>
      <w:numFmt w:val="decimal"/>
      <w:lvlText w:val="%1.%2.%3.%4.%5.%6.%7"/>
      <w:lvlJc w:val="left"/>
      <w:pPr>
        <w:ind w:left="1026" w:hanging="1296"/>
      </w:pPr>
    </w:lvl>
    <w:lvl w:ilvl="7">
      <w:start w:val="1"/>
      <w:numFmt w:val="decimal"/>
      <w:lvlText w:val="%1.%2.%3.%4.%5.%6.%7.%8"/>
      <w:lvlJc w:val="left"/>
      <w:pPr>
        <w:ind w:left="1170" w:hanging="1440"/>
      </w:pPr>
    </w:lvl>
    <w:lvl w:ilvl="8">
      <w:start w:val="1"/>
      <w:numFmt w:val="decimal"/>
      <w:lvlText w:val="%1.%2.%3.%4.%5.%6.%7.%8.%9"/>
      <w:lvlJc w:val="left"/>
      <w:pPr>
        <w:ind w:left="1314" w:hanging="1584"/>
      </w:pPr>
    </w:lvl>
  </w:abstractNum>
  <w:abstractNum w:abstractNumId="9" w15:restartNumberingAfterBreak="0">
    <w:nsid w:val="5A331D1A"/>
    <w:multiLevelType w:val="multilevel"/>
    <w:tmpl w:val="EE6C26E6"/>
    <w:lvl w:ilvl="0">
      <w:start w:val="7"/>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63190194"/>
    <w:multiLevelType w:val="multilevel"/>
    <w:tmpl w:val="C76867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6E47A32"/>
    <w:multiLevelType w:val="multilevel"/>
    <w:tmpl w:val="57C451B4"/>
    <w:lvl w:ilvl="0">
      <w:start w:val="4"/>
      <w:numFmt w:val="decimal"/>
      <w:lvlText w:val="%1"/>
      <w:lvlJc w:val="left"/>
      <w:pPr>
        <w:tabs>
          <w:tab w:val="num" w:pos="432"/>
        </w:tabs>
        <w:ind w:left="432" w:hanging="432"/>
      </w:pPr>
      <w:rPr>
        <w:rFonts w:hint="default"/>
      </w:rPr>
    </w:lvl>
    <w:lvl w:ilvl="1">
      <w:start w:val="4"/>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1B635D2"/>
    <w:multiLevelType w:val="hybridMultilevel"/>
    <w:tmpl w:val="ED823D6E"/>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13" w15:restartNumberingAfterBreak="0">
    <w:nsid w:val="7D201A49"/>
    <w:multiLevelType w:val="multilevel"/>
    <w:tmpl w:val="B5307F56"/>
    <w:lvl w:ilvl="0">
      <w:start w:val="4"/>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D8A5AD2"/>
    <w:multiLevelType w:val="hybridMultilevel"/>
    <w:tmpl w:val="CE508A96"/>
    <w:lvl w:ilvl="0" w:tplc="2012CE2E">
      <w:start w:val="1"/>
      <w:numFmt w:val="bullet"/>
      <w:lvlText w:val="•"/>
      <w:lvlJc w:val="left"/>
      <w:pPr>
        <w:tabs>
          <w:tab w:val="num" w:pos="720"/>
        </w:tabs>
        <w:ind w:left="720" w:hanging="360"/>
      </w:pPr>
      <w:rPr>
        <w:rFonts w:ascii="Arial" w:hAnsi="Arial" w:hint="default"/>
      </w:rPr>
    </w:lvl>
    <w:lvl w:ilvl="1" w:tplc="589A80DA">
      <w:start w:val="1"/>
      <w:numFmt w:val="bullet"/>
      <w:lvlText w:val="•"/>
      <w:lvlJc w:val="left"/>
      <w:pPr>
        <w:tabs>
          <w:tab w:val="num" w:pos="1440"/>
        </w:tabs>
        <w:ind w:left="1440" w:hanging="360"/>
      </w:pPr>
      <w:rPr>
        <w:rFonts w:ascii="Arial" w:hAnsi="Arial" w:hint="default"/>
      </w:rPr>
    </w:lvl>
    <w:lvl w:ilvl="2" w:tplc="B5DAE062" w:tentative="1">
      <w:start w:val="1"/>
      <w:numFmt w:val="bullet"/>
      <w:lvlText w:val="•"/>
      <w:lvlJc w:val="left"/>
      <w:pPr>
        <w:tabs>
          <w:tab w:val="num" w:pos="2160"/>
        </w:tabs>
        <w:ind w:left="2160" w:hanging="360"/>
      </w:pPr>
      <w:rPr>
        <w:rFonts w:ascii="Arial" w:hAnsi="Arial" w:hint="default"/>
      </w:rPr>
    </w:lvl>
    <w:lvl w:ilvl="3" w:tplc="A70AB250" w:tentative="1">
      <w:start w:val="1"/>
      <w:numFmt w:val="bullet"/>
      <w:lvlText w:val="•"/>
      <w:lvlJc w:val="left"/>
      <w:pPr>
        <w:tabs>
          <w:tab w:val="num" w:pos="2880"/>
        </w:tabs>
        <w:ind w:left="2880" w:hanging="360"/>
      </w:pPr>
      <w:rPr>
        <w:rFonts w:ascii="Arial" w:hAnsi="Arial" w:hint="default"/>
      </w:rPr>
    </w:lvl>
    <w:lvl w:ilvl="4" w:tplc="1E8C676C" w:tentative="1">
      <w:start w:val="1"/>
      <w:numFmt w:val="bullet"/>
      <w:lvlText w:val="•"/>
      <w:lvlJc w:val="left"/>
      <w:pPr>
        <w:tabs>
          <w:tab w:val="num" w:pos="3600"/>
        </w:tabs>
        <w:ind w:left="3600" w:hanging="360"/>
      </w:pPr>
      <w:rPr>
        <w:rFonts w:ascii="Arial" w:hAnsi="Arial" w:hint="default"/>
      </w:rPr>
    </w:lvl>
    <w:lvl w:ilvl="5" w:tplc="35D479CA" w:tentative="1">
      <w:start w:val="1"/>
      <w:numFmt w:val="bullet"/>
      <w:lvlText w:val="•"/>
      <w:lvlJc w:val="left"/>
      <w:pPr>
        <w:tabs>
          <w:tab w:val="num" w:pos="4320"/>
        </w:tabs>
        <w:ind w:left="4320" w:hanging="360"/>
      </w:pPr>
      <w:rPr>
        <w:rFonts w:ascii="Arial" w:hAnsi="Arial" w:hint="default"/>
      </w:rPr>
    </w:lvl>
    <w:lvl w:ilvl="6" w:tplc="B900C908" w:tentative="1">
      <w:start w:val="1"/>
      <w:numFmt w:val="bullet"/>
      <w:lvlText w:val="•"/>
      <w:lvlJc w:val="left"/>
      <w:pPr>
        <w:tabs>
          <w:tab w:val="num" w:pos="5040"/>
        </w:tabs>
        <w:ind w:left="5040" w:hanging="360"/>
      </w:pPr>
      <w:rPr>
        <w:rFonts w:ascii="Arial" w:hAnsi="Arial" w:hint="default"/>
      </w:rPr>
    </w:lvl>
    <w:lvl w:ilvl="7" w:tplc="EF5E70A6" w:tentative="1">
      <w:start w:val="1"/>
      <w:numFmt w:val="bullet"/>
      <w:lvlText w:val="•"/>
      <w:lvlJc w:val="left"/>
      <w:pPr>
        <w:tabs>
          <w:tab w:val="num" w:pos="5760"/>
        </w:tabs>
        <w:ind w:left="5760" w:hanging="360"/>
      </w:pPr>
      <w:rPr>
        <w:rFonts w:ascii="Arial" w:hAnsi="Arial" w:hint="default"/>
      </w:rPr>
    </w:lvl>
    <w:lvl w:ilvl="8" w:tplc="2FFC4D50"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2"/>
  </w:num>
  <w:num w:numId="9">
    <w:abstractNumId w:val="2"/>
  </w:num>
  <w:num w:numId="10">
    <w:abstractNumId w:val="2"/>
  </w:num>
  <w:num w:numId="11">
    <w:abstractNumId w:val="12"/>
  </w:num>
  <w:num w:numId="12">
    <w:abstractNumId w:val="13"/>
  </w:num>
  <w:num w:numId="13">
    <w:abstractNumId w:val="11"/>
  </w:num>
  <w:num w:numId="14">
    <w:abstractNumId w:val="2"/>
  </w:num>
  <w:num w:numId="15">
    <w:abstractNumId w:val="14"/>
  </w:num>
  <w:num w:numId="16">
    <w:abstractNumId w:val="2"/>
  </w:num>
  <w:num w:numId="17">
    <w:abstractNumId w:val="1"/>
  </w:num>
  <w:num w:numId="18">
    <w:abstractNumId w:val="2"/>
  </w:num>
  <w:num w:numId="19">
    <w:abstractNumId w:val="9"/>
  </w:num>
  <w:num w:numId="20">
    <w:abstractNumId w:val="5"/>
  </w:num>
  <w:num w:numId="21">
    <w:abstractNumId w:val="3"/>
  </w:num>
  <w:num w:numId="22">
    <w:abstractNumId w:val="10"/>
  </w:num>
  <w:num w:numId="23">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C7E"/>
    <w:rsid w:val="00002E6C"/>
    <w:rsid w:val="00004F19"/>
    <w:rsid w:val="00006F31"/>
    <w:rsid w:val="000073DD"/>
    <w:rsid w:val="0001117A"/>
    <w:rsid w:val="000141D9"/>
    <w:rsid w:val="000142D6"/>
    <w:rsid w:val="000212A2"/>
    <w:rsid w:val="00023207"/>
    <w:rsid w:val="00024C7A"/>
    <w:rsid w:val="00030830"/>
    <w:rsid w:val="00030C65"/>
    <w:rsid w:val="00031486"/>
    <w:rsid w:val="00034355"/>
    <w:rsid w:val="00035E06"/>
    <w:rsid w:val="00037738"/>
    <w:rsid w:val="00041BB6"/>
    <w:rsid w:val="00044264"/>
    <w:rsid w:val="00045167"/>
    <w:rsid w:val="00045D2D"/>
    <w:rsid w:val="00047C61"/>
    <w:rsid w:val="00047E4C"/>
    <w:rsid w:val="000530E2"/>
    <w:rsid w:val="000534F4"/>
    <w:rsid w:val="00055464"/>
    <w:rsid w:val="00056374"/>
    <w:rsid w:val="00062BB7"/>
    <w:rsid w:val="000637EE"/>
    <w:rsid w:val="000678E0"/>
    <w:rsid w:val="00070810"/>
    <w:rsid w:val="00071A03"/>
    <w:rsid w:val="00071C17"/>
    <w:rsid w:val="000727E2"/>
    <w:rsid w:val="00077C7E"/>
    <w:rsid w:val="00081969"/>
    <w:rsid w:val="000909CD"/>
    <w:rsid w:val="0009402D"/>
    <w:rsid w:val="00094B23"/>
    <w:rsid w:val="0009744D"/>
    <w:rsid w:val="00097C10"/>
    <w:rsid w:val="000A0CF3"/>
    <w:rsid w:val="000A2DCB"/>
    <w:rsid w:val="000A2E29"/>
    <w:rsid w:val="000A521B"/>
    <w:rsid w:val="000B0082"/>
    <w:rsid w:val="000B1028"/>
    <w:rsid w:val="000B7F44"/>
    <w:rsid w:val="000C5E44"/>
    <w:rsid w:val="000C61CB"/>
    <w:rsid w:val="000C7326"/>
    <w:rsid w:val="000D0657"/>
    <w:rsid w:val="000D16A5"/>
    <w:rsid w:val="000D18CB"/>
    <w:rsid w:val="000D64EB"/>
    <w:rsid w:val="000E0C13"/>
    <w:rsid w:val="000E32CF"/>
    <w:rsid w:val="000E643F"/>
    <w:rsid w:val="000E7AEB"/>
    <w:rsid w:val="000F0CD9"/>
    <w:rsid w:val="000F2337"/>
    <w:rsid w:val="000F5F58"/>
    <w:rsid w:val="000F6B37"/>
    <w:rsid w:val="001007C8"/>
    <w:rsid w:val="00100BB8"/>
    <w:rsid w:val="0010777B"/>
    <w:rsid w:val="00113597"/>
    <w:rsid w:val="001147E1"/>
    <w:rsid w:val="0011602E"/>
    <w:rsid w:val="00117FBC"/>
    <w:rsid w:val="00121897"/>
    <w:rsid w:val="00123D62"/>
    <w:rsid w:val="0012426D"/>
    <w:rsid w:val="00124EA0"/>
    <w:rsid w:val="00130E9F"/>
    <w:rsid w:val="00134077"/>
    <w:rsid w:val="001346F8"/>
    <w:rsid w:val="001349FD"/>
    <w:rsid w:val="0013525D"/>
    <w:rsid w:val="00135917"/>
    <w:rsid w:val="00136A96"/>
    <w:rsid w:val="00137E8F"/>
    <w:rsid w:val="001435F9"/>
    <w:rsid w:val="00143B88"/>
    <w:rsid w:val="001457A0"/>
    <w:rsid w:val="00146A75"/>
    <w:rsid w:val="0014780A"/>
    <w:rsid w:val="001479FE"/>
    <w:rsid w:val="0015134A"/>
    <w:rsid w:val="00151719"/>
    <w:rsid w:val="001530AA"/>
    <w:rsid w:val="001536AD"/>
    <w:rsid w:val="00155206"/>
    <w:rsid w:val="00161A18"/>
    <w:rsid w:val="0016329C"/>
    <w:rsid w:val="0017120F"/>
    <w:rsid w:val="0017203F"/>
    <w:rsid w:val="0017531F"/>
    <w:rsid w:val="00177182"/>
    <w:rsid w:val="00182404"/>
    <w:rsid w:val="001825D0"/>
    <w:rsid w:val="0018309B"/>
    <w:rsid w:val="001862CD"/>
    <w:rsid w:val="00191B63"/>
    <w:rsid w:val="001937F4"/>
    <w:rsid w:val="00193919"/>
    <w:rsid w:val="00193E5A"/>
    <w:rsid w:val="001953A7"/>
    <w:rsid w:val="00197F47"/>
    <w:rsid w:val="001A2DC3"/>
    <w:rsid w:val="001A35EE"/>
    <w:rsid w:val="001A4B05"/>
    <w:rsid w:val="001A588A"/>
    <w:rsid w:val="001A690F"/>
    <w:rsid w:val="001A7981"/>
    <w:rsid w:val="001C4CCA"/>
    <w:rsid w:val="001C55AF"/>
    <w:rsid w:val="001C5ABC"/>
    <w:rsid w:val="001C6939"/>
    <w:rsid w:val="001C697B"/>
    <w:rsid w:val="001D058E"/>
    <w:rsid w:val="001D2585"/>
    <w:rsid w:val="001D6CA3"/>
    <w:rsid w:val="001E009A"/>
    <w:rsid w:val="001E0191"/>
    <w:rsid w:val="001E6FFF"/>
    <w:rsid w:val="001E71C7"/>
    <w:rsid w:val="001E7FA5"/>
    <w:rsid w:val="001F021C"/>
    <w:rsid w:val="001F0AB0"/>
    <w:rsid w:val="001F19CF"/>
    <w:rsid w:val="001F1D14"/>
    <w:rsid w:val="001F25D2"/>
    <w:rsid w:val="001F4E13"/>
    <w:rsid w:val="00204AB9"/>
    <w:rsid w:val="0020622F"/>
    <w:rsid w:val="002077BA"/>
    <w:rsid w:val="00210286"/>
    <w:rsid w:val="00212736"/>
    <w:rsid w:val="002137CE"/>
    <w:rsid w:val="00214901"/>
    <w:rsid w:val="00215FB4"/>
    <w:rsid w:val="00227CD7"/>
    <w:rsid w:val="00227E55"/>
    <w:rsid w:val="00227FD7"/>
    <w:rsid w:val="002325A9"/>
    <w:rsid w:val="0024023D"/>
    <w:rsid w:val="00240EED"/>
    <w:rsid w:val="00246CAE"/>
    <w:rsid w:val="0024703D"/>
    <w:rsid w:val="00254411"/>
    <w:rsid w:val="00260FF3"/>
    <w:rsid w:val="0026344C"/>
    <w:rsid w:val="002748CF"/>
    <w:rsid w:val="00287019"/>
    <w:rsid w:val="0029055B"/>
    <w:rsid w:val="00293481"/>
    <w:rsid w:val="002956A0"/>
    <w:rsid w:val="002A11C5"/>
    <w:rsid w:val="002A18A7"/>
    <w:rsid w:val="002A20BC"/>
    <w:rsid w:val="002A3EE4"/>
    <w:rsid w:val="002A44A8"/>
    <w:rsid w:val="002A6DAB"/>
    <w:rsid w:val="002A7BEA"/>
    <w:rsid w:val="002B1ED6"/>
    <w:rsid w:val="002B31E9"/>
    <w:rsid w:val="002B7D61"/>
    <w:rsid w:val="002C1C74"/>
    <w:rsid w:val="002C4CA5"/>
    <w:rsid w:val="002D37DB"/>
    <w:rsid w:val="002D4C72"/>
    <w:rsid w:val="002D554A"/>
    <w:rsid w:val="002E4C56"/>
    <w:rsid w:val="002E659A"/>
    <w:rsid w:val="002F068D"/>
    <w:rsid w:val="002F78C5"/>
    <w:rsid w:val="003014C0"/>
    <w:rsid w:val="00301CC0"/>
    <w:rsid w:val="00302BFA"/>
    <w:rsid w:val="00310506"/>
    <w:rsid w:val="00310668"/>
    <w:rsid w:val="003153F0"/>
    <w:rsid w:val="0032097D"/>
    <w:rsid w:val="00320A28"/>
    <w:rsid w:val="00320AE0"/>
    <w:rsid w:val="00323896"/>
    <w:rsid w:val="0032438D"/>
    <w:rsid w:val="00330EEE"/>
    <w:rsid w:val="003313CD"/>
    <w:rsid w:val="00331537"/>
    <w:rsid w:val="00332CEA"/>
    <w:rsid w:val="00335E03"/>
    <w:rsid w:val="003371C2"/>
    <w:rsid w:val="00342685"/>
    <w:rsid w:val="00345893"/>
    <w:rsid w:val="00345B17"/>
    <w:rsid w:val="00346550"/>
    <w:rsid w:val="003472F1"/>
    <w:rsid w:val="00351E5C"/>
    <w:rsid w:val="00353BEB"/>
    <w:rsid w:val="00353C95"/>
    <w:rsid w:val="003546A2"/>
    <w:rsid w:val="00357D68"/>
    <w:rsid w:val="00372021"/>
    <w:rsid w:val="00373ED8"/>
    <w:rsid w:val="003765B6"/>
    <w:rsid w:val="00377CB7"/>
    <w:rsid w:val="00381442"/>
    <w:rsid w:val="00381C33"/>
    <w:rsid w:val="00382909"/>
    <w:rsid w:val="00383C1E"/>
    <w:rsid w:val="0038541F"/>
    <w:rsid w:val="00385E7E"/>
    <w:rsid w:val="00391613"/>
    <w:rsid w:val="00391C30"/>
    <w:rsid w:val="0039261F"/>
    <w:rsid w:val="00395EEC"/>
    <w:rsid w:val="0039659E"/>
    <w:rsid w:val="003974A5"/>
    <w:rsid w:val="003A238E"/>
    <w:rsid w:val="003A3B61"/>
    <w:rsid w:val="003A41B0"/>
    <w:rsid w:val="003A4F5E"/>
    <w:rsid w:val="003A7F41"/>
    <w:rsid w:val="003B0EFC"/>
    <w:rsid w:val="003B1ADA"/>
    <w:rsid w:val="003B3196"/>
    <w:rsid w:val="003C2483"/>
    <w:rsid w:val="003C2E13"/>
    <w:rsid w:val="003C304F"/>
    <w:rsid w:val="003C5CB1"/>
    <w:rsid w:val="003D0CD9"/>
    <w:rsid w:val="003D2851"/>
    <w:rsid w:val="003D5DB4"/>
    <w:rsid w:val="003D66AA"/>
    <w:rsid w:val="003D6718"/>
    <w:rsid w:val="003E235F"/>
    <w:rsid w:val="003E4B6E"/>
    <w:rsid w:val="003E6DE4"/>
    <w:rsid w:val="003F0EB3"/>
    <w:rsid w:val="003F4C5C"/>
    <w:rsid w:val="0040248A"/>
    <w:rsid w:val="00403291"/>
    <w:rsid w:val="004044A5"/>
    <w:rsid w:val="00410063"/>
    <w:rsid w:val="00410206"/>
    <w:rsid w:val="00411A5D"/>
    <w:rsid w:val="00413C30"/>
    <w:rsid w:val="00416B76"/>
    <w:rsid w:val="0042036C"/>
    <w:rsid w:val="004223D9"/>
    <w:rsid w:val="0042574D"/>
    <w:rsid w:val="004337C8"/>
    <w:rsid w:val="004342C5"/>
    <w:rsid w:val="00437A3F"/>
    <w:rsid w:val="0044001D"/>
    <w:rsid w:val="00443006"/>
    <w:rsid w:val="0044304E"/>
    <w:rsid w:val="00452AD9"/>
    <w:rsid w:val="0045306E"/>
    <w:rsid w:val="00454B4C"/>
    <w:rsid w:val="004552CF"/>
    <w:rsid w:val="0045626D"/>
    <w:rsid w:val="00457CE0"/>
    <w:rsid w:val="00462101"/>
    <w:rsid w:val="0046224A"/>
    <w:rsid w:val="00465621"/>
    <w:rsid w:val="00465C9D"/>
    <w:rsid w:val="0047074A"/>
    <w:rsid w:val="00471320"/>
    <w:rsid w:val="004714B5"/>
    <w:rsid w:val="0047398F"/>
    <w:rsid w:val="00474375"/>
    <w:rsid w:val="00480279"/>
    <w:rsid w:val="00480487"/>
    <w:rsid w:val="00486B55"/>
    <w:rsid w:val="004934C6"/>
    <w:rsid w:val="00495BA9"/>
    <w:rsid w:val="0049665F"/>
    <w:rsid w:val="004A1A21"/>
    <w:rsid w:val="004A24AB"/>
    <w:rsid w:val="004A31A8"/>
    <w:rsid w:val="004A4DC3"/>
    <w:rsid w:val="004A6134"/>
    <w:rsid w:val="004A73FE"/>
    <w:rsid w:val="004A7D80"/>
    <w:rsid w:val="004B1B17"/>
    <w:rsid w:val="004B20F4"/>
    <w:rsid w:val="004B246E"/>
    <w:rsid w:val="004B427D"/>
    <w:rsid w:val="004C6FD9"/>
    <w:rsid w:val="004D36F3"/>
    <w:rsid w:val="004D4831"/>
    <w:rsid w:val="004D530C"/>
    <w:rsid w:val="004D58AB"/>
    <w:rsid w:val="004D7FAC"/>
    <w:rsid w:val="004E0B49"/>
    <w:rsid w:val="004E1A5D"/>
    <w:rsid w:val="004E1C50"/>
    <w:rsid w:val="004E38B7"/>
    <w:rsid w:val="004E3DC0"/>
    <w:rsid w:val="004E4672"/>
    <w:rsid w:val="004E4812"/>
    <w:rsid w:val="004E4CBF"/>
    <w:rsid w:val="004E5107"/>
    <w:rsid w:val="004E6B99"/>
    <w:rsid w:val="005027BF"/>
    <w:rsid w:val="00503567"/>
    <w:rsid w:val="0050661A"/>
    <w:rsid w:val="00506927"/>
    <w:rsid w:val="00506EC6"/>
    <w:rsid w:val="00512A0F"/>
    <w:rsid w:val="00523B73"/>
    <w:rsid w:val="00524689"/>
    <w:rsid w:val="00525A88"/>
    <w:rsid w:val="00527E70"/>
    <w:rsid w:val="0053061B"/>
    <w:rsid w:val="00530DC0"/>
    <w:rsid w:val="005358CA"/>
    <w:rsid w:val="00536159"/>
    <w:rsid w:val="00542443"/>
    <w:rsid w:val="005505BA"/>
    <w:rsid w:val="0055062B"/>
    <w:rsid w:val="005571DF"/>
    <w:rsid w:val="00557390"/>
    <w:rsid w:val="005576FE"/>
    <w:rsid w:val="005617F8"/>
    <w:rsid w:val="00561BBB"/>
    <w:rsid w:val="0056227A"/>
    <w:rsid w:val="0056275D"/>
    <w:rsid w:val="0056503D"/>
    <w:rsid w:val="00565BA8"/>
    <w:rsid w:val="00565C55"/>
    <w:rsid w:val="00566282"/>
    <w:rsid w:val="00566BE8"/>
    <w:rsid w:val="00570403"/>
    <w:rsid w:val="00570B97"/>
    <w:rsid w:val="005809F2"/>
    <w:rsid w:val="00582B8B"/>
    <w:rsid w:val="00582FCE"/>
    <w:rsid w:val="00587488"/>
    <w:rsid w:val="005904D2"/>
    <w:rsid w:val="00591AF9"/>
    <w:rsid w:val="00593079"/>
    <w:rsid w:val="00594CAD"/>
    <w:rsid w:val="005963D4"/>
    <w:rsid w:val="00596C60"/>
    <w:rsid w:val="005A03CF"/>
    <w:rsid w:val="005A3D2B"/>
    <w:rsid w:val="005A3E37"/>
    <w:rsid w:val="005A5061"/>
    <w:rsid w:val="005A5B90"/>
    <w:rsid w:val="005A6555"/>
    <w:rsid w:val="005B0F00"/>
    <w:rsid w:val="005B5C1C"/>
    <w:rsid w:val="005B6BA6"/>
    <w:rsid w:val="005C17D7"/>
    <w:rsid w:val="005C4F07"/>
    <w:rsid w:val="005C56B3"/>
    <w:rsid w:val="005C59F9"/>
    <w:rsid w:val="005C61D2"/>
    <w:rsid w:val="005C6378"/>
    <w:rsid w:val="005D07EA"/>
    <w:rsid w:val="005D1D5B"/>
    <w:rsid w:val="005D211F"/>
    <w:rsid w:val="005D2FB6"/>
    <w:rsid w:val="005D5715"/>
    <w:rsid w:val="005D6EFD"/>
    <w:rsid w:val="005E0D0E"/>
    <w:rsid w:val="005E279C"/>
    <w:rsid w:val="005E343B"/>
    <w:rsid w:val="005E3754"/>
    <w:rsid w:val="005E3F81"/>
    <w:rsid w:val="005E4D35"/>
    <w:rsid w:val="005E60FA"/>
    <w:rsid w:val="005E7CF4"/>
    <w:rsid w:val="005F2071"/>
    <w:rsid w:val="005F236E"/>
    <w:rsid w:val="005F2E1D"/>
    <w:rsid w:val="00607FC3"/>
    <w:rsid w:val="0061417E"/>
    <w:rsid w:val="00616478"/>
    <w:rsid w:val="0062074C"/>
    <w:rsid w:val="00632B38"/>
    <w:rsid w:val="00636A95"/>
    <w:rsid w:val="00640F2C"/>
    <w:rsid w:val="00641FBC"/>
    <w:rsid w:val="00644168"/>
    <w:rsid w:val="00645470"/>
    <w:rsid w:val="00650273"/>
    <w:rsid w:val="00654E3C"/>
    <w:rsid w:val="0065547A"/>
    <w:rsid w:val="006554A2"/>
    <w:rsid w:val="00656B09"/>
    <w:rsid w:val="00664E0C"/>
    <w:rsid w:val="00664FDD"/>
    <w:rsid w:val="0066691A"/>
    <w:rsid w:val="006710EC"/>
    <w:rsid w:val="0067488B"/>
    <w:rsid w:val="00674B29"/>
    <w:rsid w:val="006868EE"/>
    <w:rsid w:val="00691DB4"/>
    <w:rsid w:val="006932D4"/>
    <w:rsid w:val="00693532"/>
    <w:rsid w:val="00694B52"/>
    <w:rsid w:val="006A026B"/>
    <w:rsid w:val="006A07E5"/>
    <w:rsid w:val="006A18C1"/>
    <w:rsid w:val="006A19F8"/>
    <w:rsid w:val="006A5277"/>
    <w:rsid w:val="006A5F53"/>
    <w:rsid w:val="006A6556"/>
    <w:rsid w:val="006A6EDA"/>
    <w:rsid w:val="006A74D3"/>
    <w:rsid w:val="006B01AC"/>
    <w:rsid w:val="006B1401"/>
    <w:rsid w:val="006B232B"/>
    <w:rsid w:val="006B5D06"/>
    <w:rsid w:val="006B5F20"/>
    <w:rsid w:val="006C4717"/>
    <w:rsid w:val="006C4A61"/>
    <w:rsid w:val="006C61E7"/>
    <w:rsid w:val="006C6FFF"/>
    <w:rsid w:val="006D13D9"/>
    <w:rsid w:val="006D2BB5"/>
    <w:rsid w:val="006D54D2"/>
    <w:rsid w:val="006D59EF"/>
    <w:rsid w:val="006D70EE"/>
    <w:rsid w:val="006D7DA9"/>
    <w:rsid w:val="006E26E9"/>
    <w:rsid w:val="006E4DC6"/>
    <w:rsid w:val="006E5765"/>
    <w:rsid w:val="006E5FD9"/>
    <w:rsid w:val="006E6B3E"/>
    <w:rsid w:val="006F0C1F"/>
    <w:rsid w:val="00700953"/>
    <w:rsid w:val="007018C3"/>
    <w:rsid w:val="007042C6"/>
    <w:rsid w:val="0071225F"/>
    <w:rsid w:val="00725A36"/>
    <w:rsid w:val="007307D6"/>
    <w:rsid w:val="0073141F"/>
    <w:rsid w:val="00732986"/>
    <w:rsid w:val="007335A9"/>
    <w:rsid w:val="00733D25"/>
    <w:rsid w:val="00734233"/>
    <w:rsid w:val="00751844"/>
    <w:rsid w:val="007546E3"/>
    <w:rsid w:val="00755520"/>
    <w:rsid w:val="00764726"/>
    <w:rsid w:val="0076490D"/>
    <w:rsid w:val="00765681"/>
    <w:rsid w:val="0077372C"/>
    <w:rsid w:val="00777492"/>
    <w:rsid w:val="00781B88"/>
    <w:rsid w:val="00782688"/>
    <w:rsid w:val="00784D5E"/>
    <w:rsid w:val="007852DD"/>
    <w:rsid w:val="0079095A"/>
    <w:rsid w:val="00791761"/>
    <w:rsid w:val="007918FC"/>
    <w:rsid w:val="00794FD2"/>
    <w:rsid w:val="007974B6"/>
    <w:rsid w:val="007B45B6"/>
    <w:rsid w:val="007C00A2"/>
    <w:rsid w:val="007C0D16"/>
    <w:rsid w:val="007C1F61"/>
    <w:rsid w:val="007C3808"/>
    <w:rsid w:val="007C44F1"/>
    <w:rsid w:val="007C5DFD"/>
    <w:rsid w:val="007D650C"/>
    <w:rsid w:val="007E0570"/>
    <w:rsid w:val="007E0936"/>
    <w:rsid w:val="007E0E17"/>
    <w:rsid w:val="007E1DB1"/>
    <w:rsid w:val="007F120C"/>
    <w:rsid w:val="007F146C"/>
    <w:rsid w:val="007F3E4C"/>
    <w:rsid w:val="007F50E2"/>
    <w:rsid w:val="008029FB"/>
    <w:rsid w:val="00803BAD"/>
    <w:rsid w:val="008052D6"/>
    <w:rsid w:val="00807635"/>
    <w:rsid w:val="00807BC0"/>
    <w:rsid w:val="008158C2"/>
    <w:rsid w:val="008167F7"/>
    <w:rsid w:val="00822622"/>
    <w:rsid w:val="00836532"/>
    <w:rsid w:val="00841271"/>
    <w:rsid w:val="00844A73"/>
    <w:rsid w:val="0084626A"/>
    <w:rsid w:val="008508A5"/>
    <w:rsid w:val="00852CE8"/>
    <w:rsid w:val="00854494"/>
    <w:rsid w:val="00855168"/>
    <w:rsid w:val="00856A2C"/>
    <w:rsid w:val="00860AB5"/>
    <w:rsid w:val="0086145A"/>
    <w:rsid w:val="00863271"/>
    <w:rsid w:val="00871195"/>
    <w:rsid w:val="00871EA1"/>
    <w:rsid w:val="008749CE"/>
    <w:rsid w:val="00875B36"/>
    <w:rsid w:val="008837B4"/>
    <w:rsid w:val="0088591A"/>
    <w:rsid w:val="00886805"/>
    <w:rsid w:val="00886D3E"/>
    <w:rsid w:val="008947E9"/>
    <w:rsid w:val="008A0F22"/>
    <w:rsid w:val="008B0C12"/>
    <w:rsid w:val="008B0C47"/>
    <w:rsid w:val="008B0DDE"/>
    <w:rsid w:val="008B3C7B"/>
    <w:rsid w:val="008B3F9C"/>
    <w:rsid w:val="008B6573"/>
    <w:rsid w:val="008C0458"/>
    <w:rsid w:val="008C43AA"/>
    <w:rsid w:val="008C5798"/>
    <w:rsid w:val="008C612B"/>
    <w:rsid w:val="008C77E7"/>
    <w:rsid w:val="008D1D5A"/>
    <w:rsid w:val="008D39CE"/>
    <w:rsid w:val="008D4E4F"/>
    <w:rsid w:val="008E08D5"/>
    <w:rsid w:val="008E28C2"/>
    <w:rsid w:val="008E46B2"/>
    <w:rsid w:val="008E64D1"/>
    <w:rsid w:val="008E6554"/>
    <w:rsid w:val="008E6673"/>
    <w:rsid w:val="008E6A30"/>
    <w:rsid w:val="008F38D3"/>
    <w:rsid w:val="008F5930"/>
    <w:rsid w:val="008F7856"/>
    <w:rsid w:val="00900943"/>
    <w:rsid w:val="00901980"/>
    <w:rsid w:val="00901F0C"/>
    <w:rsid w:val="00902288"/>
    <w:rsid w:val="00902381"/>
    <w:rsid w:val="00906C18"/>
    <w:rsid w:val="00910DAD"/>
    <w:rsid w:val="00911192"/>
    <w:rsid w:val="0091178B"/>
    <w:rsid w:val="009129AD"/>
    <w:rsid w:val="0091535F"/>
    <w:rsid w:val="00915B0A"/>
    <w:rsid w:val="00917414"/>
    <w:rsid w:val="00920B33"/>
    <w:rsid w:val="00920E84"/>
    <w:rsid w:val="009237C4"/>
    <w:rsid w:val="00925A43"/>
    <w:rsid w:val="0093092A"/>
    <w:rsid w:val="009351BA"/>
    <w:rsid w:val="00936B57"/>
    <w:rsid w:val="009474AC"/>
    <w:rsid w:val="00951C72"/>
    <w:rsid w:val="009554A1"/>
    <w:rsid w:val="00956378"/>
    <w:rsid w:val="00957B7C"/>
    <w:rsid w:val="00961E52"/>
    <w:rsid w:val="00962305"/>
    <w:rsid w:val="009627D9"/>
    <w:rsid w:val="00963AE8"/>
    <w:rsid w:val="00963E3E"/>
    <w:rsid w:val="00966728"/>
    <w:rsid w:val="00967A05"/>
    <w:rsid w:val="009731DC"/>
    <w:rsid w:val="00974D6C"/>
    <w:rsid w:val="009764AB"/>
    <w:rsid w:val="0097679C"/>
    <w:rsid w:val="009769F0"/>
    <w:rsid w:val="009805DC"/>
    <w:rsid w:val="00980EF6"/>
    <w:rsid w:val="009813BA"/>
    <w:rsid w:val="00983740"/>
    <w:rsid w:val="00983B2C"/>
    <w:rsid w:val="0098467B"/>
    <w:rsid w:val="00985BB4"/>
    <w:rsid w:val="00986008"/>
    <w:rsid w:val="00986830"/>
    <w:rsid w:val="00987320"/>
    <w:rsid w:val="0099188B"/>
    <w:rsid w:val="00994109"/>
    <w:rsid w:val="00995B09"/>
    <w:rsid w:val="00996897"/>
    <w:rsid w:val="009A178A"/>
    <w:rsid w:val="009A4556"/>
    <w:rsid w:val="009A5519"/>
    <w:rsid w:val="009A5B20"/>
    <w:rsid w:val="009B0FC3"/>
    <w:rsid w:val="009B2B07"/>
    <w:rsid w:val="009B735F"/>
    <w:rsid w:val="009B7DB3"/>
    <w:rsid w:val="009C1FE9"/>
    <w:rsid w:val="009C32E7"/>
    <w:rsid w:val="009C43A8"/>
    <w:rsid w:val="009C5F9C"/>
    <w:rsid w:val="009D037A"/>
    <w:rsid w:val="009D1339"/>
    <w:rsid w:val="009D267B"/>
    <w:rsid w:val="009D282A"/>
    <w:rsid w:val="009D378C"/>
    <w:rsid w:val="009E11F2"/>
    <w:rsid w:val="009E1542"/>
    <w:rsid w:val="009E30DF"/>
    <w:rsid w:val="009E66DA"/>
    <w:rsid w:val="009E6E5F"/>
    <w:rsid w:val="009F1322"/>
    <w:rsid w:val="009F2B6D"/>
    <w:rsid w:val="009F6F0D"/>
    <w:rsid w:val="00A0054D"/>
    <w:rsid w:val="00A03D61"/>
    <w:rsid w:val="00A044A3"/>
    <w:rsid w:val="00A062D6"/>
    <w:rsid w:val="00A137F9"/>
    <w:rsid w:val="00A13D61"/>
    <w:rsid w:val="00A15395"/>
    <w:rsid w:val="00A16244"/>
    <w:rsid w:val="00A16B73"/>
    <w:rsid w:val="00A17829"/>
    <w:rsid w:val="00A2058F"/>
    <w:rsid w:val="00A20780"/>
    <w:rsid w:val="00A24943"/>
    <w:rsid w:val="00A31CE1"/>
    <w:rsid w:val="00A32126"/>
    <w:rsid w:val="00A3284E"/>
    <w:rsid w:val="00A32E3A"/>
    <w:rsid w:val="00A32E3E"/>
    <w:rsid w:val="00A342A4"/>
    <w:rsid w:val="00A366DE"/>
    <w:rsid w:val="00A3771A"/>
    <w:rsid w:val="00A46451"/>
    <w:rsid w:val="00A473DF"/>
    <w:rsid w:val="00A556A2"/>
    <w:rsid w:val="00A55FD8"/>
    <w:rsid w:val="00A62B17"/>
    <w:rsid w:val="00A62B34"/>
    <w:rsid w:val="00A678CC"/>
    <w:rsid w:val="00A74427"/>
    <w:rsid w:val="00A76981"/>
    <w:rsid w:val="00A76C3B"/>
    <w:rsid w:val="00A80EAD"/>
    <w:rsid w:val="00A828AD"/>
    <w:rsid w:val="00A9069F"/>
    <w:rsid w:val="00A908FC"/>
    <w:rsid w:val="00A96182"/>
    <w:rsid w:val="00AA141C"/>
    <w:rsid w:val="00AA2907"/>
    <w:rsid w:val="00AB6B75"/>
    <w:rsid w:val="00AB7290"/>
    <w:rsid w:val="00AC471F"/>
    <w:rsid w:val="00AC5988"/>
    <w:rsid w:val="00AC6DA1"/>
    <w:rsid w:val="00AD085D"/>
    <w:rsid w:val="00AD49CB"/>
    <w:rsid w:val="00AE118E"/>
    <w:rsid w:val="00AE394E"/>
    <w:rsid w:val="00AE3EA9"/>
    <w:rsid w:val="00AE62F9"/>
    <w:rsid w:val="00AF0746"/>
    <w:rsid w:val="00AF2CDF"/>
    <w:rsid w:val="00B000C1"/>
    <w:rsid w:val="00B02DD0"/>
    <w:rsid w:val="00B03361"/>
    <w:rsid w:val="00B0544C"/>
    <w:rsid w:val="00B11DCB"/>
    <w:rsid w:val="00B12BE4"/>
    <w:rsid w:val="00B14DDF"/>
    <w:rsid w:val="00B1794C"/>
    <w:rsid w:val="00B17AA6"/>
    <w:rsid w:val="00B201CA"/>
    <w:rsid w:val="00B21EB0"/>
    <w:rsid w:val="00B269D0"/>
    <w:rsid w:val="00B3288F"/>
    <w:rsid w:val="00B3580B"/>
    <w:rsid w:val="00B3760E"/>
    <w:rsid w:val="00B4143F"/>
    <w:rsid w:val="00B42550"/>
    <w:rsid w:val="00B433FE"/>
    <w:rsid w:val="00B46A5C"/>
    <w:rsid w:val="00B515E9"/>
    <w:rsid w:val="00B7082C"/>
    <w:rsid w:val="00B75D25"/>
    <w:rsid w:val="00B76201"/>
    <w:rsid w:val="00B81067"/>
    <w:rsid w:val="00B81C10"/>
    <w:rsid w:val="00B82AF6"/>
    <w:rsid w:val="00B8426C"/>
    <w:rsid w:val="00B861C6"/>
    <w:rsid w:val="00B92A69"/>
    <w:rsid w:val="00B94AEF"/>
    <w:rsid w:val="00B94B20"/>
    <w:rsid w:val="00B95B70"/>
    <w:rsid w:val="00B96ADB"/>
    <w:rsid w:val="00B96FCF"/>
    <w:rsid w:val="00BA15D0"/>
    <w:rsid w:val="00BA297D"/>
    <w:rsid w:val="00BA5BFC"/>
    <w:rsid w:val="00BA5F7A"/>
    <w:rsid w:val="00BB0694"/>
    <w:rsid w:val="00BB1020"/>
    <w:rsid w:val="00BB3CB1"/>
    <w:rsid w:val="00BB4642"/>
    <w:rsid w:val="00BB720D"/>
    <w:rsid w:val="00BC457A"/>
    <w:rsid w:val="00BC772E"/>
    <w:rsid w:val="00BD01A5"/>
    <w:rsid w:val="00BD07FF"/>
    <w:rsid w:val="00BD0E7D"/>
    <w:rsid w:val="00BD2A56"/>
    <w:rsid w:val="00BD494A"/>
    <w:rsid w:val="00BE241F"/>
    <w:rsid w:val="00BE44F9"/>
    <w:rsid w:val="00BE52B5"/>
    <w:rsid w:val="00BF542B"/>
    <w:rsid w:val="00BF5C02"/>
    <w:rsid w:val="00BF6B64"/>
    <w:rsid w:val="00BF6D88"/>
    <w:rsid w:val="00C01DCB"/>
    <w:rsid w:val="00C022AA"/>
    <w:rsid w:val="00C023AE"/>
    <w:rsid w:val="00C034FF"/>
    <w:rsid w:val="00C03999"/>
    <w:rsid w:val="00C04EF5"/>
    <w:rsid w:val="00C054A2"/>
    <w:rsid w:val="00C06F85"/>
    <w:rsid w:val="00C14E28"/>
    <w:rsid w:val="00C1659D"/>
    <w:rsid w:val="00C17204"/>
    <w:rsid w:val="00C17228"/>
    <w:rsid w:val="00C21316"/>
    <w:rsid w:val="00C21732"/>
    <w:rsid w:val="00C30143"/>
    <w:rsid w:val="00C325E5"/>
    <w:rsid w:val="00C36D05"/>
    <w:rsid w:val="00C36DD9"/>
    <w:rsid w:val="00C3775A"/>
    <w:rsid w:val="00C400D2"/>
    <w:rsid w:val="00C403CF"/>
    <w:rsid w:val="00C4073D"/>
    <w:rsid w:val="00C43376"/>
    <w:rsid w:val="00C45596"/>
    <w:rsid w:val="00C4571D"/>
    <w:rsid w:val="00C466B0"/>
    <w:rsid w:val="00C46F40"/>
    <w:rsid w:val="00C4763F"/>
    <w:rsid w:val="00C47879"/>
    <w:rsid w:val="00C524E2"/>
    <w:rsid w:val="00C52AB7"/>
    <w:rsid w:val="00C54DF3"/>
    <w:rsid w:val="00C56168"/>
    <w:rsid w:val="00C56192"/>
    <w:rsid w:val="00C56C2B"/>
    <w:rsid w:val="00C64150"/>
    <w:rsid w:val="00C655C1"/>
    <w:rsid w:val="00C669CD"/>
    <w:rsid w:val="00C7063E"/>
    <w:rsid w:val="00C71DD0"/>
    <w:rsid w:val="00C75075"/>
    <w:rsid w:val="00C81AC2"/>
    <w:rsid w:val="00C916CA"/>
    <w:rsid w:val="00C939C0"/>
    <w:rsid w:val="00C97869"/>
    <w:rsid w:val="00CA0D79"/>
    <w:rsid w:val="00CA47A8"/>
    <w:rsid w:val="00CA6ED5"/>
    <w:rsid w:val="00CA7182"/>
    <w:rsid w:val="00CA7F41"/>
    <w:rsid w:val="00CB0C0D"/>
    <w:rsid w:val="00CB18EA"/>
    <w:rsid w:val="00CB1E0E"/>
    <w:rsid w:val="00CB7364"/>
    <w:rsid w:val="00CC4D97"/>
    <w:rsid w:val="00CC7E7B"/>
    <w:rsid w:val="00CD09BC"/>
    <w:rsid w:val="00CD3792"/>
    <w:rsid w:val="00CD39ED"/>
    <w:rsid w:val="00CD5DA7"/>
    <w:rsid w:val="00CD7752"/>
    <w:rsid w:val="00CD7DD1"/>
    <w:rsid w:val="00CE4874"/>
    <w:rsid w:val="00CE69DB"/>
    <w:rsid w:val="00CF1298"/>
    <w:rsid w:val="00CF41A7"/>
    <w:rsid w:val="00CF4686"/>
    <w:rsid w:val="00CF48D2"/>
    <w:rsid w:val="00CF5542"/>
    <w:rsid w:val="00CF5BDF"/>
    <w:rsid w:val="00D02D96"/>
    <w:rsid w:val="00D103FE"/>
    <w:rsid w:val="00D11A40"/>
    <w:rsid w:val="00D12281"/>
    <w:rsid w:val="00D12A22"/>
    <w:rsid w:val="00D157D8"/>
    <w:rsid w:val="00D1588A"/>
    <w:rsid w:val="00D158CD"/>
    <w:rsid w:val="00D161C2"/>
    <w:rsid w:val="00D21739"/>
    <w:rsid w:val="00D242E6"/>
    <w:rsid w:val="00D25453"/>
    <w:rsid w:val="00D42D05"/>
    <w:rsid w:val="00D43180"/>
    <w:rsid w:val="00D44309"/>
    <w:rsid w:val="00D44821"/>
    <w:rsid w:val="00D44F42"/>
    <w:rsid w:val="00D460F3"/>
    <w:rsid w:val="00D46B3E"/>
    <w:rsid w:val="00D512B7"/>
    <w:rsid w:val="00D54FA2"/>
    <w:rsid w:val="00D56678"/>
    <w:rsid w:val="00D61872"/>
    <w:rsid w:val="00D619E3"/>
    <w:rsid w:val="00D62E56"/>
    <w:rsid w:val="00D634B9"/>
    <w:rsid w:val="00D63C79"/>
    <w:rsid w:val="00D64C3A"/>
    <w:rsid w:val="00D65972"/>
    <w:rsid w:val="00D72CD4"/>
    <w:rsid w:val="00D72E4D"/>
    <w:rsid w:val="00D73387"/>
    <w:rsid w:val="00D7375D"/>
    <w:rsid w:val="00D802F2"/>
    <w:rsid w:val="00D826AC"/>
    <w:rsid w:val="00D82889"/>
    <w:rsid w:val="00DA472B"/>
    <w:rsid w:val="00DA49CB"/>
    <w:rsid w:val="00DA792F"/>
    <w:rsid w:val="00DB0006"/>
    <w:rsid w:val="00DB5471"/>
    <w:rsid w:val="00DB673E"/>
    <w:rsid w:val="00DB76D6"/>
    <w:rsid w:val="00DC2026"/>
    <w:rsid w:val="00DC4E61"/>
    <w:rsid w:val="00DD3B21"/>
    <w:rsid w:val="00DD3DF2"/>
    <w:rsid w:val="00DE1F65"/>
    <w:rsid w:val="00DE2BBB"/>
    <w:rsid w:val="00DE363A"/>
    <w:rsid w:val="00DF0D34"/>
    <w:rsid w:val="00DF28C2"/>
    <w:rsid w:val="00DF329E"/>
    <w:rsid w:val="00DF40FB"/>
    <w:rsid w:val="00DF423B"/>
    <w:rsid w:val="00E029E6"/>
    <w:rsid w:val="00E04122"/>
    <w:rsid w:val="00E05684"/>
    <w:rsid w:val="00E0727D"/>
    <w:rsid w:val="00E10F2B"/>
    <w:rsid w:val="00E178A4"/>
    <w:rsid w:val="00E2398F"/>
    <w:rsid w:val="00E24FE9"/>
    <w:rsid w:val="00E33E64"/>
    <w:rsid w:val="00E3460B"/>
    <w:rsid w:val="00E4055D"/>
    <w:rsid w:val="00E40730"/>
    <w:rsid w:val="00E42567"/>
    <w:rsid w:val="00E43A30"/>
    <w:rsid w:val="00E451DB"/>
    <w:rsid w:val="00E46A7F"/>
    <w:rsid w:val="00E53092"/>
    <w:rsid w:val="00E53A5B"/>
    <w:rsid w:val="00E55341"/>
    <w:rsid w:val="00E564C3"/>
    <w:rsid w:val="00E57740"/>
    <w:rsid w:val="00E6015D"/>
    <w:rsid w:val="00E60B6A"/>
    <w:rsid w:val="00E64671"/>
    <w:rsid w:val="00E659CF"/>
    <w:rsid w:val="00E66440"/>
    <w:rsid w:val="00E67171"/>
    <w:rsid w:val="00E67C84"/>
    <w:rsid w:val="00E7082E"/>
    <w:rsid w:val="00E73894"/>
    <w:rsid w:val="00E760F7"/>
    <w:rsid w:val="00E76E41"/>
    <w:rsid w:val="00E83430"/>
    <w:rsid w:val="00E87401"/>
    <w:rsid w:val="00E9068D"/>
    <w:rsid w:val="00E958F5"/>
    <w:rsid w:val="00EA08BE"/>
    <w:rsid w:val="00EA2C50"/>
    <w:rsid w:val="00EA3DAF"/>
    <w:rsid w:val="00EB2AF1"/>
    <w:rsid w:val="00EB399C"/>
    <w:rsid w:val="00EB44FB"/>
    <w:rsid w:val="00EB7C38"/>
    <w:rsid w:val="00EC5C9D"/>
    <w:rsid w:val="00EC7B48"/>
    <w:rsid w:val="00EE1EB6"/>
    <w:rsid w:val="00EE2498"/>
    <w:rsid w:val="00EE2B13"/>
    <w:rsid w:val="00EE3664"/>
    <w:rsid w:val="00EE3E51"/>
    <w:rsid w:val="00EE49EA"/>
    <w:rsid w:val="00EF02EC"/>
    <w:rsid w:val="00EF05F4"/>
    <w:rsid w:val="00EF1C58"/>
    <w:rsid w:val="00EF1D10"/>
    <w:rsid w:val="00EF2313"/>
    <w:rsid w:val="00EF26F4"/>
    <w:rsid w:val="00EF2F8D"/>
    <w:rsid w:val="00EF620A"/>
    <w:rsid w:val="00EF7E25"/>
    <w:rsid w:val="00F00630"/>
    <w:rsid w:val="00F00F5D"/>
    <w:rsid w:val="00F039BB"/>
    <w:rsid w:val="00F043DB"/>
    <w:rsid w:val="00F05CB5"/>
    <w:rsid w:val="00F1509B"/>
    <w:rsid w:val="00F17EEA"/>
    <w:rsid w:val="00F2101D"/>
    <w:rsid w:val="00F2697C"/>
    <w:rsid w:val="00F26C88"/>
    <w:rsid w:val="00F27B51"/>
    <w:rsid w:val="00F31861"/>
    <w:rsid w:val="00F322AB"/>
    <w:rsid w:val="00F360C0"/>
    <w:rsid w:val="00F40C77"/>
    <w:rsid w:val="00F4357D"/>
    <w:rsid w:val="00F438F6"/>
    <w:rsid w:val="00F47757"/>
    <w:rsid w:val="00F53254"/>
    <w:rsid w:val="00F5411A"/>
    <w:rsid w:val="00F54D00"/>
    <w:rsid w:val="00F55EC2"/>
    <w:rsid w:val="00F5672F"/>
    <w:rsid w:val="00F60256"/>
    <w:rsid w:val="00F60D05"/>
    <w:rsid w:val="00F61531"/>
    <w:rsid w:val="00F6178C"/>
    <w:rsid w:val="00F61924"/>
    <w:rsid w:val="00F62300"/>
    <w:rsid w:val="00F70069"/>
    <w:rsid w:val="00F71194"/>
    <w:rsid w:val="00F72660"/>
    <w:rsid w:val="00F73965"/>
    <w:rsid w:val="00F7716C"/>
    <w:rsid w:val="00F773E0"/>
    <w:rsid w:val="00F82E04"/>
    <w:rsid w:val="00F85CAA"/>
    <w:rsid w:val="00F86130"/>
    <w:rsid w:val="00F9654F"/>
    <w:rsid w:val="00FA02AF"/>
    <w:rsid w:val="00FA078F"/>
    <w:rsid w:val="00FA0D30"/>
    <w:rsid w:val="00FA7E71"/>
    <w:rsid w:val="00FB1A1A"/>
    <w:rsid w:val="00FB2926"/>
    <w:rsid w:val="00FB3D79"/>
    <w:rsid w:val="00FB4D8D"/>
    <w:rsid w:val="00FB76A5"/>
    <w:rsid w:val="00FB7F8C"/>
    <w:rsid w:val="00FC2786"/>
    <w:rsid w:val="00FC733F"/>
    <w:rsid w:val="00FD4FD3"/>
    <w:rsid w:val="00FD79ED"/>
    <w:rsid w:val="00FE19D4"/>
    <w:rsid w:val="00FE24F3"/>
    <w:rsid w:val="00FE2594"/>
    <w:rsid w:val="00FE798A"/>
    <w:rsid w:val="00FF18D3"/>
    <w:rsid w:val="00FF3DDD"/>
    <w:rsid w:val="00FF4D83"/>
    <w:rsid w:val="00FF51CE"/>
    <w:rsid w:val="00FF52F5"/>
    <w:rsid w:val="00FF5F6A"/>
    <w:rsid w:val="00FF6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CE0B6"/>
  <w15:docId w15:val="{D0649CC9-6FFD-475E-95D2-4D5B26FDC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77C7E"/>
    <w:pPr>
      <w:spacing w:after="0" w:line="240" w:lineRule="auto"/>
    </w:pPr>
    <w:rPr>
      <w:rFonts w:ascii="Times New Roman" w:eastAsia="Times New Roman" w:hAnsi="Times New Roman" w:cs="Times New Roman"/>
      <w:sz w:val="24"/>
      <w:szCs w:val="20"/>
      <w:lang w:val="pt-BR"/>
    </w:rPr>
  </w:style>
  <w:style w:type="paragraph" w:styleId="Heading1">
    <w:name w:val="heading 1"/>
    <w:basedOn w:val="Normal"/>
    <w:next w:val="Normal"/>
    <w:link w:val="Heading1Char"/>
    <w:qFormat/>
    <w:rsid w:val="00077C7E"/>
    <w:pPr>
      <w:keepNext/>
      <w:numPr>
        <w:numId w:val="4"/>
      </w:numPr>
      <w:spacing w:before="240" w:after="60"/>
      <w:outlineLvl w:val="0"/>
    </w:pPr>
    <w:rPr>
      <w:rFonts w:ascii="Arial" w:hAnsi="Arial"/>
      <w:b/>
      <w:kern w:val="28"/>
      <w:sz w:val="28"/>
    </w:rPr>
  </w:style>
  <w:style w:type="paragraph" w:styleId="Heading2">
    <w:name w:val="heading 2"/>
    <w:basedOn w:val="Normal"/>
    <w:next w:val="Normal"/>
    <w:link w:val="Heading2Char"/>
    <w:qFormat/>
    <w:rsid w:val="00077C7E"/>
    <w:pPr>
      <w:keepNext/>
      <w:numPr>
        <w:ilvl w:val="1"/>
        <w:numId w:val="4"/>
      </w:numPr>
      <w:spacing w:before="240" w:after="60"/>
      <w:outlineLvl w:val="1"/>
    </w:pPr>
    <w:rPr>
      <w:rFonts w:ascii="Arial" w:hAnsi="Arial"/>
      <w:b/>
      <w:i/>
    </w:rPr>
  </w:style>
  <w:style w:type="paragraph" w:styleId="Heading3">
    <w:name w:val="heading 3"/>
    <w:basedOn w:val="Normal"/>
    <w:next w:val="Normal"/>
    <w:link w:val="Heading3Char"/>
    <w:qFormat/>
    <w:rsid w:val="00077C7E"/>
    <w:pPr>
      <w:keepNext/>
      <w:numPr>
        <w:ilvl w:val="2"/>
        <w:numId w:val="4"/>
      </w:numPr>
      <w:spacing w:before="240" w:after="60"/>
      <w:outlineLvl w:val="2"/>
    </w:pPr>
    <w:rPr>
      <w:rFonts w:ascii="Arial" w:hAnsi="Arial"/>
    </w:rPr>
  </w:style>
  <w:style w:type="paragraph" w:styleId="Heading4">
    <w:name w:val="heading 4"/>
    <w:basedOn w:val="Normal"/>
    <w:next w:val="Normal"/>
    <w:link w:val="Heading4Char"/>
    <w:qFormat/>
    <w:rsid w:val="00077C7E"/>
    <w:pPr>
      <w:keepNext/>
      <w:numPr>
        <w:ilvl w:val="3"/>
        <w:numId w:val="4"/>
      </w:numPr>
      <w:spacing w:before="240" w:after="60"/>
      <w:outlineLvl w:val="3"/>
    </w:pPr>
    <w:rPr>
      <w:rFonts w:ascii="Arial" w:hAnsi="Arial"/>
      <w:b/>
    </w:rPr>
  </w:style>
  <w:style w:type="paragraph" w:styleId="Heading5">
    <w:name w:val="heading 5"/>
    <w:basedOn w:val="Normal"/>
    <w:next w:val="Normal"/>
    <w:link w:val="Heading5Char"/>
    <w:semiHidden/>
    <w:unhideWhenUsed/>
    <w:qFormat/>
    <w:rsid w:val="00E3460B"/>
    <w:pPr>
      <w:numPr>
        <w:ilvl w:val="4"/>
        <w:numId w:val="4"/>
      </w:numPr>
      <w:spacing w:before="240" w:after="60"/>
      <w:outlineLvl w:val="4"/>
    </w:pPr>
    <w:rPr>
      <w:rFonts w:eastAsia="Calibri"/>
      <w:b/>
      <w:bCs/>
      <w:i/>
      <w:iCs/>
      <w:sz w:val="26"/>
      <w:szCs w:val="26"/>
      <w:lang w:val="es-ES" w:eastAsia="es-ES"/>
    </w:rPr>
  </w:style>
  <w:style w:type="paragraph" w:styleId="Heading6">
    <w:name w:val="heading 6"/>
    <w:basedOn w:val="Normal"/>
    <w:next w:val="Normal"/>
    <w:link w:val="Heading6Char"/>
    <w:semiHidden/>
    <w:unhideWhenUsed/>
    <w:qFormat/>
    <w:rsid w:val="00E3460B"/>
    <w:pPr>
      <w:numPr>
        <w:ilvl w:val="5"/>
        <w:numId w:val="4"/>
      </w:numPr>
      <w:spacing w:before="240" w:after="60"/>
      <w:outlineLvl w:val="5"/>
    </w:pPr>
    <w:rPr>
      <w:rFonts w:eastAsia="Calibri"/>
      <w:b/>
      <w:bCs/>
      <w:sz w:val="22"/>
      <w:szCs w:val="22"/>
      <w:lang w:val="es-ES" w:eastAsia="es-ES"/>
    </w:rPr>
  </w:style>
  <w:style w:type="paragraph" w:styleId="Heading7">
    <w:name w:val="heading 7"/>
    <w:basedOn w:val="Normal"/>
    <w:next w:val="Normal"/>
    <w:link w:val="Heading7Char"/>
    <w:uiPriority w:val="99"/>
    <w:semiHidden/>
    <w:unhideWhenUsed/>
    <w:qFormat/>
    <w:rsid w:val="00E3460B"/>
    <w:pPr>
      <w:numPr>
        <w:ilvl w:val="6"/>
        <w:numId w:val="4"/>
      </w:numPr>
      <w:spacing w:before="240" w:after="60"/>
      <w:outlineLvl w:val="6"/>
    </w:pPr>
    <w:rPr>
      <w:rFonts w:eastAsia="Calibri"/>
      <w:szCs w:val="24"/>
      <w:lang w:val="es-ES" w:eastAsia="es-ES"/>
    </w:rPr>
  </w:style>
  <w:style w:type="paragraph" w:styleId="Heading8">
    <w:name w:val="heading 8"/>
    <w:basedOn w:val="Normal"/>
    <w:next w:val="Normal"/>
    <w:link w:val="Heading8Char"/>
    <w:uiPriority w:val="99"/>
    <w:semiHidden/>
    <w:unhideWhenUsed/>
    <w:qFormat/>
    <w:rsid w:val="00E3460B"/>
    <w:pPr>
      <w:numPr>
        <w:ilvl w:val="7"/>
        <w:numId w:val="4"/>
      </w:numPr>
      <w:spacing w:before="240" w:after="60"/>
      <w:outlineLvl w:val="7"/>
    </w:pPr>
    <w:rPr>
      <w:rFonts w:eastAsia="Calibri"/>
      <w:i/>
      <w:iCs/>
      <w:szCs w:val="24"/>
      <w:lang w:val="es-ES" w:eastAsia="es-ES"/>
    </w:rPr>
  </w:style>
  <w:style w:type="paragraph" w:styleId="Heading9">
    <w:name w:val="heading 9"/>
    <w:basedOn w:val="Normal"/>
    <w:next w:val="Normal"/>
    <w:link w:val="Heading9Char"/>
    <w:uiPriority w:val="99"/>
    <w:semiHidden/>
    <w:unhideWhenUsed/>
    <w:qFormat/>
    <w:rsid w:val="00E3460B"/>
    <w:pPr>
      <w:numPr>
        <w:ilvl w:val="8"/>
        <w:numId w:val="4"/>
      </w:numPr>
      <w:spacing w:before="240" w:after="60"/>
      <w:outlineLvl w:val="8"/>
    </w:pPr>
    <w:rPr>
      <w:rFonts w:ascii="Arial" w:eastAsia="Calibri" w:hAnsi="Arial" w:cs="Arial"/>
      <w:sz w:val="22"/>
      <w:szCs w:val="22"/>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7C7E"/>
    <w:rPr>
      <w:rFonts w:ascii="Arial" w:eastAsia="Times New Roman" w:hAnsi="Arial" w:cs="Times New Roman"/>
      <w:b/>
      <w:kern w:val="28"/>
      <w:sz w:val="28"/>
      <w:szCs w:val="20"/>
      <w:lang w:val="pt-BR"/>
    </w:rPr>
  </w:style>
  <w:style w:type="character" w:customStyle="1" w:styleId="Heading2Char">
    <w:name w:val="Heading 2 Char"/>
    <w:basedOn w:val="DefaultParagraphFont"/>
    <w:link w:val="Heading2"/>
    <w:rsid w:val="00077C7E"/>
    <w:rPr>
      <w:rFonts w:ascii="Arial" w:eastAsia="Times New Roman" w:hAnsi="Arial" w:cs="Times New Roman"/>
      <w:b/>
      <w:i/>
      <w:sz w:val="24"/>
      <w:szCs w:val="20"/>
      <w:lang w:val="pt-BR"/>
    </w:rPr>
  </w:style>
  <w:style w:type="character" w:customStyle="1" w:styleId="Heading3Char">
    <w:name w:val="Heading 3 Char"/>
    <w:basedOn w:val="DefaultParagraphFont"/>
    <w:link w:val="Heading3"/>
    <w:rsid w:val="00077C7E"/>
    <w:rPr>
      <w:rFonts w:ascii="Arial" w:eastAsia="Times New Roman" w:hAnsi="Arial" w:cs="Times New Roman"/>
      <w:sz w:val="24"/>
      <w:szCs w:val="20"/>
      <w:lang w:val="pt-BR"/>
    </w:rPr>
  </w:style>
  <w:style w:type="character" w:customStyle="1" w:styleId="Heading4Char">
    <w:name w:val="Heading 4 Char"/>
    <w:basedOn w:val="DefaultParagraphFont"/>
    <w:link w:val="Heading4"/>
    <w:rsid w:val="00077C7E"/>
    <w:rPr>
      <w:rFonts w:ascii="Arial" w:eastAsia="Times New Roman" w:hAnsi="Arial" w:cs="Times New Roman"/>
      <w:b/>
      <w:sz w:val="24"/>
      <w:szCs w:val="20"/>
      <w:lang w:val="pt-BR"/>
    </w:rPr>
  </w:style>
  <w:style w:type="paragraph" w:customStyle="1" w:styleId="Chapter">
    <w:name w:val="Chapter"/>
    <w:basedOn w:val="Normal"/>
    <w:next w:val="Normal"/>
    <w:uiPriority w:val="99"/>
    <w:rsid w:val="00077C7E"/>
    <w:pPr>
      <w:keepNext/>
      <w:numPr>
        <w:numId w:val="1"/>
      </w:numPr>
      <w:tabs>
        <w:tab w:val="left" w:pos="1440"/>
      </w:tabs>
      <w:spacing w:before="240" w:after="240"/>
      <w:jc w:val="center"/>
    </w:pPr>
    <w:rPr>
      <w:b/>
      <w:smallCaps/>
      <w:lang w:val="es-ES_tradnl"/>
    </w:rPr>
  </w:style>
  <w:style w:type="paragraph" w:styleId="Header">
    <w:name w:val="header"/>
    <w:basedOn w:val="Normal"/>
    <w:link w:val="HeaderChar"/>
    <w:uiPriority w:val="99"/>
    <w:rsid w:val="00077C7E"/>
    <w:pPr>
      <w:tabs>
        <w:tab w:val="center" w:pos="4320"/>
        <w:tab w:val="right" w:pos="8640"/>
      </w:tabs>
    </w:pPr>
  </w:style>
  <w:style w:type="character" w:customStyle="1" w:styleId="HeaderChar">
    <w:name w:val="Header Char"/>
    <w:basedOn w:val="DefaultParagraphFont"/>
    <w:link w:val="Header"/>
    <w:uiPriority w:val="99"/>
    <w:rsid w:val="00077C7E"/>
    <w:rPr>
      <w:rFonts w:ascii="Times New Roman" w:eastAsia="Times New Roman" w:hAnsi="Times New Roman" w:cs="Times New Roman"/>
      <w:sz w:val="24"/>
      <w:szCs w:val="20"/>
    </w:rPr>
  </w:style>
  <w:style w:type="paragraph" w:customStyle="1" w:styleId="Newpage">
    <w:name w:val="Newpage"/>
    <w:basedOn w:val="Chapter"/>
    <w:uiPriority w:val="99"/>
    <w:rsid w:val="00077C7E"/>
    <w:pPr>
      <w:tabs>
        <w:tab w:val="left" w:pos="3060"/>
      </w:tabs>
      <w:spacing w:after="0"/>
    </w:pPr>
  </w:style>
  <w:style w:type="paragraph" w:customStyle="1" w:styleId="Paragraph">
    <w:name w:val="Paragraph"/>
    <w:aliases w:val="paragraph,p,PARAGRAPH,PG,pa,at"/>
    <w:basedOn w:val="BodyTextIndent"/>
    <w:link w:val="ParagraphChar"/>
    <w:uiPriority w:val="99"/>
    <w:rsid w:val="00077C7E"/>
    <w:pPr>
      <w:numPr>
        <w:ilvl w:val="1"/>
        <w:numId w:val="1"/>
      </w:numPr>
      <w:spacing w:before="120"/>
      <w:jc w:val="both"/>
      <w:outlineLvl w:val="1"/>
    </w:pPr>
    <w:rPr>
      <w:lang w:val="es-ES_tradnl"/>
    </w:rPr>
  </w:style>
  <w:style w:type="paragraph" w:customStyle="1" w:styleId="subpar">
    <w:name w:val="subpar"/>
    <w:basedOn w:val="BodyTextIndent3"/>
    <w:uiPriority w:val="99"/>
    <w:rsid w:val="00077C7E"/>
    <w:pPr>
      <w:numPr>
        <w:ilvl w:val="2"/>
        <w:numId w:val="1"/>
      </w:numPr>
      <w:spacing w:before="120"/>
      <w:jc w:val="both"/>
      <w:outlineLvl w:val="2"/>
    </w:pPr>
    <w:rPr>
      <w:sz w:val="24"/>
      <w:szCs w:val="20"/>
      <w:lang w:val="es-ES_tradnl"/>
    </w:rPr>
  </w:style>
  <w:style w:type="paragraph" w:customStyle="1" w:styleId="SubSubPar">
    <w:name w:val="SubSubPar"/>
    <w:basedOn w:val="subpar"/>
    <w:uiPriority w:val="99"/>
    <w:rsid w:val="00077C7E"/>
    <w:pPr>
      <w:numPr>
        <w:ilvl w:val="3"/>
      </w:numPr>
      <w:tabs>
        <w:tab w:val="clear" w:pos="1314"/>
        <w:tab w:val="left" w:pos="0"/>
        <w:tab w:val="num" w:pos="1296"/>
      </w:tabs>
      <w:ind w:left="1296"/>
    </w:pPr>
  </w:style>
  <w:style w:type="paragraph" w:customStyle="1" w:styleId="Default">
    <w:name w:val="Default"/>
    <w:rsid w:val="00077C7E"/>
    <w:pPr>
      <w:autoSpaceDE w:val="0"/>
      <w:autoSpaceDN w:val="0"/>
      <w:adjustRightInd w:val="0"/>
      <w:spacing w:after="0" w:line="240" w:lineRule="auto"/>
    </w:pPr>
    <w:rPr>
      <w:rFonts w:ascii="Frutiger" w:eastAsia="Times New Roman" w:hAnsi="Frutiger" w:cs="Frutiger"/>
      <w:color w:val="000000"/>
      <w:sz w:val="24"/>
      <w:szCs w:val="24"/>
    </w:rPr>
  </w:style>
  <w:style w:type="character" w:customStyle="1" w:styleId="ParagraphChar">
    <w:name w:val="Paragraph Char"/>
    <w:basedOn w:val="BodyTextIndentChar"/>
    <w:link w:val="Paragraph"/>
    <w:uiPriority w:val="99"/>
    <w:rsid w:val="00077C7E"/>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077C7E"/>
    <w:pPr>
      <w:spacing w:after="120"/>
      <w:ind w:left="360"/>
    </w:pPr>
  </w:style>
  <w:style w:type="character" w:customStyle="1" w:styleId="BodyTextIndentChar">
    <w:name w:val="Body Text Indent Char"/>
    <w:basedOn w:val="DefaultParagraphFont"/>
    <w:link w:val="BodyTextIndent"/>
    <w:uiPriority w:val="99"/>
    <w:semiHidden/>
    <w:rsid w:val="00077C7E"/>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077C7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77C7E"/>
    <w:rPr>
      <w:rFonts w:ascii="Times New Roman" w:eastAsia="Times New Roman" w:hAnsi="Times New Roman" w:cs="Times New Roman"/>
      <w:sz w:val="16"/>
      <w:szCs w:val="16"/>
    </w:rPr>
  </w:style>
  <w:style w:type="character" w:styleId="Hyperlink">
    <w:name w:val="Hyperlink"/>
    <w:basedOn w:val="DefaultParagraphFont"/>
    <w:uiPriority w:val="99"/>
    <w:unhideWhenUsed/>
    <w:rsid w:val="00320A28"/>
    <w:rPr>
      <w:color w:val="0000FF" w:themeColor="hyperlink"/>
      <w:u w:val="single"/>
    </w:rPr>
  </w:style>
  <w:style w:type="paragraph" w:styleId="Footer">
    <w:name w:val="footer"/>
    <w:basedOn w:val="Normal"/>
    <w:link w:val="FooterChar"/>
    <w:uiPriority w:val="99"/>
    <w:unhideWhenUsed/>
    <w:rsid w:val="009E66DA"/>
    <w:pPr>
      <w:tabs>
        <w:tab w:val="center" w:pos="4680"/>
        <w:tab w:val="right" w:pos="9360"/>
      </w:tabs>
    </w:pPr>
  </w:style>
  <w:style w:type="character" w:customStyle="1" w:styleId="FooterChar">
    <w:name w:val="Footer Char"/>
    <w:basedOn w:val="DefaultParagraphFont"/>
    <w:link w:val="Footer"/>
    <w:uiPriority w:val="99"/>
    <w:rsid w:val="009E66DA"/>
    <w:rPr>
      <w:rFonts w:ascii="Times New Roman" w:eastAsia="Times New Roman" w:hAnsi="Times New Roman" w:cs="Times New Roman"/>
      <w:sz w:val="24"/>
      <w:szCs w:val="20"/>
    </w:rPr>
  </w:style>
  <w:style w:type="paragraph" w:styleId="FootnoteText">
    <w:name w:val="footnote text"/>
    <w:aliases w:val="fn,foottextfra,footnote,F,Texto nota pie Car Car,Texto nota pie IIRSA,Texto de rodapé,nota_rodapé,nota de rodapé,FOOTNOTES,single space,Footnote Text Char Char,Style 25,Texto nota piepddes Car Car,Texto nota piepddes Car,ft"/>
    <w:basedOn w:val="Normal"/>
    <w:link w:val="FootnoteTextChar1"/>
    <w:uiPriority w:val="99"/>
    <w:rsid w:val="000909CD"/>
    <w:pPr>
      <w:tabs>
        <w:tab w:val="left" w:pos="360"/>
      </w:tabs>
      <w:spacing w:before="20" w:after="20"/>
      <w:ind w:left="360" w:hanging="360"/>
      <w:jc w:val="both"/>
    </w:pPr>
    <w:rPr>
      <w:sz w:val="18"/>
      <w:lang w:val="es-ES_tradnl"/>
    </w:rPr>
  </w:style>
  <w:style w:type="character" w:customStyle="1" w:styleId="FootnoteTextChar">
    <w:name w:val="Footnote Text Char"/>
    <w:basedOn w:val="DefaultParagraphFont"/>
    <w:uiPriority w:val="99"/>
    <w:semiHidden/>
    <w:rsid w:val="000909CD"/>
    <w:rPr>
      <w:rFonts w:ascii="Times New Roman" w:eastAsia="Times New Roman" w:hAnsi="Times New Roman" w:cs="Times New Roman"/>
      <w:sz w:val="20"/>
      <w:szCs w:val="20"/>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
    <w:basedOn w:val="DefaultParagraphFont"/>
    <w:link w:val="Char2"/>
    <w:rsid w:val="000909CD"/>
    <w:rPr>
      <w:rFonts w:cs="Times New Roman"/>
      <w:vertAlign w:val="superscript"/>
    </w:rPr>
  </w:style>
  <w:style w:type="paragraph" w:styleId="CommentText">
    <w:name w:val="annotation text"/>
    <w:basedOn w:val="Normal"/>
    <w:link w:val="CommentTextChar"/>
    <w:uiPriority w:val="99"/>
    <w:semiHidden/>
    <w:rsid w:val="000909CD"/>
    <w:rPr>
      <w:sz w:val="20"/>
      <w:lang w:val="es-ES_tradnl"/>
    </w:rPr>
  </w:style>
  <w:style w:type="character" w:customStyle="1" w:styleId="CommentTextChar">
    <w:name w:val="Comment Text Char"/>
    <w:basedOn w:val="DefaultParagraphFont"/>
    <w:link w:val="CommentText"/>
    <w:uiPriority w:val="99"/>
    <w:semiHidden/>
    <w:rsid w:val="000909CD"/>
    <w:rPr>
      <w:rFonts w:ascii="Times New Roman" w:eastAsia="Times New Roman" w:hAnsi="Times New Roman" w:cs="Times New Roman"/>
      <w:sz w:val="20"/>
      <w:szCs w:val="20"/>
      <w:lang w:val="es-ES_tradnl"/>
    </w:rPr>
  </w:style>
  <w:style w:type="character" w:customStyle="1" w:styleId="FootnoteTextChar1">
    <w:name w:val="Footnote Text Char1"/>
    <w:aliases w:val="fn Char,foottextfra Char,footnote Char,F Char,Texto nota pie Car Car Char,Texto nota pie IIRSA Char,Texto de rodapé Char,nota_rodapé Char,nota de rodapé Char,FOOTNOTES Char,single space Char,Footnote Text Char Char Char,Style 25 Char"/>
    <w:basedOn w:val="DefaultParagraphFont"/>
    <w:link w:val="FootnoteText"/>
    <w:locked/>
    <w:rsid w:val="000909CD"/>
    <w:rPr>
      <w:rFonts w:ascii="Times New Roman" w:eastAsia="Times New Roman" w:hAnsi="Times New Roman" w:cs="Times New Roman"/>
      <w:sz w:val="18"/>
      <w:szCs w:val="20"/>
      <w:lang w:val="es-ES_tradnl"/>
    </w:rPr>
  </w:style>
  <w:style w:type="paragraph" w:customStyle="1" w:styleId="Char2">
    <w:name w:val="Char2"/>
    <w:basedOn w:val="Normal"/>
    <w:link w:val="FootnoteReference"/>
    <w:rsid w:val="000909CD"/>
    <w:pPr>
      <w:spacing w:after="160" w:line="240" w:lineRule="exact"/>
    </w:pPr>
    <w:rPr>
      <w:rFonts w:asciiTheme="minorHAnsi" w:eastAsiaTheme="minorHAnsi" w:hAnsiTheme="minorHAnsi"/>
      <w:sz w:val="22"/>
      <w:szCs w:val="22"/>
      <w:vertAlign w:val="superscript"/>
    </w:rPr>
  </w:style>
  <w:style w:type="paragraph" w:styleId="BodyText">
    <w:name w:val="Body Text"/>
    <w:basedOn w:val="Normal"/>
    <w:link w:val="BodyTextChar"/>
    <w:uiPriority w:val="99"/>
    <w:semiHidden/>
    <w:unhideWhenUsed/>
    <w:rsid w:val="00161A18"/>
    <w:pPr>
      <w:spacing w:after="120"/>
    </w:pPr>
  </w:style>
  <w:style w:type="character" w:customStyle="1" w:styleId="BodyTextChar">
    <w:name w:val="Body Text Char"/>
    <w:basedOn w:val="DefaultParagraphFont"/>
    <w:link w:val="BodyText"/>
    <w:uiPriority w:val="99"/>
    <w:semiHidden/>
    <w:rsid w:val="00161A18"/>
    <w:rPr>
      <w:rFonts w:ascii="Times New Roman" w:eastAsia="Times New Roman" w:hAnsi="Times New Roman" w:cs="Times New Roman"/>
      <w:sz w:val="24"/>
      <w:szCs w:val="20"/>
    </w:rPr>
  </w:style>
  <w:style w:type="paragraph" w:styleId="ListParagraph">
    <w:name w:val="List Paragraph"/>
    <w:basedOn w:val="Normal"/>
    <w:uiPriority w:val="34"/>
    <w:qFormat/>
    <w:rsid w:val="00E958F5"/>
    <w:pPr>
      <w:ind w:left="720"/>
      <w:contextualSpacing/>
    </w:pPr>
  </w:style>
  <w:style w:type="paragraph" w:customStyle="1" w:styleId="Annex">
    <w:name w:val="Annex"/>
    <w:basedOn w:val="Normal"/>
    <w:rsid w:val="007918FC"/>
    <w:rPr>
      <w:caps/>
      <w:lang w:val="es-ES_tradnl" w:eastAsia="pt-BR"/>
    </w:rPr>
  </w:style>
  <w:style w:type="table" w:styleId="TableGrid">
    <w:name w:val="Table Grid"/>
    <w:basedOn w:val="TableNormal"/>
    <w:rsid w:val="00BD07F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
    <w:name w:val="Paragraph Car"/>
    <w:basedOn w:val="DefaultParagraphFont"/>
    <w:uiPriority w:val="99"/>
    <w:rsid w:val="00BD07FF"/>
    <w:rPr>
      <w:sz w:val="24"/>
      <w:lang w:val="es-ES_tradnl" w:eastAsia="pt-BR"/>
    </w:rPr>
  </w:style>
  <w:style w:type="character" w:customStyle="1" w:styleId="Heading5Char">
    <w:name w:val="Heading 5 Char"/>
    <w:basedOn w:val="DefaultParagraphFont"/>
    <w:link w:val="Heading5"/>
    <w:semiHidden/>
    <w:rsid w:val="00E3460B"/>
    <w:rPr>
      <w:rFonts w:ascii="Times New Roman" w:eastAsia="Calibri" w:hAnsi="Times New Roman" w:cs="Times New Roman"/>
      <w:b/>
      <w:bCs/>
      <w:i/>
      <w:iCs/>
      <w:sz w:val="26"/>
      <w:szCs w:val="26"/>
      <w:lang w:val="es-ES" w:eastAsia="es-ES"/>
    </w:rPr>
  </w:style>
  <w:style w:type="character" w:customStyle="1" w:styleId="Heading6Char">
    <w:name w:val="Heading 6 Char"/>
    <w:basedOn w:val="DefaultParagraphFont"/>
    <w:link w:val="Heading6"/>
    <w:semiHidden/>
    <w:rsid w:val="00E3460B"/>
    <w:rPr>
      <w:rFonts w:ascii="Times New Roman" w:eastAsia="Calibri" w:hAnsi="Times New Roman" w:cs="Times New Roman"/>
      <w:b/>
      <w:bCs/>
      <w:lang w:val="es-ES" w:eastAsia="es-ES"/>
    </w:rPr>
  </w:style>
  <w:style w:type="character" w:customStyle="1" w:styleId="Heading7Char">
    <w:name w:val="Heading 7 Char"/>
    <w:basedOn w:val="DefaultParagraphFont"/>
    <w:link w:val="Heading7"/>
    <w:uiPriority w:val="99"/>
    <w:semiHidden/>
    <w:rsid w:val="00E3460B"/>
    <w:rPr>
      <w:rFonts w:ascii="Times New Roman" w:eastAsia="Calibri" w:hAnsi="Times New Roman" w:cs="Times New Roman"/>
      <w:sz w:val="24"/>
      <w:szCs w:val="24"/>
      <w:lang w:val="es-ES" w:eastAsia="es-ES"/>
    </w:rPr>
  </w:style>
  <w:style w:type="character" w:customStyle="1" w:styleId="Heading8Char">
    <w:name w:val="Heading 8 Char"/>
    <w:basedOn w:val="DefaultParagraphFont"/>
    <w:link w:val="Heading8"/>
    <w:uiPriority w:val="99"/>
    <w:semiHidden/>
    <w:rsid w:val="00E3460B"/>
    <w:rPr>
      <w:rFonts w:ascii="Times New Roman" w:eastAsia="Calibri" w:hAnsi="Times New Roman" w:cs="Times New Roman"/>
      <w:i/>
      <w:iCs/>
      <w:sz w:val="24"/>
      <w:szCs w:val="24"/>
      <w:lang w:val="es-ES" w:eastAsia="es-ES"/>
    </w:rPr>
  </w:style>
  <w:style w:type="character" w:customStyle="1" w:styleId="Heading9Char">
    <w:name w:val="Heading 9 Char"/>
    <w:basedOn w:val="DefaultParagraphFont"/>
    <w:link w:val="Heading9"/>
    <w:uiPriority w:val="99"/>
    <w:semiHidden/>
    <w:rsid w:val="00E3460B"/>
    <w:rPr>
      <w:rFonts w:ascii="Arial" w:eastAsia="Calibri" w:hAnsi="Arial" w:cs="Arial"/>
      <w:lang w:val="es-ES" w:eastAsia="es-ES"/>
    </w:rPr>
  </w:style>
  <w:style w:type="character" w:styleId="FollowedHyperlink">
    <w:name w:val="FollowedHyperlink"/>
    <w:basedOn w:val="DefaultParagraphFont"/>
    <w:uiPriority w:val="99"/>
    <w:semiHidden/>
    <w:unhideWhenUsed/>
    <w:rsid w:val="00E3460B"/>
    <w:rPr>
      <w:color w:val="800080" w:themeColor="followedHyperlink"/>
      <w:u w:val="single"/>
    </w:rPr>
  </w:style>
  <w:style w:type="paragraph" w:styleId="NormalWeb">
    <w:name w:val="Normal (Web)"/>
    <w:basedOn w:val="Normal"/>
    <w:uiPriority w:val="99"/>
    <w:unhideWhenUsed/>
    <w:rsid w:val="00E3460B"/>
    <w:pPr>
      <w:spacing w:before="100" w:beforeAutospacing="1" w:after="100" w:afterAutospacing="1"/>
    </w:pPr>
    <w:rPr>
      <w:szCs w:val="24"/>
      <w:lang w:eastAsia="pt-BR"/>
    </w:rPr>
  </w:style>
  <w:style w:type="paragraph" w:styleId="TOC1">
    <w:name w:val="toc 1"/>
    <w:basedOn w:val="Normal"/>
    <w:next w:val="Normal"/>
    <w:autoRedefine/>
    <w:uiPriority w:val="39"/>
    <w:unhideWhenUsed/>
    <w:rsid w:val="00E3460B"/>
    <w:pPr>
      <w:tabs>
        <w:tab w:val="left" w:pos="480"/>
        <w:tab w:val="right" w:leader="dot" w:pos="8494"/>
      </w:tabs>
      <w:spacing w:line="480" w:lineRule="auto"/>
    </w:pPr>
    <w:rPr>
      <w:rFonts w:eastAsia="Calibri"/>
      <w:szCs w:val="24"/>
      <w:lang w:val="es-ES" w:eastAsia="es-ES"/>
    </w:rPr>
  </w:style>
  <w:style w:type="paragraph" w:styleId="TOC2">
    <w:name w:val="toc 2"/>
    <w:basedOn w:val="Normal"/>
    <w:next w:val="Normal"/>
    <w:autoRedefine/>
    <w:uiPriority w:val="39"/>
    <w:unhideWhenUsed/>
    <w:rsid w:val="00E3460B"/>
    <w:pPr>
      <w:tabs>
        <w:tab w:val="left" w:pos="880"/>
        <w:tab w:val="right" w:leader="dot" w:pos="8494"/>
      </w:tabs>
      <w:spacing w:line="480" w:lineRule="auto"/>
      <w:ind w:left="240"/>
    </w:pPr>
    <w:rPr>
      <w:rFonts w:eastAsia="Calibri"/>
      <w:szCs w:val="24"/>
      <w:lang w:val="es-ES" w:eastAsia="es-ES"/>
    </w:rPr>
  </w:style>
  <w:style w:type="paragraph" w:styleId="TOC3">
    <w:name w:val="toc 3"/>
    <w:basedOn w:val="Normal"/>
    <w:next w:val="Normal"/>
    <w:autoRedefine/>
    <w:uiPriority w:val="39"/>
    <w:unhideWhenUsed/>
    <w:rsid w:val="00E3460B"/>
    <w:pPr>
      <w:tabs>
        <w:tab w:val="left" w:pos="1320"/>
        <w:tab w:val="right" w:leader="dot" w:pos="8494"/>
      </w:tabs>
      <w:spacing w:line="480" w:lineRule="auto"/>
      <w:ind w:left="480"/>
    </w:pPr>
    <w:rPr>
      <w:rFonts w:eastAsia="Calibri"/>
      <w:szCs w:val="24"/>
      <w:lang w:val="es-ES" w:eastAsia="es-ES"/>
    </w:rPr>
  </w:style>
  <w:style w:type="paragraph" w:styleId="EndnoteText">
    <w:name w:val="endnote text"/>
    <w:basedOn w:val="Normal"/>
    <w:link w:val="EndnoteTextChar"/>
    <w:uiPriority w:val="99"/>
    <w:semiHidden/>
    <w:unhideWhenUsed/>
    <w:rsid w:val="00E3460B"/>
    <w:rPr>
      <w:rFonts w:eastAsia="Calibri"/>
      <w:sz w:val="20"/>
      <w:lang w:val="es-ES" w:eastAsia="es-ES"/>
    </w:rPr>
  </w:style>
  <w:style w:type="character" w:customStyle="1" w:styleId="EndnoteTextChar">
    <w:name w:val="Endnote Text Char"/>
    <w:basedOn w:val="DefaultParagraphFont"/>
    <w:link w:val="EndnoteText"/>
    <w:uiPriority w:val="99"/>
    <w:semiHidden/>
    <w:rsid w:val="00E3460B"/>
    <w:rPr>
      <w:rFonts w:ascii="Times New Roman" w:eastAsia="Calibri" w:hAnsi="Times New Roman" w:cs="Times New Roman"/>
      <w:sz w:val="20"/>
      <w:szCs w:val="20"/>
      <w:lang w:val="es-ES" w:eastAsia="es-ES"/>
    </w:rPr>
  </w:style>
  <w:style w:type="paragraph" w:styleId="BalloonText">
    <w:name w:val="Balloon Text"/>
    <w:basedOn w:val="Normal"/>
    <w:link w:val="BalloonTextChar1"/>
    <w:uiPriority w:val="99"/>
    <w:semiHidden/>
    <w:unhideWhenUsed/>
    <w:rsid w:val="00E3460B"/>
    <w:rPr>
      <w:rFonts w:ascii="Tahoma" w:eastAsia="Calibri" w:hAnsi="Tahoma" w:cs="Tahoma"/>
      <w:sz w:val="16"/>
      <w:szCs w:val="16"/>
      <w:lang w:val="es-ES" w:eastAsia="es-ES"/>
    </w:rPr>
  </w:style>
  <w:style w:type="character" w:customStyle="1" w:styleId="BalloonTextChar">
    <w:name w:val="Balloon Text Char"/>
    <w:basedOn w:val="DefaultParagraphFont"/>
    <w:semiHidden/>
    <w:rsid w:val="00E3460B"/>
    <w:rPr>
      <w:rFonts w:ascii="Tahoma" w:eastAsia="Times New Roman" w:hAnsi="Tahoma" w:cs="Tahoma"/>
      <w:sz w:val="16"/>
      <w:szCs w:val="16"/>
      <w:lang w:val="pt-BR"/>
    </w:rPr>
  </w:style>
  <w:style w:type="character" w:styleId="EndnoteReference">
    <w:name w:val="endnote reference"/>
    <w:semiHidden/>
    <w:unhideWhenUsed/>
    <w:rsid w:val="00E3460B"/>
    <w:rPr>
      <w:vertAlign w:val="superscript"/>
    </w:rPr>
  </w:style>
  <w:style w:type="character" w:customStyle="1" w:styleId="BalloonTextChar1">
    <w:name w:val="Balloon Text Char1"/>
    <w:link w:val="BalloonText"/>
    <w:uiPriority w:val="99"/>
    <w:semiHidden/>
    <w:locked/>
    <w:rsid w:val="00E3460B"/>
    <w:rPr>
      <w:rFonts w:ascii="Tahoma" w:eastAsia="Calibri" w:hAnsi="Tahoma" w:cs="Tahoma"/>
      <w:sz w:val="16"/>
      <w:szCs w:val="16"/>
      <w:lang w:val="es-ES" w:eastAsia="es-ES"/>
    </w:rPr>
  </w:style>
  <w:style w:type="paragraph" w:customStyle="1" w:styleId="Pa13">
    <w:name w:val="Pa13"/>
    <w:basedOn w:val="Default"/>
    <w:next w:val="Default"/>
    <w:uiPriority w:val="99"/>
    <w:rsid w:val="00C4571D"/>
    <w:pPr>
      <w:spacing w:line="141" w:lineRule="atLeast"/>
    </w:pPr>
    <w:rPr>
      <w:rFonts w:ascii="Frutiger LT Pro" w:eastAsiaTheme="minorHAnsi" w:hAnsi="Frutiger LT Pro" w:cstheme="minorBidi"/>
      <w:color w:val="auto"/>
      <w:lang w:val="pt-BR"/>
    </w:rPr>
  </w:style>
  <w:style w:type="paragraph" w:styleId="TableofFigures">
    <w:name w:val="table of figures"/>
    <w:basedOn w:val="Normal"/>
    <w:next w:val="Normal"/>
    <w:uiPriority w:val="99"/>
    <w:semiHidden/>
    <w:unhideWhenUsed/>
    <w:rsid w:val="00962305"/>
  </w:style>
  <w:style w:type="character" w:styleId="PlaceholderText">
    <w:name w:val="Placeholder Text"/>
    <w:basedOn w:val="DefaultParagraphFont"/>
    <w:uiPriority w:val="99"/>
    <w:semiHidden/>
    <w:rsid w:val="00C916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8979">
      <w:bodyDiv w:val="1"/>
      <w:marLeft w:val="0"/>
      <w:marRight w:val="0"/>
      <w:marTop w:val="0"/>
      <w:marBottom w:val="0"/>
      <w:divBdr>
        <w:top w:val="none" w:sz="0" w:space="0" w:color="auto"/>
        <w:left w:val="none" w:sz="0" w:space="0" w:color="auto"/>
        <w:bottom w:val="none" w:sz="0" w:space="0" w:color="auto"/>
        <w:right w:val="none" w:sz="0" w:space="0" w:color="auto"/>
      </w:divBdr>
    </w:div>
    <w:div w:id="37365655">
      <w:bodyDiv w:val="1"/>
      <w:marLeft w:val="0"/>
      <w:marRight w:val="0"/>
      <w:marTop w:val="0"/>
      <w:marBottom w:val="0"/>
      <w:divBdr>
        <w:top w:val="none" w:sz="0" w:space="0" w:color="auto"/>
        <w:left w:val="none" w:sz="0" w:space="0" w:color="auto"/>
        <w:bottom w:val="none" w:sz="0" w:space="0" w:color="auto"/>
        <w:right w:val="none" w:sz="0" w:space="0" w:color="auto"/>
      </w:divBdr>
    </w:div>
    <w:div w:id="82411027">
      <w:bodyDiv w:val="1"/>
      <w:marLeft w:val="0"/>
      <w:marRight w:val="0"/>
      <w:marTop w:val="0"/>
      <w:marBottom w:val="0"/>
      <w:divBdr>
        <w:top w:val="none" w:sz="0" w:space="0" w:color="auto"/>
        <w:left w:val="none" w:sz="0" w:space="0" w:color="auto"/>
        <w:bottom w:val="none" w:sz="0" w:space="0" w:color="auto"/>
        <w:right w:val="none" w:sz="0" w:space="0" w:color="auto"/>
      </w:divBdr>
    </w:div>
    <w:div w:id="110366295">
      <w:bodyDiv w:val="1"/>
      <w:marLeft w:val="0"/>
      <w:marRight w:val="0"/>
      <w:marTop w:val="0"/>
      <w:marBottom w:val="0"/>
      <w:divBdr>
        <w:top w:val="none" w:sz="0" w:space="0" w:color="auto"/>
        <w:left w:val="none" w:sz="0" w:space="0" w:color="auto"/>
        <w:bottom w:val="none" w:sz="0" w:space="0" w:color="auto"/>
        <w:right w:val="none" w:sz="0" w:space="0" w:color="auto"/>
      </w:divBdr>
    </w:div>
    <w:div w:id="124855266">
      <w:bodyDiv w:val="1"/>
      <w:marLeft w:val="0"/>
      <w:marRight w:val="0"/>
      <w:marTop w:val="0"/>
      <w:marBottom w:val="0"/>
      <w:divBdr>
        <w:top w:val="none" w:sz="0" w:space="0" w:color="auto"/>
        <w:left w:val="none" w:sz="0" w:space="0" w:color="auto"/>
        <w:bottom w:val="none" w:sz="0" w:space="0" w:color="auto"/>
        <w:right w:val="none" w:sz="0" w:space="0" w:color="auto"/>
      </w:divBdr>
    </w:div>
    <w:div w:id="165445522">
      <w:bodyDiv w:val="1"/>
      <w:marLeft w:val="0"/>
      <w:marRight w:val="0"/>
      <w:marTop w:val="0"/>
      <w:marBottom w:val="0"/>
      <w:divBdr>
        <w:top w:val="none" w:sz="0" w:space="0" w:color="auto"/>
        <w:left w:val="none" w:sz="0" w:space="0" w:color="auto"/>
        <w:bottom w:val="none" w:sz="0" w:space="0" w:color="auto"/>
        <w:right w:val="none" w:sz="0" w:space="0" w:color="auto"/>
      </w:divBdr>
    </w:div>
    <w:div w:id="250819818">
      <w:bodyDiv w:val="1"/>
      <w:marLeft w:val="0"/>
      <w:marRight w:val="0"/>
      <w:marTop w:val="0"/>
      <w:marBottom w:val="0"/>
      <w:divBdr>
        <w:top w:val="none" w:sz="0" w:space="0" w:color="auto"/>
        <w:left w:val="none" w:sz="0" w:space="0" w:color="auto"/>
        <w:bottom w:val="none" w:sz="0" w:space="0" w:color="auto"/>
        <w:right w:val="none" w:sz="0" w:space="0" w:color="auto"/>
      </w:divBdr>
    </w:div>
    <w:div w:id="272590559">
      <w:bodyDiv w:val="1"/>
      <w:marLeft w:val="0"/>
      <w:marRight w:val="0"/>
      <w:marTop w:val="0"/>
      <w:marBottom w:val="0"/>
      <w:divBdr>
        <w:top w:val="none" w:sz="0" w:space="0" w:color="auto"/>
        <w:left w:val="none" w:sz="0" w:space="0" w:color="auto"/>
        <w:bottom w:val="none" w:sz="0" w:space="0" w:color="auto"/>
        <w:right w:val="none" w:sz="0" w:space="0" w:color="auto"/>
      </w:divBdr>
    </w:div>
    <w:div w:id="371732028">
      <w:bodyDiv w:val="1"/>
      <w:marLeft w:val="0"/>
      <w:marRight w:val="0"/>
      <w:marTop w:val="0"/>
      <w:marBottom w:val="0"/>
      <w:divBdr>
        <w:top w:val="none" w:sz="0" w:space="0" w:color="auto"/>
        <w:left w:val="none" w:sz="0" w:space="0" w:color="auto"/>
        <w:bottom w:val="none" w:sz="0" w:space="0" w:color="auto"/>
        <w:right w:val="none" w:sz="0" w:space="0" w:color="auto"/>
      </w:divBdr>
    </w:div>
    <w:div w:id="394208383">
      <w:bodyDiv w:val="1"/>
      <w:marLeft w:val="0"/>
      <w:marRight w:val="0"/>
      <w:marTop w:val="0"/>
      <w:marBottom w:val="0"/>
      <w:divBdr>
        <w:top w:val="none" w:sz="0" w:space="0" w:color="auto"/>
        <w:left w:val="none" w:sz="0" w:space="0" w:color="auto"/>
        <w:bottom w:val="none" w:sz="0" w:space="0" w:color="auto"/>
        <w:right w:val="none" w:sz="0" w:space="0" w:color="auto"/>
      </w:divBdr>
    </w:div>
    <w:div w:id="535120832">
      <w:bodyDiv w:val="1"/>
      <w:marLeft w:val="0"/>
      <w:marRight w:val="0"/>
      <w:marTop w:val="0"/>
      <w:marBottom w:val="0"/>
      <w:divBdr>
        <w:top w:val="none" w:sz="0" w:space="0" w:color="auto"/>
        <w:left w:val="none" w:sz="0" w:space="0" w:color="auto"/>
        <w:bottom w:val="none" w:sz="0" w:space="0" w:color="auto"/>
        <w:right w:val="none" w:sz="0" w:space="0" w:color="auto"/>
      </w:divBdr>
    </w:div>
    <w:div w:id="565343015">
      <w:bodyDiv w:val="1"/>
      <w:marLeft w:val="0"/>
      <w:marRight w:val="0"/>
      <w:marTop w:val="0"/>
      <w:marBottom w:val="0"/>
      <w:divBdr>
        <w:top w:val="none" w:sz="0" w:space="0" w:color="auto"/>
        <w:left w:val="none" w:sz="0" w:space="0" w:color="auto"/>
        <w:bottom w:val="none" w:sz="0" w:space="0" w:color="auto"/>
        <w:right w:val="none" w:sz="0" w:space="0" w:color="auto"/>
      </w:divBdr>
      <w:divsChild>
        <w:div w:id="1719548393">
          <w:marLeft w:val="0"/>
          <w:marRight w:val="0"/>
          <w:marTop w:val="0"/>
          <w:marBottom w:val="0"/>
          <w:divBdr>
            <w:top w:val="none" w:sz="0" w:space="0" w:color="auto"/>
            <w:left w:val="none" w:sz="0" w:space="0" w:color="auto"/>
            <w:bottom w:val="none" w:sz="0" w:space="0" w:color="auto"/>
            <w:right w:val="none" w:sz="0" w:space="0" w:color="auto"/>
          </w:divBdr>
          <w:divsChild>
            <w:div w:id="418134958">
              <w:marLeft w:val="0"/>
              <w:marRight w:val="0"/>
              <w:marTop w:val="0"/>
              <w:marBottom w:val="0"/>
              <w:divBdr>
                <w:top w:val="none" w:sz="0" w:space="0" w:color="auto"/>
                <w:left w:val="none" w:sz="0" w:space="0" w:color="auto"/>
                <w:bottom w:val="none" w:sz="0" w:space="0" w:color="auto"/>
                <w:right w:val="none" w:sz="0" w:space="0" w:color="auto"/>
              </w:divBdr>
              <w:divsChild>
                <w:div w:id="1260411499">
                  <w:marLeft w:val="0"/>
                  <w:marRight w:val="0"/>
                  <w:marTop w:val="0"/>
                  <w:marBottom w:val="0"/>
                  <w:divBdr>
                    <w:top w:val="none" w:sz="0" w:space="0" w:color="auto"/>
                    <w:left w:val="none" w:sz="0" w:space="0" w:color="auto"/>
                    <w:bottom w:val="none" w:sz="0" w:space="0" w:color="auto"/>
                    <w:right w:val="none" w:sz="0" w:space="0" w:color="auto"/>
                  </w:divBdr>
                  <w:divsChild>
                    <w:div w:id="937562761">
                      <w:marLeft w:val="0"/>
                      <w:marRight w:val="0"/>
                      <w:marTop w:val="0"/>
                      <w:marBottom w:val="0"/>
                      <w:divBdr>
                        <w:top w:val="none" w:sz="0" w:space="0" w:color="auto"/>
                        <w:left w:val="none" w:sz="0" w:space="0" w:color="auto"/>
                        <w:bottom w:val="none" w:sz="0" w:space="0" w:color="auto"/>
                        <w:right w:val="none" w:sz="0" w:space="0" w:color="auto"/>
                      </w:divBdr>
                      <w:divsChild>
                        <w:div w:id="1025056160">
                          <w:marLeft w:val="0"/>
                          <w:marRight w:val="0"/>
                          <w:marTop w:val="0"/>
                          <w:marBottom w:val="0"/>
                          <w:divBdr>
                            <w:top w:val="none" w:sz="0" w:space="0" w:color="auto"/>
                            <w:left w:val="none" w:sz="0" w:space="0" w:color="auto"/>
                            <w:bottom w:val="none" w:sz="0" w:space="0" w:color="auto"/>
                            <w:right w:val="none" w:sz="0" w:space="0" w:color="auto"/>
                          </w:divBdr>
                          <w:divsChild>
                            <w:div w:id="557908966">
                              <w:marLeft w:val="0"/>
                              <w:marRight w:val="0"/>
                              <w:marTop w:val="0"/>
                              <w:marBottom w:val="0"/>
                              <w:divBdr>
                                <w:top w:val="none" w:sz="0" w:space="0" w:color="auto"/>
                                <w:left w:val="none" w:sz="0" w:space="0" w:color="auto"/>
                                <w:bottom w:val="none" w:sz="0" w:space="0" w:color="auto"/>
                                <w:right w:val="none" w:sz="0" w:space="0" w:color="auto"/>
                              </w:divBdr>
                              <w:divsChild>
                                <w:div w:id="985159086">
                                  <w:marLeft w:val="0"/>
                                  <w:marRight w:val="0"/>
                                  <w:marTop w:val="0"/>
                                  <w:marBottom w:val="0"/>
                                  <w:divBdr>
                                    <w:top w:val="none" w:sz="0" w:space="0" w:color="auto"/>
                                    <w:left w:val="none" w:sz="0" w:space="0" w:color="auto"/>
                                    <w:bottom w:val="none" w:sz="0" w:space="0" w:color="auto"/>
                                    <w:right w:val="none" w:sz="0" w:space="0" w:color="auto"/>
                                  </w:divBdr>
                                  <w:divsChild>
                                    <w:div w:id="1195967414">
                                      <w:marLeft w:val="0"/>
                                      <w:marRight w:val="0"/>
                                      <w:marTop w:val="0"/>
                                      <w:marBottom w:val="0"/>
                                      <w:divBdr>
                                        <w:top w:val="none" w:sz="0" w:space="0" w:color="auto"/>
                                        <w:left w:val="none" w:sz="0" w:space="0" w:color="auto"/>
                                        <w:bottom w:val="none" w:sz="0" w:space="0" w:color="auto"/>
                                        <w:right w:val="none" w:sz="0" w:space="0" w:color="auto"/>
                                      </w:divBdr>
                                      <w:divsChild>
                                        <w:div w:id="106046750">
                                          <w:marLeft w:val="0"/>
                                          <w:marRight w:val="0"/>
                                          <w:marTop w:val="0"/>
                                          <w:marBottom w:val="0"/>
                                          <w:divBdr>
                                            <w:top w:val="none" w:sz="0" w:space="0" w:color="auto"/>
                                            <w:left w:val="none" w:sz="0" w:space="0" w:color="auto"/>
                                            <w:bottom w:val="none" w:sz="0" w:space="0" w:color="auto"/>
                                            <w:right w:val="none" w:sz="0" w:space="0" w:color="auto"/>
                                          </w:divBdr>
                                          <w:divsChild>
                                            <w:div w:id="920874615">
                                              <w:marLeft w:val="0"/>
                                              <w:marRight w:val="0"/>
                                              <w:marTop w:val="0"/>
                                              <w:marBottom w:val="0"/>
                                              <w:divBdr>
                                                <w:top w:val="none" w:sz="0" w:space="0" w:color="auto"/>
                                                <w:left w:val="none" w:sz="0" w:space="0" w:color="auto"/>
                                                <w:bottom w:val="none" w:sz="0" w:space="0" w:color="auto"/>
                                                <w:right w:val="none" w:sz="0" w:space="0" w:color="auto"/>
                                              </w:divBdr>
                                              <w:divsChild>
                                                <w:div w:id="162938693">
                                                  <w:marLeft w:val="0"/>
                                                  <w:marRight w:val="0"/>
                                                  <w:marTop w:val="0"/>
                                                  <w:marBottom w:val="0"/>
                                                  <w:divBdr>
                                                    <w:top w:val="none" w:sz="0" w:space="0" w:color="auto"/>
                                                    <w:left w:val="none" w:sz="0" w:space="0" w:color="auto"/>
                                                    <w:bottom w:val="none" w:sz="0" w:space="0" w:color="auto"/>
                                                    <w:right w:val="none" w:sz="0" w:space="0" w:color="auto"/>
                                                  </w:divBdr>
                                                  <w:divsChild>
                                                    <w:div w:id="1894460996">
                                                      <w:marLeft w:val="0"/>
                                                      <w:marRight w:val="0"/>
                                                      <w:marTop w:val="0"/>
                                                      <w:marBottom w:val="0"/>
                                                      <w:divBdr>
                                                        <w:top w:val="none" w:sz="0" w:space="0" w:color="auto"/>
                                                        <w:left w:val="none" w:sz="0" w:space="0" w:color="auto"/>
                                                        <w:bottom w:val="none" w:sz="0" w:space="0" w:color="auto"/>
                                                        <w:right w:val="none" w:sz="0" w:space="0" w:color="auto"/>
                                                      </w:divBdr>
                                                      <w:divsChild>
                                                        <w:div w:id="1179538009">
                                                          <w:marLeft w:val="0"/>
                                                          <w:marRight w:val="0"/>
                                                          <w:marTop w:val="0"/>
                                                          <w:marBottom w:val="0"/>
                                                          <w:divBdr>
                                                            <w:top w:val="none" w:sz="0" w:space="0" w:color="auto"/>
                                                            <w:left w:val="none" w:sz="0" w:space="0" w:color="auto"/>
                                                            <w:bottom w:val="none" w:sz="0" w:space="0" w:color="auto"/>
                                                            <w:right w:val="none" w:sz="0" w:space="0" w:color="auto"/>
                                                          </w:divBdr>
                                                          <w:divsChild>
                                                            <w:div w:id="413550258">
                                                              <w:marLeft w:val="0"/>
                                                              <w:marRight w:val="0"/>
                                                              <w:marTop w:val="0"/>
                                                              <w:marBottom w:val="0"/>
                                                              <w:divBdr>
                                                                <w:top w:val="none" w:sz="0" w:space="0" w:color="auto"/>
                                                                <w:left w:val="none" w:sz="0" w:space="0" w:color="auto"/>
                                                                <w:bottom w:val="none" w:sz="0" w:space="0" w:color="auto"/>
                                                                <w:right w:val="none" w:sz="0" w:space="0" w:color="auto"/>
                                                              </w:divBdr>
                                                              <w:divsChild>
                                                                <w:div w:id="1183741515">
                                                                  <w:marLeft w:val="0"/>
                                                                  <w:marRight w:val="0"/>
                                                                  <w:marTop w:val="0"/>
                                                                  <w:marBottom w:val="0"/>
                                                                  <w:divBdr>
                                                                    <w:top w:val="none" w:sz="0" w:space="0" w:color="auto"/>
                                                                    <w:left w:val="none" w:sz="0" w:space="0" w:color="auto"/>
                                                                    <w:bottom w:val="none" w:sz="0" w:space="0" w:color="auto"/>
                                                                    <w:right w:val="none" w:sz="0" w:space="0" w:color="auto"/>
                                                                  </w:divBdr>
                                                                  <w:divsChild>
                                                                    <w:div w:id="412512286">
                                                                      <w:marLeft w:val="0"/>
                                                                      <w:marRight w:val="0"/>
                                                                      <w:marTop w:val="0"/>
                                                                      <w:marBottom w:val="0"/>
                                                                      <w:divBdr>
                                                                        <w:top w:val="none" w:sz="0" w:space="0" w:color="auto"/>
                                                                        <w:left w:val="none" w:sz="0" w:space="0" w:color="auto"/>
                                                                        <w:bottom w:val="none" w:sz="0" w:space="0" w:color="auto"/>
                                                                        <w:right w:val="none" w:sz="0" w:space="0" w:color="auto"/>
                                                                      </w:divBdr>
                                                                      <w:divsChild>
                                                                        <w:div w:id="1096827725">
                                                                          <w:marLeft w:val="0"/>
                                                                          <w:marRight w:val="0"/>
                                                                          <w:marTop w:val="0"/>
                                                                          <w:marBottom w:val="0"/>
                                                                          <w:divBdr>
                                                                            <w:top w:val="none" w:sz="0" w:space="0" w:color="auto"/>
                                                                            <w:left w:val="none" w:sz="0" w:space="0" w:color="auto"/>
                                                                            <w:bottom w:val="none" w:sz="0" w:space="0" w:color="auto"/>
                                                                            <w:right w:val="none" w:sz="0" w:space="0" w:color="auto"/>
                                                                          </w:divBdr>
                                                                          <w:divsChild>
                                                                            <w:div w:id="1202477651">
                                                                              <w:marLeft w:val="0"/>
                                                                              <w:marRight w:val="0"/>
                                                                              <w:marTop w:val="0"/>
                                                                              <w:marBottom w:val="0"/>
                                                                              <w:divBdr>
                                                                                <w:top w:val="none" w:sz="0" w:space="0" w:color="auto"/>
                                                                                <w:left w:val="none" w:sz="0" w:space="0" w:color="auto"/>
                                                                                <w:bottom w:val="none" w:sz="0" w:space="0" w:color="auto"/>
                                                                                <w:right w:val="none" w:sz="0" w:space="0" w:color="auto"/>
                                                                              </w:divBdr>
                                                                              <w:divsChild>
                                                                                <w:div w:id="851535514">
                                                                                  <w:marLeft w:val="0"/>
                                                                                  <w:marRight w:val="0"/>
                                                                                  <w:marTop w:val="0"/>
                                                                                  <w:marBottom w:val="0"/>
                                                                                  <w:divBdr>
                                                                                    <w:top w:val="none" w:sz="0" w:space="0" w:color="auto"/>
                                                                                    <w:left w:val="none" w:sz="0" w:space="0" w:color="auto"/>
                                                                                    <w:bottom w:val="none" w:sz="0" w:space="0" w:color="auto"/>
                                                                                    <w:right w:val="none" w:sz="0" w:space="0" w:color="auto"/>
                                                                                  </w:divBdr>
                                                                                  <w:divsChild>
                                                                                    <w:div w:id="1295479818">
                                                                                      <w:marLeft w:val="0"/>
                                                                                      <w:marRight w:val="0"/>
                                                                                      <w:marTop w:val="0"/>
                                                                                      <w:marBottom w:val="0"/>
                                                                                      <w:divBdr>
                                                                                        <w:top w:val="none" w:sz="0" w:space="0" w:color="auto"/>
                                                                                        <w:left w:val="none" w:sz="0" w:space="0" w:color="auto"/>
                                                                                        <w:bottom w:val="none" w:sz="0" w:space="0" w:color="auto"/>
                                                                                        <w:right w:val="none" w:sz="0" w:space="0" w:color="auto"/>
                                                                                      </w:divBdr>
                                                                                      <w:divsChild>
                                                                                        <w:div w:id="1395394800">
                                                                                          <w:marLeft w:val="0"/>
                                                                                          <w:marRight w:val="0"/>
                                                                                          <w:marTop w:val="0"/>
                                                                                          <w:marBottom w:val="0"/>
                                                                                          <w:divBdr>
                                                                                            <w:top w:val="none" w:sz="0" w:space="0" w:color="auto"/>
                                                                                            <w:left w:val="none" w:sz="0" w:space="0" w:color="auto"/>
                                                                                            <w:bottom w:val="none" w:sz="0" w:space="0" w:color="auto"/>
                                                                                            <w:right w:val="none" w:sz="0" w:space="0" w:color="auto"/>
                                                                                          </w:divBdr>
                                                                                          <w:divsChild>
                                                                                            <w:div w:id="1386759597">
                                                                                              <w:marLeft w:val="0"/>
                                                                                              <w:marRight w:val="0"/>
                                                                                              <w:marTop w:val="0"/>
                                                                                              <w:marBottom w:val="0"/>
                                                                                              <w:divBdr>
                                                                                                <w:top w:val="none" w:sz="0" w:space="0" w:color="auto"/>
                                                                                                <w:left w:val="none" w:sz="0" w:space="0" w:color="auto"/>
                                                                                                <w:bottom w:val="none" w:sz="0" w:space="0" w:color="auto"/>
                                                                                                <w:right w:val="none" w:sz="0" w:space="0" w:color="auto"/>
                                                                                              </w:divBdr>
                                                                                              <w:divsChild>
                                                                                                <w:div w:id="280380648">
                                                                                                  <w:marLeft w:val="0"/>
                                                                                                  <w:marRight w:val="0"/>
                                                                                                  <w:marTop w:val="0"/>
                                                                                                  <w:marBottom w:val="0"/>
                                                                                                  <w:divBdr>
                                                                                                    <w:top w:val="none" w:sz="0" w:space="0" w:color="auto"/>
                                                                                                    <w:left w:val="none" w:sz="0" w:space="0" w:color="auto"/>
                                                                                                    <w:bottom w:val="none" w:sz="0" w:space="0" w:color="auto"/>
                                                                                                    <w:right w:val="none" w:sz="0" w:space="0" w:color="auto"/>
                                                                                                  </w:divBdr>
                                                                                                  <w:divsChild>
                                                                                                    <w:div w:id="875391926">
                                                                                                      <w:marLeft w:val="0"/>
                                                                                                      <w:marRight w:val="0"/>
                                                                                                      <w:marTop w:val="0"/>
                                                                                                      <w:marBottom w:val="0"/>
                                                                                                      <w:divBdr>
                                                                                                        <w:top w:val="none" w:sz="0" w:space="0" w:color="auto"/>
                                                                                                        <w:left w:val="none" w:sz="0" w:space="0" w:color="auto"/>
                                                                                                        <w:bottom w:val="none" w:sz="0" w:space="0" w:color="auto"/>
                                                                                                        <w:right w:val="none" w:sz="0" w:space="0" w:color="auto"/>
                                                                                                      </w:divBdr>
                                                                                                      <w:divsChild>
                                                                                                        <w:div w:id="1879971000">
                                                                                                          <w:marLeft w:val="0"/>
                                                                                                          <w:marRight w:val="0"/>
                                                                                                          <w:marTop w:val="0"/>
                                                                                                          <w:marBottom w:val="0"/>
                                                                                                          <w:divBdr>
                                                                                                            <w:top w:val="none" w:sz="0" w:space="0" w:color="auto"/>
                                                                                                            <w:left w:val="none" w:sz="0" w:space="0" w:color="auto"/>
                                                                                                            <w:bottom w:val="none" w:sz="0" w:space="0" w:color="auto"/>
                                                                                                            <w:right w:val="none" w:sz="0" w:space="0" w:color="auto"/>
                                                                                                          </w:divBdr>
                                                                                                          <w:divsChild>
                                                                                                            <w:div w:id="325670702">
                                                                                                              <w:marLeft w:val="0"/>
                                                                                                              <w:marRight w:val="0"/>
                                                                                                              <w:marTop w:val="0"/>
                                                                                                              <w:marBottom w:val="0"/>
                                                                                                              <w:divBdr>
                                                                                                                <w:top w:val="none" w:sz="0" w:space="0" w:color="auto"/>
                                                                                                                <w:left w:val="none" w:sz="0" w:space="0" w:color="auto"/>
                                                                                                                <w:bottom w:val="none" w:sz="0" w:space="0" w:color="auto"/>
                                                                                                                <w:right w:val="none" w:sz="0" w:space="0" w:color="auto"/>
                                                                                                              </w:divBdr>
                                                                                                              <w:divsChild>
                                                                                                                <w:div w:id="294916315">
                                                                                                                  <w:marLeft w:val="0"/>
                                                                                                                  <w:marRight w:val="0"/>
                                                                                                                  <w:marTop w:val="0"/>
                                                                                                                  <w:marBottom w:val="0"/>
                                                                                                                  <w:divBdr>
                                                                                                                    <w:top w:val="none" w:sz="0" w:space="0" w:color="auto"/>
                                                                                                                    <w:left w:val="none" w:sz="0" w:space="0" w:color="auto"/>
                                                                                                                    <w:bottom w:val="none" w:sz="0" w:space="0" w:color="auto"/>
                                                                                                                    <w:right w:val="none" w:sz="0" w:space="0" w:color="auto"/>
                                                                                                                  </w:divBdr>
                                                                                                                  <w:divsChild>
                                                                                                                    <w:div w:id="218367412">
                                                                                                                      <w:marLeft w:val="0"/>
                                                                                                                      <w:marRight w:val="0"/>
                                                                                                                      <w:marTop w:val="0"/>
                                                                                                                      <w:marBottom w:val="0"/>
                                                                                                                      <w:divBdr>
                                                                                                                        <w:top w:val="none" w:sz="0" w:space="0" w:color="auto"/>
                                                                                                                        <w:left w:val="none" w:sz="0" w:space="0" w:color="auto"/>
                                                                                                                        <w:bottom w:val="none" w:sz="0" w:space="0" w:color="auto"/>
                                                                                                                        <w:right w:val="none" w:sz="0" w:space="0" w:color="auto"/>
                                                                                                                      </w:divBdr>
                                                                                                                      <w:divsChild>
                                                                                                                        <w:div w:id="1769227196">
                                                                                                                          <w:marLeft w:val="0"/>
                                                                                                                          <w:marRight w:val="0"/>
                                                                                                                          <w:marTop w:val="0"/>
                                                                                                                          <w:marBottom w:val="0"/>
                                                                                                                          <w:divBdr>
                                                                                                                            <w:top w:val="none" w:sz="0" w:space="0" w:color="auto"/>
                                                                                                                            <w:left w:val="none" w:sz="0" w:space="0" w:color="auto"/>
                                                                                                                            <w:bottom w:val="none" w:sz="0" w:space="0" w:color="auto"/>
                                                                                                                            <w:right w:val="none" w:sz="0" w:space="0" w:color="auto"/>
                                                                                                                          </w:divBdr>
                                                                                                                          <w:divsChild>
                                                                                                                            <w:div w:id="122160624">
                                                                                                                              <w:marLeft w:val="0"/>
                                                                                                                              <w:marRight w:val="0"/>
                                                                                                                              <w:marTop w:val="0"/>
                                                                                                                              <w:marBottom w:val="0"/>
                                                                                                                              <w:divBdr>
                                                                                                                                <w:top w:val="none" w:sz="0" w:space="0" w:color="auto"/>
                                                                                                                                <w:left w:val="none" w:sz="0" w:space="0" w:color="auto"/>
                                                                                                                                <w:bottom w:val="none" w:sz="0" w:space="0" w:color="auto"/>
                                                                                                                                <w:right w:val="none" w:sz="0" w:space="0" w:color="auto"/>
                                                                                                                              </w:divBdr>
                                                                                                                              <w:divsChild>
                                                                                                                                <w:div w:id="2106068054">
                                                                                                                                  <w:marLeft w:val="0"/>
                                                                                                                                  <w:marRight w:val="0"/>
                                                                                                                                  <w:marTop w:val="0"/>
                                                                                                                                  <w:marBottom w:val="0"/>
                                                                                                                                  <w:divBdr>
                                                                                                                                    <w:top w:val="none" w:sz="0" w:space="0" w:color="auto"/>
                                                                                                                                    <w:left w:val="none" w:sz="0" w:space="0" w:color="auto"/>
                                                                                                                                    <w:bottom w:val="none" w:sz="0" w:space="0" w:color="auto"/>
                                                                                                                                    <w:right w:val="none" w:sz="0" w:space="0" w:color="auto"/>
                                                                                                                                  </w:divBdr>
                                                                                                                                  <w:divsChild>
                                                                                                                                    <w:div w:id="896939742">
                                                                                                                                      <w:marLeft w:val="0"/>
                                                                                                                                      <w:marRight w:val="0"/>
                                                                                                                                      <w:marTop w:val="0"/>
                                                                                                                                      <w:marBottom w:val="0"/>
                                                                                                                                      <w:divBdr>
                                                                                                                                        <w:top w:val="none" w:sz="0" w:space="0" w:color="auto"/>
                                                                                                                                        <w:left w:val="none" w:sz="0" w:space="0" w:color="auto"/>
                                                                                                                                        <w:bottom w:val="none" w:sz="0" w:space="0" w:color="auto"/>
                                                                                                                                        <w:right w:val="none" w:sz="0" w:space="0" w:color="auto"/>
                                                                                                                                      </w:divBdr>
                                                                                                                                      <w:divsChild>
                                                                                                                                        <w:div w:id="2113281148">
                                                                                                                                          <w:marLeft w:val="0"/>
                                                                                                                                          <w:marRight w:val="0"/>
                                                                                                                                          <w:marTop w:val="0"/>
                                                                                                                                          <w:marBottom w:val="0"/>
                                                                                                                                          <w:divBdr>
                                                                                                                                            <w:top w:val="none" w:sz="0" w:space="0" w:color="auto"/>
                                                                                                                                            <w:left w:val="none" w:sz="0" w:space="0" w:color="auto"/>
                                                                                                                                            <w:bottom w:val="none" w:sz="0" w:space="0" w:color="auto"/>
                                                                                                                                            <w:right w:val="none" w:sz="0" w:space="0" w:color="auto"/>
                                                                                                                                          </w:divBdr>
                                                                                                                                          <w:divsChild>
                                                                                                                                            <w:div w:id="1260481110">
                                                                                                                                              <w:marLeft w:val="0"/>
                                                                                                                                              <w:marRight w:val="0"/>
                                                                                                                                              <w:marTop w:val="0"/>
                                                                                                                                              <w:marBottom w:val="0"/>
                                                                                                                                              <w:divBdr>
                                                                                                                                                <w:top w:val="none" w:sz="0" w:space="0" w:color="auto"/>
                                                                                                                                                <w:left w:val="none" w:sz="0" w:space="0" w:color="auto"/>
                                                                                                                                                <w:bottom w:val="none" w:sz="0" w:space="0" w:color="auto"/>
                                                                                                                                                <w:right w:val="none" w:sz="0" w:space="0" w:color="auto"/>
                                                                                                                                              </w:divBdr>
                                                                                                                                              <w:divsChild>
                                                                                                                                                <w:div w:id="498693229">
                                                                                                                                                  <w:marLeft w:val="0"/>
                                                                                                                                                  <w:marRight w:val="0"/>
                                                                                                                                                  <w:marTop w:val="0"/>
                                                                                                                                                  <w:marBottom w:val="0"/>
                                                                                                                                                  <w:divBdr>
                                                                                                                                                    <w:top w:val="none" w:sz="0" w:space="0" w:color="auto"/>
                                                                                                                                                    <w:left w:val="none" w:sz="0" w:space="0" w:color="auto"/>
                                                                                                                                                    <w:bottom w:val="none" w:sz="0" w:space="0" w:color="auto"/>
                                                                                                                                                    <w:right w:val="none" w:sz="0" w:space="0" w:color="auto"/>
                                                                                                                                                  </w:divBdr>
                                                                                                                                                  <w:divsChild>
                                                                                                                                                    <w:div w:id="689644585">
                                                                                                                                                      <w:marLeft w:val="0"/>
                                                                                                                                                      <w:marRight w:val="0"/>
                                                                                                                                                      <w:marTop w:val="0"/>
                                                                                                                                                      <w:marBottom w:val="0"/>
                                                                                                                                                      <w:divBdr>
                                                                                                                                                        <w:top w:val="none" w:sz="0" w:space="0" w:color="auto"/>
                                                                                                                                                        <w:left w:val="none" w:sz="0" w:space="0" w:color="auto"/>
                                                                                                                                                        <w:bottom w:val="none" w:sz="0" w:space="0" w:color="auto"/>
                                                                                                                                                        <w:right w:val="none" w:sz="0" w:space="0" w:color="auto"/>
                                                                                                                                                      </w:divBdr>
                                                                                                                                                      <w:divsChild>
                                                                                                                                                        <w:div w:id="2122336875">
                                                                                                                                                          <w:marLeft w:val="0"/>
                                                                                                                                                          <w:marRight w:val="0"/>
                                                                                                                                                          <w:marTop w:val="0"/>
                                                                                                                                                          <w:marBottom w:val="0"/>
                                                                                                                                                          <w:divBdr>
                                                                                                                                                            <w:top w:val="none" w:sz="0" w:space="0" w:color="auto"/>
                                                                                                                                                            <w:left w:val="none" w:sz="0" w:space="0" w:color="auto"/>
                                                                                                                                                            <w:bottom w:val="none" w:sz="0" w:space="0" w:color="auto"/>
                                                                                                                                                            <w:right w:val="none" w:sz="0" w:space="0" w:color="auto"/>
                                                                                                                                                          </w:divBdr>
                                                                                                                                                          <w:divsChild>
                                                                                                                                                            <w:div w:id="149791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8871133">
      <w:bodyDiv w:val="1"/>
      <w:marLeft w:val="0"/>
      <w:marRight w:val="0"/>
      <w:marTop w:val="0"/>
      <w:marBottom w:val="0"/>
      <w:divBdr>
        <w:top w:val="none" w:sz="0" w:space="0" w:color="auto"/>
        <w:left w:val="none" w:sz="0" w:space="0" w:color="auto"/>
        <w:bottom w:val="none" w:sz="0" w:space="0" w:color="auto"/>
        <w:right w:val="none" w:sz="0" w:space="0" w:color="auto"/>
      </w:divBdr>
      <w:divsChild>
        <w:div w:id="38165965">
          <w:marLeft w:val="1166"/>
          <w:marRight w:val="0"/>
          <w:marTop w:val="0"/>
          <w:marBottom w:val="0"/>
          <w:divBdr>
            <w:top w:val="none" w:sz="0" w:space="0" w:color="auto"/>
            <w:left w:val="none" w:sz="0" w:space="0" w:color="auto"/>
            <w:bottom w:val="none" w:sz="0" w:space="0" w:color="auto"/>
            <w:right w:val="none" w:sz="0" w:space="0" w:color="auto"/>
          </w:divBdr>
        </w:div>
        <w:div w:id="567614216">
          <w:marLeft w:val="1166"/>
          <w:marRight w:val="0"/>
          <w:marTop w:val="0"/>
          <w:marBottom w:val="0"/>
          <w:divBdr>
            <w:top w:val="none" w:sz="0" w:space="0" w:color="auto"/>
            <w:left w:val="none" w:sz="0" w:space="0" w:color="auto"/>
            <w:bottom w:val="none" w:sz="0" w:space="0" w:color="auto"/>
            <w:right w:val="none" w:sz="0" w:space="0" w:color="auto"/>
          </w:divBdr>
        </w:div>
        <w:div w:id="637035897">
          <w:marLeft w:val="1166"/>
          <w:marRight w:val="0"/>
          <w:marTop w:val="0"/>
          <w:marBottom w:val="0"/>
          <w:divBdr>
            <w:top w:val="none" w:sz="0" w:space="0" w:color="auto"/>
            <w:left w:val="none" w:sz="0" w:space="0" w:color="auto"/>
            <w:bottom w:val="none" w:sz="0" w:space="0" w:color="auto"/>
            <w:right w:val="none" w:sz="0" w:space="0" w:color="auto"/>
          </w:divBdr>
        </w:div>
      </w:divsChild>
    </w:div>
    <w:div w:id="599148228">
      <w:bodyDiv w:val="1"/>
      <w:marLeft w:val="0"/>
      <w:marRight w:val="0"/>
      <w:marTop w:val="0"/>
      <w:marBottom w:val="0"/>
      <w:divBdr>
        <w:top w:val="none" w:sz="0" w:space="0" w:color="auto"/>
        <w:left w:val="none" w:sz="0" w:space="0" w:color="auto"/>
        <w:bottom w:val="none" w:sz="0" w:space="0" w:color="auto"/>
        <w:right w:val="none" w:sz="0" w:space="0" w:color="auto"/>
      </w:divBdr>
    </w:div>
    <w:div w:id="605040590">
      <w:bodyDiv w:val="1"/>
      <w:marLeft w:val="0"/>
      <w:marRight w:val="0"/>
      <w:marTop w:val="0"/>
      <w:marBottom w:val="0"/>
      <w:divBdr>
        <w:top w:val="none" w:sz="0" w:space="0" w:color="auto"/>
        <w:left w:val="none" w:sz="0" w:space="0" w:color="auto"/>
        <w:bottom w:val="none" w:sz="0" w:space="0" w:color="auto"/>
        <w:right w:val="none" w:sz="0" w:space="0" w:color="auto"/>
      </w:divBdr>
    </w:div>
    <w:div w:id="619578418">
      <w:bodyDiv w:val="1"/>
      <w:marLeft w:val="0"/>
      <w:marRight w:val="0"/>
      <w:marTop w:val="0"/>
      <w:marBottom w:val="0"/>
      <w:divBdr>
        <w:top w:val="none" w:sz="0" w:space="0" w:color="auto"/>
        <w:left w:val="none" w:sz="0" w:space="0" w:color="auto"/>
        <w:bottom w:val="none" w:sz="0" w:space="0" w:color="auto"/>
        <w:right w:val="none" w:sz="0" w:space="0" w:color="auto"/>
      </w:divBdr>
    </w:div>
    <w:div w:id="656109517">
      <w:bodyDiv w:val="1"/>
      <w:marLeft w:val="0"/>
      <w:marRight w:val="0"/>
      <w:marTop w:val="0"/>
      <w:marBottom w:val="0"/>
      <w:divBdr>
        <w:top w:val="none" w:sz="0" w:space="0" w:color="auto"/>
        <w:left w:val="none" w:sz="0" w:space="0" w:color="auto"/>
        <w:bottom w:val="none" w:sz="0" w:space="0" w:color="auto"/>
        <w:right w:val="none" w:sz="0" w:space="0" w:color="auto"/>
      </w:divBdr>
    </w:div>
    <w:div w:id="663976336">
      <w:bodyDiv w:val="1"/>
      <w:marLeft w:val="0"/>
      <w:marRight w:val="0"/>
      <w:marTop w:val="0"/>
      <w:marBottom w:val="0"/>
      <w:divBdr>
        <w:top w:val="none" w:sz="0" w:space="0" w:color="auto"/>
        <w:left w:val="none" w:sz="0" w:space="0" w:color="auto"/>
        <w:bottom w:val="none" w:sz="0" w:space="0" w:color="auto"/>
        <w:right w:val="none" w:sz="0" w:space="0" w:color="auto"/>
      </w:divBdr>
    </w:div>
    <w:div w:id="754477878">
      <w:bodyDiv w:val="1"/>
      <w:marLeft w:val="0"/>
      <w:marRight w:val="0"/>
      <w:marTop w:val="0"/>
      <w:marBottom w:val="0"/>
      <w:divBdr>
        <w:top w:val="none" w:sz="0" w:space="0" w:color="auto"/>
        <w:left w:val="none" w:sz="0" w:space="0" w:color="auto"/>
        <w:bottom w:val="none" w:sz="0" w:space="0" w:color="auto"/>
        <w:right w:val="none" w:sz="0" w:space="0" w:color="auto"/>
      </w:divBdr>
    </w:div>
    <w:div w:id="919758523">
      <w:bodyDiv w:val="1"/>
      <w:marLeft w:val="0"/>
      <w:marRight w:val="0"/>
      <w:marTop w:val="0"/>
      <w:marBottom w:val="0"/>
      <w:divBdr>
        <w:top w:val="none" w:sz="0" w:space="0" w:color="auto"/>
        <w:left w:val="none" w:sz="0" w:space="0" w:color="auto"/>
        <w:bottom w:val="none" w:sz="0" w:space="0" w:color="auto"/>
        <w:right w:val="none" w:sz="0" w:space="0" w:color="auto"/>
      </w:divBdr>
    </w:div>
    <w:div w:id="941492823">
      <w:bodyDiv w:val="1"/>
      <w:marLeft w:val="0"/>
      <w:marRight w:val="0"/>
      <w:marTop w:val="0"/>
      <w:marBottom w:val="0"/>
      <w:divBdr>
        <w:top w:val="none" w:sz="0" w:space="0" w:color="auto"/>
        <w:left w:val="none" w:sz="0" w:space="0" w:color="auto"/>
        <w:bottom w:val="none" w:sz="0" w:space="0" w:color="auto"/>
        <w:right w:val="none" w:sz="0" w:space="0" w:color="auto"/>
      </w:divBdr>
    </w:div>
    <w:div w:id="965279896">
      <w:bodyDiv w:val="1"/>
      <w:marLeft w:val="0"/>
      <w:marRight w:val="0"/>
      <w:marTop w:val="0"/>
      <w:marBottom w:val="0"/>
      <w:divBdr>
        <w:top w:val="none" w:sz="0" w:space="0" w:color="auto"/>
        <w:left w:val="none" w:sz="0" w:space="0" w:color="auto"/>
        <w:bottom w:val="none" w:sz="0" w:space="0" w:color="auto"/>
        <w:right w:val="none" w:sz="0" w:space="0" w:color="auto"/>
      </w:divBdr>
    </w:div>
    <w:div w:id="1053625933">
      <w:bodyDiv w:val="1"/>
      <w:marLeft w:val="0"/>
      <w:marRight w:val="0"/>
      <w:marTop w:val="0"/>
      <w:marBottom w:val="0"/>
      <w:divBdr>
        <w:top w:val="none" w:sz="0" w:space="0" w:color="auto"/>
        <w:left w:val="none" w:sz="0" w:space="0" w:color="auto"/>
        <w:bottom w:val="none" w:sz="0" w:space="0" w:color="auto"/>
        <w:right w:val="none" w:sz="0" w:space="0" w:color="auto"/>
      </w:divBdr>
    </w:div>
    <w:div w:id="1093282390">
      <w:bodyDiv w:val="1"/>
      <w:marLeft w:val="0"/>
      <w:marRight w:val="0"/>
      <w:marTop w:val="0"/>
      <w:marBottom w:val="0"/>
      <w:divBdr>
        <w:top w:val="none" w:sz="0" w:space="0" w:color="auto"/>
        <w:left w:val="none" w:sz="0" w:space="0" w:color="auto"/>
        <w:bottom w:val="none" w:sz="0" w:space="0" w:color="auto"/>
        <w:right w:val="none" w:sz="0" w:space="0" w:color="auto"/>
      </w:divBdr>
    </w:div>
    <w:div w:id="1165970911">
      <w:bodyDiv w:val="1"/>
      <w:marLeft w:val="0"/>
      <w:marRight w:val="0"/>
      <w:marTop w:val="0"/>
      <w:marBottom w:val="0"/>
      <w:divBdr>
        <w:top w:val="none" w:sz="0" w:space="0" w:color="auto"/>
        <w:left w:val="none" w:sz="0" w:space="0" w:color="auto"/>
        <w:bottom w:val="none" w:sz="0" w:space="0" w:color="auto"/>
        <w:right w:val="none" w:sz="0" w:space="0" w:color="auto"/>
      </w:divBdr>
    </w:div>
    <w:div w:id="1188635514">
      <w:bodyDiv w:val="1"/>
      <w:marLeft w:val="0"/>
      <w:marRight w:val="0"/>
      <w:marTop w:val="0"/>
      <w:marBottom w:val="0"/>
      <w:divBdr>
        <w:top w:val="none" w:sz="0" w:space="0" w:color="auto"/>
        <w:left w:val="none" w:sz="0" w:space="0" w:color="auto"/>
        <w:bottom w:val="none" w:sz="0" w:space="0" w:color="auto"/>
        <w:right w:val="none" w:sz="0" w:space="0" w:color="auto"/>
      </w:divBdr>
    </w:div>
    <w:div w:id="1425299358">
      <w:bodyDiv w:val="1"/>
      <w:marLeft w:val="0"/>
      <w:marRight w:val="0"/>
      <w:marTop w:val="0"/>
      <w:marBottom w:val="0"/>
      <w:divBdr>
        <w:top w:val="none" w:sz="0" w:space="0" w:color="auto"/>
        <w:left w:val="none" w:sz="0" w:space="0" w:color="auto"/>
        <w:bottom w:val="none" w:sz="0" w:space="0" w:color="auto"/>
        <w:right w:val="none" w:sz="0" w:space="0" w:color="auto"/>
      </w:divBdr>
    </w:div>
    <w:div w:id="1712533106">
      <w:bodyDiv w:val="1"/>
      <w:marLeft w:val="0"/>
      <w:marRight w:val="0"/>
      <w:marTop w:val="0"/>
      <w:marBottom w:val="0"/>
      <w:divBdr>
        <w:top w:val="none" w:sz="0" w:space="0" w:color="auto"/>
        <w:left w:val="none" w:sz="0" w:space="0" w:color="auto"/>
        <w:bottom w:val="none" w:sz="0" w:space="0" w:color="auto"/>
        <w:right w:val="none" w:sz="0" w:space="0" w:color="auto"/>
      </w:divBdr>
    </w:div>
    <w:div w:id="1713573887">
      <w:bodyDiv w:val="1"/>
      <w:marLeft w:val="0"/>
      <w:marRight w:val="0"/>
      <w:marTop w:val="0"/>
      <w:marBottom w:val="0"/>
      <w:divBdr>
        <w:top w:val="none" w:sz="0" w:space="0" w:color="auto"/>
        <w:left w:val="none" w:sz="0" w:space="0" w:color="auto"/>
        <w:bottom w:val="none" w:sz="0" w:space="0" w:color="auto"/>
        <w:right w:val="none" w:sz="0" w:space="0" w:color="auto"/>
      </w:divBdr>
    </w:div>
    <w:div w:id="1795899907">
      <w:bodyDiv w:val="1"/>
      <w:marLeft w:val="0"/>
      <w:marRight w:val="0"/>
      <w:marTop w:val="0"/>
      <w:marBottom w:val="0"/>
      <w:divBdr>
        <w:top w:val="none" w:sz="0" w:space="0" w:color="auto"/>
        <w:left w:val="none" w:sz="0" w:space="0" w:color="auto"/>
        <w:bottom w:val="none" w:sz="0" w:space="0" w:color="auto"/>
        <w:right w:val="none" w:sz="0" w:space="0" w:color="auto"/>
      </w:divBdr>
    </w:div>
    <w:div w:id="1953048839">
      <w:bodyDiv w:val="1"/>
      <w:marLeft w:val="0"/>
      <w:marRight w:val="0"/>
      <w:marTop w:val="0"/>
      <w:marBottom w:val="0"/>
      <w:divBdr>
        <w:top w:val="none" w:sz="0" w:space="0" w:color="auto"/>
        <w:left w:val="none" w:sz="0" w:space="0" w:color="auto"/>
        <w:bottom w:val="none" w:sz="0" w:space="0" w:color="auto"/>
        <w:right w:val="none" w:sz="0" w:space="0" w:color="auto"/>
      </w:divBdr>
    </w:div>
    <w:div w:id="2019190664">
      <w:bodyDiv w:val="1"/>
      <w:marLeft w:val="0"/>
      <w:marRight w:val="0"/>
      <w:marTop w:val="0"/>
      <w:marBottom w:val="0"/>
      <w:divBdr>
        <w:top w:val="none" w:sz="0" w:space="0" w:color="auto"/>
        <w:left w:val="none" w:sz="0" w:space="0" w:color="auto"/>
        <w:bottom w:val="none" w:sz="0" w:space="0" w:color="auto"/>
        <w:right w:val="none" w:sz="0" w:space="0" w:color="auto"/>
      </w:divBdr>
    </w:div>
    <w:div w:id="2019235871">
      <w:bodyDiv w:val="1"/>
      <w:marLeft w:val="0"/>
      <w:marRight w:val="0"/>
      <w:marTop w:val="0"/>
      <w:marBottom w:val="0"/>
      <w:divBdr>
        <w:top w:val="none" w:sz="0" w:space="0" w:color="auto"/>
        <w:left w:val="none" w:sz="0" w:space="0" w:color="auto"/>
        <w:bottom w:val="none" w:sz="0" w:space="0" w:color="auto"/>
        <w:right w:val="none" w:sz="0" w:space="0" w:color="auto"/>
      </w:divBdr>
    </w:div>
    <w:div w:id="2047100060">
      <w:bodyDiv w:val="1"/>
      <w:marLeft w:val="0"/>
      <w:marRight w:val="0"/>
      <w:marTop w:val="0"/>
      <w:marBottom w:val="0"/>
      <w:divBdr>
        <w:top w:val="none" w:sz="0" w:space="0" w:color="auto"/>
        <w:left w:val="none" w:sz="0" w:space="0" w:color="auto"/>
        <w:bottom w:val="none" w:sz="0" w:space="0" w:color="auto"/>
        <w:right w:val="none" w:sz="0" w:space="0" w:color="auto"/>
      </w:divBdr>
    </w:div>
    <w:div w:id="2080471948">
      <w:bodyDiv w:val="1"/>
      <w:marLeft w:val="0"/>
      <w:marRight w:val="0"/>
      <w:marTop w:val="0"/>
      <w:marBottom w:val="0"/>
      <w:divBdr>
        <w:top w:val="none" w:sz="0" w:space="0" w:color="auto"/>
        <w:left w:val="none" w:sz="0" w:space="0" w:color="auto"/>
        <w:bottom w:val="none" w:sz="0" w:space="0" w:color="auto"/>
        <w:right w:val="none" w:sz="0" w:space="0" w:color="auto"/>
      </w:divBdr>
    </w:div>
    <w:div w:id="212750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7.png"/><Relationship Id="rId26" Type="http://schemas.openxmlformats.org/officeDocument/2006/relationships/image" Target="media/image13.emf"/><Relationship Id="rId39" Type="http://schemas.openxmlformats.org/officeDocument/2006/relationships/customXml" Target="../customXml/item3.xml"/><Relationship Id="rId21" Type="http://schemas.openxmlformats.org/officeDocument/2006/relationships/image" Target="media/image9.emf"/><Relationship Id="rId34" Type="http://schemas.openxmlformats.org/officeDocument/2006/relationships/image" Target="media/image19.emf"/><Relationship Id="rId42" Type="http://schemas.openxmlformats.org/officeDocument/2006/relationships/customXml" Target="../customXml/item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5.xml"/><Relationship Id="rId29" Type="http://schemas.openxmlformats.org/officeDocument/2006/relationships/footer" Target="footer2.xml"/><Relationship Id="rId41"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2.emf"/><Relationship Id="rId32" Type="http://schemas.openxmlformats.org/officeDocument/2006/relationships/image" Target="media/image18.png"/><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image" Target="media/image11.emf"/><Relationship Id="rId28" Type="http://schemas.openxmlformats.org/officeDocument/2006/relationships/image" Target="media/image15.emf"/><Relationship Id="rId36"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8.emf"/><Relationship Id="rId31" Type="http://schemas.openxmlformats.org/officeDocument/2006/relationships/image" Target="media/image17.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0.emf"/><Relationship Id="rId27" Type="http://schemas.openxmlformats.org/officeDocument/2006/relationships/image" Target="media/image14.emf"/><Relationship Id="rId30" Type="http://schemas.openxmlformats.org/officeDocument/2006/relationships/image" Target="media/image16.emf"/><Relationship Id="rId35" Type="http://schemas.openxmlformats.org/officeDocument/2006/relationships/image" Target="media/image20.emf"/><Relationship Id="rId43" Type="http://schemas.openxmlformats.org/officeDocument/2006/relationships/customXml" Target="../customXml/item7.xml"/><Relationship Id="rId8" Type="http://schemas.openxmlformats.org/officeDocument/2006/relationships/chart" Target="charts/chart1.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chart" Target="charts/chart4.xml"/><Relationship Id="rId25" Type="http://schemas.openxmlformats.org/officeDocument/2006/relationships/footer" Target="footer1.xml"/><Relationship Id="rId33"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Ben-Hur\Google%20Drive\Academia\Projetos\Projeto%20BID%202016\Orcamento%20ABC_Roseli%20Silva%20(V2).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roselisilva\Google%20Drive\Academia\Projetos\Projeto%20BID%202016\Dados\Planilhas%20atualizadas.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Ben-Hur\Google%20Drive\Academia\Projetos\Projeto%20BID%202016\Dados\Planilhas%20atualizadas.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Ben-Hur\Google%20Drive\Academia\Projetos\Projeto%20BID%202016\Dados\country_rankings.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v>Taxa de crescimento do PIB (% aa)</c:v>
          </c:tx>
          <c:invertIfNegative val="0"/>
          <c:cat>
            <c:numRef>
              <c:f>PIB!$B$2:$B$56</c:f>
              <c:numCache>
                <c:formatCode>0</c:formatCode>
                <c:ptCount val="55"/>
                <c:pt idx="0">
                  <c:v>1962</c:v>
                </c:pt>
                <c:pt idx="1">
                  <c:v>1963</c:v>
                </c:pt>
                <c:pt idx="2">
                  <c:v>1964</c:v>
                </c:pt>
                <c:pt idx="3">
                  <c:v>1965</c:v>
                </c:pt>
                <c:pt idx="4">
                  <c:v>1966</c:v>
                </c:pt>
                <c:pt idx="5">
                  <c:v>1967</c:v>
                </c:pt>
                <c:pt idx="6">
                  <c:v>1968</c:v>
                </c:pt>
                <c:pt idx="7">
                  <c:v>1969</c:v>
                </c:pt>
                <c:pt idx="8">
                  <c:v>1970</c:v>
                </c:pt>
                <c:pt idx="9">
                  <c:v>1971</c:v>
                </c:pt>
                <c:pt idx="10">
                  <c:v>1972</c:v>
                </c:pt>
                <c:pt idx="11">
                  <c:v>1973</c:v>
                </c:pt>
                <c:pt idx="12">
                  <c:v>1974</c:v>
                </c:pt>
                <c:pt idx="13">
                  <c:v>1975</c:v>
                </c:pt>
                <c:pt idx="14">
                  <c:v>1976</c:v>
                </c:pt>
                <c:pt idx="15">
                  <c:v>1977</c:v>
                </c:pt>
                <c:pt idx="16">
                  <c:v>1978</c:v>
                </c:pt>
                <c:pt idx="17">
                  <c:v>1979</c:v>
                </c:pt>
                <c:pt idx="18">
                  <c:v>1980</c:v>
                </c:pt>
                <c:pt idx="19">
                  <c:v>1981</c:v>
                </c:pt>
                <c:pt idx="20">
                  <c:v>1982</c:v>
                </c:pt>
                <c:pt idx="21">
                  <c:v>1983</c:v>
                </c:pt>
                <c:pt idx="22">
                  <c:v>1984</c:v>
                </c:pt>
                <c:pt idx="23">
                  <c:v>1985</c:v>
                </c:pt>
                <c:pt idx="24">
                  <c:v>1986</c:v>
                </c:pt>
                <c:pt idx="25">
                  <c:v>1987</c:v>
                </c:pt>
                <c:pt idx="26">
                  <c:v>1988</c:v>
                </c:pt>
                <c:pt idx="27">
                  <c:v>1989</c:v>
                </c:pt>
                <c:pt idx="28">
                  <c:v>1990</c:v>
                </c:pt>
                <c:pt idx="29">
                  <c:v>1991</c:v>
                </c:pt>
                <c:pt idx="30">
                  <c:v>1992</c:v>
                </c:pt>
                <c:pt idx="31">
                  <c:v>1993</c:v>
                </c:pt>
                <c:pt idx="32">
                  <c:v>1994</c:v>
                </c:pt>
                <c:pt idx="33">
                  <c:v>1995</c:v>
                </c:pt>
                <c:pt idx="34">
                  <c:v>1996</c:v>
                </c:pt>
                <c:pt idx="35">
                  <c:v>1997</c:v>
                </c:pt>
                <c:pt idx="36">
                  <c:v>1998</c:v>
                </c:pt>
                <c:pt idx="37">
                  <c:v>1999</c:v>
                </c:pt>
                <c:pt idx="38">
                  <c:v>2000</c:v>
                </c:pt>
                <c:pt idx="39">
                  <c:v>2001</c:v>
                </c:pt>
                <c:pt idx="40">
                  <c:v>2002</c:v>
                </c:pt>
                <c:pt idx="41">
                  <c:v>2003</c:v>
                </c:pt>
                <c:pt idx="42">
                  <c:v>2004</c:v>
                </c:pt>
                <c:pt idx="43">
                  <c:v>2005</c:v>
                </c:pt>
                <c:pt idx="44">
                  <c:v>2006</c:v>
                </c:pt>
                <c:pt idx="45">
                  <c:v>2007</c:v>
                </c:pt>
                <c:pt idx="46">
                  <c:v>2008</c:v>
                </c:pt>
                <c:pt idx="47">
                  <c:v>2009</c:v>
                </c:pt>
                <c:pt idx="48">
                  <c:v>2010</c:v>
                </c:pt>
                <c:pt idx="49">
                  <c:v>2011</c:v>
                </c:pt>
                <c:pt idx="50">
                  <c:v>2012</c:v>
                </c:pt>
                <c:pt idx="51">
                  <c:v>2013</c:v>
                </c:pt>
                <c:pt idx="52">
                  <c:v>2014</c:v>
                </c:pt>
                <c:pt idx="53">
                  <c:v>2015</c:v>
                </c:pt>
                <c:pt idx="54">
                  <c:v>2016</c:v>
                </c:pt>
              </c:numCache>
            </c:numRef>
          </c:cat>
          <c:val>
            <c:numRef>
              <c:f>PIB!$A$2:$A$56</c:f>
              <c:numCache>
                <c:formatCode>0.00</c:formatCode>
                <c:ptCount val="55"/>
                <c:pt idx="0">
                  <c:v>6.6</c:v>
                </c:pt>
                <c:pt idx="1">
                  <c:v>0.6</c:v>
                </c:pt>
                <c:pt idx="2">
                  <c:v>3.4</c:v>
                </c:pt>
                <c:pt idx="3">
                  <c:v>2.4</c:v>
                </c:pt>
                <c:pt idx="4">
                  <c:v>6.7</c:v>
                </c:pt>
                <c:pt idx="5">
                  <c:v>4.2</c:v>
                </c:pt>
                <c:pt idx="6">
                  <c:v>9.8000000000000007</c:v>
                </c:pt>
                <c:pt idx="7">
                  <c:v>9.5</c:v>
                </c:pt>
                <c:pt idx="8">
                  <c:v>10.4</c:v>
                </c:pt>
                <c:pt idx="9">
                  <c:v>11.34</c:v>
                </c:pt>
                <c:pt idx="10">
                  <c:v>11.94</c:v>
                </c:pt>
                <c:pt idx="11">
                  <c:v>13.97</c:v>
                </c:pt>
                <c:pt idx="12">
                  <c:v>8.15</c:v>
                </c:pt>
                <c:pt idx="13">
                  <c:v>5.17</c:v>
                </c:pt>
                <c:pt idx="14">
                  <c:v>10.26</c:v>
                </c:pt>
                <c:pt idx="15">
                  <c:v>4.93</c:v>
                </c:pt>
                <c:pt idx="16">
                  <c:v>4.97</c:v>
                </c:pt>
                <c:pt idx="17">
                  <c:v>6.76</c:v>
                </c:pt>
                <c:pt idx="18">
                  <c:v>9.23</c:v>
                </c:pt>
                <c:pt idx="19">
                  <c:v>-4.25</c:v>
                </c:pt>
                <c:pt idx="20">
                  <c:v>0.83</c:v>
                </c:pt>
                <c:pt idx="21">
                  <c:v>-2.93</c:v>
                </c:pt>
                <c:pt idx="22">
                  <c:v>5.4</c:v>
                </c:pt>
                <c:pt idx="23">
                  <c:v>7.85</c:v>
                </c:pt>
                <c:pt idx="24">
                  <c:v>7.49</c:v>
                </c:pt>
                <c:pt idx="25">
                  <c:v>3.53</c:v>
                </c:pt>
                <c:pt idx="26">
                  <c:v>-0.06</c:v>
                </c:pt>
                <c:pt idx="27">
                  <c:v>3.16</c:v>
                </c:pt>
                <c:pt idx="28">
                  <c:v>-4.3499999999999996</c:v>
                </c:pt>
                <c:pt idx="29">
                  <c:v>1.03</c:v>
                </c:pt>
                <c:pt idx="30">
                  <c:v>-0.54</c:v>
                </c:pt>
                <c:pt idx="31">
                  <c:v>4.92</c:v>
                </c:pt>
                <c:pt idx="32">
                  <c:v>5.85</c:v>
                </c:pt>
                <c:pt idx="33">
                  <c:v>4.22</c:v>
                </c:pt>
                <c:pt idx="34">
                  <c:v>2.21</c:v>
                </c:pt>
                <c:pt idx="35">
                  <c:v>3.39</c:v>
                </c:pt>
                <c:pt idx="36">
                  <c:v>0.34</c:v>
                </c:pt>
                <c:pt idx="37">
                  <c:v>0.47</c:v>
                </c:pt>
                <c:pt idx="38">
                  <c:v>4.3899999999999997</c:v>
                </c:pt>
                <c:pt idx="39">
                  <c:v>1.39</c:v>
                </c:pt>
                <c:pt idx="40">
                  <c:v>3.05</c:v>
                </c:pt>
                <c:pt idx="41">
                  <c:v>1.1399999999999999</c:v>
                </c:pt>
                <c:pt idx="42">
                  <c:v>5.76</c:v>
                </c:pt>
                <c:pt idx="43">
                  <c:v>3.2</c:v>
                </c:pt>
                <c:pt idx="44">
                  <c:v>3.96</c:v>
                </c:pt>
                <c:pt idx="45">
                  <c:v>6.07</c:v>
                </c:pt>
                <c:pt idx="46">
                  <c:v>5.09</c:v>
                </c:pt>
                <c:pt idx="47">
                  <c:v>-0.13</c:v>
                </c:pt>
                <c:pt idx="48">
                  <c:v>7.53</c:v>
                </c:pt>
                <c:pt idx="49">
                  <c:v>3.97</c:v>
                </c:pt>
                <c:pt idx="50">
                  <c:v>1.92</c:v>
                </c:pt>
                <c:pt idx="51">
                  <c:v>3</c:v>
                </c:pt>
                <c:pt idx="52">
                  <c:v>0.5</c:v>
                </c:pt>
                <c:pt idx="53">
                  <c:v>-3.77</c:v>
                </c:pt>
                <c:pt idx="54">
                  <c:v>-3.59</c:v>
                </c:pt>
              </c:numCache>
            </c:numRef>
          </c:val>
          <c:extLst>
            <c:ext xmlns:c16="http://schemas.microsoft.com/office/drawing/2014/chart" uri="{C3380CC4-5D6E-409C-BE32-E72D297353CC}">
              <c16:uniqueId val="{00000000-35C7-404D-8D7B-4A1AA788F7F7}"/>
            </c:ext>
          </c:extLst>
        </c:ser>
        <c:dLbls>
          <c:showLegendKey val="0"/>
          <c:showVal val="0"/>
          <c:showCatName val="0"/>
          <c:showSerName val="0"/>
          <c:showPercent val="0"/>
          <c:showBubbleSize val="0"/>
        </c:dLbls>
        <c:gapWidth val="150"/>
        <c:axId val="35753984"/>
        <c:axId val="35755520"/>
      </c:barChart>
      <c:lineChart>
        <c:grouping val="standard"/>
        <c:varyColors val="0"/>
        <c:ser>
          <c:idx val="1"/>
          <c:order val="1"/>
          <c:tx>
            <c:strRef>
              <c:f>PIB!$C$1</c:f>
              <c:strCache>
                <c:ptCount val="1"/>
                <c:pt idx="0">
                  <c:v>Média móvel (10 anos)</c:v>
                </c:pt>
              </c:strCache>
            </c:strRef>
          </c:tx>
          <c:spPr>
            <a:ln w="38100">
              <a:solidFill>
                <a:schemeClr val="tx2">
                  <a:lumMod val="75000"/>
                </a:schemeClr>
              </a:solidFill>
            </a:ln>
          </c:spPr>
          <c:marker>
            <c:symbol val="none"/>
          </c:marker>
          <c:cat>
            <c:numRef>
              <c:f>PIB!$B$2:$B$56</c:f>
              <c:numCache>
                <c:formatCode>0</c:formatCode>
                <c:ptCount val="55"/>
                <c:pt idx="0">
                  <c:v>1962</c:v>
                </c:pt>
                <c:pt idx="1">
                  <c:v>1963</c:v>
                </c:pt>
                <c:pt idx="2">
                  <c:v>1964</c:v>
                </c:pt>
                <c:pt idx="3">
                  <c:v>1965</c:v>
                </c:pt>
                <c:pt idx="4">
                  <c:v>1966</c:v>
                </c:pt>
                <c:pt idx="5">
                  <c:v>1967</c:v>
                </c:pt>
                <c:pt idx="6">
                  <c:v>1968</c:v>
                </c:pt>
                <c:pt idx="7">
                  <c:v>1969</c:v>
                </c:pt>
                <c:pt idx="8">
                  <c:v>1970</c:v>
                </c:pt>
                <c:pt idx="9">
                  <c:v>1971</c:v>
                </c:pt>
                <c:pt idx="10">
                  <c:v>1972</c:v>
                </c:pt>
                <c:pt idx="11">
                  <c:v>1973</c:v>
                </c:pt>
                <c:pt idx="12">
                  <c:v>1974</c:v>
                </c:pt>
                <c:pt idx="13">
                  <c:v>1975</c:v>
                </c:pt>
                <c:pt idx="14">
                  <c:v>1976</c:v>
                </c:pt>
                <c:pt idx="15">
                  <c:v>1977</c:v>
                </c:pt>
                <c:pt idx="16">
                  <c:v>1978</c:v>
                </c:pt>
                <c:pt idx="17">
                  <c:v>1979</c:v>
                </c:pt>
                <c:pt idx="18">
                  <c:v>1980</c:v>
                </c:pt>
                <c:pt idx="19">
                  <c:v>1981</c:v>
                </c:pt>
                <c:pt idx="20">
                  <c:v>1982</c:v>
                </c:pt>
                <c:pt idx="21">
                  <c:v>1983</c:v>
                </c:pt>
                <c:pt idx="22">
                  <c:v>1984</c:v>
                </c:pt>
                <c:pt idx="23">
                  <c:v>1985</c:v>
                </c:pt>
                <c:pt idx="24">
                  <c:v>1986</c:v>
                </c:pt>
                <c:pt idx="25">
                  <c:v>1987</c:v>
                </c:pt>
                <c:pt idx="26">
                  <c:v>1988</c:v>
                </c:pt>
                <c:pt idx="27">
                  <c:v>1989</c:v>
                </c:pt>
                <c:pt idx="28">
                  <c:v>1990</c:v>
                </c:pt>
                <c:pt idx="29">
                  <c:v>1991</c:v>
                </c:pt>
                <c:pt idx="30">
                  <c:v>1992</c:v>
                </c:pt>
                <c:pt idx="31">
                  <c:v>1993</c:v>
                </c:pt>
                <c:pt idx="32">
                  <c:v>1994</c:v>
                </c:pt>
                <c:pt idx="33">
                  <c:v>1995</c:v>
                </c:pt>
                <c:pt idx="34">
                  <c:v>1996</c:v>
                </c:pt>
                <c:pt idx="35">
                  <c:v>1997</c:v>
                </c:pt>
                <c:pt idx="36">
                  <c:v>1998</c:v>
                </c:pt>
                <c:pt idx="37">
                  <c:v>1999</c:v>
                </c:pt>
                <c:pt idx="38">
                  <c:v>2000</c:v>
                </c:pt>
                <c:pt idx="39">
                  <c:v>2001</c:v>
                </c:pt>
                <c:pt idx="40">
                  <c:v>2002</c:v>
                </c:pt>
                <c:pt idx="41">
                  <c:v>2003</c:v>
                </c:pt>
                <c:pt idx="42">
                  <c:v>2004</c:v>
                </c:pt>
                <c:pt idx="43">
                  <c:v>2005</c:v>
                </c:pt>
                <c:pt idx="44">
                  <c:v>2006</c:v>
                </c:pt>
                <c:pt idx="45">
                  <c:v>2007</c:v>
                </c:pt>
                <c:pt idx="46">
                  <c:v>2008</c:v>
                </c:pt>
                <c:pt idx="47">
                  <c:v>2009</c:v>
                </c:pt>
                <c:pt idx="48">
                  <c:v>2010</c:v>
                </c:pt>
                <c:pt idx="49">
                  <c:v>2011</c:v>
                </c:pt>
                <c:pt idx="50">
                  <c:v>2012</c:v>
                </c:pt>
                <c:pt idx="51">
                  <c:v>2013</c:v>
                </c:pt>
                <c:pt idx="52">
                  <c:v>2014</c:v>
                </c:pt>
                <c:pt idx="53">
                  <c:v>2015</c:v>
                </c:pt>
                <c:pt idx="54">
                  <c:v>2016</c:v>
                </c:pt>
              </c:numCache>
            </c:numRef>
          </c:cat>
          <c:val>
            <c:numRef>
              <c:f>PIB!$C$2:$C$56</c:f>
              <c:numCache>
                <c:formatCode>General</c:formatCode>
                <c:ptCount val="55"/>
                <c:pt idx="9" formatCode="0.00">
                  <c:v>6.4939999999999998</c:v>
                </c:pt>
                <c:pt idx="10" formatCode="0.00">
                  <c:v>7.0280000000000005</c:v>
                </c:pt>
                <c:pt idx="11" formatCode="0.00">
                  <c:v>8.3649999999999984</c:v>
                </c:pt>
                <c:pt idx="12" formatCode="0.00">
                  <c:v>8.84</c:v>
                </c:pt>
                <c:pt idx="13" formatCode="0.00">
                  <c:v>9.1170000000000009</c:v>
                </c:pt>
                <c:pt idx="14" formatCode="0.00">
                  <c:v>9.4730000000000008</c:v>
                </c:pt>
                <c:pt idx="15" formatCode="0.00">
                  <c:v>9.5460000000000012</c:v>
                </c:pt>
                <c:pt idx="16" formatCode="0.00">
                  <c:v>9.0629999999999988</c:v>
                </c:pt>
                <c:pt idx="17" formatCode="0.00">
                  <c:v>8.7889999999999997</c:v>
                </c:pt>
                <c:pt idx="18" formatCode="0.00">
                  <c:v>8.6720000000000006</c:v>
                </c:pt>
                <c:pt idx="19" formatCode="0.00">
                  <c:v>7.1130000000000013</c:v>
                </c:pt>
                <c:pt idx="20" formatCode="0.00">
                  <c:v>6.0019999999999998</c:v>
                </c:pt>
                <c:pt idx="21" formatCode="0.00">
                  <c:v>4.3119999999999994</c:v>
                </c:pt>
                <c:pt idx="22" formatCode="0.00">
                  <c:v>4.036999999999999</c:v>
                </c:pt>
                <c:pt idx="23" formatCode="0.00">
                  <c:v>4.3050000000000006</c:v>
                </c:pt>
                <c:pt idx="24" formatCode="0.00">
                  <c:v>4.0280000000000005</c:v>
                </c:pt>
                <c:pt idx="25" formatCode="0.00">
                  <c:v>3.8880000000000003</c:v>
                </c:pt>
                <c:pt idx="26" formatCode="0.00">
                  <c:v>3.3850000000000002</c:v>
                </c:pt>
                <c:pt idx="27" formatCode="0.00">
                  <c:v>3.0250000000000008</c:v>
                </c:pt>
                <c:pt idx="28" formatCode="0.00">
                  <c:v>1.6670000000000003</c:v>
                </c:pt>
                <c:pt idx="29" formatCode="0.00">
                  <c:v>2.1950000000000003</c:v>
                </c:pt>
                <c:pt idx="30" formatCode="0.00">
                  <c:v>2.0580000000000007</c:v>
                </c:pt>
                <c:pt idx="31" formatCode="0.00">
                  <c:v>2.8430000000000009</c:v>
                </c:pt>
                <c:pt idx="32" formatCode="0.00">
                  <c:v>2.8880000000000008</c:v>
                </c:pt>
                <c:pt idx="33" formatCode="0.00">
                  <c:v>2.5249999999999995</c:v>
                </c:pt>
                <c:pt idx="34" formatCode="0.00">
                  <c:v>1.9969999999999999</c:v>
                </c:pt>
                <c:pt idx="35" formatCode="0.00">
                  <c:v>1.9830000000000001</c:v>
                </c:pt>
                <c:pt idx="36" formatCode="0.00">
                  <c:v>2.0230000000000001</c:v>
                </c:pt>
                <c:pt idx="37" formatCode="0.00">
                  <c:v>1.754</c:v>
                </c:pt>
                <c:pt idx="38" formatCode="0.00">
                  <c:v>2.6280000000000001</c:v>
                </c:pt>
                <c:pt idx="39" formatCode="0.00">
                  <c:v>2.6640000000000001</c:v>
                </c:pt>
                <c:pt idx="40" formatCode="0.00">
                  <c:v>3.0230000000000001</c:v>
                </c:pt>
                <c:pt idx="41" formatCode="0.00">
                  <c:v>2.6450000000000005</c:v>
                </c:pt>
                <c:pt idx="42" formatCode="0.00">
                  <c:v>2.6360000000000001</c:v>
                </c:pt>
                <c:pt idx="43" formatCode="0.00">
                  <c:v>2.5339999999999998</c:v>
                </c:pt>
                <c:pt idx="44" formatCode="0.00">
                  <c:v>2.7090000000000001</c:v>
                </c:pt>
                <c:pt idx="45" formatCode="0.00">
                  <c:v>2.9769999999999999</c:v>
                </c:pt>
                <c:pt idx="46" formatCode="0.00">
                  <c:v>3.4519999999999995</c:v>
                </c:pt>
                <c:pt idx="47" formatCode="0.00">
                  <c:v>3.3919999999999995</c:v>
                </c:pt>
                <c:pt idx="48" formatCode="0.00">
                  <c:v>3.7060000000000004</c:v>
                </c:pt>
                <c:pt idx="49" formatCode="0.00">
                  <c:v>3.964</c:v>
                </c:pt>
                <c:pt idx="50" formatCode="0.00">
                  <c:v>3.851</c:v>
                </c:pt>
                <c:pt idx="51" formatCode="0.00">
                  <c:v>4.0370000000000008</c:v>
                </c:pt>
                <c:pt idx="52" formatCode="0.00">
                  <c:v>3.5110000000000001</c:v>
                </c:pt>
                <c:pt idx="53" formatCode="0.00">
                  <c:v>2.8139999999999996</c:v>
                </c:pt>
                <c:pt idx="54" formatCode="0.00">
                  <c:v>2.0589999999999997</c:v>
                </c:pt>
              </c:numCache>
            </c:numRef>
          </c:val>
          <c:smooth val="0"/>
          <c:extLst>
            <c:ext xmlns:c16="http://schemas.microsoft.com/office/drawing/2014/chart" uri="{C3380CC4-5D6E-409C-BE32-E72D297353CC}">
              <c16:uniqueId val="{00000001-35C7-404D-8D7B-4A1AA788F7F7}"/>
            </c:ext>
          </c:extLst>
        </c:ser>
        <c:dLbls>
          <c:showLegendKey val="0"/>
          <c:showVal val="0"/>
          <c:showCatName val="0"/>
          <c:showSerName val="0"/>
          <c:showPercent val="0"/>
          <c:showBubbleSize val="0"/>
        </c:dLbls>
        <c:marker val="1"/>
        <c:smooth val="0"/>
        <c:axId val="35753984"/>
        <c:axId val="35755520"/>
      </c:lineChart>
      <c:catAx>
        <c:axId val="35753984"/>
        <c:scaling>
          <c:orientation val="minMax"/>
        </c:scaling>
        <c:delete val="0"/>
        <c:axPos val="b"/>
        <c:numFmt formatCode="0" sourceLinked="1"/>
        <c:majorTickMark val="out"/>
        <c:minorTickMark val="none"/>
        <c:tickLblPos val="nextTo"/>
        <c:crossAx val="35755520"/>
        <c:crosses val="autoZero"/>
        <c:auto val="1"/>
        <c:lblAlgn val="ctr"/>
        <c:lblOffset val="100"/>
        <c:noMultiLvlLbl val="0"/>
      </c:catAx>
      <c:valAx>
        <c:axId val="35755520"/>
        <c:scaling>
          <c:orientation val="minMax"/>
          <c:min val="-5"/>
        </c:scaling>
        <c:delete val="0"/>
        <c:axPos val="l"/>
        <c:majorGridlines/>
        <c:numFmt formatCode="#,##0" sourceLinked="0"/>
        <c:majorTickMark val="out"/>
        <c:minorTickMark val="none"/>
        <c:tickLblPos val="nextTo"/>
        <c:crossAx val="35753984"/>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150481189851271E-2"/>
          <c:y val="5.0925925925925923E-2"/>
          <c:w val="0.860182852143482"/>
          <c:h val="0.72012394284047831"/>
        </c:manualLayout>
      </c:layout>
      <c:lineChart>
        <c:grouping val="standard"/>
        <c:varyColors val="0"/>
        <c:ser>
          <c:idx val="0"/>
          <c:order val="0"/>
          <c:tx>
            <c:strRef>
              <c:f>'Termos de Troca (ipeadata)'!$B$141</c:f>
              <c:strCache>
                <c:ptCount val="1"/>
                <c:pt idx="0">
                  <c:v>Termo de Troca</c:v>
                </c:pt>
              </c:strCache>
            </c:strRef>
          </c:tx>
          <c:spPr>
            <a:ln w="28575" cap="rnd">
              <a:solidFill>
                <a:schemeClr val="accent1"/>
              </a:solidFill>
              <a:round/>
            </a:ln>
            <a:effectLst/>
          </c:spPr>
          <c:marker>
            <c:symbol val="none"/>
          </c:marker>
          <c:cat>
            <c:strRef>
              <c:f>'Termos de Troca (ipeadata)'!$A$142:$A$169</c:f>
              <c:strCache>
                <c:ptCount val="28"/>
                <c:pt idx="0">
                  <c:v>1989</c:v>
                </c:pt>
                <c:pt idx="1">
                  <c:v>1990</c:v>
                </c:pt>
                <c:pt idx="2">
                  <c:v>1991</c:v>
                </c:pt>
                <c:pt idx="3">
                  <c:v>1992</c:v>
                </c:pt>
                <c:pt idx="4">
                  <c:v>1993</c:v>
                </c:pt>
                <c:pt idx="5">
                  <c:v>1994</c:v>
                </c:pt>
                <c:pt idx="6">
                  <c:v>1995</c:v>
                </c:pt>
                <c:pt idx="7">
                  <c:v>1996</c:v>
                </c:pt>
                <c:pt idx="8">
                  <c:v>1997</c:v>
                </c:pt>
                <c:pt idx="9">
                  <c:v>1998</c:v>
                </c:pt>
                <c:pt idx="10">
                  <c:v>1999</c:v>
                </c:pt>
                <c:pt idx="11">
                  <c:v>2000</c:v>
                </c:pt>
                <c:pt idx="12">
                  <c:v>2001</c:v>
                </c:pt>
                <c:pt idx="13">
                  <c:v>2002</c:v>
                </c:pt>
                <c:pt idx="14">
                  <c:v>2003</c:v>
                </c:pt>
                <c:pt idx="15">
                  <c:v>2004</c:v>
                </c:pt>
                <c:pt idx="16">
                  <c:v>2005</c:v>
                </c:pt>
                <c:pt idx="17">
                  <c:v>2006</c:v>
                </c:pt>
                <c:pt idx="18">
                  <c:v>2007</c:v>
                </c:pt>
                <c:pt idx="19">
                  <c:v>2008</c:v>
                </c:pt>
                <c:pt idx="20">
                  <c:v>2009</c:v>
                </c:pt>
                <c:pt idx="21">
                  <c:v>2010</c:v>
                </c:pt>
                <c:pt idx="22">
                  <c:v>2011</c:v>
                </c:pt>
                <c:pt idx="23">
                  <c:v>2012</c:v>
                </c:pt>
                <c:pt idx="24">
                  <c:v>2013</c:v>
                </c:pt>
                <c:pt idx="25">
                  <c:v>2014</c:v>
                </c:pt>
                <c:pt idx="26">
                  <c:v>2015</c:v>
                </c:pt>
                <c:pt idx="27">
                  <c:v>2016</c:v>
                </c:pt>
              </c:strCache>
            </c:strRef>
          </c:cat>
          <c:val>
            <c:numRef>
              <c:f>'Termos de Troca (ipeadata)'!$B$142:$B$169</c:f>
              <c:numCache>
                <c:formatCode>#,##0.0</c:formatCode>
                <c:ptCount val="28"/>
                <c:pt idx="0">
                  <c:v>82.38</c:v>
                </c:pt>
                <c:pt idx="1">
                  <c:v>74.5</c:v>
                </c:pt>
                <c:pt idx="2">
                  <c:v>78.86</c:v>
                </c:pt>
                <c:pt idx="3">
                  <c:v>80.42</c:v>
                </c:pt>
                <c:pt idx="4">
                  <c:v>81.319999999999993</c:v>
                </c:pt>
                <c:pt idx="5">
                  <c:v>92.89</c:v>
                </c:pt>
                <c:pt idx="6">
                  <c:v>103.18</c:v>
                </c:pt>
                <c:pt idx="7">
                  <c:v>102.78</c:v>
                </c:pt>
                <c:pt idx="8">
                  <c:v>109.09</c:v>
                </c:pt>
                <c:pt idx="9">
                  <c:v>107.38</c:v>
                </c:pt>
                <c:pt idx="10">
                  <c:v>93.21</c:v>
                </c:pt>
                <c:pt idx="11">
                  <c:v>96.18</c:v>
                </c:pt>
                <c:pt idx="12">
                  <c:v>96.02</c:v>
                </c:pt>
                <c:pt idx="13">
                  <c:v>94.72</c:v>
                </c:pt>
                <c:pt idx="14">
                  <c:v>93.4</c:v>
                </c:pt>
                <c:pt idx="15">
                  <c:v>94.21</c:v>
                </c:pt>
                <c:pt idx="16">
                  <c:v>94.99</c:v>
                </c:pt>
                <c:pt idx="17">
                  <c:v>100</c:v>
                </c:pt>
                <c:pt idx="18">
                  <c:v>102.1</c:v>
                </c:pt>
                <c:pt idx="19">
                  <c:v>105.89</c:v>
                </c:pt>
                <c:pt idx="20">
                  <c:v>103.18</c:v>
                </c:pt>
                <c:pt idx="21">
                  <c:v>119.7</c:v>
                </c:pt>
                <c:pt idx="22">
                  <c:v>129.04</c:v>
                </c:pt>
                <c:pt idx="23">
                  <c:v>121.51</c:v>
                </c:pt>
                <c:pt idx="24">
                  <c:v>119.03</c:v>
                </c:pt>
                <c:pt idx="25">
                  <c:v>115</c:v>
                </c:pt>
                <c:pt idx="26">
                  <c:v>102.35</c:v>
                </c:pt>
                <c:pt idx="27">
                  <c:v>105.46</c:v>
                </c:pt>
              </c:numCache>
            </c:numRef>
          </c:val>
          <c:smooth val="0"/>
          <c:extLst>
            <c:ext xmlns:c16="http://schemas.microsoft.com/office/drawing/2014/chart" uri="{C3380CC4-5D6E-409C-BE32-E72D297353CC}">
              <c16:uniqueId val="{00000000-317A-4AA0-B24D-5D6E88F4A501}"/>
            </c:ext>
          </c:extLst>
        </c:ser>
        <c:dLbls>
          <c:showLegendKey val="0"/>
          <c:showVal val="0"/>
          <c:showCatName val="0"/>
          <c:showSerName val="0"/>
          <c:showPercent val="0"/>
          <c:showBubbleSize val="0"/>
        </c:dLbls>
        <c:smooth val="0"/>
        <c:axId val="35780096"/>
        <c:axId val="35781632"/>
      </c:lineChart>
      <c:catAx>
        <c:axId val="35780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781632"/>
        <c:crosses val="autoZero"/>
        <c:auto val="1"/>
        <c:lblAlgn val="ctr"/>
        <c:lblOffset val="100"/>
        <c:noMultiLvlLbl val="0"/>
      </c:catAx>
      <c:valAx>
        <c:axId val="35781632"/>
        <c:scaling>
          <c:orientation val="minMax"/>
          <c:min val="6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7800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9.6646067067727257E-2"/>
          <c:y val="3.1585204834692682E-2"/>
          <c:w val="0.87894666524439702"/>
          <c:h val="0.55314827881390272"/>
        </c:manualLayout>
      </c:layout>
      <c:lineChart>
        <c:grouping val="standard"/>
        <c:varyColors val="0"/>
        <c:ser>
          <c:idx val="0"/>
          <c:order val="0"/>
          <c:tx>
            <c:strRef>
              <c:f>'Intensidade Tecnológica'!$B$26</c:f>
              <c:strCache>
                <c:ptCount val="1"/>
                <c:pt idx="0">
                  <c:v>PRODUTOS DA INDUSTRIA DE TRANSFORMAÇÃO DE ALTA TECNOLOGIA</c:v>
                </c:pt>
              </c:strCache>
            </c:strRef>
          </c:tx>
          <c:spPr>
            <a:ln w="28575" cap="rnd">
              <a:solidFill>
                <a:schemeClr val="accent1">
                  <a:shade val="53000"/>
                </a:schemeClr>
              </a:solidFill>
              <a:round/>
            </a:ln>
            <a:effectLst/>
          </c:spPr>
          <c:marker>
            <c:symbol val="none"/>
          </c:marker>
          <c:cat>
            <c:numRef>
              <c:f>'Intensidade Tecnológica'!$A$27:$A$46</c:f>
              <c:numCache>
                <c:formatCode>General</c:formatCode>
                <c:ptCount val="20"/>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pt idx="17">
                  <c:v>2014</c:v>
                </c:pt>
                <c:pt idx="18">
                  <c:v>2015</c:v>
                </c:pt>
                <c:pt idx="19">
                  <c:v>2016</c:v>
                </c:pt>
              </c:numCache>
            </c:numRef>
          </c:cat>
          <c:val>
            <c:numRef>
              <c:f>'Intensidade Tecnológica'!$B$27:$B$46</c:f>
              <c:numCache>
                <c:formatCode>0.00%</c:formatCode>
                <c:ptCount val="20"/>
                <c:pt idx="0">
                  <c:v>4.4424205855254396E-2</c:v>
                </c:pt>
                <c:pt idx="1">
                  <c:v>6.2017436859780992E-2</c:v>
                </c:pt>
                <c:pt idx="2">
                  <c:v>8.017773685406368E-2</c:v>
                </c:pt>
                <c:pt idx="3">
                  <c:v>0.11888773432153323</c:v>
                </c:pt>
                <c:pt idx="4">
                  <c:v>0.11501700340564841</c:v>
                </c:pt>
                <c:pt idx="5">
                  <c:v>9.3471680759140863E-2</c:v>
                </c:pt>
                <c:pt idx="6">
                  <c:v>6.5978555452813378E-2</c:v>
                </c:pt>
                <c:pt idx="7">
                  <c:v>6.441838206917104E-2</c:v>
                </c:pt>
                <c:pt idx="8">
                  <c:v>6.9636950039210443E-2</c:v>
                </c:pt>
                <c:pt idx="9">
                  <c:v>6.3684542041647307E-2</c:v>
                </c:pt>
                <c:pt idx="10">
                  <c:v>5.9671661081693153E-2</c:v>
                </c:pt>
                <c:pt idx="11">
                  <c:v>5.4063991854035182E-2</c:v>
                </c:pt>
                <c:pt idx="12">
                  <c:v>5.4762157217902716E-2</c:v>
                </c:pt>
                <c:pt idx="13">
                  <c:v>4.2144154578895344E-2</c:v>
                </c:pt>
                <c:pt idx="14">
                  <c:v>3.347652255619684E-2</c:v>
                </c:pt>
                <c:pt idx="15">
                  <c:v>3.7528926599416104E-2</c:v>
                </c:pt>
                <c:pt idx="16">
                  <c:v>3.6949600522761722E-2</c:v>
                </c:pt>
                <c:pt idx="17">
                  <c:v>3.9896696566708488E-2</c:v>
                </c:pt>
                <c:pt idx="18">
                  <c:v>4.8394893283204239E-2</c:v>
                </c:pt>
                <c:pt idx="19">
                  <c:v>5.3020119379550583E-2</c:v>
                </c:pt>
              </c:numCache>
            </c:numRef>
          </c:val>
          <c:smooth val="0"/>
          <c:extLst>
            <c:ext xmlns:c16="http://schemas.microsoft.com/office/drawing/2014/chart" uri="{C3380CC4-5D6E-409C-BE32-E72D297353CC}">
              <c16:uniqueId val="{00000000-61B8-4633-979F-36E448832C54}"/>
            </c:ext>
          </c:extLst>
        </c:ser>
        <c:ser>
          <c:idx val="1"/>
          <c:order val="1"/>
          <c:tx>
            <c:strRef>
              <c:f>'Intensidade Tecnológica'!$C$26</c:f>
              <c:strCache>
                <c:ptCount val="1"/>
                <c:pt idx="0">
                  <c:v>PRODUTOS DA INDUSTRIA DE TRANSFORMAÇÃO DE MEDIA-ALTA TECNOLOGIA</c:v>
                </c:pt>
              </c:strCache>
            </c:strRef>
          </c:tx>
          <c:spPr>
            <a:ln w="28575" cap="rnd">
              <a:solidFill>
                <a:schemeClr val="accent1">
                  <a:shade val="76000"/>
                </a:schemeClr>
              </a:solidFill>
              <a:round/>
            </a:ln>
            <a:effectLst/>
          </c:spPr>
          <c:marker>
            <c:symbol val="none"/>
          </c:marker>
          <c:cat>
            <c:numRef>
              <c:f>'Intensidade Tecnológica'!$A$27:$A$46</c:f>
              <c:numCache>
                <c:formatCode>General</c:formatCode>
                <c:ptCount val="20"/>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pt idx="17">
                  <c:v>2014</c:v>
                </c:pt>
                <c:pt idx="18">
                  <c:v>2015</c:v>
                </c:pt>
                <c:pt idx="19">
                  <c:v>2016</c:v>
                </c:pt>
              </c:numCache>
            </c:numRef>
          </c:cat>
          <c:val>
            <c:numRef>
              <c:f>'Intensidade Tecnológica'!$C$27:$C$46</c:f>
              <c:numCache>
                <c:formatCode>0.00%</c:formatCode>
                <c:ptCount val="20"/>
                <c:pt idx="0">
                  <c:v>0.25193655269985826</c:v>
                </c:pt>
                <c:pt idx="1">
                  <c:v>0.2756736308723301</c:v>
                </c:pt>
                <c:pt idx="2">
                  <c:v>0.23224188240901683</c:v>
                </c:pt>
                <c:pt idx="3">
                  <c:v>0.23715841620293696</c:v>
                </c:pt>
                <c:pt idx="4">
                  <c:v>0.21690573102196897</c:v>
                </c:pt>
                <c:pt idx="5">
                  <c:v>0.21657271291966013</c:v>
                </c:pt>
                <c:pt idx="6">
                  <c:v>0.23402299717693131</c:v>
                </c:pt>
                <c:pt idx="7">
                  <c:v>0.23688036283840985</c:v>
                </c:pt>
                <c:pt idx="8">
                  <c:v>0.25076686410462917</c:v>
                </c:pt>
                <c:pt idx="9">
                  <c:v>0.24557198945146633</c:v>
                </c:pt>
                <c:pt idx="10">
                  <c:v>0.23601793678027044</c:v>
                </c:pt>
                <c:pt idx="11">
                  <c:v>0.21124288493409724</c:v>
                </c:pt>
                <c:pt idx="12">
                  <c:v>0.18613118220209424</c:v>
                </c:pt>
                <c:pt idx="13">
                  <c:v>0.18878616779188676</c:v>
                </c:pt>
                <c:pt idx="14">
                  <c:v>0.17660495239055271</c:v>
                </c:pt>
                <c:pt idx="15">
                  <c:v>0.17614000460473536</c:v>
                </c:pt>
                <c:pt idx="16">
                  <c:v>0.17178036234063188</c:v>
                </c:pt>
                <c:pt idx="17">
                  <c:v>0.16323722442311628</c:v>
                </c:pt>
                <c:pt idx="18">
                  <c:v>0.17326542506731021</c:v>
                </c:pt>
                <c:pt idx="19">
                  <c:v>0.18131339688873033</c:v>
                </c:pt>
              </c:numCache>
            </c:numRef>
          </c:val>
          <c:smooth val="0"/>
          <c:extLst>
            <c:ext xmlns:c16="http://schemas.microsoft.com/office/drawing/2014/chart" uri="{C3380CC4-5D6E-409C-BE32-E72D297353CC}">
              <c16:uniqueId val="{00000001-61B8-4633-979F-36E448832C54}"/>
            </c:ext>
          </c:extLst>
        </c:ser>
        <c:ser>
          <c:idx val="2"/>
          <c:order val="2"/>
          <c:tx>
            <c:strRef>
              <c:f>'Intensidade Tecnológica'!$D$26</c:f>
              <c:strCache>
                <c:ptCount val="1"/>
                <c:pt idx="0">
                  <c:v>PRODUTOS DA INDUSTRIA DE TRANSFORMAÇÃO DE MEDIA-BAIXA TECNOLOGIA</c:v>
                </c:pt>
              </c:strCache>
            </c:strRef>
          </c:tx>
          <c:spPr>
            <a:ln w="28575" cap="rnd">
              <a:solidFill>
                <a:schemeClr val="accent1"/>
              </a:solidFill>
              <a:round/>
            </a:ln>
            <a:effectLst/>
          </c:spPr>
          <c:marker>
            <c:symbol val="none"/>
          </c:marker>
          <c:cat>
            <c:numRef>
              <c:f>'Intensidade Tecnológica'!$A$27:$A$46</c:f>
              <c:numCache>
                <c:formatCode>General</c:formatCode>
                <c:ptCount val="20"/>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pt idx="17">
                  <c:v>2014</c:v>
                </c:pt>
                <c:pt idx="18">
                  <c:v>2015</c:v>
                </c:pt>
                <c:pt idx="19">
                  <c:v>2016</c:v>
                </c:pt>
              </c:numCache>
            </c:numRef>
          </c:cat>
          <c:val>
            <c:numRef>
              <c:f>'Intensidade Tecnológica'!$D$27:$D$46</c:f>
              <c:numCache>
                <c:formatCode>0.00%</c:formatCode>
                <c:ptCount val="20"/>
                <c:pt idx="0">
                  <c:v>0.17243592593719212</c:v>
                </c:pt>
                <c:pt idx="1">
                  <c:v>0.17350447266646526</c:v>
                </c:pt>
                <c:pt idx="2">
                  <c:v>0.16322929601989705</c:v>
                </c:pt>
                <c:pt idx="3">
                  <c:v>0.16750863911364131</c:v>
                </c:pt>
                <c:pt idx="4">
                  <c:v>0.1535856442968746</c:v>
                </c:pt>
                <c:pt idx="5">
                  <c:v>0.1647023104276566</c:v>
                </c:pt>
                <c:pt idx="6">
                  <c:v>0.16741990359991951</c:v>
                </c:pt>
                <c:pt idx="7">
                  <c:v>0.18357808197910944</c:v>
                </c:pt>
                <c:pt idx="8">
                  <c:v>0.17821670082351351</c:v>
                </c:pt>
                <c:pt idx="9">
                  <c:v>0.18558789117194244</c:v>
                </c:pt>
                <c:pt idx="10">
                  <c:v>0.18231220756557415</c:v>
                </c:pt>
                <c:pt idx="11">
                  <c:v>0.17943534453764731</c:v>
                </c:pt>
                <c:pt idx="12">
                  <c:v>0.14741234363029981</c:v>
                </c:pt>
                <c:pt idx="13">
                  <c:v>0.12649020840906511</c:v>
                </c:pt>
                <c:pt idx="14">
                  <c:v>0.13255906707294646</c:v>
                </c:pt>
                <c:pt idx="15">
                  <c:v>0.14234408065779702</c:v>
                </c:pt>
                <c:pt idx="16">
                  <c:v>0.15441910511067461</c:v>
                </c:pt>
                <c:pt idx="17">
                  <c:v>0.1369578980604447</c:v>
                </c:pt>
                <c:pt idx="18">
                  <c:v>0.14200980849502609</c:v>
                </c:pt>
                <c:pt idx="19">
                  <c:v>0.14571144192579977</c:v>
                </c:pt>
              </c:numCache>
            </c:numRef>
          </c:val>
          <c:smooth val="0"/>
          <c:extLst>
            <c:ext xmlns:c16="http://schemas.microsoft.com/office/drawing/2014/chart" uri="{C3380CC4-5D6E-409C-BE32-E72D297353CC}">
              <c16:uniqueId val="{00000002-61B8-4633-979F-36E448832C54}"/>
            </c:ext>
          </c:extLst>
        </c:ser>
        <c:ser>
          <c:idx val="3"/>
          <c:order val="3"/>
          <c:tx>
            <c:strRef>
              <c:f>'Intensidade Tecnológica'!$E$26</c:f>
              <c:strCache>
                <c:ptCount val="1"/>
                <c:pt idx="0">
                  <c:v>PRODUTOS DA INDUSTRIA DE TRANSFORMAÇÃO DE BAIXA TECNOLOGIA</c:v>
                </c:pt>
              </c:strCache>
            </c:strRef>
          </c:tx>
          <c:spPr>
            <a:ln w="28575" cap="rnd">
              <a:solidFill>
                <a:schemeClr val="accent1">
                  <a:tint val="77000"/>
                </a:schemeClr>
              </a:solidFill>
              <a:round/>
            </a:ln>
            <a:effectLst/>
          </c:spPr>
          <c:marker>
            <c:symbol val="none"/>
          </c:marker>
          <c:cat>
            <c:numRef>
              <c:f>'Intensidade Tecnológica'!$A$27:$A$46</c:f>
              <c:numCache>
                <c:formatCode>General</c:formatCode>
                <c:ptCount val="20"/>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pt idx="17">
                  <c:v>2014</c:v>
                </c:pt>
                <c:pt idx="18">
                  <c:v>2015</c:v>
                </c:pt>
                <c:pt idx="19">
                  <c:v>2016</c:v>
                </c:pt>
              </c:numCache>
            </c:numRef>
          </c:cat>
          <c:val>
            <c:numRef>
              <c:f>'Intensidade Tecnológica'!$E$27:$E$46</c:f>
              <c:numCache>
                <c:formatCode>0.00%</c:formatCode>
                <c:ptCount val="20"/>
                <c:pt idx="0">
                  <c:v>0.34568505340990086</c:v>
                </c:pt>
                <c:pt idx="1">
                  <c:v>0.35784925710349286</c:v>
                </c:pt>
                <c:pt idx="2">
                  <c:v>0.3488517711320076</c:v>
                </c:pt>
                <c:pt idx="3">
                  <c:v>0.31043363509133598</c:v>
                </c:pt>
                <c:pt idx="4">
                  <c:v>0.33368269061450656</c:v>
                </c:pt>
                <c:pt idx="5">
                  <c:v>0.33361403832616038</c:v>
                </c:pt>
                <c:pt idx="6">
                  <c:v>0.33492188713880461</c:v>
                </c:pt>
                <c:pt idx="7">
                  <c:v>0.31772007897459675</c:v>
                </c:pt>
                <c:pt idx="8">
                  <c:v>0.29533890162856707</c:v>
                </c:pt>
                <c:pt idx="9">
                  <c:v>0.28236556316888661</c:v>
                </c:pt>
                <c:pt idx="10">
                  <c:v>0.27924765010920483</c:v>
                </c:pt>
                <c:pt idx="11">
                  <c:v>0.26456485199121949</c:v>
                </c:pt>
                <c:pt idx="12">
                  <c:v>0.30133629929860123</c:v>
                </c:pt>
                <c:pt idx="13">
                  <c:v>0.27652777860459249</c:v>
                </c:pt>
                <c:pt idx="14">
                  <c:v>0.24984940647149981</c:v>
                </c:pt>
                <c:pt idx="15">
                  <c:v>0.25523160925818755</c:v>
                </c:pt>
                <c:pt idx="16">
                  <c:v>0.25699716926859922</c:v>
                </c:pt>
                <c:pt idx="17">
                  <c:v>0.26683388083567477</c:v>
                </c:pt>
                <c:pt idx="18">
                  <c:v>0.27929826712804245</c:v>
                </c:pt>
                <c:pt idx="19">
                  <c:v>0.29197336696420578</c:v>
                </c:pt>
              </c:numCache>
            </c:numRef>
          </c:val>
          <c:smooth val="0"/>
          <c:extLst>
            <c:ext xmlns:c16="http://schemas.microsoft.com/office/drawing/2014/chart" uri="{C3380CC4-5D6E-409C-BE32-E72D297353CC}">
              <c16:uniqueId val="{00000003-61B8-4633-979F-36E448832C54}"/>
            </c:ext>
          </c:extLst>
        </c:ser>
        <c:ser>
          <c:idx val="4"/>
          <c:order val="4"/>
          <c:tx>
            <c:strRef>
              <c:f>'Intensidade Tecnológica'!$F$26</c:f>
              <c:strCache>
                <c:ptCount val="1"/>
                <c:pt idx="0">
                  <c:v>PRODUTOS NÃO CLASSIFICADOS QUANTO À INTENSIDADE TECNOLÓGICA</c:v>
                </c:pt>
              </c:strCache>
            </c:strRef>
          </c:tx>
          <c:spPr>
            <a:ln w="28575" cap="rnd">
              <a:solidFill>
                <a:schemeClr val="accent1">
                  <a:tint val="54000"/>
                </a:schemeClr>
              </a:solidFill>
              <a:round/>
            </a:ln>
            <a:effectLst/>
          </c:spPr>
          <c:marker>
            <c:symbol val="none"/>
          </c:marker>
          <c:cat>
            <c:numRef>
              <c:f>'Intensidade Tecnológica'!$A$27:$A$46</c:f>
              <c:numCache>
                <c:formatCode>General</c:formatCode>
                <c:ptCount val="20"/>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pt idx="17">
                  <c:v>2014</c:v>
                </c:pt>
                <c:pt idx="18">
                  <c:v>2015</c:v>
                </c:pt>
                <c:pt idx="19">
                  <c:v>2016</c:v>
                </c:pt>
              </c:numCache>
            </c:numRef>
          </c:cat>
          <c:val>
            <c:numRef>
              <c:f>'Intensidade Tecnológica'!$F$27:$F$46</c:f>
              <c:numCache>
                <c:formatCode>0.00%</c:formatCode>
                <c:ptCount val="20"/>
                <c:pt idx="0">
                  <c:v>0.18551826209779435</c:v>
                </c:pt>
                <c:pt idx="1">
                  <c:v>0.19608517310476051</c:v>
                </c:pt>
                <c:pt idx="2">
                  <c:v>0.1754993135850148</c:v>
                </c:pt>
                <c:pt idx="3">
                  <c:v>0.16601157527055252</c:v>
                </c:pt>
                <c:pt idx="4">
                  <c:v>0.18080893066100145</c:v>
                </c:pt>
                <c:pt idx="5">
                  <c:v>0.19163925756738201</c:v>
                </c:pt>
                <c:pt idx="6">
                  <c:v>0.1976566566315312</c:v>
                </c:pt>
                <c:pt idx="7">
                  <c:v>0.19740309413871293</c:v>
                </c:pt>
                <c:pt idx="8">
                  <c:v>0.20604058340407974</c:v>
                </c:pt>
                <c:pt idx="9">
                  <c:v>0.22279001416605732</c:v>
                </c:pt>
                <c:pt idx="10">
                  <c:v>0.24275054446325744</c:v>
                </c:pt>
                <c:pt idx="11">
                  <c:v>0.29069292668300073</c:v>
                </c:pt>
                <c:pt idx="12">
                  <c:v>0.31035801765110199</c:v>
                </c:pt>
                <c:pt idx="13">
                  <c:v>0.36605169061556031</c:v>
                </c:pt>
                <c:pt idx="14">
                  <c:v>0.40751005150880421</c:v>
                </c:pt>
                <c:pt idx="15">
                  <c:v>0.38875537887986394</c:v>
                </c:pt>
                <c:pt idx="16">
                  <c:v>0.37985376275733257</c:v>
                </c:pt>
                <c:pt idx="17">
                  <c:v>0.39307430011405575</c:v>
                </c:pt>
                <c:pt idx="18">
                  <c:v>0.35703160602641704</c:v>
                </c:pt>
                <c:pt idx="19">
                  <c:v>0.32798167484171359</c:v>
                </c:pt>
              </c:numCache>
            </c:numRef>
          </c:val>
          <c:smooth val="0"/>
          <c:extLst>
            <c:ext xmlns:c16="http://schemas.microsoft.com/office/drawing/2014/chart" uri="{C3380CC4-5D6E-409C-BE32-E72D297353CC}">
              <c16:uniqueId val="{00000004-61B8-4633-979F-36E448832C54}"/>
            </c:ext>
          </c:extLst>
        </c:ser>
        <c:dLbls>
          <c:showLegendKey val="0"/>
          <c:showVal val="0"/>
          <c:showCatName val="0"/>
          <c:showSerName val="0"/>
          <c:showPercent val="0"/>
          <c:showBubbleSize val="0"/>
        </c:dLbls>
        <c:smooth val="0"/>
        <c:axId val="35808768"/>
        <c:axId val="35810304"/>
      </c:lineChart>
      <c:catAx>
        <c:axId val="35808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810304"/>
        <c:crosses val="autoZero"/>
        <c:auto val="1"/>
        <c:lblAlgn val="ctr"/>
        <c:lblOffset val="100"/>
        <c:noMultiLvlLbl val="0"/>
      </c:catAx>
      <c:valAx>
        <c:axId val="3581030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808768"/>
        <c:crosses val="autoZero"/>
        <c:crossBetween val="between"/>
      </c:valAx>
      <c:spPr>
        <a:noFill/>
        <a:ln>
          <a:noFill/>
        </a:ln>
        <a:effectLst/>
      </c:spPr>
    </c:plotArea>
    <c:legend>
      <c:legendPos val="b"/>
      <c:layout>
        <c:manualLayout>
          <c:xMode val="edge"/>
          <c:yMode val="edge"/>
          <c:x val="0.15675224264391885"/>
          <c:y val="0.6533396561870225"/>
          <c:w val="0.71349973651392506"/>
          <c:h val="0.27394058582349923"/>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707404817641036E-2"/>
          <c:y val="4.4995013921132199E-2"/>
          <c:w val="0.90497856686833067"/>
          <c:h val="0.63153212231449785"/>
        </c:manualLayout>
      </c:layout>
      <c:barChart>
        <c:barDir val="col"/>
        <c:grouping val="clustered"/>
        <c:varyColors val="0"/>
        <c:ser>
          <c:idx val="0"/>
          <c:order val="0"/>
          <c:tx>
            <c:strRef>
              <c:f>country_rankings!$J$23</c:f>
              <c:strCache>
                <c:ptCount val="1"/>
                <c:pt idx="0">
                  <c:v>Índice de Complexidade Econômica - classificação do Brasil</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country_rankings!$I$24:$I$43</c:f>
              <c:numCache>
                <c:formatCode>General</c:formatCode>
                <c:ptCount val="20"/>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numCache>
            </c:numRef>
          </c:cat>
          <c:val>
            <c:numRef>
              <c:f>country_rankings!$J$24:$J$43</c:f>
              <c:numCache>
                <c:formatCode>General</c:formatCode>
                <c:ptCount val="20"/>
                <c:pt idx="0">
                  <c:v>30</c:v>
                </c:pt>
                <c:pt idx="1">
                  <c:v>32</c:v>
                </c:pt>
                <c:pt idx="2">
                  <c:v>28</c:v>
                </c:pt>
                <c:pt idx="3">
                  <c:v>35</c:v>
                </c:pt>
                <c:pt idx="4">
                  <c:v>32</c:v>
                </c:pt>
                <c:pt idx="5">
                  <c:v>29</c:v>
                </c:pt>
                <c:pt idx="6">
                  <c:v>36</c:v>
                </c:pt>
                <c:pt idx="7">
                  <c:v>38</c:v>
                </c:pt>
                <c:pt idx="8">
                  <c:v>36</c:v>
                </c:pt>
                <c:pt idx="9">
                  <c:v>43</c:v>
                </c:pt>
                <c:pt idx="10">
                  <c:v>40</c:v>
                </c:pt>
                <c:pt idx="11">
                  <c:v>43</c:v>
                </c:pt>
                <c:pt idx="12">
                  <c:v>42</c:v>
                </c:pt>
                <c:pt idx="13">
                  <c:v>53</c:v>
                </c:pt>
                <c:pt idx="14">
                  <c:v>50</c:v>
                </c:pt>
                <c:pt idx="15">
                  <c:v>50</c:v>
                </c:pt>
                <c:pt idx="16">
                  <c:v>55</c:v>
                </c:pt>
                <c:pt idx="17">
                  <c:v>54</c:v>
                </c:pt>
                <c:pt idx="18">
                  <c:v>58</c:v>
                </c:pt>
                <c:pt idx="19">
                  <c:v>54</c:v>
                </c:pt>
              </c:numCache>
            </c:numRef>
          </c:val>
          <c:extLst>
            <c:ext xmlns:c16="http://schemas.microsoft.com/office/drawing/2014/chart" uri="{C3380CC4-5D6E-409C-BE32-E72D297353CC}">
              <c16:uniqueId val="{00000000-2D27-4663-B1AB-1A9CB4C6BE03}"/>
            </c:ext>
          </c:extLst>
        </c:ser>
        <c:dLbls>
          <c:showLegendKey val="0"/>
          <c:showVal val="0"/>
          <c:showCatName val="0"/>
          <c:showSerName val="0"/>
          <c:showPercent val="0"/>
          <c:showBubbleSize val="0"/>
        </c:dLbls>
        <c:gapWidth val="150"/>
        <c:axId val="35827072"/>
        <c:axId val="35828864"/>
      </c:barChart>
      <c:catAx>
        <c:axId val="35827072"/>
        <c:scaling>
          <c:orientation val="minMax"/>
        </c:scaling>
        <c:delete val="0"/>
        <c:axPos val="b"/>
        <c:numFmt formatCode="General" sourceLinked="1"/>
        <c:majorTickMark val="out"/>
        <c:minorTickMark val="none"/>
        <c:tickLblPos val="nextTo"/>
        <c:crossAx val="35828864"/>
        <c:crosses val="autoZero"/>
        <c:auto val="1"/>
        <c:lblAlgn val="ctr"/>
        <c:lblOffset val="100"/>
        <c:noMultiLvlLbl val="0"/>
      </c:catAx>
      <c:valAx>
        <c:axId val="35828864"/>
        <c:scaling>
          <c:orientation val="minMax"/>
        </c:scaling>
        <c:delete val="0"/>
        <c:axPos val="l"/>
        <c:majorGridlines/>
        <c:numFmt formatCode="General" sourceLinked="1"/>
        <c:majorTickMark val="out"/>
        <c:minorTickMark val="none"/>
        <c:tickLblPos val="nextTo"/>
        <c:crossAx val="35827072"/>
        <c:crosses val="autoZero"/>
        <c:crossBetween val="between"/>
      </c:valAx>
    </c:plotArea>
    <c:plotVisOnly val="1"/>
    <c:dispBlanksAs val="gap"/>
    <c:showDLblsOverMax val="0"/>
  </c:chart>
  <c:spPr>
    <a:noFill/>
    <a:ln>
      <a:noFill/>
    </a:ln>
  </c:sp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'Fontes de financiamento PINTEC'!$A$2</c:f>
              <c:strCache>
                <c:ptCount val="1"/>
                <c:pt idx="0">
                  <c:v>2011</c:v>
                </c:pt>
              </c:strCache>
            </c:strRef>
          </c:tx>
          <c:spPr>
            <a:solidFill>
              <a:schemeClr val="accent1">
                <a:shade val="76000"/>
              </a:schemeClr>
            </a:solidFill>
            <a:ln>
              <a:noFill/>
            </a:ln>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'Fontes de financiamento PINTEC'!$B$1:$F$1</c:f>
              <c:strCache>
                <c:ptCount val="5"/>
                <c:pt idx="0">
                  <c:v>Próprio</c:v>
                </c:pt>
                <c:pt idx="1">
                  <c:v>Terceiros - total</c:v>
                </c:pt>
                <c:pt idx="2">
                  <c:v>Terceiros - financiamento de outras empresas brasileiras </c:v>
                </c:pt>
                <c:pt idx="3">
                  <c:v>Terceiros - financiamento público</c:v>
                </c:pt>
                <c:pt idx="4">
                  <c:v> Terceiros - financiamento procedente do exterior</c:v>
                </c:pt>
              </c:strCache>
            </c:strRef>
          </c:cat>
          <c:val>
            <c:numRef>
              <c:f>'Fontes de financiamento PINTEC'!$B$2:$F$2</c:f>
              <c:numCache>
                <c:formatCode>0%</c:formatCode>
                <c:ptCount val="5"/>
                <c:pt idx="0">
                  <c:v>0.87</c:v>
                </c:pt>
                <c:pt idx="1">
                  <c:v>0.13</c:v>
                </c:pt>
                <c:pt idx="2">
                  <c:v>4.0000000000000001E-3</c:v>
                </c:pt>
                <c:pt idx="3">
                  <c:v>0.109</c:v>
                </c:pt>
                <c:pt idx="4">
                  <c:v>1.7000000000000001E-2</c:v>
                </c:pt>
              </c:numCache>
            </c:numRef>
          </c:val>
          <c:extLst>
            <c:ext xmlns:c16="http://schemas.microsoft.com/office/drawing/2014/chart" uri="{C3380CC4-5D6E-409C-BE32-E72D297353CC}">
              <c16:uniqueId val="{00000000-DC93-4BA0-8ECE-53092A03BAA3}"/>
            </c:ext>
          </c:extLst>
        </c:ser>
        <c:ser>
          <c:idx val="1"/>
          <c:order val="1"/>
          <c:tx>
            <c:strRef>
              <c:f>'Fontes de financiamento PINTEC'!$A$3</c:f>
              <c:strCache>
                <c:ptCount val="1"/>
                <c:pt idx="0">
                  <c:v>2014</c:v>
                </c:pt>
              </c:strCache>
            </c:strRef>
          </c:tx>
          <c:spPr>
            <a:solidFill>
              <a:schemeClr val="accent1">
                <a:tint val="77000"/>
              </a:schemeClr>
            </a:solidFill>
            <a:ln>
              <a:noFill/>
            </a:ln>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'Fontes de financiamento PINTEC'!$B$1:$F$1</c:f>
              <c:strCache>
                <c:ptCount val="5"/>
                <c:pt idx="0">
                  <c:v>Próprio</c:v>
                </c:pt>
                <c:pt idx="1">
                  <c:v>Terceiros - total</c:v>
                </c:pt>
                <c:pt idx="2">
                  <c:v>Terceiros - financiamento de outras empresas brasileiras </c:v>
                </c:pt>
                <c:pt idx="3">
                  <c:v>Terceiros - financiamento público</c:v>
                </c:pt>
                <c:pt idx="4">
                  <c:v> Terceiros - financiamento procedente do exterior</c:v>
                </c:pt>
              </c:strCache>
            </c:strRef>
          </c:cat>
          <c:val>
            <c:numRef>
              <c:f>'Fontes de financiamento PINTEC'!$B$3:$F$3</c:f>
              <c:numCache>
                <c:formatCode>0%</c:formatCode>
                <c:ptCount val="5"/>
                <c:pt idx="0">
                  <c:v>0.84299999999999997</c:v>
                </c:pt>
                <c:pt idx="1">
                  <c:v>0.157</c:v>
                </c:pt>
                <c:pt idx="2">
                  <c:v>6.0000000000000001E-3</c:v>
                </c:pt>
                <c:pt idx="3">
                  <c:v>0.14299999999999999</c:v>
                </c:pt>
                <c:pt idx="4">
                  <c:v>8.0000000000000002E-3</c:v>
                </c:pt>
              </c:numCache>
            </c:numRef>
          </c:val>
          <c:extLst>
            <c:ext xmlns:c16="http://schemas.microsoft.com/office/drawing/2014/chart" uri="{C3380CC4-5D6E-409C-BE32-E72D297353CC}">
              <c16:uniqueId val="{00000001-DC93-4BA0-8ECE-53092A03BAA3}"/>
            </c:ext>
          </c:extLst>
        </c:ser>
        <c:dLbls>
          <c:showLegendKey val="0"/>
          <c:showVal val="0"/>
          <c:showCatName val="0"/>
          <c:showSerName val="0"/>
          <c:showPercent val="0"/>
          <c:showBubbleSize val="0"/>
        </c:dLbls>
        <c:gapWidth val="150"/>
        <c:axId val="35715328"/>
        <c:axId val="35717120"/>
      </c:barChart>
      <c:catAx>
        <c:axId val="3571532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35717120"/>
        <c:crosses val="autoZero"/>
        <c:auto val="1"/>
        <c:lblAlgn val="ctr"/>
        <c:lblOffset val="100"/>
        <c:noMultiLvlLbl val="0"/>
      </c:catAx>
      <c:valAx>
        <c:axId val="357171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71532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w="9525" cap="flat" cmpd="sng" algn="ctr">
      <a:no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0.90104</cdr:y>
    </cdr:from>
    <cdr:to>
      <cdr:x>0.25833</cdr:x>
      <cdr:y>0.98785</cdr:y>
    </cdr:to>
    <cdr:sp macro="" textlink="">
      <cdr:nvSpPr>
        <cdr:cNvPr id="2" name="CaixaDeTexto 1"/>
        <cdr:cNvSpPr txBox="1"/>
      </cdr:nvSpPr>
      <cdr:spPr>
        <a:xfrm xmlns:a="http://schemas.openxmlformats.org/drawingml/2006/main">
          <a:off x="0" y="2471738"/>
          <a:ext cx="118110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t-BR" sz="1100"/>
            <a:t>Fonte:</a:t>
          </a:r>
          <a:r>
            <a:rPr lang="pt-BR" sz="1100" baseline="0"/>
            <a:t> Ipeadata</a:t>
          </a:r>
          <a:endParaRPr lang="pt-BR" sz="1100"/>
        </a:p>
      </cdr:txBody>
    </cdr:sp>
  </cdr:relSizeAnchor>
</c:userShapes>
</file>

<file path=word/drawings/drawing2.xml><?xml version="1.0" encoding="utf-8"?>
<c:userShapes xmlns:c="http://schemas.openxmlformats.org/drawingml/2006/chart">
  <cdr:relSizeAnchor xmlns:cdr="http://schemas.openxmlformats.org/drawingml/2006/chartDrawing">
    <cdr:from>
      <cdr:x>0.00422</cdr:x>
      <cdr:y>0.92873</cdr:y>
    </cdr:from>
    <cdr:to>
      <cdr:x>0.36076</cdr:x>
      <cdr:y>0.98451</cdr:y>
    </cdr:to>
    <cdr:sp macro="" textlink="">
      <cdr:nvSpPr>
        <cdr:cNvPr id="2" name="CaixaDeTexto 1"/>
        <cdr:cNvSpPr txBox="1"/>
      </cdr:nvSpPr>
      <cdr:spPr>
        <a:xfrm xmlns:a="http://schemas.openxmlformats.org/drawingml/2006/main">
          <a:off x="23812" y="3568303"/>
          <a:ext cx="2012156" cy="21431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t-BR" sz="1100"/>
            <a:t>Fonte: MDIC/Secex</a:t>
          </a:r>
        </a:p>
      </cdr:txBody>
    </cdr:sp>
  </cdr:relSizeAnchor>
</c:userShapes>
</file>

<file path=word/drawings/drawing3.xml><?xml version="1.0" encoding="utf-8"?>
<c:userShapes xmlns:c="http://schemas.openxmlformats.org/drawingml/2006/chart">
  <cdr:relSizeAnchor xmlns:cdr="http://schemas.openxmlformats.org/drawingml/2006/chartDrawing">
    <cdr:from>
      <cdr:x>0.075</cdr:x>
      <cdr:y>0.84546</cdr:y>
    </cdr:from>
    <cdr:to>
      <cdr:x>0.67539</cdr:x>
      <cdr:y>0.94273</cdr:y>
    </cdr:to>
    <cdr:sp macro="" textlink="">
      <cdr:nvSpPr>
        <cdr:cNvPr id="2" name="TextBox 1"/>
        <cdr:cNvSpPr txBox="1"/>
      </cdr:nvSpPr>
      <cdr:spPr>
        <a:xfrm xmlns:a="http://schemas.openxmlformats.org/drawingml/2006/main">
          <a:off x="370068" y="2649447"/>
          <a:ext cx="2962295" cy="3048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t-BR" sz="1100"/>
            <a:t>Fonte:  The Atlas</a:t>
          </a:r>
          <a:r>
            <a:rPr lang="pt-BR" sz="1100" baseline="0"/>
            <a:t> of Economic Complexity</a:t>
          </a:r>
          <a:endParaRPr lang="pt-BR" sz="1100"/>
        </a:p>
      </cdr:txBody>
    </cdr:sp>
  </cdr:relSizeAnchor>
</c:userShapes>
</file>

<file path=word/drawings/drawing4.xml><?xml version="1.0" encoding="utf-8"?>
<c:userShapes xmlns:c="http://schemas.openxmlformats.org/drawingml/2006/chart">
  <cdr:relSizeAnchor xmlns:cdr="http://schemas.openxmlformats.org/drawingml/2006/chartDrawing">
    <cdr:from>
      <cdr:x>0.00575</cdr:x>
      <cdr:y>0.87265</cdr:y>
    </cdr:from>
    <cdr:to>
      <cdr:x>0.40105</cdr:x>
      <cdr:y>0.98172</cdr:y>
    </cdr:to>
    <cdr:sp macro="" textlink="">
      <cdr:nvSpPr>
        <cdr:cNvPr id="2" name="CaixaDeTexto 1"/>
        <cdr:cNvSpPr txBox="1"/>
      </cdr:nvSpPr>
      <cdr:spPr>
        <a:xfrm xmlns:a="http://schemas.openxmlformats.org/drawingml/2006/main">
          <a:off x="31750" y="3241675"/>
          <a:ext cx="2183827" cy="40518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pt-BR" sz="1100"/>
            <a:t>Fonte: PINTEC/IBGE</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32388D20B5E5A94AAC3B10D652308ABE" ma:contentTypeVersion="22" ma:contentTypeDescription="The base project type from which other project content types inherit their information." ma:contentTypeScope="" ma:versionID="cf03374c23050e4664a695010d8a42be">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BF7EEF84FCE14ABA3FDBB48CFBF67E" ma:contentTypeVersion="28" ma:contentTypeDescription="A content type to manage public (operations) IDB documents" ma:contentTypeScope="" ma:versionID="a1f8063b63a23eafd4f6c2e3d74cba76">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Radaelli, Vanderleia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33</Value>
      <Value>30</Value>
      <Value>3</Value>
      <Value>44</Value>
      <Value>43</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R0000442563</Record_x0020_Number>
    <_dlc_DocId xmlns="cdc7663a-08f0-4737-9e8c-148ce897a09c">EZSHARE-1354485787-24</_dlc_DocId>
    <_dlc_DocIdUrl xmlns="cdc7663a-08f0-4737-9e8c-148ce897a09c">
      <Url>https://idbg.sharepoint.com/teams/EZ-BR-LON/BR-L1490/_layouts/15/DocIdRedir.aspx?ID=EZSHARE-1354485787-24</Url>
      <Description>EZSHARE-1354485787-24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181F39C-8EA4-4F14-883E-4421F2D4BE6B}">
  <ds:schemaRefs>
    <ds:schemaRef ds:uri="http://schemas.openxmlformats.org/officeDocument/2006/bibliography"/>
  </ds:schemaRefs>
</ds:datastoreItem>
</file>

<file path=customXml/itemProps2.xml><?xml version="1.0" encoding="utf-8"?>
<ds:datastoreItem xmlns:ds="http://schemas.openxmlformats.org/officeDocument/2006/customXml" ds:itemID="{6DDE2CB6-3753-4D42-A0CA-48292CE4C8BD}"/>
</file>

<file path=customXml/itemProps3.xml><?xml version="1.0" encoding="utf-8"?>
<ds:datastoreItem xmlns:ds="http://schemas.openxmlformats.org/officeDocument/2006/customXml" ds:itemID="{3E4F22CF-BB82-4AC3-8A0C-6F62CDB3897A}"/>
</file>

<file path=customXml/itemProps4.xml><?xml version="1.0" encoding="utf-8"?>
<ds:datastoreItem xmlns:ds="http://schemas.openxmlformats.org/officeDocument/2006/customXml" ds:itemID="{C9C454D8-58A0-4050-A6BA-87B1A08F9514}"/>
</file>

<file path=customXml/itemProps5.xml><?xml version="1.0" encoding="utf-8"?>
<ds:datastoreItem xmlns:ds="http://schemas.openxmlformats.org/officeDocument/2006/customXml" ds:itemID="{82586F4A-79C3-4A6F-83BC-5CF065A98970}"/>
</file>

<file path=customXml/itemProps6.xml><?xml version="1.0" encoding="utf-8"?>
<ds:datastoreItem xmlns:ds="http://schemas.openxmlformats.org/officeDocument/2006/customXml" ds:itemID="{DEC37FD3-0932-421B-976B-A97603EDBD70}"/>
</file>

<file path=customXml/itemProps7.xml><?xml version="1.0" encoding="utf-8"?>
<ds:datastoreItem xmlns:ds="http://schemas.openxmlformats.org/officeDocument/2006/customXml" ds:itemID="{6CE09653-4F7B-4827-8287-08F94A13F53B}"/>
</file>

<file path=docProps/app.xml><?xml version="1.0" encoding="utf-8"?>
<Properties xmlns="http://schemas.openxmlformats.org/officeDocument/2006/extended-properties" xmlns:vt="http://schemas.openxmlformats.org/officeDocument/2006/docPropsVTypes">
  <Template>Normal.dotm</Template>
  <TotalTime>0</TotalTime>
  <Pages>34</Pages>
  <Words>11358</Words>
  <Characters>64746</Characters>
  <Application>Microsoft Office Word</Application>
  <DocSecurity>0</DocSecurity>
  <Lines>539</Lines>
  <Paragraphs>151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keywords/>
  <cp:lastModifiedBy>Gonzalez Herrera, Beatriz Maria</cp:lastModifiedBy>
  <cp:revision>2</cp:revision>
  <dcterms:created xsi:type="dcterms:W3CDTF">2017-05-26T15:01:00Z</dcterms:created>
  <dcterms:modified xsi:type="dcterms:W3CDTF">2017-05-26T15:01:00Z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http://www.zotero.org/styles/associacao-brasileira-de-normas-tecnicas</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http://www.zotero.org/styles/associacao-brasileira-de-normas-tecnicas</vt:lpwstr>
  </property>
  <property fmtid="{D5CDD505-2E9C-101B-9397-08002B2CF9AE}" pid="13" name="Mendeley Recent Style Name 4_1">
    <vt:lpwstr>Associação Brasileira de Normas Técnicas (Portuguese - Brazil)</vt:lpwstr>
  </property>
  <property fmtid="{D5CDD505-2E9C-101B-9397-08002B2CF9AE}" pid="14" name="Mendeley Recent Style Id 5_1">
    <vt:lpwstr>http://www.zotero.org/styles/associacao-brasileira-de-normas-tecnicas-note</vt:lpwstr>
  </property>
  <property fmtid="{D5CDD505-2E9C-101B-9397-08002B2CF9AE}" pid="15" name="Mendeley Recent Style Name 5_1">
    <vt:lpwstr>Associação Brasileira de Normas Técnicas (note, Portuguese - Brazil)</vt:lpwstr>
  </property>
  <property fmtid="{D5CDD505-2E9C-101B-9397-08002B2CF9AE}" pid="16" name="Mendeley Recent Style Id 6_1">
    <vt:lpwstr>http://www.zotero.org/styles/chicago-author-date</vt:lpwstr>
  </property>
  <property fmtid="{D5CDD505-2E9C-101B-9397-08002B2CF9AE}" pid="17" name="Mendeley Recent Style Name 6_1">
    <vt:lpwstr>Chicago Manual of Style 16th edition (author-date)</vt:lpwstr>
  </property>
  <property fmtid="{D5CDD505-2E9C-101B-9397-08002B2CF9AE}" pid="18" name="Mendeley Recent Style Id 7_1">
    <vt:lpwstr>http://www.zotero.org/styles/harvard1</vt:lpwstr>
  </property>
  <property fmtid="{D5CDD505-2E9C-101B-9397-08002B2CF9AE}" pid="19" name="Mendeley Recent Style Name 7_1">
    <vt:lpwstr>Harvard Reference format 1 (author-date)</vt:lpwstr>
  </property>
  <property fmtid="{D5CDD505-2E9C-101B-9397-08002B2CF9AE}" pid="20" name="Mendeley Recent Style Id 8_1">
    <vt:lpwstr>http://www.zotero.org/styles/ieee</vt:lpwstr>
  </property>
  <property fmtid="{D5CDD505-2E9C-101B-9397-08002B2CF9AE}" pid="21" name="Mendeley Recent Style Name 8_1">
    <vt:lpwstr>IEEE</vt:lpwstr>
  </property>
  <property fmtid="{D5CDD505-2E9C-101B-9397-08002B2CF9AE}" pid="22" name="Mendeley Recent Style Id 9_1">
    <vt:lpwstr>http://www.zotero.org/styles/modern-humanities-research-association</vt:lpwstr>
  </property>
  <property fmtid="{D5CDD505-2E9C-101B-9397-08002B2CF9AE}" pid="23" name="Mendeley Recent Style Name 9_1">
    <vt:lpwstr>Modern Humanities Research Association 3rd edition (note with bibliography)</vt:lpwstr>
  </property>
  <property fmtid="{D5CDD505-2E9C-101B-9397-08002B2CF9AE}" pid="24" name="Mendeley Unique User Id_1">
    <vt:lpwstr>eb7fbebc-f433-35d7-8245-876661d8dfa4</vt:lpwstr>
  </property>
  <property fmtid="{D5CDD505-2E9C-101B-9397-08002B2CF9AE}" pid="26" name="TaxKeyword">
    <vt:lpwstr/>
  </property>
  <property fmtid="{D5CDD505-2E9C-101B-9397-08002B2CF9AE}" pid="27" name="TaxKeywordTaxHTField">
    <vt:lpwstr/>
  </property>
  <property fmtid="{D5CDD505-2E9C-101B-9397-08002B2CF9AE}" pid="28" name="Series Operations IDB">
    <vt:lpwstr/>
  </property>
  <property fmtid="{D5CDD505-2E9C-101B-9397-08002B2CF9AE}" pid="29" name="Sub-Sector">
    <vt:lpwstr>44;#STI POLICY ＆ INSTITUTIONS|cd7181a5-1672-417a-9820-de106a5c5933</vt:lpwstr>
  </property>
  <property fmtid="{D5CDD505-2E9C-101B-9397-08002B2CF9AE}" pid="30" name="Fund IDB">
    <vt:lpwstr>33;#ORC|c028a4b2-ad8b-4cf4-9cac-a2ae6a778e23</vt:lpwstr>
  </property>
  <property fmtid="{D5CDD505-2E9C-101B-9397-08002B2CF9AE}" pid="31" name="Country">
    <vt:lpwstr>30;#Brazil|7deb27ec-6837-4974-9aa8-6cfbac841ef8</vt:lpwstr>
  </property>
  <property fmtid="{D5CDD505-2E9C-101B-9397-08002B2CF9AE}" pid="32" name="Sector IDB">
    <vt:lpwstr>43;#SCIENCE AND TECHNOLOGY|0cc5734e-64eb-4bef-9520-748f3938df0e</vt:lpwstr>
  </property>
  <property fmtid="{D5CDD505-2E9C-101B-9397-08002B2CF9AE}" pid="33" name="Function Operations IDB">
    <vt:lpwstr>3;#Project Administration|751f71fd-1433-4702-a2db-ff12a4e45594</vt:lpwstr>
  </property>
  <property fmtid="{D5CDD505-2E9C-101B-9397-08002B2CF9AE}" pid="34" name="_dlc_DocIdItemGuid">
    <vt:lpwstr>ebcf42ad-19af-4f13-9e3a-0f5abddd0af3</vt:lpwstr>
  </property>
  <property fmtid="{D5CDD505-2E9C-101B-9397-08002B2CF9AE}" pid="35" name="Disclosure Activity">
    <vt:lpwstr>Loan Proposal</vt:lpwstr>
  </property>
  <property fmtid="{D5CDD505-2E9C-101B-9397-08002B2CF9AE}" pid="36" name="ContentTypeId">
    <vt:lpwstr>0x0101001A458A224826124E8B45B1D613300CFC0041BF7EEF84FCE14ABA3FDBB48CFBF67E</vt:lpwstr>
  </property>
</Properties>
</file>